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19685</wp:posOffset>
            </wp:positionV>
            <wp:extent cx="3686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132"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Commission</w:t>
            </w:r>
          </w:p>
        </w:tc>
        <w:tc>
          <w:tcPr>
            <w:tcW w:w="6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Exact Name of Registrant as Specified in its Charter, Address of Principal Executive Office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State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IRS Employer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Former name, former</w:t>
            </w: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address, if changed</w:t>
            </w: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color w:val="auto"/>
              </w:rPr>
              <w:t>File No.</w:t>
            </w:r>
          </w:p>
        </w:tc>
        <w:tc>
          <w:tcPr>
            <w:tcW w:w="61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6"/>
                <w:szCs w:val="16"/>
                <w:color w:val="auto"/>
              </w:rPr>
              <w:t>and Telephone Number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Incorporation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since last report</w:t>
            </w:r>
          </w:p>
        </w:tc>
        <w:tc>
          <w:tcPr>
            <w:tcW w:w="0" w:type="dxa"/>
            <w:vAlign w:val="bottom"/>
          </w:tcPr>
          <w:p>
            <w:pPr>
              <w:spacing w:after="0"/>
              <w:rPr>
                <w:sz w:val="1"/>
                <w:szCs w:val="1"/>
                <w:color w:val="auto"/>
              </w:rPr>
            </w:pPr>
          </w:p>
        </w:tc>
      </w:tr>
      <w:tr>
        <w:trPr>
          <w:trHeight w:val="235"/>
        </w:trPr>
        <w:tc>
          <w:tcPr>
            <w:tcW w:w="10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99"/>
              </w:rPr>
              <w:t>1-14201</w:t>
            </w: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33-0732627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61"/>
        </w:trPr>
        <w:tc>
          <w:tcPr>
            <w:tcW w:w="104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488 8th Avenue</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 Diego, California 92101</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(619) 696-2000</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0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99"/>
              </w:rPr>
              <w:t>1-03779</w:t>
            </w: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95-1184800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8330 Century Park Court</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 Diego, California 92123</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(619) 696-2000</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0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99"/>
              </w:rPr>
              <w:t>1-01402</w:t>
            </w: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95-1240705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555 West 5th Street</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 Angeles, California 90013</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(213) 244-1200</w:t>
            </w: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-2022475</wp:posOffset>
            </wp:positionV>
            <wp:extent cx="123444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3003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-1268095</wp:posOffset>
            </wp:positionV>
            <wp:extent cx="11487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8715" cy="3257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-513715</wp:posOffset>
            </wp:positionV>
            <wp:extent cx="106299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pacing w:after="0" w:line="97" w:lineRule="exact"/>
        <w:rPr>
          <w:sz w:val="24"/>
          <w:szCs w:val="24"/>
          <w:color w:val="auto"/>
        </w:rPr>
      </w:pPr>
    </w:p>
    <w:p>
      <w:pPr>
        <w:ind w:left="120" w:right="4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Registrants under any of the following provisions:</w:t>
      </w:r>
    </w:p>
    <w:p>
      <w:pPr>
        <w:spacing w:after="0" w:line="10" w:lineRule="exact"/>
        <w:rPr>
          <w:sz w:val="24"/>
          <w:szCs w:val="24"/>
          <w:color w:val="auto"/>
        </w:rPr>
      </w:pPr>
    </w:p>
    <w:p>
      <w:pPr>
        <w:ind w:left="900" w:hanging="48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900" w:hanging="48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900" w:hanging="48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900" w:hanging="487"/>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24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6"/>
                <w:szCs w:val="16"/>
                <w:color w:val="auto"/>
                <w:w w:val="99"/>
              </w:rPr>
              <w:t>Trading Symbol</w:t>
            </w:r>
          </w:p>
        </w:tc>
        <w:tc>
          <w:tcPr>
            <w:tcW w:w="3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526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2240" w:type="dxa"/>
            <w:vAlign w:val="bottom"/>
            <w:shd w:val="clear" w:color="auto" w:fill="D4F1F5"/>
          </w:tcPr>
          <w:p>
            <w:pPr>
              <w:spacing w:after="0"/>
              <w:rPr>
                <w:sz w:val="19"/>
                <w:szCs w:val="19"/>
                <w:color w:val="auto"/>
              </w:rPr>
            </w:pPr>
          </w:p>
        </w:tc>
        <w:tc>
          <w:tcPr>
            <w:tcW w:w="3740" w:type="dxa"/>
            <w:vAlign w:val="bottom"/>
            <w:shd w:val="clear" w:color="auto" w:fill="D4F1F5"/>
          </w:tcPr>
          <w:p>
            <w:pPr>
              <w:spacing w:after="0"/>
              <w:rPr>
                <w:sz w:val="19"/>
                <w:szCs w:val="19"/>
                <w:color w:val="auto"/>
              </w:rPr>
            </w:pPr>
          </w:p>
        </w:tc>
      </w:tr>
      <w:tr>
        <w:trPr>
          <w:trHeight w:val="230"/>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24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6"/>
              </w:rPr>
              <w:t>SRE</w:t>
            </w:r>
          </w:p>
        </w:tc>
        <w:tc>
          <w:tcPr>
            <w:tcW w:w="37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5260" w:type="dxa"/>
            <w:vAlign w:val="bottom"/>
            <w:shd w:val="clear" w:color="auto" w:fill="D4F1F5"/>
          </w:tcPr>
          <w:p>
            <w:pPr>
              <w:ind w:left="140"/>
              <w:spacing w:after="0"/>
              <w:rPr>
                <w:sz w:val="20"/>
                <w:szCs w:val="20"/>
                <w:color w:val="auto"/>
              </w:rPr>
            </w:pPr>
            <w:r>
              <w:rPr>
                <w:rFonts w:ascii="Times New Roman" w:cs="Times New Roman" w:eastAsia="Times New Roman" w:hAnsi="Times New Roman"/>
                <w:sz w:val="18"/>
                <w:szCs w:val="18"/>
                <w:color w:val="auto"/>
              </w:rPr>
              <w:t>5.75% Junior Subordinated Notes Due 2079, $25 par value</w:t>
            </w:r>
          </w:p>
        </w:tc>
        <w:tc>
          <w:tcPr>
            <w:tcW w:w="2240" w:type="dxa"/>
            <w:vAlign w:val="bottom"/>
            <w:shd w:val="clear" w:color="auto" w:fill="D4F1F5"/>
          </w:tcPr>
          <w:p>
            <w:pPr>
              <w:jc w:val="center"/>
              <w:ind w:left="493"/>
              <w:spacing w:after="0"/>
              <w:rPr>
                <w:sz w:val="20"/>
                <w:szCs w:val="20"/>
                <w:color w:val="auto"/>
              </w:rPr>
            </w:pPr>
            <w:r>
              <w:rPr>
                <w:rFonts w:ascii="Times New Roman" w:cs="Times New Roman" w:eastAsia="Times New Roman" w:hAnsi="Times New Roman"/>
                <w:sz w:val="18"/>
                <w:szCs w:val="18"/>
                <w:color w:val="auto"/>
                <w:w w:val="99"/>
              </w:rPr>
              <w:t>SREA</w:t>
            </w:r>
          </w:p>
        </w:tc>
        <w:tc>
          <w:tcPr>
            <w:tcW w:w="3740" w:type="dxa"/>
            <w:vAlign w:val="bottom"/>
            <w:shd w:val="clear" w:color="auto" w:fill="D4F1F5"/>
          </w:tcPr>
          <w:p>
            <w:pPr>
              <w:jc w:val="center"/>
              <w:ind w:right="33"/>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22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229"/>
        </w:trPr>
        <w:tc>
          <w:tcPr>
            <w:tcW w:w="5260" w:type="dxa"/>
            <w:vAlign w:val="bottom"/>
            <w:shd w:val="clear" w:color="auto" w:fill="D4F1F5"/>
          </w:tcPr>
          <w:p>
            <w:pPr>
              <w:ind w:left="14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shd w:val="clear" w:color="auto" w:fill="D4F1F5"/>
          </w:tcPr>
          <w:p>
            <w:pPr>
              <w:spacing w:after="0"/>
              <w:rPr>
                <w:sz w:val="19"/>
                <w:szCs w:val="19"/>
                <w:color w:val="auto"/>
              </w:rPr>
            </w:pPr>
          </w:p>
        </w:tc>
        <w:tc>
          <w:tcPr>
            <w:tcW w:w="3740" w:type="dxa"/>
            <w:vAlign w:val="bottom"/>
            <w:shd w:val="clear" w:color="auto" w:fill="D4F1F5"/>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22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237"/>
        </w:trPr>
        <w:tc>
          <w:tcPr>
            <w:tcW w:w="5260" w:type="dxa"/>
            <w:vAlign w:val="bottom"/>
            <w:tcBorders>
              <w:bottom w:val="single" w:sz="8" w:color="B6B6B6"/>
            </w:tcBorders>
            <w:shd w:val="clear" w:color="auto" w:fill="D4F1F5"/>
          </w:tcPr>
          <w:p>
            <w:pPr>
              <w:ind w:left="14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tcBorders>
              <w:bottom w:val="single" w:sz="8" w:color="B6B6B6"/>
            </w:tcBorders>
            <w:shd w:val="clear" w:color="auto" w:fill="D4F1F5"/>
          </w:tcPr>
          <w:p>
            <w:pPr>
              <w:spacing w:after="0"/>
              <w:rPr>
                <w:sz w:val="20"/>
                <w:szCs w:val="20"/>
                <w:color w:val="auto"/>
              </w:rPr>
            </w:pPr>
          </w:p>
        </w:tc>
        <w:tc>
          <w:tcPr>
            <w:tcW w:w="3740" w:type="dxa"/>
            <w:vAlign w:val="bottom"/>
            <w:tcBorders>
              <w:bottom w:val="single" w:sz="8" w:color="B6B6B6"/>
            </w:tcBorders>
            <w:shd w:val="clear" w:color="auto" w:fill="D4F1F5"/>
          </w:tcPr>
          <w:p>
            <w:pPr>
              <w:spacing w:after="0"/>
              <w:rPr>
                <w:sz w:val="20"/>
                <w:szCs w:val="20"/>
                <w:color w:val="auto"/>
              </w:rPr>
            </w:pPr>
          </w:p>
        </w:tc>
      </w:tr>
    </w:tbl>
    <w:p>
      <w:pPr>
        <w:spacing w:after="0" w:line="76" w:lineRule="exact"/>
        <w:rPr>
          <w:sz w:val="24"/>
          <w:szCs w:val="24"/>
          <w:color w:val="auto"/>
        </w:rPr>
      </w:pPr>
    </w:p>
    <w:p>
      <w:pPr>
        <w:ind w:left="140" w:right="80"/>
        <w:spacing w:after="0" w:line="245" w:lineRule="auto"/>
        <w:rPr>
          <w:sz w:val="20"/>
          <w:szCs w:val="20"/>
          <w:color w:val="auto"/>
        </w:rPr>
      </w:pPr>
      <w:r>
        <w:rPr>
          <w:rFonts w:ascii="Times New Roman" w:cs="Times New Roman" w:eastAsia="Times New Roman" w:hAnsi="Times New Roman"/>
          <w:sz w:val="18"/>
          <w:szCs w:val="18"/>
          <w:color w:val="auto"/>
        </w:rPr>
        <w:t>Indicate by check mark whether the Registrants are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2" w:lineRule="exact"/>
        <w:rPr>
          <w:sz w:val="24"/>
          <w:szCs w:val="24"/>
          <w:color w:val="auto"/>
        </w:rPr>
      </w:pPr>
    </w:p>
    <w:p>
      <w:pPr>
        <w:ind w:left="140"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 and SoCalGas 2028 GRC Applications</w:t>
      </w:r>
    </w:p>
    <w:p>
      <w:pPr>
        <w:spacing w:after="0" w:line="4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California Public Utilities Commission (“CPUC”) sets authorized revenue requirements through General Rate Cases (“GRCs”) designed to allow San Diego Gas &amp; Electric Company (“SDG&amp;E”) and Southern California Gas Company (“SoCalGas”), each a subsidiary of Sempra, to recover their reasonable operating costs while providing the opportunity to earn their authorized rates of return on their capital investments.</w:t>
      </w:r>
    </w:p>
    <w:p>
      <w:pPr>
        <w:spacing w:after="0" w:line="5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On June 15, 2026, SDG&amp;E and SoCalGas concurrently filed their 2028 GRC applications requesting CPUC approval of test year revenue requirements for 2028 and attrition year adjustments for 2029 through 2031.</w:t>
      </w:r>
    </w:p>
    <w:p>
      <w:pPr>
        <w:spacing w:after="0" w:line="5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requested revenue requirements include expenditures required to safely and reliably operate and maintain facilities and systems, comply with regulatory requirements, and address rising costs such as insurance and employee healthcare costs, among others.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SDG&amp;E’s and SoCalGas’ requested revenue requirements for the 2028 test year and 2029 through 2031 attrition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08088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REQUESTED REVENUE REQUIREMENTS IN 2028 GRC</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9"/>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Test year</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64"/>
              <w:spacing w:after="0"/>
              <w:rPr>
                <w:sz w:val="20"/>
                <w:szCs w:val="20"/>
                <w:color w:val="auto"/>
              </w:rPr>
            </w:pPr>
            <w:r>
              <w:rPr>
                <w:rFonts w:ascii="Arial" w:cs="Arial" w:eastAsia="Arial" w:hAnsi="Arial"/>
                <w:sz w:val="14"/>
                <w:szCs w:val="14"/>
                <w:color w:val="auto"/>
              </w:rPr>
              <w:t>Attrition years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
        </w:trPr>
        <w:tc>
          <w:tcPr>
            <w:tcW w:w="3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01"/>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84"/>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4"/>
                <w:szCs w:val="14"/>
                <w:color w:val="auto"/>
              </w:rPr>
              <w:t>2029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04"/>
              <w:spacing w:after="0"/>
              <w:rPr>
                <w:sz w:val="20"/>
                <w:szCs w:val="20"/>
                <w:color w:val="auto"/>
              </w:rPr>
            </w:pPr>
            <w:r>
              <w:rPr>
                <w:rFonts w:ascii="Arial" w:cs="Arial" w:eastAsia="Arial" w:hAnsi="Arial"/>
                <w:sz w:val="14"/>
                <w:szCs w:val="14"/>
                <w:color w:val="auto"/>
              </w:rPr>
              <w:t>2030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Arial" w:cs="Arial" w:eastAsia="Arial" w:hAnsi="Arial"/>
                <w:sz w:val="14"/>
                <w:szCs w:val="14"/>
                <w:color w:val="auto"/>
              </w:rPr>
              <w:t>2031</w:t>
            </w:r>
          </w:p>
        </w:tc>
        <w:tc>
          <w:tcPr>
            <w:tcW w:w="680" w:type="dxa"/>
            <w:vAlign w:val="bottom"/>
          </w:tcPr>
          <w:p>
            <w:pPr>
              <w:spacing w:after="0"/>
              <w:rPr>
                <w:sz w:val="17"/>
                <w:szCs w:val="17"/>
                <w:color w:val="auto"/>
              </w:rPr>
            </w:pPr>
          </w:p>
        </w:tc>
      </w:tr>
      <w:tr>
        <w:trPr>
          <w:trHeight w:val="35"/>
        </w:trPr>
        <w:tc>
          <w:tcPr>
            <w:tcW w:w="3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D4F1F5"/>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D4F1F5"/>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D4F1F5"/>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10"/>
        </w:trPr>
        <w:tc>
          <w:tcPr>
            <w:tcW w:w="3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3,760</w:t>
            </w:r>
          </w:p>
        </w:tc>
        <w:tc>
          <w:tcPr>
            <w:tcW w:w="120" w:type="dxa"/>
            <w:vAlign w:val="bottom"/>
            <w:shd w:val="clear" w:color="auto" w:fill="D4F1F5"/>
          </w:tcPr>
          <w:p>
            <w:pPr>
              <w:spacing w:after="0"/>
              <w:rPr>
                <w:sz w:val="18"/>
                <w:szCs w:val="18"/>
                <w:color w:val="auto"/>
              </w:rPr>
            </w:pPr>
          </w:p>
        </w:tc>
        <w:tc>
          <w:tcPr>
            <w:tcW w:w="40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4F1F5"/>
          </w:tcPr>
          <w:p>
            <w:pPr>
              <w:jc w:val="right"/>
              <w:ind w:right="462"/>
              <w:spacing w:after="0"/>
              <w:rPr>
                <w:sz w:val="20"/>
                <w:szCs w:val="20"/>
                <w:color w:val="auto"/>
              </w:rPr>
            </w:pPr>
            <w:r>
              <w:rPr>
                <w:rFonts w:ascii="Arial" w:cs="Arial" w:eastAsia="Arial" w:hAnsi="Arial"/>
                <w:sz w:val="16"/>
                <w:szCs w:val="16"/>
                <w:color w:val="auto"/>
              </w:rPr>
              <w:t>327</w:t>
            </w:r>
          </w:p>
        </w:tc>
        <w:tc>
          <w:tcPr>
            <w:tcW w:w="700" w:type="dxa"/>
            <w:vAlign w:val="bottom"/>
            <w:shd w:val="clear" w:color="auto" w:fill="D4F1F5"/>
          </w:tcPr>
          <w:p>
            <w:pPr>
              <w:ind w:left="280"/>
              <w:spacing w:after="0"/>
              <w:rPr>
                <w:sz w:val="20"/>
                <w:szCs w:val="20"/>
                <w:color w:val="auto"/>
              </w:rPr>
            </w:pPr>
            <w:r>
              <w:rPr>
                <w:rFonts w:ascii="Arial" w:cs="Arial" w:eastAsia="Arial" w:hAnsi="Arial"/>
                <w:sz w:val="16"/>
                <w:szCs w:val="16"/>
                <w:color w:val="auto"/>
                <w:w w:val="97"/>
              </w:rPr>
              <w:t>8.7 %</w:t>
            </w:r>
          </w:p>
        </w:tc>
        <w:tc>
          <w:tcPr>
            <w:tcW w:w="120" w:type="dxa"/>
            <w:vAlign w:val="bottom"/>
            <w:shd w:val="clear" w:color="auto" w:fill="D4F1F5"/>
          </w:tcPr>
          <w:p>
            <w:pPr>
              <w:spacing w:after="0"/>
              <w:rPr>
                <w:sz w:val="18"/>
                <w:szCs w:val="18"/>
                <w:color w:val="auto"/>
              </w:rPr>
            </w:pPr>
          </w:p>
        </w:tc>
        <w:tc>
          <w:tcPr>
            <w:tcW w:w="36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4F1F5"/>
          </w:tcPr>
          <w:p>
            <w:pPr>
              <w:jc w:val="right"/>
              <w:ind w:right="584"/>
              <w:spacing w:after="0"/>
              <w:rPr>
                <w:sz w:val="20"/>
                <w:szCs w:val="20"/>
                <w:color w:val="auto"/>
              </w:rPr>
            </w:pPr>
            <w:r>
              <w:rPr>
                <w:rFonts w:ascii="Arial" w:cs="Arial" w:eastAsia="Arial" w:hAnsi="Arial"/>
                <w:sz w:val="16"/>
                <w:szCs w:val="16"/>
                <w:color w:val="auto"/>
              </w:rPr>
              <w:t>226</w:t>
            </w:r>
          </w:p>
        </w:tc>
        <w:tc>
          <w:tcPr>
            <w:tcW w:w="5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D4F1F5"/>
          </w:tcPr>
          <w:p>
            <w:pPr>
              <w:spacing w:after="0"/>
              <w:rPr>
                <w:sz w:val="18"/>
                <w:szCs w:val="18"/>
                <w:color w:val="auto"/>
              </w:rPr>
            </w:pPr>
          </w:p>
        </w:tc>
        <w:tc>
          <w:tcPr>
            <w:tcW w:w="400" w:type="dxa"/>
            <w:vAlign w:val="bottom"/>
            <w:shd w:val="clear" w:color="auto" w:fill="D4F1F5"/>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ind w:right="442"/>
              <w:spacing w:after="0"/>
              <w:rPr>
                <w:sz w:val="20"/>
                <w:szCs w:val="20"/>
                <w:color w:val="auto"/>
              </w:rPr>
            </w:pPr>
            <w:r>
              <w:rPr>
                <w:rFonts w:ascii="Arial" w:cs="Arial" w:eastAsia="Arial" w:hAnsi="Arial"/>
                <w:sz w:val="16"/>
                <w:szCs w:val="16"/>
                <w:color w:val="auto"/>
              </w:rPr>
              <w:t>240</w:t>
            </w:r>
          </w:p>
        </w:tc>
        <w:tc>
          <w:tcPr>
            <w:tcW w:w="6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5.6 %</w:t>
            </w:r>
          </w:p>
        </w:tc>
      </w:tr>
      <w:tr>
        <w:trPr>
          <w:trHeight w:val="223"/>
        </w:trPr>
        <w:tc>
          <w:tcPr>
            <w:tcW w:w="318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SoCalGas</w:t>
            </w:r>
          </w:p>
        </w:tc>
        <w:tc>
          <w:tcPr>
            <w:tcW w:w="180" w:type="dxa"/>
            <w:vAlign w:val="bottom"/>
            <w:tcBorders>
              <w:bottom w:val="single" w:sz="8" w:color="B6B6B6"/>
            </w:tcBorders>
          </w:tcPr>
          <w:p>
            <w:pPr>
              <w:spacing w:after="0"/>
              <w:rPr>
                <w:sz w:val="19"/>
                <w:szCs w:val="19"/>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B6B6B6"/>
            </w:tcBorders>
          </w:tcPr>
          <w:p>
            <w:pPr>
              <w:spacing w:after="0"/>
              <w:rPr>
                <w:sz w:val="19"/>
                <w:szCs w:val="19"/>
                <w:color w:val="auto"/>
              </w:rPr>
            </w:pPr>
          </w:p>
        </w:tc>
        <w:tc>
          <w:tcPr>
            <w:tcW w:w="400" w:type="dxa"/>
            <w:vAlign w:val="bottom"/>
            <w:tcBorders>
              <w:bottom w:val="single" w:sz="8" w:color="B6B6B6"/>
            </w:tcBorders>
          </w:tcPr>
          <w:p>
            <w:pPr>
              <w:spacing w:after="0"/>
              <w:rPr>
                <w:sz w:val="19"/>
                <w:szCs w:val="19"/>
                <w:color w:val="auto"/>
              </w:rPr>
            </w:pPr>
          </w:p>
        </w:tc>
        <w:tc>
          <w:tcPr>
            <w:tcW w:w="1120" w:type="dxa"/>
            <w:vAlign w:val="bottom"/>
            <w:tcBorders>
              <w:bottom w:val="single" w:sz="8" w:color="B6B6B6"/>
            </w:tcBorders>
          </w:tcPr>
          <w:p>
            <w:pPr>
              <w:jc w:val="right"/>
              <w:ind w:right="462"/>
              <w:spacing w:after="0"/>
              <w:rPr>
                <w:sz w:val="20"/>
                <w:szCs w:val="20"/>
                <w:color w:val="auto"/>
              </w:rPr>
            </w:pPr>
            <w:r>
              <w:rPr>
                <w:rFonts w:ascii="Arial" w:cs="Arial" w:eastAsia="Arial" w:hAnsi="Arial"/>
                <w:sz w:val="16"/>
                <w:szCs w:val="16"/>
                <w:color w:val="auto"/>
              </w:rPr>
              <w:t>315</w:t>
            </w:r>
          </w:p>
        </w:tc>
        <w:tc>
          <w:tcPr>
            <w:tcW w:w="700" w:type="dxa"/>
            <w:vAlign w:val="bottom"/>
            <w:tcBorders>
              <w:bottom w:val="single" w:sz="8" w:color="B6B6B6"/>
            </w:tcBorders>
          </w:tcPr>
          <w:p>
            <w:pPr>
              <w:ind w:left="28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B6B6B6"/>
            </w:tcBorders>
          </w:tcPr>
          <w:p>
            <w:pPr>
              <w:spacing w:after="0"/>
              <w:rPr>
                <w:sz w:val="19"/>
                <w:szCs w:val="19"/>
                <w:color w:val="auto"/>
              </w:rPr>
            </w:pPr>
          </w:p>
        </w:tc>
        <w:tc>
          <w:tcPr>
            <w:tcW w:w="360" w:type="dxa"/>
            <w:vAlign w:val="bottom"/>
            <w:tcBorders>
              <w:bottom w:val="single" w:sz="8" w:color="B6B6B6"/>
            </w:tcBorders>
          </w:tcPr>
          <w:p>
            <w:pPr>
              <w:spacing w:after="0"/>
              <w:rPr>
                <w:sz w:val="19"/>
                <w:szCs w:val="19"/>
                <w:color w:val="auto"/>
              </w:rPr>
            </w:pPr>
          </w:p>
        </w:tc>
        <w:tc>
          <w:tcPr>
            <w:tcW w:w="1280" w:type="dxa"/>
            <w:vAlign w:val="bottom"/>
            <w:tcBorders>
              <w:bottom w:val="single" w:sz="8" w:color="B6B6B6"/>
            </w:tcBorders>
          </w:tcPr>
          <w:p>
            <w:pPr>
              <w:jc w:val="right"/>
              <w:ind w:right="584"/>
              <w:spacing w:after="0"/>
              <w:rPr>
                <w:sz w:val="20"/>
                <w:szCs w:val="20"/>
                <w:color w:val="auto"/>
              </w:rPr>
            </w:pPr>
            <w:r>
              <w:rPr>
                <w:rFonts w:ascii="Arial" w:cs="Arial" w:eastAsia="Arial" w:hAnsi="Arial"/>
                <w:sz w:val="16"/>
                <w:szCs w:val="16"/>
                <w:color w:val="auto"/>
              </w:rPr>
              <w:t>312</w:t>
            </w:r>
          </w:p>
        </w:tc>
        <w:tc>
          <w:tcPr>
            <w:tcW w:w="580" w:type="dxa"/>
            <w:vAlign w:val="bottom"/>
            <w:tcBorders>
              <w:bottom w:val="single" w:sz="8" w:color="B6B6B6"/>
            </w:tcBorders>
          </w:tcPr>
          <w:p>
            <w:pPr>
              <w:ind w:left="1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B6B6B6"/>
            </w:tcBorders>
          </w:tcPr>
          <w:p>
            <w:pPr>
              <w:spacing w:after="0"/>
              <w:rPr>
                <w:sz w:val="19"/>
                <w:szCs w:val="19"/>
                <w:color w:val="auto"/>
              </w:rPr>
            </w:pPr>
          </w:p>
        </w:tc>
        <w:tc>
          <w:tcPr>
            <w:tcW w:w="400" w:type="dxa"/>
            <w:vAlign w:val="bottom"/>
            <w:tcBorders>
              <w:bottom w:val="single" w:sz="8" w:color="B6B6B6"/>
            </w:tcBorders>
          </w:tcPr>
          <w:p>
            <w:pPr>
              <w:spacing w:after="0"/>
              <w:rPr>
                <w:sz w:val="19"/>
                <w:szCs w:val="19"/>
                <w:color w:val="auto"/>
              </w:rPr>
            </w:pPr>
          </w:p>
        </w:tc>
        <w:tc>
          <w:tcPr>
            <w:tcW w:w="1060" w:type="dxa"/>
            <w:vAlign w:val="bottom"/>
            <w:tcBorders>
              <w:bottom w:val="single" w:sz="8" w:color="B6B6B6"/>
            </w:tcBorders>
          </w:tcPr>
          <w:p>
            <w:pPr>
              <w:jc w:val="right"/>
              <w:ind w:right="442"/>
              <w:spacing w:after="0"/>
              <w:rPr>
                <w:sz w:val="20"/>
                <w:szCs w:val="20"/>
                <w:color w:val="auto"/>
              </w:rPr>
            </w:pPr>
            <w:r>
              <w:rPr>
                <w:rFonts w:ascii="Arial" w:cs="Arial" w:eastAsia="Arial" w:hAnsi="Arial"/>
                <w:sz w:val="16"/>
                <w:szCs w:val="16"/>
                <w:color w:val="auto"/>
              </w:rPr>
              <w:t>314</w:t>
            </w:r>
          </w:p>
        </w:tc>
        <w:tc>
          <w:tcPr>
            <w:tcW w:w="680" w:type="dxa"/>
            <w:vAlign w:val="bottom"/>
            <w:tcBorders>
              <w:bottom w:val="single" w:sz="8" w:color="B6B6B6"/>
            </w:tcBorders>
          </w:tcPr>
          <w:p>
            <w:pPr>
              <w:ind w:left="240"/>
              <w:spacing w:after="0"/>
              <w:rPr>
                <w:sz w:val="20"/>
                <w:szCs w:val="20"/>
                <w:color w:val="auto"/>
              </w:rPr>
            </w:pPr>
            <w:r>
              <w:rPr>
                <w:rFonts w:ascii="Arial" w:cs="Arial" w:eastAsia="Arial" w:hAnsi="Arial"/>
                <w:sz w:val="16"/>
                <w:szCs w:val="16"/>
                <w:color w:val="auto"/>
              </w:rPr>
              <w:t>5.5</w:t>
            </w:r>
          </w:p>
        </w:tc>
      </w:tr>
    </w:tbl>
    <w:p>
      <w:pPr>
        <w:spacing w:after="0" w:line="171" w:lineRule="exact"/>
        <w:rPr>
          <w:sz w:val="20"/>
          <w:szCs w:val="20"/>
          <w:color w:val="auto"/>
        </w:rPr>
      </w:pPr>
    </w:p>
    <w:p>
      <w:pPr>
        <w:jc w:val="both"/>
        <w:ind w:right="60"/>
        <w:spacing w:after="0" w:line="297" w:lineRule="auto"/>
        <w:rPr>
          <w:sz w:val="20"/>
          <w:szCs w:val="20"/>
          <w:color w:val="auto"/>
        </w:rPr>
      </w:pPr>
      <w:r>
        <w:rPr>
          <w:rFonts w:ascii="Times New Roman" w:cs="Times New Roman" w:eastAsia="Times New Roman" w:hAnsi="Times New Roman"/>
          <w:sz w:val="18"/>
          <w:szCs w:val="18"/>
          <w:color w:val="auto"/>
        </w:rPr>
        <w:t>The requests in the 2028 GRC applications are subject to CPUC approval. SDG&amp;E and SoCalGas have requested that the CPUC issue a proposed decision by the end of 2027 with new rates to be effective in January 2028.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CPUC’s final decision may materially differ from what is requested in the GRC applications.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Updates Webpage</w:t>
      </w:r>
    </w:p>
    <w:p>
      <w:pPr>
        <w:spacing w:after="0" w:line="4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foregoing information also will be posted on the “Corporate updates” webpage under the Investor news tab of Sempra’s Investors website located at sempra.com/investors. Going forward, Sempra plans to use this webpage as a means of disclosing important information to investors, some of which may be material, and complying with its disclosure obligations under Securities and Exchange Commission (“SEC”) Regulation FD. The information disseminated on this webpage will be supplemental to the information Sempra disseminates to investors through other channels, including filings with the SEC, press releases, and public conference calls and webcasts, and investors should monitor all these sources for material information about Sempra.</w:t>
      </w:r>
    </w:p>
    <w:p>
      <w:pPr>
        <w:spacing w:after="0" w:line="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furnished in this Item 7.01 shall not be deemed to be “filed” for purposes of the Securities Exchange Act of 1934, nor shall it be deemed to be incorporated by reference in any filing of Sempra, whether made before or after the date hereof, regardless of any general incorporation language in such filing.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i w:val="1"/>
          <w:iCs w:val="1"/>
          <w:color w:val="auto"/>
        </w:rPr>
        <w:t>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report. We assume no obligation to update or revise any forward-looking statement as a result of new information, future events or otherwise.</w:t>
      </w:r>
    </w:p>
    <w:p>
      <w:pPr>
        <w:spacing w:after="0" w:line="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i w:val="1"/>
          <w:iCs w:val="1"/>
          <w:color w:val="auto"/>
        </w:rPr>
        <w:t>In this report,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2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i w:val="1"/>
          <w:iCs w:val="1"/>
          <w:color w:val="auto"/>
        </w:rPr>
        <w:t>Factors, among others, that could cause actual results and events to differ materially from those expressed or implied in any forward-looking statement include: 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 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2" w:name="page3"/>
    <w:bookmarkEnd w:id="2"/>
    <w:p>
      <w:pPr>
        <w:spacing w:after="0" w:line="242" w:lineRule="auto"/>
        <w:rPr>
          <w:sz w:val="20"/>
          <w:szCs w:val="20"/>
          <w:color w:val="auto"/>
        </w:rPr>
      </w:pPr>
      <w:r>
        <w:rPr>
          <w:rFonts w:ascii="Times New Roman" w:cs="Times New Roman" w:eastAsia="Times New Roman" w:hAnsi="Times New Roman"/>
          <w:sz w:val="17"/>
          <w:szCs w:val="17"/>
          <w:i w:val="1"/>
          <w:iCs w:val="1"/>
          <w:color w:val="auto"/>
        </w:rPr>
        <w:t>Public Utilities Commission (CPUC), U.S. Department of Energy, U.S. Federal Energy Regulatory Commission, U.S. Internal Revenue Service, Public Utility Commission of Texas and other regulatory bodies and (ii) U.S., Mexico and states, counties, cities and other jurisdictions therein and in other countries where we do business; the success of business development efforts, construction projects, acquisitions, divestitures, and other significant transactions such as the planned sale of a portion of our equity interest in Sempra Infrastructure Partners,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 changes to our capital expenditure plans and their potential impact on rate base or other growth; 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 litigation, arbitration, property disputes and other proceedings; cybersecurity threats, including by nation-state actors, of ransomware or other attacks on our systems, the energy grid or our other infrastructure, or the systems of third parties with which we conduct business; 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the impact of efforts to increase affordability of U.S. utility customer rates on our ability to obtain cost recovery from applicable regulators, our capital expenditure and other growth plans and our ability to advance statewide policies; 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 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 Oncor Electric Delivery Company LLC’s (Oncor) ability to reduce or eliminate its quarterly dividends due to regulatory and governance requirements and commitments, including by actions of Oncor’s independent directors or a minority member director; and other uncertainties, some of which are difficult to predict and beyond our control.</w:t>
      </w:r>
    </w:p>
    <w:p>
      <w:pPr>
        <w:spacing w:after="0" w:line="21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i w:val="1"/>
          <w:iCs w:val="1"/>
          <w:color w:val="auto"/>
        </w:rPr>
        <w:t>These risks and uncertainties are further discussed in the reports that Sempra has filed with the U.S. Securities and Exchange Commission (SEC). These reports are available through the EDGAR system free-of-charge on the SEC's website, www.sec.gov, and on Sempra’s website, www.sempra.com. Investors should not rely unduly on any forward-looking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Sempra Infrastructure, Sempra Infrastructure Partners, Sempra Texas, Sempra Texas Utilities, Oncor and Infraestructura Energética Nova, S.A.P.I. de C.V.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(IEnova) are not the same companies as the California utilities, SDG&amp;E or SoCalGas, nor are they regulated by the CPUC.</w:t>
      </w:r>
    </w:p>
    <w:p>
      <w:pPr>
        <w:spacing w:after="0" w:line="1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i w:val="1"/>
          <w:iCs w:val="1"/>
          <w:color w:val="auto"/>
        </w:rPr>
        <w:t>None of the website references in this report are active hyperlinks, and the information contained on, or that can be accessed through, any such website is not, and shall not be deemed to be,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8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59" w:lineRule="exact"/>
        <w:rPr>
          <w:sz w:val="20"/>
          <w:szCs w:val="20"/>
          <w:color w:val="auto"/>
        </w:rPr>
      </w:pPr>
    </w:p>
    <w:tbl>
      <w:tblPr>
        <w:tblLayout w:type="fixed"/>
        <w:tblInd w:w="204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SEMPRA,</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Karen L. Sedgwick</w:t>
            </w:r>
          </w:p>
        </w:tc>
      </w:tr>
      <w:tr>
        <w:trPr>
          <w:trHeight w:val="169"/>
        </w:trPr>
        <w:tc>
          <w:tcPr>
            <w:tcW w:w="3480" w:type="dxa"/>
            <w:vAlign w:val="bottom"/>
          </w:tcPr>
          <w:p>
            <w:pPr>
              <w:spacing w:after="0"/>
              <w:rPr>
                <w:sz w:val="14"/>
                <w:szCs w:val="14"/>
                <w:color w:val="auto"/>
              </w:rPr>
            </w:pPr>
          </w:p>
        </w:tc>
        <w:tc>
          <w:tcPr>
            <w:tcW w:w="5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Karen L. Sedgwick</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814"/>
        </w:trPr>
        <w:tc>
          <w:tcPr>
            <w:tcW w:w="34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DIEGO GAS &amp; ELECTRIC COMPANY,</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Maritza Mekitarian</w:t>
            </w:r>
          </w:p>
        </w:tc>
      </w:tr>
      <w:tr>
        <w:trPr>
          <w:trHeight w:val="169"/>
        </w:trPr>
        <w:tc>
          <w:tcPr>
            <w:tcW w:w="3480" w:type="dxa"/>
            <w:vAlign w:val="bottom"/>
          </w:tcPr>
          <w:p>
            <w:pPr>
              <w:spacing w:after="0"/>
              <w:rPr>
                <w:sz w:val="14"/>
                <w:szCs w:val="14"/>
                <w:color w:val="auto"/>
              </w:rPr>
            </w:pPr>
          </w:p>
        </w:tc>
        <w:tc>
          <w:tcPr>
            <w:tcW w:w="5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Maritza Mekitarian</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800"/>
        </w:trPr>
        <w:tc>
          <w:tcPr>
            <w:tcW w:w="34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CALIFORNIA GAS COMPANY,</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Sara P. Mijares</w:t>
            </w:r>
          </w:p>
        </w:tc>
      </w:tr>
      <w:tr>
        <w:trPr>
          <w:trHeight w:val="178"/>
        </w:trPr>
        <w:tc>
          <w:tcPr>
            <w:tcW w:w="3480" w:type="dxa"/>
            <w:vAlign w:val="bottom"/>
          </w:tcPr>
          <w:p>
            <w:pPr>
              <w:spacing w:after="0"/>
              <w:rPr>
                <w:sz w:val="15"/>
                <w:szCs w:val="15"/>
                <w:color w:val="auto"/>
              </w:rPr>
            </w:pPr>
          </w:p>
        </w:tc>
        <w:tc>
          <w:tcPr>
            <w:tcW w:w="5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Sara P. Mijares</w:t>
            </w:r>
          </w:p>
        </w:tc>
      </w:tr>
      <w:tr>
        <w:trPr>
          <w:trHeight w:val="234"/>
        </w:trPr>
        <w:tc>
          <w:tcPr>
            <w:tcW w:w="34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bl>
    <w:p>
      <w:pPr>
        <w:spacing w:after="0" w:line="1" w:lineRule="exact"/>
        <w:rPr>
          <w:sz w:val="20"/>
          <w:szCs w:val="20"/>
          <w:color w:val="auto"/>
        </w:rPr>
      </w:pPr>
    </w:p>
    <w:sectPr>
      <w:pgSz w:w="11900" w:h="16838" w:orient="portrait"/>
      <w:cols w:equalWidth="0" w:num="1">
        <w:col w:w="11040"/>
      </w:cols>
      <w:pgMar w:left="320" w:top="103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2026-06-16T07:03:10Z</dcterms:created>
  <dcterms:modified xsi:type="dcterms:W3CDTF">2026-06-16T07:03:10Z</dcterms:modified>
</cp:coreProperties>
</file>