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4,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407035</wp:posOffset>
            </wp:positionV>
            <wp:extent cx="2425700"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Sempra</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33-0732627</w:t>
      </w:r>
    </w:p>
    <w:p>
      <w:pPr>
        <w:spacing w:after="0" w:line="24"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ind w:left="1064"/>
        <w:spacing w:after="0"/>
        <w:rPr>
          <w:sz w:val="20"/>
          <w:szCs w:val="20"/>
          <w:color w:val="auto"/>
        </w:rPr>
      </w:pPr>
      <w:r>
        <w:rPr>
          <w:rFonts w:ascii="Times New Roman" w:cs="Times New Roman" w:eastAsia="Times New Roman" w:hAnsi="Times New Roman"/>
          <w:sz w:val="17"/>
          <w:szCs w:val="17"/>
          <w:b w:val="1"/>
          <w:bCs w:val="1"/>
          <w:color w:val="auto"/>
        </w:rPr>
        <w:t>488 8th Avenue, San Diego, California 92101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(619) 696-2000</w:t>
      </w:r>
    </w:p>
    <w:p>
      <w:pPr>
        <w:spacing w:after="0" w:line="43" w:lineRule="exact"/>
        <w:rPr>
          <w:sz w:val="24"/>
          <w:szCs w:val="24"/>
          <w:color w:val="auto"/>
        </w:rPr>
      </w:pPr>
    </w:p>
    <w:p>
      <w:pPr>
        <w:sectPr>
          <w:pgSz w:w="11900" w:h="16838" w:orient="portrait"/>
          <w:cols w:equalWidth="0" w:num="2">
            <w:col w:w="7064" w:space="720"/>
            <w:col w:w="3240"/>
          </w:cols>
          <w:pgMar w:left="436" w:top="443" w:right="439" w:bottom="1440" w:gutter="0" w:footer="0" w:header="0"/>
          <w:type w:val="continuous"/>
        </w:sectPr>
      </w:pPr>
    </w:p>
    <w:p>
      <w:pPr>
        <w:ind w:left="12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Sempra Common Stock, without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SRE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Sempra 5.75% Junior Subordinated Notes Due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SREA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2079, $25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9, 2026, Sempra (the “Company”) closed its public offering and sale of $1,000,000,000 aggregate principal amount of its Floating Rate Notes due 2028 (the “notes”). Proceeds to the Company (after deducting the underwriting discount but before deducting offering expenses payable by the Company estimated at approximately $1.7 million) from the sale of the notes were approximately $998.5 million. The offer and sale of the notes was registered under a prospectus supplement and related prospectus filed with the U.S. Securities and Exchange Commission pursuant to the Company’s effective shelf registration statement on Form S-3 (Registration No. 333-295948).</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purchase and sale of the notes was made pursuant to an underwriting agreement dated June 4, 2026, with BMO Capital Markets Corp. and Academy Securities, Inc., as representatives of the several underwriters named on Schedule I thereto, pursuant to which the notes were issued and sold to such underwriters, severally and not jointly, for resale at a public offering price of 100.000% of the aggregate principal amount of the notes. A copy of the underwriting agreement is filed as Exhibit 1.1 to this Current Report on Form 8-K and is incorporated herein by reference.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notes will bear interest at a floating rate equal to Compounded SOFR (as defined in the notes) plus 0.670% per annum and mature on January 7, 2028. Interest on the notes will accrue from June 9, 2026 and will be payable quarterly in arrears on October 7, January 7, April 7 and July 7 of each year, beginning on October 7, 2026 (subject to possible adjustment of such interest payment dates as described in the notes). The notes will not be redeemable at the Company’s option prior to maturity.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foregoing description of some of the terms of the notes is not complete and is qualified in its entirety by the officers’ certificate attached hereto as Exhibit 4.1, the form of note included therein and the indenture (as defined below), each of which is incorporated by reference herein. The notes were issued pursuant to an indenture (the “indenture”), dated as of February 23, 2000, between the Company and U.S. Bank Trust Company, National Association, as successor in interest to U.S. Bank National Association, as successor in interest to U.S. Bank Trust National Association, as trustee, which is filed as Exhibit 4.1 to the Company’s registration statement on Form S-3 (File No. 333-153425) filed with the U.S. Securities and Exchange Commission on September 11, 2008.</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10840"/>
          </w:cols>
          <w:pgMar w:left="440" w:top="293" w:right="619" w:bottom="1440" w:gutter="0" w:footer="0" w:header="0"/>
        </w:sect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0000EE"/>
        </w:rPr>
        <w:t>Underwriting Agreement, dated June 4, 2026, by and among Sempra and BMO Capital Markets Corp. and Academy Securities, Inc., as representatives of the several underwriters named therein.</w:t>
      </w:r>
    </w:p>
    <w:p>
      <w:pPr>
        <w:spacing w:after="0" w:line="40" w:lineRule="exact"/>
        <w:rPr>
          <w:sz w:val="20"/>
          <w:szCs w:val="20"/>
          <w:color w:val="auto"/>
        </w:rPr>
      </w:pPr>
    </w:p>
    <w:p>
      <w:pPr>
        <w:sectPr>
          <w:pgSz w:w="11900" w:h="16838" w:orient="portrait"/>
          <w:cols w:equalWidth="0" w:num="2">
            <w:col w:w="500" w:space="540"/>
            <w:col w:w="9800"/>
          </w:cols>
          <w:pgMar w:left="440" w:top="293" w:right="6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8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Officers’ Certificate of the Company, dated as of June 9, 2026, including the form of Floating Rate Notes due 2028.</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2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Opinion of Latham &amp; Watkins LLP.</w:t>
            </w:r>
          </w:p>
        </w:tc>
        <w:tc>
          <w:tcPr>
            <w:tcW w:w="5760" w:type="dxa"/>
            <w:vAlign w:val="bottom"/>
            <w:gridSpan w:val="2"/>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Latham &amp; Watkins LLP (contained in the opinion filed as Exhibit 5.1 hereto).</w:t>
            </w:r>
          </w:p>
        </w:tc>
        <w:tc>
          <w:tcPr>
            <w:tcW w:w="1920" w:type="dxa"/>
            <w:vAlign w:val="bottom"/>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ectPr>
          <w:pgSz w:w="11900" w:h="16838" w:orient="portrait"/>
          <w:cols w:equalWidth="0" w:num="1">
            <w:col w:w="10840"/>
          </w:cols>
          <w:pgMar w:left="440" w:top="293" w:right="619" w:bottom="1440" w:gutter="0" w:footer="0" w:header="0"/>
          <w:type w:val="continuous"/>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SEMPRA,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72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Karen Sedgwick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Sempra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Floating Rate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West 42nd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622 Third Avenue,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As Representatives of the several Underwriters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Sempra, a California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each of the Underwriters named in Schedule I hereto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which term shall also include any underwriter substituted as hereinafter provided in Section 9 hereof), for whom BMO Capital Markets Corp. and Academy Securities, Inc.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with respect to the issue and sale by the Company and the purchase by the Underwriters, acting severally and not jointly, of $1,000,000,000 aggregate principal amount of the Company’s Floating Rate Notes due 2028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are to be issued pursuant to an indenture dated as of February 23, 2000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successor trustee. Except as the context may otherwise require, the term “Indenture,” as used herein, includes the Officers’ Certificate (as defined in the Indenture) to be dated June 9, 2026, establishing the form and terms of the Securities pursuant to Sections 201 and 301 of the Indenture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The Company plans to enter into a calculation agent agreement with U.S. Bank Trust Company, National Association, as calculation agent, dated as of the Time of Delivery (as defined below), relating to the Securities (the “</w:t>
      </w:r>
      <w:r>
        <w:rPr>
          <w:rFonts w:ascii="Times New Roman" w:cs="Times New Roman" w:eastAsia="Times New Roman" w:hAnsi="Times New Roman"/>
          <w:sz w:val="18"/>
          <w:szCs w:val="18"/>
          <w:b w:val="1"/>
          <w:bCs w:val="1"/>
          <w:color w:val="auto"/>
        </w:rPr>
        <w:t>Calculation Agent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an automatic shelf registration statement on Form S-3 (File No. 333-295948), which registration statement became effective upon filing under Rule 462(e) of the rules and regulations of the Commission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under the Securities Act of 1933,</w:t>
      </w:r>
    </w:p>
    <w:p>
      <w:pPr>
        <w:sectPr>
          <w:pgSz w:w="11900" w:h="16838" w:orient="portrait"/>
          <w:cols w:equalWidth="0" w:num="1">
            <w:col w:w="11020"/>
          </w:cols>
          <w:pgMar w:left="440" w:top="117" w:right="43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Such registration statement covers the registration of the Securities (among other securities) under the Act. Such registration statement, as amended through the date hereof (including by any post-effective amendments thereto) and including the information deemed pursuant to Rule 430B under the Rules and Regulations to be part of the registration statement at the time of its effectiveness with respect to the offering contemplated by this Agreement and all documents incorporated or deemed to be incorporated by reference therein through the date hereof, but excluding any Form T-1 (as defined below),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proposes to file with the Commission pursuant to Rule 424(b) of the Rules and Regulations the Prospectus Supplement (as defined in Section 5(h) hereof) relating to the Securities and the prospectus dated May 15, 2026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has previously advised you of all further information (financial and other) with respect to the Company set forth therein. The Base Prospectus together with the Prospectus Supplement, in their respective forms on the date hereof (being the forms in which they are to be filed with the Commission pursuant to Rule 424(b) of the Rules and Regulations), including all documents incorporated or deemed to be incorporated by reference therein through the date hereof, are hereinafter referred to as, collectively,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or prospectus supplement shall be provided to the Underwriters by the Company for use in connection with the offering and sale of the Securities which differs from the Prospectus (whether or not such revised prospectus or prospectus supplement is required to be filed by the Company pursuant to Rule 424(b) of the Rules and Regulations), the term “Prospectus” shall refer to such revised prospectus or prospectus supplement, as the case may be, from and after the time it is first provided to the Underwriters for such use.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in this Agreement, means the preliminary prospectus supplement dated June 4, 2026 and filed with the Commission pursuant to Rule 424(b) of the Rules and Regulations, together with the Base Prospectus used with such preliminary prospectus supplement in connection with the marketing of the Securities, in each case as amended or supplemented by the Company, including all documents incorporated or deemed to be incorporated by reference therein through the date thereof. Unless the context otherwise requires, all references in this Agreement to documents, financial statements and schedules and other information which is “contained,” “included,” “stated,” “described in” or “referred to” in the Registration Statement, the Preliminary Prospectus or the Prospectus (and all other references of like import) shall be deemed to mean and include all such documents, financial statements and schedules and other information which is or is deemed to be incorporated by reference in the Registration Statement, the Preliminary Prospectus or the Prospectus, as the case may be; and all references in this Agreement to amendments or supplements to the Registration Statement, the Preliminary Prospectus or the Prospectus shall be deemed to mean and include the filing of any document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after the date of this Agreement which is or is deemed to be incorporated by reference in the Registration Statement, the Preliminary Prospectus or the Prospectus, as the case may be.</w:t>
      </w:r>
    </w:p>
    <w:p>
      <w:pPr>
        <w:spacing w:after="0" w:line="20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At or prior to 12:05 p.m. (New York City time) on June 4, 2026 which was the time when sales of the Securities were first made (such time, the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the Preliminary Prospectus and each “free writing prospectus” (as defined pursuant to Rule 405 of the Rules and Regulations) listed on Schedule II 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5" w:name="page6"/>
    <w:bookmarkEnd w:id="5"/>
    <w:p>
      <w:pPr>
        <w:ind w:left="-20" w:right="20" w:firstLine="436"/>
        <w:spacing w:after="0" w:line="286"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represents and warrants to each Underwriter as of the date hereof (such date being hereinafter referred to as the “</w:t>
      </w:r>
      <w:r>
        <w:rPr>
          <w:rFonts w:ascii="Times New Roman" w:cs="Times New Roman" w:eastAsia="Times New Roman" w:hAnsi="Times New Roman"/>
          <w:sz w:val="18"/>
          <w:szCs w:val="18"/>
          <w:b w:val="1"/>
          <w:bCs w:val="1"/>
          <w:color w:val="auto"/>
        </w:rPr>
        <w:t>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as of the Applicable Time and as of the Time of Delivery referred to in Section 4 herein as follows:</w:t>
      </w:r>
    </w:p>
    <w:p>
      <w:pPr>
        <w:spacing w:after="0" w:line="50" w:lineRule="exact"/>
        <w:rPr>
          <w:rFonts w:ascii="Times New Roman" w:cs="Times New Roman" w:eastAsia="Times New Roman" w:hAnsi="Times New Roman"/>
          <w:sz w:val="18"/>
          <w:szCs w:val="18"/>
          <w:color w:val="auto"/>
        </w:rPr>
      </w:pPr>
    </w:p>
    <w:p>
      <w:pPr>
        <w:ind w:left="-20" w:firstLine="987"/>
        <w:spacing w:after="0" w:line="256" w:lineRule="auto"/>
        <w:tabs>
          <w:tab w:leader="none" w:pos="12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order preventing or suspending the use of the Preliminary Prospectus has been issued by the Commission, and the Preliminary Prospectus, at the time of filing thereof, complied in all material respects with the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subsection (a) shall not apply to statements in or omissions from the Preliminary Prospectus made in reliance upon and in conformity with information furnished to the Company in writing by any Underwriter through the Representatives expressly for use in the Preliminary Prospectus.</w:t>
      </w:r>
    </w:p>
    <w:p>
      <w:pPr>
        <w:spacing w:after="0" w:line="187"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at the Applicable Time,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subsection (b) shall not apply to statements in or omissions from the Pricing Disclosure Package made in reliance upon and in conformity with information furnished to the Company in writing by any Underwriter through the Representatives expressly for use in such Pricing Disclosure Package.</w:t>
      </w:r>
    </w:p>
    <w:p>
      <w:pPr>
        <w:spacing w:after="0" w:line="183" w:lineRule="exact"/>
        <w:rPr>
          <w:rFonts w:ascii="Times New Roman" w:cs="Times New Roman" w:eastAsia="Times New Roman" w:hAnsi="Times New Roman"/>
          <w:sz w:val="18"/>
          <w:szCs w:val="18"/>
          <w:color w:val="auto"/>
        </w:rPr>
      </w:pPr>
    </w:p>
    <w:p>
      <w:pPr>
        <w:ind w:left="-20" w:right="40" w:firstLine="987"/>
        <w:spacing w:after="0" w:line="252" w:lineRule="auto"/>
        <w:tabs>
          <w:tab w:leader="none" w:pos="121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(including its agents and representatives, other than the Underwriters in their capacity as such) has not prepared, made, used, approved or referred to and will not prepare, make, use, approve or refer to any “written communication” (as defined in Rule 405 of the Rules and Regulations) that constitutes an offer to sell or solicitation of an offer to buy the Securities (each such communication by the Company or its agents and representatives other than the Underwriters in their capacity as such (other than a communication referred to in clauses (i), (ii) and (iii) below)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Act or Rule 134 of the Rules and Regulations, (ii) the Preliminary Prospectus, (iii) the Prospectus, (iv) the documents listed on Schedule II hereto and (v) any electronic road show or other written communications, in each case approved in advance by the Representatives. Each such Issuer Free Writing Prospectus complied in all material respects with the Act, has been or will be (within the time period specified in Rule 433 of the Rules and Regulations) filed (to the extent required thereby) in accordance with the Act and when taken together with the Preliminary Prospectus accompanying, or delivered prior to delivery of, such Issuer Free Writing Prospectus, did not, and at the Time of Delivery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subsection (c) shall not apply to statements in or omissions from any Issuer Free Writing Prospectus made in reliance upon and in conformity with information furnished to the Company in writing by any Underwriter through the Representatives expressly for use in any Issuer Free Writing Prospectus. Each Issuer Free Writing Prospectus, as of its issue date and at all subsequent times through the completion of the public offer and sale of the Securities or until any earlier date that the Company notified or notifies the Representatives as described in Section 5(c) with respect to such Issuer Free Writing Prospectus, did not, does not and will not include any information that conflicted, conflicts or will conflict with the information contained in the Registration Statement, the Prospectus or the Preliminary Prospectus that has not been superseded or modified.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6" w:right="479" w:bottom="1440" w:gutter="0" w:footer="0" w:header="0"/>
        </w:sectPr>
      </w:pPr>
    </w:p>
    <w:bookmarkStart w:id="6" w:name="page7"/>
    <w:bookmarkEnd w:id="6"/>
    <w:p>
      <w:pPr>
        <w:ind w:left="-20" w:right="20" w:firstLine="987"/>
        <w:spacing w:after="0" w:line="252" w:lineRule="auto"/>
        <w:tabs>
          <w:tab w:leader="none" w:pos="12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is an “automatic shelf registration statement” as defined under Rule 405 of the Rules and Regulations that became effective not earlier than three years prior to the date hereof; and no notice of objection of the Commission to the use of such registration statement or any post-effective amendment thereto pursuant to Rule 401(g)(2) of the Rules and Regulations has been received by the Company. The Registration Statement, at the respective times the Registration Statement and any post-effective amendments thereto became effective, and the Registration Statement and the Prospectus, as of the Representation Date, complied and comply in all material respects with the requirements of the Act and the Rules and Regulations (including Rule 415(a) of the Rules and Regulations), and the Trust Indenture Act of 1939, as amended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 Act</w:t>
      </w:r>
      <w:r>
        <w:rPr>
          <w:rFonts w:ascii="Times New Roman" w:cs="Times New Roman" w:eastAsia="Times New Roman" w:hAnsi="Times New Roman"/>
          <w:sz w:val="18"/>
          <w:szCs w:val="18"/>
          <w:color w:val="auto"/>
        </w:rPr>
        <w:t>”), and the rules and regulations of the Commission under the Trust Indenture Act, and the Registration Statement did not and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 Date and at the Time of Delivery does not and will not contain an untrue statement of a material fact or omit to state a material fact required to be stated therein or necessary to make the statements therein not misleading. No order suspending the effectiveness of the Registration Statement has been issued under the Act and no proceedings for that purpose or pursuant to Section 8A of the Act against the Company or related to the offering of the Securities have been instituted or are pending or, to the knowledge of the Company, are contemplated by the Commission, and any request on the part of the Commission for additional information has been complied with. The Prospectus, at the Representation Date (unless the term “Prospectus” refers to a prospectus which has been provided to the Underwriters by the Company for use in connection with the offering of the Securities which differs from the Prospectus filed with the Commission pursuant to Rule 424(b) of the Rules and Regulations, in which case at the time it is first provided to the Underwriters for such use) and at the Time of Delivery, does not and will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subsection (d) shall not apply to statements in or omissions from the Registration Statement or Prospectus made in reliance upon and in conformity with information furnished to the Company in writing by any Underwriter through the Representatives expressly for use in the Registration Statement or the Prospectus or the information contained in any Statement of Eligibility and Qualification of a trustee under the Trust Indenture Act filed as an exhibit to the Registration Statement (a “</w:t>
      </w:r>
      <w:r>
        <w:rPr>
          <w:rFonts w:ascii="Times New Roman" w:cs="Times New Roman" w:eastAsia="Times New Roman" w:hAnsi="Times New Roman"/>
          <w:sz w:val="18"/>
          <w:szCs w:val="18"/>
          <w:b w:val="1"/>
          <w:bCs w:val="1"/>
          <w:color w:val="auto"/>
        </w:rPr>
        <w:t>Form T-1</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20" w:firstLine="987"/>
        <w:spacing w:after="0" w:line="255"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by the Company and incorporated or deemed to be incorporated by reference into the Registration Statement, the Prospectus and the Pricing Disclosure Package pursuant to Item 12 of Form S-3 under the Act, at the time they were or hereafter are filed with the Commission, complied and will comply in all material respects with the requirements of the Exchange Act and the rules and regulations of the Commission thereunder and, when read together and with the other information in the Registration Statement, the Prospectus and the Pricing Disclosure Package, at the respective times the Registration Statement and any amendments thereto became effective, at the Representation Date, at the Applicable Time and at the Time of Delivery, did not, do not and will not contain an untrue statement of a material fact or omit to state a material fact required to be stated therein or necessary in order to make the statements therein, in the light of the circumstances under which they were made, not misleading.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7" w:name="page8"/>
    <w:bookmarkEnd w:id="7"/>
    <w:p>
      <w:pPr>
        <w:ind w:left="-20" w:firstLine="987"/>
        <w:spacing w:after="0" w:line="254" w:lineRule="auto"/>
        <w:tabs>
          <w:tab w:leader="none" w:pos="11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taken as a whole, have not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and, since the date as of which information is given in the Pricing Disclosure Package and the Prospectus, there has not been any material change in the capital stock or long-term debt of the Company or any of its subsidiaries or any material adverse change, or any development involving a prospective material adverse change, in or affecting the general affairs, management or consolidated financial position, shareholders’ equity or results of operations of the Company and its subsidiaries, taken as a whole, otherwise than as set forth or contemplated in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20" w:right="80" w:firstLine="987"/>
        <w:spacing w:after="0" w:line="253"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California, with power and authority (corporate and other) to own its properties and conduct its business as described in the Pricing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in good standing would not, individually or in the aggregate, reasonably be expected to have a material adverse effect on the consolidated financial position, shareholders’ equity or results of operations of the Company and its subsidiaries, taken as a whole; and each of Southern California Gas Company, a California corporation (“</w:t>
      </w:r>
      <w:r>
        <w:rPr>
          <w:rFonts w:ascii="Times New Roman" w:cs="Times New Roman" w:eastAsia="Times New Roman" w:hAnsi="Times New Roman"/>
          <w:sz w:val="18"/>
          <w:szCs w:val="18"/>
          <w:b w:val="1"/>
          <w:bCs w:val="1"/>
          <w:color w:val="auto"/>
        </w:rPr>
        <w:t>SCGC</w:t>
      </w:r>
      <w:r>
        <w:rPr>
          <w:rFonts w:ascii="Times New Roman" w:cs="Times New Roman" w:eastAsia="Times New Roman" w:hAnsi="Times New Roman"/>
          <w:sz w:val="18"/>
          <w:szCs w:val="18"/>
          <w:color w:val="auto"/>
        </w:rPr>
        <w:t>”), San Diego Gas &amp; Electric Company, a California corporation (“</w:t>
      </w:r>
      <w:r>
        <w:rPr>
          <w:rFonts w:ascii="Times New Roman" w:cs="Times New Roman" w:eastAsia="Times New Roman" w:hAnsi="Times New Roman"/>
          <w:sz w:val="18"/>
          <w:szCs w:val="18"/>
          <w:b w:val="1"/>
          <w:bCs w:val="1"/>
          <w:color w:val="auto"/>
        </w:rPr>
        <w:t>SDG&amp;E</w:t>
      </w:r>
      <w:r>
        <w:rPr>
          <w:rFonts w:ascii="Times New Roman" w:cs="Times New Roman" w:eastAsia="Times New Roman" w:hAnsi="Times New Roman"/>
          <w:sz w:val="18"/>
          <w:szCs w:val="18"/>
          <w:color w:val="auto"/>
        </w:rPr>
        <w:t>”), Pacific Enterprises, a California corporation (“</w:t>
      </w:r>
      <w:r>
        <w:rPr>
          <w:rFonts w:ascii="Times New Roman" w:cs="Times New Roman" w:eastAsia="Times New Roman" w:hAnsi="Times New Roman"/>
          <w:sz w:val="18"/>
          <w:szCs w:val="18"/>
          <w:b w:val="1"/>
          <w:bCs w:val="1"/>
          <w:color w:val="auto"/>
        </w:rPr>
        <w:t>PE</w:t>
      </w:r>
      <w:r>
        <w:rPr>
          <w:rFonts w:ascii="Times New Roman" w:cs="Times New Roman" w:eastAsia="Times New Roman" w:hAnsi="Times New Roman"/>
          <w:sz w:val="18"/>
          <w:szCs w:val="18"/>
          <w:color w:val="auto"/>
        </w:rPr>
        <w:t>”), Enova Corporation, a California corporation (“</w:t>
      </w:r>
      <w:r>
        <w:rPr>
          <w:rFonts w:ascii="Times New Roman" w:cs="Times New Roman" w:eastAsia="Times New Roman" w:hAnsi="Times New Roman"/>
          <w:sz w:val="18"/>
          <w:szCs w:val="18"/>
          <w:b w:val="1"/>
          <w:bCs w:val="1"/>
          <w:color w:val="auto"/>
        </w:rPr>
        <w:t>Enova</w:t>
      </w:r>
      <w:r>
        <w:rPr>
          <w:rFonts w:ascii="Times New Roman" w:cs="Times New Roman" w:eastAsia="Times New Roman" w:hAnsi="Times New Roman"/>
          <w:sz w:val="18"/>
          <w:szCs w:val="18"/>
          <w:color w:val="auto"/>
        </w:rPr>
        <w:t>”), Sempra Infrastructure Partners, LP, a Delaware limited partnership (“</w:t>
      </w:r>
      <w:r>
        <w:rPr>
          <w:rFonts w:ascii="Times New Roman" w:cs="Times New Roman" w:eastAsia="Times New Roman" w:hAnsi="Times New Roman"/>
          <w:sz w:val="18"/>
          <w:szCs w:val="18"/>
          <w:b w:val="1"/>
          <w:bCs w:val="1"/>
          <w:color w:val="auto"/>
        </w:rPr>
        <w:t>SI</w:t>
      </w:r>
      <w:r>
        <w:rPr>
          <w:rFonts w:ascii="Times New Roman" w:cs="Times New Roman" w:eastAsia="Times New Roman" w:hAnsi="Times New Roman"/>
          <w:sz w:val="18"/>
          <w:szCs w:val="18"/>
          <w:color w:val="auto"/>
        </w:rPr>
        <w:t>”) and Sempra Texas Intermediate Holding Company LLC, a Delaware limited liability company (“</w:t>
      </w:r>
      <w:r>
        <w:rPr>
          <w:rFonts w:ascii="Times New Roman" w:cs="Times New Roman" w:eastAsia="Times New Roman" w:hAnsi="Times New Roman"/>
          <w:sz w:val="18"/>
          <w:szCs w:val="18"/>
          <w:b w:val="1"/>
          <w:bCs w:val="1"/>
          <w:color w:val="auto"/>
        </w:rPr>
        <w:t>Sempra Texas</w:t>
      </w:r>
      <w:r>
        <w:rPr>
          <w:rFonts w:ascii="Times New Roman" w:cs="Times New Roman" w:eastAsia="Times New Roman" w:hAnsi="Times New Roman"/>
          <w:sz w:val="18"/>
          <w:szCs w:val="18"/>
          <w:color w:val="auto"/>
        </w:rPr>
        <w:t>” and, together with SCGC, SDG&amp;E, PE, Enova and SI, the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has been duly incorporated or organized and is validly existing as a corporation, limited partnership or limited liability company, as the case may be, and in good standing under the laws of its jurisdiction of incorporation or organization.</w:t>
      </w:r>
    </w:p>
    <w:p>
      <w:pPr>
        <w:spacing w:after="0" w:line="189"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2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Disclosure Package and the Prospectus, and all of the issued shares of capital stock of the Company have been duly and validly authorized and issued and are fully paid and non-assessable and conform to the description thereof contained in the Pricing Disclosure Package and the Prospectus; and all of the issued shares of capital stock, partnership interests or other equity interests, as applicable, of each Significant Subsidiary have been duly and validly authorized and issued, are (solely in the case of shares of capital stock) fully paid and non-assessable and, except for certain outstanding shares of the preferred stock of SCGC and certain outstanding partnership interests of SI, are owned directly or indirectly by the Company, free and clear of all liens, encumbrances, equities or claims.</w:t>
      </w:r>
    </w:p>
    <w:p>
      <w:pPr>
        <w:spacing w:after="0" w:line="187" w:lineRule="exact"/>
        <w:rPr>
          <w:rFonts w:ascii="Times New Roman" w:cs="Times New Roman" w:eastAsia="Times New Roman" w:hAnsi="Times New Roman"/>
          <w:sz w:val="18"/>
          <w:szCs w:val="18"/>
          <w:color w:val="auto"/>
        </w:rPr>
      </w:pPr>
    </w:p>
    <w:p>
      <w:pPr>
        <w:ind w:left="-20" w:right="380" w:firstLine="987"/>
        <w:spacing w:after="0" w:line="266" w:lineRule="auto"/>
        <w:tabs>
          <w:tab w:leader="none" w:pos="11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for issuance and sale by the Company and, when the Securities are issued and delivered pursuant to this Agreement, the Securities will have been duly executed by the Company and, when authenticated in the manner provided for in the Indenture and delivered against payment of the purchase price therefor specified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8" w:name="page9"/>
    <w:bookmarkEnd w:id="8"/>
    <w:p>
      <w:pPr>
        <w:ind w:left="4"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Agreement, the Securities will have been duly delivered by the Company and will constitute valid and legally binding obligations of the Company entitled to the benefits provided by the Indenture and enforceable in accordance with their terms, subject, as to enforcement, to bankruptcy, insolvency, receivership, liquidation, fraudulent conveyance, fraudulent transfer, reorganization, moratorium and similar laws of general applicability relating to or affecting creditors’ rights and to general equity principles; the Indenture has been duly qualified under the Trust Indenture Act, the Indenture (excluding the Officers’ Certificate) has been duly authorized, executed and delivered by the Company and the Officers’ Certificate has been duly authorized and, at the Time of Delivery, will have been duly executed and delivered by the Company, and the Indenture (excluding the Officers’ Certificate) constitutes, and at the Time of Delivery the Officers’ Certificate will constitute, a valid and legally binding agreement of the Company, enforceable in accordance with its terms, subject, as to enforcement, to bankruptcy, insolvency, receivership, liquidation, fraudulent conveyance, fraudulent transfer, reorganization, moratorium and similar laws of general applicability relating to or affecting creditors’ rights and to general equity principles; and the Indenture (excluding the Officers’ Certificate) conforms, and each of the Officers’ Certificate and the Securities will conform, in all material respects to the descriptions thereof contained in the Pricing Disclosure Package and the Prospectus, as amended or supplemented.</w:t>
      </w:r>
    </w:p>
    <w:p>
      <w:pPr>
        <w:spacing w:after="0" w:line="182" w:lineRule="exact"/>
        <w:rPr>
          <w:sz w:val="20"/>
          <w:szCs w:val="20"/>
          <w:color w:val="auto"/>
        </w:rPr>
      </w:pPr>
    </w:p>
    <w:p>
      <w:pPr>
        <w:ind w:left="1204" w:hanging="213"/>
        <w:spacing w:after="0"/>
        <w:tabs>
          <w:tab w:leader="none" w:pos="12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 w:right="220" w:firstLine="987"/>
        <w:spacing w:after="0" w:line="261" w:lineRule="auto"/>
        <w:tabs>
          <w:tab w:leader="none" w:pos="12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Agreement has been duly authorized by the Company and, at the Time of Delivery, will have been duly executed and delivered by the Company and will constitute a valid and legally binding agreement of the Company, enforceable in accordance with its terms, subject, as to enforcement, to bankruptcy, insolvency, receivership, liquidation, fraudulent conveyance, fraudulent transfer, reorganization, moratorium and similar laws of general applicability relating to or affecting creditors’ rights and to general equity principles.</w:t>
      </w:r>
    </w:p>
    <w:p>
      <w:pPr>
        <w:spacing w:after="0" w:line="179" w:lineRule="exact"/>
        <w:rPr>
          <w:rFonts w:ascii="Times New Roman" w:cs="Times New Roman" w:eastAsia="Times New Roman" w:hAnsi="Times New Roman"/>
          <w:sz w:val="18"/>
          <w:szCs w:val="18"/>
          <w:color w:val="auto"/>
        </w:rPr>
      </w:pPr>
    </w:p>
    <w:p>
      <w:pPr>
        <w:ind w:left="4" w:firstLine="987"/>
        <w:spacing w:after="0" w:line="269" w:lineRule="auto"/>
        <w:tabs>
          <w:tab w:leader="none" w:pos="121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and sale of the Securities and the compliance by the Company with all of the provisions of the Securities, the Indenture, the Calculation Agent Agreement and this Agreement, and the consummation of the transactions herein and therein contemplated will not (i) conflict with or result in a breach or violation of any of the terms or provisions of, or constitute a default under, any contract, indenture, mortgage, deed of trust, loan agreement, note, lease or other agreement or instrument to which the Company or any of its Significant Subsidiaries is a party or by which the Company or any of its Significant Subsidiaries is bound or to which any of the properties or assets of the Company or any of its Significant Subsidiaries is subject,</w:t>
      </w:r>
    </w:p>
    <w:p>
      <w:pPr>
        <w:spacing w:after="0" w:line="2" w:lineRule="exact"/>
        <w:rPr>
          <w:rFonts w:ascii="Times New Roman" w:cs="Times New Roman" w:eastAsia="Times New Roman" w:hAnsi="Times New Roman"/>
          <w:sz w:val="17"/>
          <w:szCs w:val="17"/>
          <w:color w:val="auto"/>
        </w:rPr>
      </w:pPr>
    </w:p>
    <w:p>
      <w:pPr>
        <w:ind w:left="4" w:right="100" w:hanging="4"/>
        <w:spacing w:after="0" w:line="252"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violation of the provisions of the Articles or Certificate of Incorporation or Bylaws or other organizational documents of the Company or any of its Significant Subsidiaries, as amended, or (iii) result in any violation of any statute or any order, rule or regulation of any court or governmental agency or body having jurisdiction over the Company or any of its Significant Subsidiaries or any of their respective properties, except, solely in the case of clauses (i) and (iii) above, for such conflicts, breaches, violations or defaults that would not, individually or in the aggregate, reasonably be expected to have a material adverse effect on the consolidated financial position, shareholders’ equity or results of operations of the Company and its subsidiaries, taken as a whole; and no consent, approval, authorization, order, registration or qualification of or with</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9" w:name="page10"/>
    <w:bookmarkEnd w:id="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court or governmental agency or body is required for the issue and sale of the Securities or the consummation by the Company of the transactions contemplated by this Agreement, the Calculation Agent Agreement or the Indenture, except such as have been obtained under the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180" w:lineRule="exact"/>
        <w:rPr>
          <w:sz w:val="20"/>
          <w:szCs w:val="20"/>
          <w:color w:val="auto"/>
        </w:rPr>
      </w:pPr>
    </w:p>
    <w:p>
      <w:pPr>
        <w:ind w:right="80" w:firstLine="987"/>
        <w:spacing w:after="0" w:line="261"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Disclosure Package and the Prospectus, each as amended or supplemented, if applicable, under the captions “Description of Debt Securities” and “Description of the Notes,” insofar as they purport to constitute a summary of the terms of the Securities or the Indenture, and under the caption “Underwriting (Conflicts of Interest),”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Significant Subsidiaries is (i) in violation of its Articles or Certificate of Incorporation or Bylaws or other organizational documents, as amended, or (ii) in default in the performance or observance of any material obligation, agreement, covenant or condition contained in any contract, indenture, mortgage, deed of trust, loan agreement, note, lease or other agreement or instrument to which it is a party or by which it or any of its properties may be bound, except in the case of clause (ii) for such defaults which, individually or in the aggregate, would not reasonably be expected to have a material adverse effect on the consolidated financial position, shareholders’ equity or results of operations of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Disclosure Package and the Prospectus, (i) there are no legal or governmental proceedings pending to which the Company or any of its subsidiaries is a party or of which any property of the Company or any of its subsidiaries is the subject, except for such proceedings which, if determined adversely to the Company or any of its subsidiaries, would not reasonably be expected individually or in the aggregate to have a material adverse effect on the consolidated financial position, shareholders’ equity or results of operations of the Company and its subsidiaries, taken as a whole and (ii) to the Company’s knowledge, no such proceedings are threatened in writing or contemplated by governmental authorities or threatened in writing by others.</w:t>
      </w:r>
    </w:p>
    <w:p>
      <w:pPr>
        <w:spacing w:after="0" w:line="187"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and after giving effect to the offering and sale of the Securities, will not be, an “investment company,” as such term is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have certified certain financial statements of the Company and its subsidiaries, taken as a whole, is an independent registered public accounting firm as required by the Act and the Rules and Regulations and the rules and regulations of the Public Company Accounting Oversight Board.</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Deloitte &amp; Touche LLP, who have certified certain financial statements of Oncor Electric Delivery Holdings Company LLC (“</w:t>
      </w:r>
      <w:r>
        <w:rPr>
          <w:rFonts w:ascii="Times New Roman" w:cs="Times New Roman" w:eastAsia="Times New Roman" w:hAnsi="Times New Roman"/>
          <w:sz w:val="18"/>
          <w:szCs w:val="18"/>
          <w:b w:val="1"/>
          <w:bCs w:val="1"/>
          <w:color w:val="auto"/>
        </w:rPr>
        <w:t>Oncor Holdings</w:t>
      </w:r>
      <w:r>
        <w:rPr>
          <w:rFonts w:ascii="Times New Roman" w:cs="Times New Roman" w:eastAsia="Times New Roman" w:hAnsi="Times New Roman"/>
          <w:sz w:val="18"/>
          <w:szCs w:val="18"/>
          <w:color w:val="auto"/>
        </w:rPr>
        <w:t>”) and its subsidiaries, taken as a whole, is an independent registered public accounting firm as required by the Act and the Rules and Regulations and the rules and regulations of the Public Company Accounting Oversight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right="20" w:firstLine="987"/>
        <w:spacing w:after="0" w:line="254" w:lineRule="auto"/>
        <w:tabs>
          <w:tab w:leader="none" w:pos="12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of the Company and its consolidated subsidiaries included (if applicable) and incorporated by reference in the Registration Statement, the Pricing Disclosure Package and the Prospectus present fairly in all material respects the consolidated financial position of the Company and its consolidated subsidiaries as of the dates indicated and the consolidated results of their operations for the periods specified; and, except as stated therein, such financial statements have been prepared in conformity with generally accepted accounting principles in the United States applied on a consistent basis. To the Company’s knowledge, the financial statements of Oncor Holdings and its consolidated subsidiaries incorporated by reference in the Registration Statement, the Pricing Disclosure Package and the Prospectus present fairly in all material respects the consolidated financial position of Oncor Holdings and its consolidated subsidiaries as of the dates indicated and the consolidated results of their operations for the periods specified; and, except as stated therein, to the Company’s knowledge, such financial statements have been prepared in conformity with generally accepted accounting principles in the United States applied on a consistent basis.</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material differences.</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maintain “disclosure controls and procedures” (as such term is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13a-15(e) under the Exchange Act); such disclosure controls and procedures are effective.</w:t>
      </w:r>
    </w:p>
    <w:p>
      <w:pPr>
        <w:spacing w:after="0" w:line="207" w:lineRule="exact"/>
        <w:rPr>
          <w:sz w:val="20"/>
          <w:szCs w:val="20"/>
          <w:color w:val="auto"/>
        </w:rPr>
      </w:pPr>
    </w:p>
    <w:p>
      <w:pPr>
        <w:ind w:firstLine="987"/>
        <w:spacing w:after="0" w:line="255"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such certificates, authorities or permits issued by the appropriate state, federal, local or foreign regulatory agencies or bodies necessary to conduct their businesses as described in the Pricing Disclosure Package and the Prospectus, except where the failure to possess such certificates, authorities or permits, individually or in the aggregate, would not have a material adverse effect on the consolidated financial position, shareholders’ equity or results of operations of the Company and its subsidiaries, taken as a whole; and neither the Company nor any of its subsidiaries has received any notice of proceedings relating to the revocation or modification of any such certificate, authority or permit which, individually or in the aggregate, if the subject of an unfavorable decision, ruling or finding, would have a material adverse effect on the consolidated financial position, shareholders’ equity or results of operations of the Company and its subsidiaries, taken as a whole.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ind w:left="-40" w:right="40"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are in compliance with, and conduct their respective businesses in conformity with, all applicable state, federal, local and foreign laws and regulations relating to the operation and ownership of a public utility, including, without limitation, those relating to the distribution and transmission of natural gas, except to the extent that any failure so to comply or conform would not individually or in the aggregate have a material adverse effect on the consolidated financial position, shareholders’ equity or results of operations of the Company and its subsidiaries, taken as a whole.</w:t>
      </w:r>
    </w:p>
    <w:p>
      <w:pPr>
        <w:spacing w:after="0" w:line="183" w:lineRule="exact"/>
        <w:rPr>
          <w:rFonts w:ascii="Times New Roman" w:cs="Times New Roman" w:eastAsia="Times New Roman" w:hAnsi="Times New Roman"/>
          <w:sz w:val="18"/>
          <w:szCs w:val="18"/>
          <w:color w:val="auto"/>
        </w:rPr>
      </w:pPr>
    </w:p>
    <w:p>
      <w:pPr>
        <w:jc w:val="both"/>
        <w:ind w:left="-40" w:right="20" w:firstLine="987"/>
        <w:spacing w:after="0" w:line="261"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franchises, certificates of public convenience and necessity, permits, licenses and easements necessary to own, operate and maintain their properties as described in the Pricing Disclosure Package and the Prospectus, except to the extent that such failure, individually or in the aggregate, would not reasonably be expected to have a material adverse effect on the consolidated financial position, shareholders’ equity or results of operations of the Company and its subsidiaries, taken as a whole.</w:t>
      </w:r>
    </w:p>
    <w:p>
      <w:pPr>
        <w:spacing w:after="0" w:line="179" w:lineRule="exact"/>
        <w:rPr>
          <w:rFonts w:ascii="Times New Roman" w:cs="Times New Roman" w:eastAsia="Times New Roman" w:hAnsi="Times New Roman"/>
          <w:sz w:val="18"/>
          <w:szCs w:val="18"/>
          <w:color w:val="auto"/>
        </w:rPr>
      </w:pPr>
    </w:p>
    <w:p>
      <w:pPr>
        <w:ind w:left="-40" w:firstLine="987"/>
        <w:spacing w:after="0" w:line="252"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Pricing Disclosure Package and the Prospectus and except as would not, singly or in the aggregate, result in a material adverse effect on the consolidated financial position, shareholders’ equity or results of operations of the Company and its subsidiaries, taken as a whole,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violations, investigations or proceedings relating to any Environmental Law against the Company or any of its subsidiaries and (D)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95" w:lineRule="exact"/>
        <w:rPr>
          <w:rFonts w:ascii="Times New Roman" w:cs="Times New Roman" w:eastAsia="Times New Roman" w:hAnsi="Times New Roman"/>
          <w:sz w:val="18"/>
          <w:szCs w:val="18"/>
          <w:color w:val="auto"/>
        </w:rPr>
      </w:pPr>
    </w:p>
    <w:p>
      <w:pPr>
        <w:ind w:left="-40" w:right="100" w:firstLine="987"/>
        <w:spacing w:after="0" w:line="266" w:lineRule="auto"/>
        <w:tabs>
          <w:tab w:leader="none" w:pos="11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since December 31, 2025, there has not been any material adverse change, or any development involving a prospective material adverse change, in or affecting the general affairs, management or consolidated financial position, members’ equity or results of operations of Oncor Holdings and its subsidiaries (including Oncor Electric Delivery Company LLC), taken as a whole.</w:t>
      </w:r>
    </w:p>
    <w:p>
      <w:pPr>
        <w:spacing w:after="0" w:line="176" w:lineRule="exact"/>
        <w:rPr>
          <w:sz w:val="20"/>
          <w:szCs w:val="20"/>
          <w:color w:val="auto"/>
        </w:rPr>
      </w:pPr>
    </w:p>
    <w:p>
      <w:pPr>
        <w:ind w:left="-40" w:right="40" w:firstLine="987"/>
        <w:spacing w:after="0" w:line="258" w:lineRule="auto"/>
        <w:tabs>
          <w:tab w:leader="none" w:pos="12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 engaged in any Testing-the-Waters Communication (as defined below) or (B) authorized anyone to engage in Testing-the-Waters Communications; the Company has not distributed any Written Testing-the-Waters Communications (as defined below).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Act or Rule 163B promulgated under Section 5 of the Act.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70" w:right="479" w:bottom="1440" w:gutter="0" w:footer="0" w:header="0"/>
        </w:sectPr>
      </w:pPr>
    </w:p>
    <w:bookmarkStart w:id="12" w:name="page13"/>
    <w:bookmarkEnd w:id="12"/>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certificate signed by any officer of the Company and delivered to the Representatives or counsel for the Underwriters pursuant to this Agreement shall be deemed a representation and warranty by the Company, as to matters covered thereby, to each Underwriter, and the officer(s) signing such certificate shall have no personal liability for any representation or warranty so made.</w:t>
      </w:r>
    </w:p>
    <w:p>
      <w:pPr>
        <w:spacing w:after="0" w:line="176" w:lineRule="exact"/>
        <w:rPr>
          <w:sz w:val="20"/>
          <w:szCs w:val="20"/>
          <w:color w:val="auto"/>
        </w:rPr>
      </w:pPr>
    </w:p>
    <w:p>
      <w:pPr>
        <w:ind w:right="20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upon authorization by the Representatives of the release of the Securities, the several Underwriters propose to offer the Securities for sale upon the terms and conditions set forth in the Prospectus, as amended or supplemented.</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a purchase price of 99.850% of the principal amount thereof, the aggregate principal amount of Securities set forth in Schedule I hereto opposite the name of such Underwriter, plus any additional principal amount of Securities which such Underwriter may become obligated to purchase pursuant to the provisions of Section 9 hereof.</w:t>
      </w:r>
    </w:p>
    <w:p>
      <w:pPr>
        <w:spacing w:after="0" w:line="183" w:lineRule="exact"/>
        <w:rPr>
          <w:rFonts w:ascii="Times New Roman" w:cs="Times New Roman" w:eastAsia="Times New Roman" w:hAnsi="Times New Roman"/>
          <w:sz w:val="18"/>
          <w:szCs w:val="18"/>
          <w:color w:val="auto"/>
        </w:rPr>
      </w:pPr>
    </w:p>
    <w:p>
      <w:pPr>
        <w:ind w:right="40" w:firstLine="436"/>
        <w:spacing w:after="0" w:line="25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purchase price for, and delivery of certificates (and, if applicable, book-entry credits) for, the Securities shall be made at the office of Latham &amp; Watkins LLP, 1271 Avenue of the Americas, New York, New York 10020 or at such other place as shall be agreed upon by the Representatives and the Company, at 10:00 a.m. (New York City time), on June 9, 2026, or such other time not later than ten business days after such date as shall be agreed upon by the Representatives and the Company (such time and date of payment and delivery being herein called the “</w:t>
      </w:r>
      <w:r>
        <w:rPr>
          <w:rFonts w:ascii="Times New Roman" w:cs="Times New Roman" w:eastAsia="Times New Roman" w:hAnsi="Times New Roman"/>
          <w:sz w:val="18"/>
          <w:szCs w:val="18"/>
          <w:b w:val="1"/>
          <w:bCs w:val="1"/>
          <w:color w:val="auto"/>
        </w:rPr>
        <w:t>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Payment shall be made to the Company by wire transfer of Federal (same day) funds to the account specified by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at least forty-eight hours in advance against delivery to the Representatives for the respective accounts of the Underwriters of certificates (or book-entry credits) for the Securities to be purchased by them. Certificates (or book-entry credits) for the Securities shall be in such authorized denominations and registered in such names as the Representatives may request upon at least forty-eight hours prior notice to the Company. It is understood that each Underwriter has authorized the Representatives, for its account, to accept delivery of, receipt for, and make payment of the purchase price for, the Securities which it has agreed to purchase. BMO Capital Markets Corp., individually and not as representative of the Underwriters, may (but shall not be obligated to) make payment of the purchase price for the Securities to be purchased by any Underwriter whose check has not been received by the Time of Delivery, but such payment shall not release such Underwriter from its obligations hereunder. The certificates for the Securities will be made available for examination and, if applicable, packaging by the Representatives not later than 10:00 a.m. (New York City time), on the last business day prior to the Time of Delivery in New York, New York.</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left="600" w:hanging="184"/>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with each of the Underwriters:</w:t>
      </w:r>
    </w:p>
    <w:p>
      <w:pPr>
        <w:spacing w:after="0" w:line="11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as amended or supplemented, in a form approved by the Representatives and to file such Prospectus pursuant to Rule 424(b) under the Act not later than the Commission’s close of business on the second business day following the date hereof or, if applicable, such earlier time as may be required by Rule 424(b); to make no further amendment or any supplement to the Registration Statement or Prospectus, as amended or supplemented, after the date hereof and on or prior to the Time of Delivery, which shall be reasonably disapproved by the Representatives promptly after reasonable written notice thereof; to advise the Representatives promptly of any such amendment or supplement after the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(or a notice pursuant to Rule 173 of the Rules and Regulations) is required in connection with the offering or sale of the Securities, and during such same period to advise the Representatives, promptly after it receives written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the Securities for offering or sale in any jurisdiction, of the initiation or threatening of any proceeding for any such purpose, of any examination pursuant to Section 8(e) of the Act concerning the Registration Statement, of the Company becoming the subject of a proceeding under Section 8A of the Act in connection with the offering of the Securities,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reasonable best efforts to obtain the withdrawal of such order;</w:t>
      </w:r>
    </w:p>
    <w:p>
      <w:pPr>
        <w:spacing w:after="0" w:line="189" w:lineRule="exact"/>
        <w:rPr>
          <w:rFonts w:ascii="Times New Roman" w:cs="Times New Roman" w:eastAsia="Times New Roman" w:hAnsi="Times New Roman"/>
          <w:sz w:val="18"/>
          <w:szCs w:val="18"/>
          <w:color w:val="auto"/>
        </w:rPr>
      </w:pPr>
    </w:p>
    <w:p>
      <w:pPr>
        <w:ind w:left="-20" w:right="100" w:firstLine="987"/>
        <w:spacing w:after="0" w:line="257" w:lineRule="auto"/>
        <w:tabs>
          <w:tab w:leader="none" w:pos="12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a final term sheet or sheets, as the case may be (in either such case, the “</w:t>
      </w:r>
      <w:r>
        <w:rPr>
          <w:rFonts w:ascii="Times New Roman" w:cs="Times New Roman" w:eastAsia="Times New Roman" w:hAnsi="Times New Roman"/>
          <w:sz w:val="18"/>
          <w:szCs w:val="18"/>
          <w:b w:val="1"/>
          <w:bCs w:val="1"/>
          <w:color w:val="auto"/>
        </w:rPr>
        <w:t>Final Term Sheet</w:t>
      </w:r>
      <w:r>
        <w:rPr>
          <w:rFonts w:ascii="Times New Roman" w:cs="Times New Roman" w:eastAsia="Times New Roman" w:hAnsi="Times New Roman"/>
          <w:sz w:val="18"/>
          <w:szCs w:val="18"/>
          <w:color w:val="auto"/>
        </w:rPr>
        <w:t xml:space="preserve">”) reflecting the final terms of the Securities and the offering thereof, in the form of Schedule III hereto (except that the Final Term Sheet may also include information regarding the credit ratings of the Securities and such other information as the Company and the Representatives may agree), and file such Final Term Sheet as an “issuer free writing prospectus” pursuant to Rule 433 prior to the close of business two business days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186" w:lineRule="exact"/>
        <w:rPr>
          <w:rFonts w:ascii="Times New Roman" w:cs="Times New Roman" w:eastAsia="Times New Roman" w:hAnsi="Times New Roman"/>
          <w:sz w:val="18"/>
          <w:szCs w:val="18"/>
          <w:color w:val="auto"/>
        </w:rPr>
      </w:pPr>
    </w:p>
    <w:p>
      <w:pPr>
        <w:ind w:left="-20" w:right="320" w:firstLine="987"/>
        <w:spacing w:after="0" w:line="255" w:lineRule="auto"/>
        <w:tabs>
          <w:tab w:leader="none" w:pos="12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14" w:name="page15"/>
    <w:bookmarkEnd w:id="14"/>
    <w:p>
      <w:pPr>
        <w:ind w:left="4" w:right="60" w:firstLine="987"/>
        <w:spacing w:after="0" w:line="258"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Promptly from time to time to take such action as the Representatives may reasonably request to qualify the Securities for offering and sale under the securities laws of such domestic jurisdictions and (with the prior consent of the Company) foreign jurisdictions as the Representatives may request and to comply with such laws so as to permit the continuance of sales and dealings therein in such jurisdictions for as long as may be necessary to complete the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therewith the Company shall not be required to qualify as a foreign corporation or to file a general consent to service of process in any jurisdiction;</w:t>
      </w:r>
    </w:p>
    <w:p>
      <w:pPr>
        <w:spacing w:after="0" w:line="183" w:lineRule="exact"/>
        <w:rPr>
          <w:rFonts w:ascii="Times New Roman" w:cs="Times New Roman" w:eastAsia="Times New Roman" w:hAnsi="Times New Roman"/>
          <w:sz w:val="18"/>
          <w:szCs w:val="18"/>
          <w:color w:val="auto"/>
        </w:rPr>
      </w:pPr>
    </w:p>
    <w:p>
      <w:pPr>
        <w:ind w:left="4" w:firstLine="987"/>
        <w:spacing w:after="0" w:line="269" w:lineRule="auto"/>
        <w:tabs>
          <w:tab w:leader="none" w:pos="12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10:00 a.m., New York City time, on the second business day succeeding the date hereof, or such later time or date as agreed to by the Company and the Representatives, and from time to time, to furnish the Underwriters with copies of the Prospectus in New York City, as amended or supplemented, in such quantities as the Representatives may reasonably request, and, if the delivery of a prospectus (or a notice pursuant to Rule 173 of the Rules and Regulations)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securities dealer participating in the offering of the Securities as many copies as the Representatives may from time to time reasonably request of an amended Prospectus or a supplement to the Prospectus which will correct such statement or omission or effect such compliance;</w:t>
      </w:r>
    </w:p>
    <w:p>
      <w:pPr>
        <w:spacing w:after="0" w:line="181" w:lineRule="exact"/>
        <w:rPr>
          <w:rFonts w:ascii="Times New Roman" w:cs="Times New Roman" w:eastAsia="Times New Roman" w:hAnsi="Times New Roman"/>
          <w:sz w:val="17"/>
          <w:szCs w:val="17"/>
          <w:color w:val="auto"/>
        </w:rPr>
      </w:pPr>
    </w:p>
    <w:p>
      <w:pPr>
        <w:ind w:left="4" w:right="20" w:firstLine="987"/>
        <w:spacing w:after="0" w:line="266" w:lineRule="auto"/>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but in any event not later than fifteen months after the date hereof, an earnings statement of the Company and its consolidated subsidiaries (which need not be audited) complying with Section 11(a) of the Act and the Rules and Regulations (including, at the option of the Company, Rule 158);</w:t>
      </w:r>
    </w:p>
    <w:p>
      <w:pPr>
        <w:spacing w:after="0" w:line="175"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beginning on and including the date hereof and continuing to and including the later of (i) the termination of trading restrictions for the Securities, as notified to the Company by the Representatives, but only if the Representatives shall have notified the Company in writing at the Time of Delivery that such trading restrictions have not been terminated, and (ii) the Time of Delivery, not to offer, sell, contract to sell, grant any option for the sale of or otherwise dispose of any Securities, any debt securities of the Company which are substantially similar to the Securities (“</w:t>
      </w:r>
      <w:r>
        <w:rPr>
          <w:rFonts w:ascii="Times New Roman" w:cs="Times New Roman" w:eastAsia="Times New Roman" w:hAnsi="Times New Roman"/>
          <w:sz w:val="17"/>
          <w:szCs w:val="17"/>
          <w:b w:val="1"/>
          <w:bCs w:val="1"/>
          <w:color w:val="auto"/>
        </w:rPr>
        <w:t>Similar Securities</w:t>
      </w:r>
      <w:r>
        <w:rPr>
          <w:rFonts w:ascii="Times New Roman" w:cs="Times New Roman" w:eastAsia="Times New Roman" w:hAnsi="Times New Roman"/>
          <w:sz w:val="17"/>
          <w:szCs w:val="17"/>
          <w:color w:val="auto"/>
        </w:rPr>
        <w:t>”) or any securities convertible into, exchangeable into or exercisable for any Securities or Similar Securities, without the prior written consent of the Representatives, provided that this subparagraph (g) shall not apply to the offer, issuance or sale of, or any contract to sell,</w:t>
      </w:r>
    </w:p>
    <w:p>
      <w:pPr>
        <w:spacing w:after="0" w:line="4" w:lineRule="exact"/>
        <w:rPr>
          <w:rFonts w:ascii="Times New Roman" w:cs="Times New Roman" w:eastAsia="Times New Roman" w:hAnsi="Times New Roman"/>
          <w:sz w:val="17"/>
          <w:szCs w:val="17"/>
          <w:color w:val="auto"/>
        </w:rPr>
      </w:pPr>
    </w:p>
    <w:p>
      <w:pPr>
        <w:ind w:left="4" w:right="120" w:hanging="4"/>
        <w:spacing w:after="0" w:line="255"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the Underwriters pursuant to this Agreement or (ii) commercial paper or other debt securities with scheduled maturities of less than one year. For purposes of clarity, it is understood and agreed that the term Similar Securities, as used in this subparagraph (g), excludes commercial paper or other debt securities with scheduled maturities of less than one year;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5" w:name="page16"/>
    <w:bookmarkEnd w:id="15"/>
    <w:p>
      <w:pPr>
        <w:jc w:val="both"/>
        <w:ind w:left="4" w:right="40" w:firstLine="987"/>
        <w:spacing w:after="0" w:line="261" w:lineRule="auto"/>
        <w:tabs>
          <w:tab w:leader="none" w:pos="125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following the execution of this Agreement, the Company will prepare a prospectus supplement, dated the date hereof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containing the terms of the Securities, the plan of distribution thereof and such other information as may be required by the Act or the Rules and Regulations or as the Representatives and the Company deem appropriate, and will file or transmit for filing with the Commission in accordance with Rule 424(b) of the Rules and Regulations copies of the Prospectus (including such Prospectus Supplement);</w:t>
      </w:r>
    </w:p>
    <w:p>
      <w:pPr>
        <w:spacing w:after="0" w:line="179"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Securities as set forth in the Prospectus; and</w:t>
      </w:r>
    </w:p>
    <w:p>
      <w:pPr>
        <w:spacing w:after="0" w:line="225" w:lineRule="exact"/>
        <w:rPr>
          <w:rFonts w:ascii="Times New Roman" w:cs="Times New Roman" w:eastAsia="Times New Roman" w:hAnsi="Times New Roman"/>
          <w:sz w:val="18"/>
          <w:szCs w:val="18"/>
          <w:color w:val="auto"/>
        </w:rPr>
      </w:pPr>
    </w:p>
    <w:p>
      <w:pPr>
        <w:ind w:left="4" w:firstLine="987"/>
        <w:spacing w:after="0" w:line="257" w:lineRule="auto"/>
        <w:tabs>
          <w:tab w:leader="none" w:pos="121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Securities that would constitute an Issuer Free Writing Prospectus, or that would otherwise constitute a “free writing prospectus,” as defined in</w:t>
      </w:r>
    </w:p>
    <w:p>
      <w:pPr>
        <w:spacing w:after="0" w:line="1"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 405, required to be filed with the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prior consent of the Representatives and the Company shall be deemed to have been given in respect of the Final Term Sheet and any other Issuer Free Writing Prospectuses included in Schedule II 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prior to the preparation of the Final Term Sheet in accordance with Section 5(b), the Underwriters are authorized to use the information with respect to the final terms of the Securities in communications conveying information relating to the offering to investors. Any such free writing prospectus consented to by the Company and the Representatives or otherwise permitted by the immediately preceding sentence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For purposes of clarity, it is understood and agreed that the term Issuer Free Writing Prospectus, as used in this Agreement, includes all Permitted Free Writing Prospectuses.</w:t>
      </w:r>
    </w:p>
    <w:p>
      <w:pPr>
        <w:spacing w:after="0" w:line="188" w:lineRule="exact"/>
        <w:rPr>
          <w:rFonts w:ascii="Times New Roman" w:cs="Times New Roman" w:eastAsia="Times New Roman" w:hAnsi="Times New Roman"/>
          <w:sz w:val="18"/>
          <w:szCs w:val="18"/>
          <w:color w:val="auto"/>
        </w:rPr>
      </w:pPr>
    </w:p>
    <w:p>
      <w:pPr>
        <w:ind w:left="4" w:right="160" w:firstLine="436"/>
        <w:spacing w:after="0" w:line="267" w:lineRule="auto"/>
        <w:tabs>
          <w:tab w:leader="none" w:pos="62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the Preliminary Prospectus, any Permitted Free Writing Prospectus and the Prospectus and amendments and supplements thereto and the mailing and delivering of copies thereof to the Underwriters and dealers; (ii) the cost of printing or producing any agreement among Underwriters, this Agreement, the Indenture, any Blue Sky and Legal Investment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5(d) hereof, including the reasonable fees and disbursements of counsel for the Underwriters in connection with such qualification and in connection with the Blue Sky and Legal Investment Memoranda; (iv) any fees charged by securities rating services for rating the Securities;</w:t>
      </w:r>
    </w:p>
    <w:p>
      <w:pPr>
        <w:spacing w:after="0" w:line="5"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 fees incident to, and the reasonable fees and disbursements of counsel for the Underwriters in connection with, any required review by The Financial Industry Regulatory Authority, Inc. of the terms of the sale of the Securities (up to a maximum aggregate amount of $5,000); (vi) the cost of preparing the Securities; (vii) the fees and expenses of the Trustee and the Calculation Agent and any agent of the Trustee or the Calculation Agent and the reasonable fees and disbursements of counsel for the Trustee and the Calculation Agent in connection with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the Securities and the Calculation Agent Agreement;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180" w:lineRule="exact"/>
        <w:rPr>
          <w:sz w:val="20"/>
          <w:szCs w:val="20"/>
          <w:color w:val="auto"/>
        </w:rPr>
      </w:pPr>
    </w:p>
    <w:p>
      <w:pPr>
        <w:jc w:val="both"/>
        <w:ind w:right="160" w:firstLine="436"/>
        <w:spacing w:after="0" w:line="261"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shall be subject, in the discretion of the Representatives, to the condition that all representations and warranties and other statements of the Company in or incorporated by reference in this Agreement are, at and as of the Time of Delivery, true and correct, the condition that the Company shall have performed all of its obligations hereunder theretofore to be performed, and the following additional conditions:</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as amended or supplemented, shall have been filed with the Commission pursuant to Rule 424(b) within the applicable time period prescribed for such filing (without reliance on Rule 424(b)(8) of the Rules and Regulations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from the Commission shall have been complied with to the Representatives’ reasonable satisfaction.</w:t>
      </w:r>
    </w:p>
    <w:p>
      <w:pPr>
        <w:spacing w:after="0" w:line="183"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for the Underwriters shall have furnished to the Representatives such written opinion or opinions, dated the Time of Delivery, with respect to the Registration Statement and the Prospectus, as amended or supplemented, as well as such other related matters as the Representatives may reasonably request, and such counsel shall have received such papers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 shall have furnished to the Representatives their written opinion or opinions and negative assurances letter, dated the Time of Delivery, in the forms previously agreed and satisfactory to the Representatives.</w:t>
      </w:r>
    </w:p>
    <w:p>
      <w:pPr>
        <w:spacing w:after="0" w:line="161"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at a time prior to the execution of this Agreement, Deloitte &amp; Touche LLP shall have furnished to the Representatives a letter with respect to the Company, dated the date hereof, in form and substance reasonably satisfactory to the Representatives, containing statements and information of the type ordinarily included in accountants’ “comfort letters” to underwriters, and, at the Time of Delivery, Deloitte &amp; Touche LLP shall have furnished to the Representatives a letter dated the Time of Delivery, reaffirming the statements made in their letter dated the date hereof, except that the specified date referred to in such letter delivered on the Time of Delivery shall be a date not more than three days prior to the Time of Delivery, and with respect to such letter dated the Time of Delivery, as to such other matters as the Representatives may reasonably request and in form and substance reasonably satisfactory to the Representatives.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7" w:name="page18"/>
    <w:bookmarkEnd w:id="17"/>
    <w:p>
      <w:pPr>
        <w:ind w:left="-20" w:right="80" w:firstLine="987"/>
        <w:spacing w:after="0" w:line="255" w:lineRule="auto"/>
        <w:tabs>
          <w:tab w:leader="none" w:pos="11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date hereof at a time prior to the execution of this Agreement, Deloitte &amp; Touche LLP shall have furnished to the Representatives a letter with respect to Oncor Holdings, dated the date hereof, in form and substance reasonably satisfactory to the Representatives, containing statements and information of the type ordinarily included in accountants’ “comfort letters” to underwriters, and, at the Time of Delivery, Deloitte &amp; Touche LLP shall have furnished to the Representatives a letter dated the Time of Delivery, reaffirming the statements made in their letter dated the date hereof, except that the specified date referred to in such letter delivered on the Time of Delivery shall be a date not more than three days prior to the Time of Delivery, and with respect to such letter dated the Time of Delivery, as to such other matters as the Representatives may reasonably request and in form and substance reasonably satisfactory to the Representatives.</w:t>
      </w:r>
    </w:p>
    <w:p>
      <w:pPr>
        <w:spacing w:after="0" w:line="188"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taken as a whole, shall have not sustained since the date of the latest audited financial statements included or incorporated by reference in the Prospectus, as amended prior to the date hereof, any material loss or interference with its business from fire, explosion, flood or other calamity, whether or not covered by insurance, or from any labor dispute or court or governmental action, order or decree, otherwise than as set forth or contemplated in the Pricing Disclosure Package and the Prospectus, as amended prior to the date hereof, and (ii) since the respective dates as of which information is given in the Pricing Disclosure Package and the Prospectus, as amended prior to the date hereof, there shall not have been any material change in the capital stock or long-term debt of the Company or any of its subsidiaries or any material adverse change, or any development involving a prospective material adverse change, in or affecting the general affairs, management or consolidated financial position, shareholders’ equity or results of operations of the Company and its subsidiaries, taken as a whole, in each case otherwise than as set forth or contemplated in the Pricing Disclosure Package and the Prospectus, as amended prior to the date hereof, the effect of which, in any such case described in clause (i) or (ii), is in the judgment of the Representatives so material and adverse to the Company and its subsidiaries, taken as a whole, as to make it impracticable or inadvisable to proceed with the public offering or the delivery of the Securities on the terms and in the manner contemplated in the Pricing Disclosure Package and the Prospectus as first amended or supplemented.</w:t>
      </w:r>
    </w:p>
    <w:p>
      <w:pPr>
        <w:spacing w:after="0" w:line="189" w:lineRule="exact"/>
        <w:rPr>
          <w:rFonts w:ascii="Times New Roman" w:cs="Times New Roman" w:eastAsia="Times New Roman" w:hAnsi="Times New Roman"/>
          <w:sz w:val="18"/>
          <w:szCs w:val="18"/>
          <w:color w:val="auto"/>
        </w:rPr>
      </w:pPr>
    </w:p>
    <w:p>
      <w:pPr>
        <w:ind w:left="-20" w:right="60" w:firstLine="987"/>
        <w:spacing w:after="0" w:line="261" w:lineRule="auto"/>
        <w:tabs>
          <w:tab w:leader="none" w:pos="12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Applicable Time (i) no downgrading shall have occurred in the rating accorded any of the Company’s debt securities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w:t>
      </w:r>
    </w:p>
    <w:p>
      <w:pPr>
        <w:spacing w:after="0" w:line="179"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1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hereof there shall not have occurred any of the following: (i) a suspension or material limitation in trading in securities generally 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the Nasdaq Global Market; (ii) a suspension or material limitation in trading in the Company’s securities on the NYSE; (iii) a general moratorium on commercial banking activities declared by either Federal or New York or California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or any change or development involving a prospective change in national or international political, financial or economic conditions, if the effect of any such event specified in this clause (iv) in the judgment of the Representatives (A) is material and adverse and (B) makes it impracticable or inadvisable to proceed with the public offering or the delivery of the Securities on the terms and in the manner contemplated in the Pricing Disclosure Package and the Prospectus as first amended or supplemented.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70" w:right="479" w:bottom="1440" w:gutter="0" w:footer="0" w:header="0"/>
        </w:sectPr>
      </w:pPr>
    </w:p>
    <w:bookmarkStart w:id="18" w:name="page19"/>
    <w:bookmarkEnd w:id="18"/>
    <w:p>
      <w:pPr>
        <w:ind w:left="-40" w:right="420" w:firstLine="987"/>
        <w:spacing w:after="0" w:line="282" w:lineRule="auto"/>
        <w:tabs>
          <w:tab w:leader="none" w:pos="116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complied with the provisions of Section 5(e) hereof with respect to the furnishing of prospectuses on the second business day succeeding the date hereof.</w:t>
      </w:r>
    </w:p>
    <w:p>
      <w:pPr>
        <w:spacing w:after="0" w:line="161" w:lineRule="exact"/>
        <w:rPr>
          <w:rFonts w:ascii="Times New Roman" w:cs="Times New Roman" w:eastAsia="Times New Roman" w:hAnsi="Times New Roman"/>
          <w:sz w:val="18"/>
          <w:szCs w:val="18"/>
          <w:color w:val="auto"/>
        </w:rPr>
      </w:pPr>
    </w:p>
    <w:p>
      <w:pPr>
        <w:ind w:left="-40" w:right="40" w:firstLine="987"/>
        <w:spacing w:after="0" w:line="261" w:lineRule="auto"/>
        <w:tabs>
          <w:tab w:leader="none" w:pos="12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the Time of Delivery a certificate of officers of the Company satisfactory to the Representatives as to the accuracy of the representations and warranties of the Company herein at and as of the Time of Delivery, as to the performance by the Company of all of its obligations hereunder to be performed at or prior to the Time of Delivery, as to the matters set forth in subsections (a) and (g) of this Section and as to such other matters as the Representatives may reasonably request.</w:t>
      </w:r>
    </w:p>
    <w:p>
      <w:pPr>
        <w:spacing w:after="0" w:line="179" w:lineRule="exact"/>
        <w:rPr>
          <w:rFonts w:ascii="Times New Roman" w:cs="Times New Roman" w:eastAsia="Times New Roman" w:hAnsi="Times New Roman"/>
          <w:sz w:val="18"/>
          <w:szCs w:val="18"/>
          <w:color w:val="auto"/>
        </w:rPr>
      </w:pPr>
    </w:p>
    <w:p>
      <w:pPr>
        <w:ind w:left="-40" w:right="160" w:firstLine="436"/>
        <w:spacing w:after="0" w:line="253"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Preliminary Prospectus, the Registration Statement, any Issuer Free Writing Prospectus, the Prospectus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 untrue statement or alleged untrue statement or omission or alleged omission made in the Preliminary Prospectus, the Registration Statement, any Issuer Free Writing Prospectus, the Prospectus or any other prospectus relating to the Securities or any amendment or supplement thereto in reliance upon and in conformity with written information furnished to the Company by any Underwriter through the Representatives expressly for use therein.</w:t>
      </w:r>
    </w:p>
    <w:p>
      <w:pPr>
        <w:spacing w:after="0" w:line="191" w:lineRule="exact"/>
        <w:rPr>
          <w:rFonts w:ascii="Times New Roman" w:cs="Times New Roman" w:eastAsia="Times New Roman" w:hAnsi="Times New Roman"/>
          <w:sz w:val="18"/>
          <w:szCs w:val="18"/>
          <w:color w:val="auto"/>
        </w:rPr>
      </w:pPr>
    </w:p>
    <w:p>
      <w:pPr>
        <w:ind w:left="-40" w:firstLine="987"/>
        <w:spacing w:after="0" w:line="253" w:lineRule="auto"/>
        <w:tabs>
          <w:tab w:leader="none" w:pos="12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Preliminary Prospectus, the Registration Statement, any Issuer Free Writing Prospectus, the Prospectus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Preliminary Prospectus, the Registration Statement, any Issuer Free Writing Prospectus, the Prospectus or any other prospectus relating to the Securities, or any such amendment or supplement thereto in reliance upon and in conformity with written information furnished to the Company by such Underwriter through the Representatives expressly for use therein, it being understood and agreed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80" w:top="270" w:right="479" w:bottom="1440" w:gutter="0" w:footer="0" w:header="0"/>
        </w:sectPr>
      </w:pPr>
    </w:p>
    <w:bookmarkStart w:id="19" w:name="page20"/>
    <w:bookmarkEnd w:id="19"/>
    <w:p>
      <w:pPr>
        <w:ind w:right="1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only such information consists of the following: the information in the fourth paragraph of text under the caption “Underwriting (Conflicts of Interest)” in the Preliminary Prospectus and the Prospectus concerning the terms of the offering by the Underwriters, and the information in the eighth, ninth, tenth and eleventh paragraphs of text (solely with respect to the statements attributable to the Underwriters) under the caption “Underwriting (Conflicts of Interest)” in the Preliminary Prospectus and the Prospectus, insofar as such information relates to market making, stabilization, penalty bids, overallotment, short positions and purchases to cover short positions by the Underwriters; and will reimburse the Company for any legal or other expenses reasonably incurred by the Company in connection with investigating or defending any such action or claim as such expenses are incurred.</w:t>
      </w:r>
    </w:p>
    <w:p>
      <w:pPr>
        <w:spacing w:after="0" w:line="173" w:lineRule="exact"/>
        <w:rPr>
          <w:sz w:val="20"/>
          <w:szCs w:val="20"/>
          <w:color w:val="auto"/>
        </w:rPr>
      </w:pPr>
    </w:p>
    <w:p>
      <w:pPr>
        <w:ind w:firstLine="987"/>
        <w:spacing w:after="0" w:line="251"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under such subsection to the extent it is not materially prejudiced as a result thereof and in any event shall not relieve it from any liability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Representatives shall have the right to employ counsel to represent jointly the Underwriters and their respective directors, officers, employees, agents and controlling persons who may be subject to liability arising out of any claim in respect of which indemnity may be sought by the Underwriters against the Company under this Section 8, if the Representatives shall have reasonably concluded that there may be one or more legal defenses available to the Underwriters and their respective directors, officers, employees, agents and controlling persons that are different from or additional to those available to the Company and its officers, directors, employees and controlling persons, and in each case the fees and expenses of a single separate counsel for the Underwriters and their respective directors, officers, employees, agents and controlling persons (in addition to local counsel) shall be paid by the Company. The indemnifying party shall not be liable for any settlement or compromise of, or the consent to the entry of any judgment with respect to, any pending or threatened action or claim in respect of which indemnification may be sought hereunder effected without the prior written consent of the indemnifying party (which consent shall not be unreasonably withheld), but, if settled or compromised with the indemnifying party’s consent, or if judgment shall be entered following consent to the entry of such judgment given with the indemnifying party’s consent, or if there shall otherwise be a final judgment for the plaintiff, the indemnifying party agrees to indemnify and hold harmless each indemnified party against any and all losses, claims, damages, liabilities and expenses, joint or several, by reason of such settlement, compromise or judgment, as the case may be. No indemnifying party shall, without the prior written consent of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party (which consent shall not be unreasonably withheld),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sz w:val="20"/>
          <w:szCs w:val="20"/>
          <w:color w:val="auto"/>
        </w:rPr>
      </w:pPr>
    </w:p>
    <w:p>
      <w:pPr>
        <w:ind w:firstLine="987"/>
        <w:spacing w:after="0" w:line="251"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contemplated by this Agreement. If, however, the allocation provided by the immediately preceding sentence is not permitted by applicable law or if the indemnified party failed to give the notice required under subsection (c) above, then in each case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of the Securities contemplated by this Agreement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in this subsection (d) to contribute are several in proportion to their respective underwriting obligations with respect to the Securities and not joint.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ind w:right="40" w:firstLine="987"/>
        <w:spacing w:after="0" w:line="258" w:lineRule="auto"/>
        <w:tabs>
          <w:tab w:leader="none" w:pos="12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Company under this Section 8 shall be in addition to any liability which the Company may otherwise have and shall extend, upon the same terms and conditions, to each director, officer, employee and agent of any Underwriter and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director and employee of the Company and to each person, if any, who controls the Company within the meaning of the Act.</w:t>
      </w:r>
    </w:p>
    <w:p>
      <w:pPr>
        <w:spacing w:after="0" w:line="183" w:lineRule="exact"/>
        <w:rPr>
          <w:rFonts w:ascii="Times New Roman" w:cs="Times New Roman" w:eastAsia="Times New Roman" w:hAnsi="Times New Roman"/>
          <w:sz w:val="18"/>
          <w:szCs w:val="18"/>
          <w:color w:val="auto"/>
        </w:rPr>
      </w:pPr>
    </w:p>
    <w:p>
      <w:pPr>
        <w:ind w:right="20" w:firstLine="436"/>
        <w:spacing w:after="0" w:line="269"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If any Underwriter shall default in its obligation to purchase the Securities which it has agreed to purchase under this Agreement, the Representatives may in their discretion arrange for themselves or another party or other parties to purchase such Securities on the terms contained herein. If within thirty-six hours after such default by any Underwriter the Representatives do not arrange for the purchase of such Securities, then the Company shall be entitled to a further period of thirty-six hours within which to procure another party or other parties reasonably satisfactory to the Representatives to purchase such Securities on such terms. In the event that, within the respective prescribed period, the Representatives notify the Company that they have so arranged for the purchase of such Securities, or the Company notifies the Representatives that it has so arranged for the purchase of such Securities, the Representatives or the Company shall have the right to postpone the Time of Delivery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w:t>
      </w:r>
      <w:r>
        <w:rPr>
          <w:rFonts w:ascii="Times New Roman" w:cs="Times New Roman" w:eastAsia="Times New Roman" w:hAnsi="Times New Roman"/>
          <w:sz w:val="17"/>
          <w:szCs w:val="17"/>
          <w:b w:val="1"/>
          <w:bCs w:val="1"/>
          <w:color w:val="auto"/>
        </w:rPr>
        <w:t>“Underwriter”</w:t>
      </w:r>
      <w:r>
        <w:rPr>
          <w:rFonts w:ascii="Times New Roman" w:cs="Times New Roman" w:eastAsia="Times New Roman" w:hAnsi="Times New Roman"/>
          <w:sz w:val="17"/>
          <w:szCs w:val="17"/>
          <w:color w:val="auto"/>
        </w:rPr>
        <w:t xml:space="preserve"> as used in this Agreement shall include any person substituted under this Section with like effect as if such person had originally been a party to this Agreement.</w:t>
      </w:r>
    </w:p>
    <w:p>
      <w:pPr>
        <w:spacing w:after="0" w:line="181" w:lineRule="exact"/>
        <w:rPr>
          <w:rFonts w:ascii="Times New Roman" w:cs="Times New Roman" w:eastAsia="Times New Roman" w:hAnsi="Times New Roman"/>
          <w:sz w:val="17"/>
          <w:szCs w:val="17"/>
          <w:color w:val="auto"/>
        </w:rPr>
      </w:pPr>
    </w:p>
    <w:p>
      <w:pPr>
        <w:ind w:firstLine="987"/>
        <w:spacing w:after="0" w:line="255" w:lineRule="auto"/>
        <w:tabs>
          <w:tab w:leader="none" w:pos="12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Representatives and the Company as provided in subsection (a) above, the aggregate principal amount of the Securities which remains unpurchased does not exceed one-eleventh of the aggregate principal amount of the Securities, then the Company shall have the right to require each non-defaulting Underwriter to purchase the principal amount of Securities which such Underwriter agreed to purchase under this Agreement and, in addition, to require each non-defaulting Underwriter to purchase its pro rata share (based on the principal amount of Securities which such Underwriter agreed to purchase under this Agreement) of the Securities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Representatives and the Company as provided in subsection (a) above, the aggregate principal amount of Securities which remains unpurchased exceeds one-eleventh of the aggregate principal amount of the Securities, or if the Company shall not exercise the right described in subsection (b) above to require non-defaulting Underwriters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80" w:lineRule="exact"/>
        <w:rPr>
          <w:sz w:val="20"/>
          <w:szCs w:val="20"/>
          <w:color w:val="auto"/>
        </w:rPr>
      </w:pPr>
    </w:p>
    <w:p>
      <w:pPr>
        <w:ind w:right="40" w:firstLine="436"/>
        <w:spacing w:after="0" w:line="261"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79" w:lineRule="exact"/>
        <w:rPr>
          <w:rFonts w:ascii="Times New Roman" w:cs="Times New Roman" w:eastAsia="Times New Roman" w:hAnsi="Times New Roman"/>
          <w:sz w:val="18"/>
          <w:szCs w:val="18"/>
          <w:color w:val="auto"/>
        </w:rPr>
      </w:pPr>
    </w:p>
    <w:p>
      <w:pPr>
        <w:ind w:right="140" w:firstLine="436"/>
        <w:spacing w:after="0" w:line="256" w:lineRule="auto"/>
        <w:tabs>
          <w:tab w:leader="none" w:pos="7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9 hereof, the Company shall not then be under any liability to any Underwriter with respect to the Securities except as provided in Sections 6 and 8 hereof; but, if for any other reason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Securities, but the Company shall then be under no further liability to any Underwriter with respect to the Securities except as provided in Sections 6 and 8 hereof.</w:t>
      </w:r>
    </w:p>
    <w:p>
      <w:pPr>
        <w:spacing w:after="0" w:line="187"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7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of the Underwriters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this Agreement.</w:t>
      </w:r>
    </w:p>
    <w:p>
      <w:pPr>
        <w:spacing w:after="0" w:line="176" w:lineRule="exact"/>
        <w:rPr>
          <w:sz w:val="20"/>
          <w:szCs w:val="20"/>
          <w:color w:val="auto"/>
        </w:rPr>
      </w:pPr>
    </w:p>
    <w:p>
      <w:pPr>
        <w:ind w:right="40" w:firstLine="440"/>
        <w:spacing w:after="0" w:line="241"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overnight courier or facsimile transmission to BMO Capital Markets Corp., 151 West 42nd Street, New York, New York 10036, Attention: Legal Department, Facsimile: (212) 702-1205; and Academy Securities, Inc., 622 Third Avenue, 12th Floor, New York, New York 10017, Attention: Michael Boyd, Chief Compliance Officer, Email: cmbs@academysecurities.com; and if to the Company shall be delivered or sent by mail or overnight courier to Sempra, 488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San Diego, California 92101, Attention: Secretary, with a copy to the General Counsel and to the Treasurer;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notice to an Underwriter pursuant to Section 8(c) hereof shall be delivered or sent by mail, overnight courier or facsimile transmission to such Underwriter at its address set forth in its Underwriters’ Questionnaire, or email or facsimile transmission constituting such Questionnaire, which address will be supplied to the Company by the Representatives upon request. Any such statements, requests, notices or agreements shall take effect upon receipt thereof.</w:t>
      </w:r>
    </w:p>
    <w:p>
      <w:pPr>
        <w:spacing w:after="0" w:line="19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3" w:name="page24"/>
    <w:bookmarkEnd w:id="23"/>
    <w:p>
      <w:pPr>
        <w:ind w:left="-20" w:right="20" w:firstLine="436"/>
        <w:spacing w:after="0" w:line="258"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binding upon, and inure solely to the benefit of, the Underwriters, the Company and, to the extent provided in Sections 8 and 10 hereof, the directors, officers, employees and agents of each Underwriter, the officers, directors and employees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left="-20" w:firstLine="436"/>
        <w:spacing w:after="0" w:line="253"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the Securities contemplated hereby (including in connection with determining the terms of the offering) and not as a financial advisor or a fiduciary to, or an agent of, the Company or any other person. The Company agrees that it will not claim that the Underwriters have rendered advisory services of any nature or respect, or owe an agency, fiduciary or similar duty to the Company, in connection with the transactions contemplated hereby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and none of the activities of the Underwriters in connection with the transactions contemplated herein constitutes a recommendation or investment advice by the Underwriters with respect to any entity or natural person.</w:t>
      </w:r>
    </w:p>
    <w:p>
      <w:pPr>
        <w:spacing w:after="0" w:line="191"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20" w:right="20" w:firstLine="436"/>
        <w:spacing w:after="0" w:line="261"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24" w:name="page25"/>
    <w:bookmarkEnd w:id="2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Section 15,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3" w:lineRule="exact"/>
        <w:rPr>
          <w:sz w:val="20"/>
          <w:szCs w:val="20"/>
          <w:color w:val="auto"/>
        </w:rPr>
      </w:pPr>
    </w:p>
    <w:p>
      <w:pPr>
        <w:ind w:firstLine="436"/>
        <w:spacing w:after="0" w:line="268" w:lineRule="auto"/>
        <w:tabs>
          <w:tab w:leader="none" w:pos="7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shall be of the essence of this Agreement. As used herein,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shall mean, unless otherwise expressly stated, any day when the Commission’s office in Washington, D.C. is open for business, which for these purposes shall be deemed to include days on which the Commission’s electronic data gathering, analysis, and retrieval system is accepting filings.</w:t>
      </w:r>
    </w:p>
    <w:p>
      <w:pPr>
        <w:spacing w:after="0" w:line="17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 The words “execution,” “signed,” “signature,” and words of like import in this Agreement or in any instruments, agreements, certificates, officers’ certificates, Company orders, legal opinions, negative assurance letters or other documents entered into or delivered pursuant to or in connection with this Agreement or the issuance or sale of the Securities shall include images of manually executed signatures transmitted by facsimile or other electronic format (including, without limitation, “pdf,” “tif” or “jpg”) and electronic signatures (including, without limitation, DocuSign and AdobeSign), and this Agreement and any instruments, agreements, certificates, officers’ certificates, Company orders, legal opinions, negative assurance letters or other documents entered into or delivered pursuant to or in connection with this Agreement may be executed, attested and transmitted by any of the foregoing electronic means and formats.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5" w:name="page26"/>
    <w:bookmarkEnd w:id="25"/>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sign and return to us one for the Company and for each of the Representatives plus one for each counsel counterparts hereof.</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Sempra</w:t>
            </w:r>
          </w:p>
        </w:tc>
        <w:tc>
          <w:tcPr>
            <w:tcW w:w="3840" w:type="dxa"/>
            <w:vAlign w:val="bottom"/>
          </w:tcPr>
          <w:p>
            <w:pPr>
              <w:spacing w:after="0"/>
              <w:rPr>
                <w:sz w:val="20"/>
                <w:szCs w:val="20"/>
                <w:color w:val="auto"/>
              </w:rPr>
            </w:pPr>
          </w:p>
        </w:tc>
      </w:tr>
      <w:tr>
        <w:trPr>
          <w:trHeight w:val="432"/>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Adam D. Pierce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Adam D. Pierce</w:t>
            </w:r>
          </w:p>
        </w:tc>
      </w:t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Agreement—June 2026</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Spadaccini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Spadaccini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Boyd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Boyd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Representatives of the several Underwriters, on behalf of each of the Underwriters</w:t>
      </w:r>
    </w:p>
    <w:p>
      <w:pPr>
        <w:spacing w:after="0" w:line="15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Agreement—June 2026</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40" w:type="dxa"/>
            <w:vAlign w:val="bottom"/>
            <w:gridSpan w:val="2"/>
          </w:tcPr>
          <w:p>
            <w:pPr>
              <w:jc w:val="right"/>
              <w:ind w:right="3462"/>
              <w:spacing w:after="0"/>
              <w:rPr>
                <w:sz w:val="20"/>
                <w:szCs w:val="20"/>
                <w:color w:val="auto"/>
              </w:rPr>
            </w:pPr>
            <w:r>
              <w:rPr>
                <w:rFonts w:ascii="Times New Roman" w:cs="Times New Roman" w:eastAsia="Times New Roman" w:hAnsi="Times New Roman"/>
                <w:sz w:val="18"/>
                <w:szCs w:val="18"/>
                <w:color w:val="auto"/>
              </w:rPr>
              <w:t>SCHEDULE I</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280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5920" w:type="dxa"/>
            <w:vAlign w:val="bottom"/>
          </w:tcPr>
          <w:p>
            <w:pPr>
              <w:spacing w:after="0"/>
              <w:rPr>
                <w:sz w:val="15"/>
                <w:szCs w:val="15"/>
                <w:color w:val="auto"/>
              </w:rPr>
            </w:pPr>
          </w:p>
        </w:tc>
        <w:tc>
          <w:tcPr>
            <w:tcW w:w="158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Securities to be Purchased</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BMO Capital Markets Corp.</w:t>
            </w:r>
          </w:p>
        </w:tc>
        <w:tc>
          <w:tcPr>
            <w:tcW w:w="5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5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1020"/>
          </w:cols>
          <w:pgMar w:left="440" w:top="270" w:right="439" w:bottom="1440" w:gutter="0" w:footer="0" w:header="0"/>
        </w:sectPr>
      </w:pPr>
    </w:p>
    <w:bookmarkStart w:id="28" w:name="page29"/>
    <w:bookmarkEnd w:id="28"/>
    <w:p>
      <w:pPr>
        <w:ind w:left="49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ind w:left="5024" w:right="3519" w:hanging="5024"/>
        <w:spacing w:after="0" w:line="454" w:lineRule="auto"/>
        <w:tabs>
          <w:tab w:leader="none" w:pos="1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 dated June 4, 2026, filed with the Commission on June 4, 2026 Schedule II-1</w:t>
      </w:r>
    </w:p>
    <w:p>
      <w:pPr>
        <w:sectPr>
          <w:pgSz w:w="11900" w:h="16838" w:orient="portrait"/>
          <w:cols w:equalWidth="0" w:num="1">
            <w:col w:w="10023"/>
          </w:cols>
          <w:pgMar w:left="436" w:top="27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Free Writing Prospectus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333-295948</w:t>
      </w: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Final Term Sheet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2026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Floating Rate Notes due 2028</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This issuer free writing prospectus relates only to Floating Rate Notes due 2028 (the “notes”) described below and should be read together with Sempra’s preliminary prospectus supplement dated June 4, 2026 (the “Preliminary Prospectus Supplement”), the accompanying prospectus dated May 15, 2026 and the documents incorporated and deemed to be incorporated by reference therein.</w:t>
      </w:r>
    </w:p>
    <w:p>
      <w:pPr>
        <w:sectPr>
          <w:pgSz w:w="11900" w:h="16838" w:orient="portrait"/>
          <w:cols w:equalWidth="0" w:num="1">
            <w:col w:w="11020"/>
          </w:cols>
          <w:pgMar w:left="440" w:top="270"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Sempra (the “Company”)</w:t>
      </w:r>
    </w:p>
    <w:p>
      <w:pPr>
        <w:spacing w:after="0" w:line="128"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117"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9, 2026 (T+3)</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Floating Rate Notes due 2028</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$1,000,000,000</w:t>
      </w:r>
    </w:p>
    <w:p>
      <w:pPr>
        <w:spacing w:after="0" w:line="129" w:lineRule="exact"/>
        <w:rPr>
          <w:sz w:val="20"/>
          <w:szCs w:val="20"/>
          <w:color w:val="auto"/>
        </w:rPr>
      </w:pPr>
    </w:p>
    <w:p>
      <w:pPr>
        <w:sectPr>
          <w:pgSz w:w="11900" w:h="16838" w:orient="portrait"/>
          <w:cols w:equalWidth="0" w:num="2">
            <w:col w:w="2720" w:space="26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and Interest Payment Dates: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Floating rate equal to Compounded SOFR (calculated as described in the Preliminary Prospectus Supplement), plus 67 basis points per annum, payable quarterly in arrears on October 7, January 7, April 7 and July 7 of each year, beginning on October 7, 2026</w:t>
      </w:r>
    </w:p>
    <w:p>
      <w:pPr>
        <w:spacing w:after="0" w:line="68" w:lineRule="exact"/>
        <w:rPr>
          <w:sz w:val="20"/>
          <w:szCs w:val="20"/>
          <w:color w:val="auto"/>
        </w:rPr>
      </w:pPr>
    </w:p>
    <w:p>
      <w:pPr>
        <w:sectPr>
          <w:pgSz w:w="11900" w:h="16838" w:orient="portrait"/>
          <w:cols w:equalWidth="0" w:num="2">
            <w:col w:w="2600" w:space="38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7, 2028</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plus accrued interest, if any</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 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notes are not redeemable at the option of the Company</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816851 BY4</w:t>
      </w:r>
    </w:p>
    <w:p>
      <w:pPr>
        <w:spacing w:after="0" w:line="129"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US816851BY40</w:t>
      </w:r>
    </w:p>
    <w:p>
      <w:pPr>
        <w:spacing w:after="0" w:line="128"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Net Proceeds:</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Approximately $998.5 million, after deducting the underwriting discount but before deducting the estimated offering expenses payable by the Company.</w:t>
      </w:r>
    </w:p>
    <w:p>
      <w:pPr>
        <w:spacing w:after="0" w:line="54"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BMO Capital Markets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ectPr>
          <w:pgSz w:w="11900" w:h="16838" w:orient="portrait"/>
          <w:cols w:equalWidth="0" w:num="2">
            <w:col w:w="2260" w:space="720"/>
            <w:col w:w="8040"/>
          </w:cols>
          <w:pgMar w:left="440" w:top="270" w:right="439" w:bottom="1440" w:gutter="0" w:footer="0" w:header="0"/>
          <w:type w:val="continuous"/>
        </w:sectPr>
      </w:pPr>
    </w:p>
    <w:bookmarkStart w:id="30" w:name="page31"/>
    <w:bookmarkEnd w:id="30"/>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issuer has filed a registration statement (including a prospectus) with the U.S. Securities and Exchange Commission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if you request it by calling BMO Capital Markets Corp. toll-free at 1-888-200-0266 or by calling Academy Securities, Inc. toll-free at 1-646-736-3995.</w:t>
      </w:r>
    </w:p>
    <w:p>
      <w:pPr>
        <w:spacing w:after="0" w:line="18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III-2</w:t>
      </w:r>
    </w:p>
    <w:p>
      <w:pPr>
        <w:sectPr>
          <w:pgSz w:w="11900" w:h="16838" w:orient="portrait"/>
          <w:cols w:equalWidth="0" w:num="1">
            <w:col w:w="10980"/>
          </w:cols>
          <w:pgMar w:left="440" w:top="266" w:right="4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5204"/>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117" w:lineRule="exact"/>
        <w:rPr>
          <w:sz w:val="20"/>
          <w:szCs w:val="20"/>
          <w:color w:val="auto"/>
        </w:rPr>
      </w:pPr>
    </w:p>
    <w:p>
      <w:pPr>
        <w:ind w:left="4384"/>
        <w:spacing w:after="0"/>
        <w:rPr>
          <w:sz w:val="20"/>
          <w:szCs w:val="20"/>
          <w:color w:val="auto"/>
        </w:rPr>
      </w:pPr>
      <w:r>
        <w:rPr>
          <w:rFonts w:ascii="Times New Roman" w:cs="Times New Roman" w:eastAsia="Times New Roman" w:hAnsi="Times New Roman"/>
          <w:sz w:val="18"/>
          <w:szCs w:val="18"/>
          <w:b w:val="1"/>
          <w:bCs w:val="1"/>
          <w:color w:val="auto"/>
        </w:rPr>
        <w:t>OFFICERS’ CERTIFICATE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Sections 201 and 301 of the Indenture)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Glen A. Donovan, Senior Vice President, Finance and Adam D. Pierce, Vice President and Treasurer, respectively, of Sempra,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certify as follows:</w:t>
      </w:r>
    </w:p>
    <w:p>
      <w:pPr>
        <w:spacing w:after="0" w:line="9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The undersigned, having read the appropriate provisions of the Indenture dated as of February 23, 2000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(formerly known as Sempra Energy) and U.S. Bank Trust Company, National Association, as successor in interest to U.S. Bank National Association, as successor in interest to U.S. Bank Trust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including Sections 102, 201, 301 and 303 thereof and the definitions in such Indenture relating thereto, and certain other corporate documents and records, and having made such examination and investigation as, in the opinion of the undersigned, each considers necessary to enable the undersigned to express an informed opinion as to whether or not the conditions or covenants set forth in the Indenture relating to the establishment of the terms of $1,000,000,000 aggregate principal amount of the Company’s Floating Rate Notes due 2028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the form of certificate evidencing the Notes have been complied with, and whether the conditions or covenants in the Indenture relating to the authentication and delivery by the Trustee of the Notes have been complied with, certify that</w:t>
      </w:r>
    </w:p>
    <w:p>
      <w:pPr>
        <w:spacing w:after="0" w:line="1" w:lineRule="exact"/>
        <w:rPr>
          <w:sz w:val="20"/>
          <w:szCs w:val="20"/>
          <w:color w:val="auto"/>
        </w:rPr>
      </w:pPr>
    </w:p>
    <w:p>
      <w:pPr>
        <w:ind w:left="4" w:right="340" w:hanging="4"/>
        <w:spacing w:after="0" w:line="265" w:lineRule="auto"/>
        <w:tabs>
          <w:tab w:leader="none" w:pos="25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Notes were established by the undersigned pursuant to authority delegated to them by resolutions duly adopted by the Board of Directors of the Company on February 20, 2026 (the “</w:t>
      </w:r>
      <w:r>
        <w:rPr>
          <w:rFonts w:ascii="Times New Roman" w:cs="Times New Roman" w:eastAsia="Times New Roman" w:hAnsi="Times New Roman"/>
          <w:sz w:val="17"/>
          <w:szCs w:val="17"/>
          <w:u w:val="single" w:color="auto"/>
          <w:color w:val="auto"/>
        </w:rPr>
        <w:t>Resolutions</w:t>
      </w:r>
      <w:r>
        <w:rPr>
          <w:rFonts w:ascii="Times New Roman" w:cs="Times New Roman" w:eastAsia="Times New Roman" w:hAnsi="Times New Roman"/>
          <w:sz w:val="17"/>
          <w:szCs w:val="17"/>
          <w:color w:val="auto"/>
        </w:rPr>
        <w:t>”) and such terms are as set forth and incorporated by reference in Annex I hereto,</w:t>
      </w:r>
    </w:p>
    <w:p>
      <w:pPr>
        <w:ind w:left="4" w:right="60" w:hanging="4"/>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certificate evidencing the Notes was established by the undersigned pursuant to authority delegated to them by the Resolutions and shall be in substantially the form attached as Annex II hereto, (3) a true, complete and correct copy of the Resolutions, which were duly adopted by the Board of Directors of the Company and are in full force and effect on the date hereof, is attached as an exhibit to the Certificate of the Secretary of the Company of even date herewith, and (4) the form and terms of the Notes have been established pursuant to Sections 201, 202, 203 and 301 of the Indenture and comply with the Indenture and, in the opinion of the undersigned, all conditions or covenants provided for in the Indenture (including, without limitation, those set forth in Sections 201, 301 and 303 of the Indenture) relating to the establishment of the terms of the Notes and the form of certificate evidencing the Notes, and relating to the issuance, execution, authentication and delivery of the Notes, have been complied with.</w:t>
      </w:r>
    </w:p>
    <w:p>
      <w:pPr>
        <w:spacing w:after="0" w:line="188"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This certificate may be executed by the parties hereto in counterparts, each of which when so executed shall be deemed to be an original, with the same effect as if the signatures thereto and hereto were on the same instrument, but all such counterparts shall together constitute but one and the same instrument.</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we have hereunto set our hands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Glen A.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Glen A. Donovan</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Senior Vice President, Finance</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Adam D.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Adam D. Pierce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13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[Officers’ Certificate — Indenture]</w:t>
      </w:r>
    </w:p>
    <w:p>
      <w:pPr>
        <w:sectPr>
          <w:pgSz w:w="11900" w:h="16838" w:orient="portrait"/>
          <w:cols w:equalWidth="0" w:num="1">
            <w:col w:w="9579"/>
          </w:cols>
          <w:pgMar w:left="880" w:top="270"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in this Annex I and not otherwise defined herein have the same definitions as in the Indenture (as defined in the Officers’ Certificate of which this Annex I constitutes a part).</w:t>
      </w:r>
    </w:p>
    <w:p>
      <w:pPr>
        <w:spacing w:after="0" w:line="162" w:lineRule="exact"/>
        <w:rPr>
          <w:sz w:val="20"/>
          <w:szCs w:val="20"/>
          <w:color w:val="auto"/>
        </w:rPr>
      </w:pPr>
    </w:p>
    <w:p>
      <w:pPr>
        <w:ind w:right="240"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the Company’s debt securities under the Indenture is established hereby and shall be known and designated as the “Floating Rate Notes due 2028” (hereinafter sometimes referred to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 of such series which may be authenticated and delivered under the Indenture is limited to $1,000,000,000, except for Securities of such series authenticated and delivered upon registration of transfer of, or in exchange for, or in lieu of, other Securities of the same series pursuant to Sections 304, 305, 306, 906 or 1106 of the Indenture and except for any Securities of such series which, pursuant to Section 303 of the Indenture, are deemed never to have been authenticated and delivered under the Indenture. However, such series of Securities may be re-opened by the Company for the issuance of additional Securities of the same series, so long as any such additional Securities of such series (i) have the same form and terms (other than the offering price, the date of original issuance and, under certain circumstances, the date from which interest thereon shall begin to accrue and the first interest payment date), and carry the same right to receive accrued and unpaid interest (if any), as the Securities of such series theretofore issued and (ii) shall form a single series under the Indenture with the Securities of such series theretofore issued, and provided that such additional Securities of such series are fungible with the Securities of such series theretofore issued for United States federal income tax purposes; provided, however, that, notwithstanding the foregoing, such series of Securities may not be re-opened if the Company has effected Defeasance with respect to the Securities of such series pursuant to Section 1302 of the Indenture or has effected satisfaction and discharge with respect to the Securities of such series pursuant to Section 401 of the Indenture.</w:t>
      </w:r>
    </w:p>
    <w:p>
      <w:pPr>
        <w:spacing w:after="0" w:line="189"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such series are to be issued only as registered securities without coupons. The Securities of such series shall be issued in book-entry form and represented by one or more global Securities (the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of such series, the initial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for the Global Securities of such series shall be The Depository Trust Company and the depositary arrangements shall be those employed by whoever shall be the Depositary with respect to the Global Securities of such series from time to time. Notwithstanding the foregoing, certificated Securities of such series in definitive form may be issued in exchange for Global Securities of such series under the circumstances contemplated by Section 305 of the Indenture.</w:t>
      </w:r>
    </w:p>
    <w:p>
      <w:pPr>
        <w:spacing w:after="0" w:line="187"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such series shall be sold by the Company to the several underwriters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xml:space="preserve">”)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Underwriting Agreement dated June 4, 2026 among the Company and BMO Capital Markets Corp. and Academy Securities, Inc., as representatives of the Underwriters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at a price equal to 99.850% of the principal amount of the Securities of such series and the initial price to the public of the Securities of such series shall be 100.000% of the principal amount of the Securities of such series (plus accrued and unpaid interest, if any), and the underwriting discount shall be 0.150% of the principal amount of the Securities of such series.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I-A-1</w:t>
      </w:r>
    </w:p>
    <w:p>
      <w:pPr>
        <w:sectPr>
          <w:pgSz w:w="11900" w:h="16838" w:orient="portrait"/>
          <w:cols w:equalWidth="0" w:num="1">
            <w:col w:w="11000"/>
          </w:cols>
          <w:pgMar w:left="440" w:top="270" w:right="459" w:bottom="1440" w:gutter="0" w:footer="0" w:header="0"/>
        </w:sectPr>
      </w:pPr>
    </w:p>
    <w:bookmarkStart w:id="34" w:name="page35"/>
    <w:bookmarkEnd w:id="34"/>
    <w:p>
      <w:pPr>
        <w:ind w:left="-40" w:right="160" w:firstLine="436"/>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of such series shall not be repayable or redeemable at the option of the Holders prior to the Stated Maturity of the principal of the Securities of such series (except as provided in Article V of the Indenture) and shall not be subject to a sinking fund or analogous provision.</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Borough of Manhattan, The City of New York is hereby designated as a Place of Payment for the Securities of such series.</w:t>
      </w:r>
    </w:p>
    <w:p>
      <w:pPr>
        <w:spacing w:after="0" w:line="225" w:lineRule="exact"/>
        <w:rPr>
          <w:rFonts w:ascii="Times New Roman" w:cs="Times New Roman" w:eastAsia="Times New Roman" w:hAnsi="Times New Roman"/>
          <w:sz w:val="18"/>
          <w:szCs w:val="18"/>
          <w:color w:val="auto"/>
        </w:rPr>
      </w:pPr>
    </w:p>
    <w:p>
      <w:pPr>
        <w:ind w:left="-40" w:firstLine="436"/>
        <w:spacing w:after="0" w:line="255"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Trustee, acting through its Corporate Trust Office in the Borough of Manhattan, The City of New York, as the Company’s agent for the purposes specified in Section 1002 of the Indenture with respect to the Securities of such series; provided, however, subject to Section 1002 of the Indenture, the Company may at any time remove the Trustee as its office or agency in the Borough of Manhattan, The City of New York designated for such purposes with respect to the Securities of such series and may from time to time designate one or more other offices or agencies for such purposes with respect to the Securities of such series and may from time to time rescind such designation, so long as the Company shall at all times maintain an office or agency for such purposes with respect to the Securities of such series in the Borough of Manhattan, The City of New York.</w:t>
      </w:r>
    </w:p>
    <w:p>
      <w:pPr>
        <w:spacing w:after="0" w:line="18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such series shall be issued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interest on the Securities of such series shall be payable in U.S. dollars.</w:t>
      </w:r>
    </w:p>
    <w:p>
      <w:pPr>
        <w:spacing w:after="0" w:line="225"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1303 of the Indenture shall not apply to the Securities of such series.</w:t>
      </w:r>
    </w:p>
    <w:p>
      <w:pPr>
        <w:spacing w:after="0" w:line="225"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 of the Indenture shall not apply to the Securities of such series.</w:t>
      </w:r>
    </w:p>
    <w:p>
      <w:pPr>
        <w:spacing w:after="0" w:line="225"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such series shall not be convertible into or exchangeable for other securities.</w:t>
      </w:r>
    </w:p>
    <w:p>
      <w:pPr>
        <w:spacing w:after="0" w:line="225" w:lineRule="exact"/>
        <w:rPr>
          <w:rFonts w:ascii="Times New Roman" w:cs="Times New Roman" w:eastAsia="Times New Roman" w:hAnsi="Times New Roman"/>
          <w:sz w:val="18"/>
          <w:szCs w:val="18"/>
          <w:color w:val="auto"/>
        </w:rPr>
      </w:pPr>
    </w:p>
    <w:p>
      <w:pPr>
        <w:ind w:left="-40" w:right="200" w:firstLine="436"/>
        <w:spacing w:after="0" w:line="266"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the Indenture or the Securities of such series to the contrary notwithstanding, payments of the principal of and interest on the Global Securities of such series shall be made by wire transfer to the Depositary or its nominee or to any successor depositary or nominee, whichever shall be the registered Holder of such Global Securities of such series from time to time.</w:t>
      </w:r>
    </w:p>
    <w:p>
      <w:pPr>
        <w:spacing w:after="0" w:line="175" w:lineRule="exact"/>
        <w:rPr>
          <w:rFonts w:ascii="Times New Roman" w:cs="Times New Roman" w:eastAsia="Times New Roman" w:hAnsi="Times New Roman"/>
          <w:sz w:val="18"/>
          <w:szCs w:val="18"/>
          <w:color w:val="auto"/>
        </w:rPr>
      </w:pPr>
    </w:p>
    <w:p>
      <w:pPr>
        <w:jc w:val="both"/>
        <w:ind w:left="-40" w:right="80" w:firstLine="436"/>
        <w:spacing w:after="0" w:line="266"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provision of the Indenture or the Securities of such series provides for the payment of interest on overdue principal of, or interest on the Securities of such series, then, to the extent permitted by law, interest on such overdue principal and interest shall accrue at the rate of interest borne by the Securities of such series.</w:t>
      </w:r>
    </w:p>
    <w:p>
      <w:pPr>
        <w:spacing w:after="0" w:line="175" w:lineRule="exact"/>
        <w:rPr>
          <w:rFonts w:ascii="Times New Roman" w:cs="Times New Roman" w:eastAsia="Times New Roman" w:hAnsi="Times New Roman"/>
          <w:sz w:val="18"/>
          <w:szCs w:val="18"/>
          <w:color w:val="auto"/>
        </w:rPr>
      </w:pPr>
    </w:p>
    <w:p>
      <w:pPr>
        <w:jc w:val="both"/>
        <w:ind w:left="-40" w:right="60" w:firstLine="436"/>
        <w:spacing w:after="0" w:line="266"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of such series shall have such other terms and provisions as are set forth in the form of certificate evidencing the Securities of such series attached as Annex II to the Officers’ Certificate of which this Annex I constitutes a part, all of which terms and provisions are incorporated by reference in and made a part of this Annex I as if set forth in full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I-A-2</w:t>
      </w:r>
    </w:p>
    <w:p>
      <w:pPr>
        <w:sectPr>
          <w:pgSz w:w="11900" w:h="16838" w:orient="portrait"/>
          <w:cols w:equalWidth="0" w:num="1">
            <w:col w:w="10920"/>
          </w:cols>
          <w:pgMar w:left="480" w:top="270" w:right="499" w:bottom="1440" w:gutter="0" w:footer="0" w:header="0"/>
        </w:sectPr>
      </w:pPr>
    </w:p>
    <w:bookmarkStart w:id="35" w:name="page36"/>
    <w:bookmarkEnd w:id="35"/>
    <w:p>
      <w:pPr>
        <w:ind w:left="620" w:hanging="344"/>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160" w:right="60" w:firstLine="436"/>
        <w:spacing w:after="0" w:line="282" w:lineRule="auto"/>
        <w:tabs>
          <w:tab w:leader="none" w:pos="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the Indenture are hereby amended, provided that such amendments shall only be applicable with respect to the Securities of such series and shall not be applicable with respect to any other series of debt securities issued under the Indenture:</w:t>
      </w:r>
    </w:p>
    <w:p>
      <w:pPr>
        <w:spacing w:after="0" w:line="67" w:lineRule="exact"/>
        <w:rPr>
          <w:rFonts w:ascii="Times New Roman" w:cs="Times New Roman" w:eastAsia="Times New Roman" w:hAnsi="Times New Roman"/>
          <w:sz w:val="18"/>
          <w:szCs w:val="18"/>
          <w:color w:val="auto"/>
        </w:rPr>
      </w:pPr>
    </w:p>
    <w:p>
      <w:pPr>
        <w:ind w:left="1260" w:hanging="439"/>
        <w:spacing w:after="0"/>
        <w:tabs>
          <w:tab w:leader="none" w:pos="1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(4) of Section 501 of the Indenture is hereby amended by replacing “25%” with “33%”;</w:t>
      </w:r>
    </w:p>
    <w:p>
      <w:pPr>
        <w:spacing w:after="0" w:line="130" w:lineRule="exact"/>
        <w:rPr>
          <w:rFonts w:ascii="Times New Roman" w:cs="Times New Roman" w:eastAsia="Times New Roman" w:hAnsi="Times New Roman"/>
          <w:sz w:val="18"/>
          <w:szCs w:val="18"/>
          <w:color w:val="auto"/>
        </w:rPr>
      </w:pPr>
    </w:p>
    <w:p>
      <w:pPr>
        <w:ind w:left="1260" w:hanging="439"/>
        <w:spacing w:after="0"/>
        <w:tabs>
          <w:tab w:leader="none" w:pos="1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502 of the Indenture is hereby amended by replacing “25%” with “33%”; and</w:t>
      </w:r>
    </w:p>
    <w:p>
      <w:pPr>
        <w:spacing w:after="0" w:line="130" w:lineRule="exact"/>
        <w:rPr>
          <w:rFonts w:ascii="Times New Roman" w:cs="Times New Roman" w:eastAsia="Times New Roman" w:hAnsi="Times New Roman"/>
          <w:sz w:val="18"/>
          <w:szCs w:val="18"/>
          <w:color w:val="auto"/>
        </w:rPr>
      </w:pPr>
    </w:p>
    <w:p>
      <w:pPr>
        <w:ind w:left="1260" w:hanging="439"/>
        <w:spacing w:after="0"/>
        <w:tabs>
          <w:tab w:leader="none" w:pos="1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 of Section 507 of the Indenture is hereby amended by replacing “25%” with “33%”.</w:t>
      </w:r>
    </w:p>
    <w:p>
      <w:pPr>
        <w:spacing w:after="0" w:line="225" w:lineRule="exact"/>
        <w:rPr>
          <w:rFonts w:ascii="Times New Roman" w:cs="Times New Roman" w:eastAsia="Times New Roman" w:hAnsi="Times New Roman"/>
          <w:sz w:val="18"/>
          <w:szCs w:val="18"/>
          <w:color w:val="auto"/>
        </w:rPr>
      </w:pPr>
    </w:p>
    <w:p>
      <w:pPr>
        <w:ind w:left="-160" w:firstLine="436"/>
        <w:spacing w:after="0" w:line="261" w:lineRule="auto"/>
        <w:tabs>
          <w:tab w:leader="none" w:pos="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Subsection (5) of Section 501 of the Indenture shall not be applicable to the Securities of such series and, insofar as Section 501 of the Indenture is applicable to the Securities of such series, subsection (5) of Section 501 of the Indenture is hereby deleted in its entirety and replaced with the following text and any references in the Indenture to subsection (5) of Section 501 thereof shall, insofar as it relates to the Securities of such series, be disregarded,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 [omitted intentionally];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I-A-3</w:t>
      </w:r>
    </w:p>
    <w:p>
      <w:pPr>
        <w:sectPr>
          <w:pgSz w:w="11900" w:h="16838" w:orient="portrait"/>
          <w:cols w:equalWidth="0" w:num="1">
            <w:col w:w="10680"/>
          </w:cols>
          <w:pgMar w:left="600" w:top="270" w:right="61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Certificate Evidencing the Floating Rate Notes due 2028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II</w:t>
      </w:r>
    </w:p>
    <w:p>
      <w:pPr>
        <w:sectPr>
          <w:pgSz w:w="11900" w:h="16838" w:orient="portrait"/>
          <w:cols w:equalWidth="0" w:num="1">
            <w:col w:w="9019"/>
          </w:cols>
          <w:pgMar w:left="1440" w:top="270" w:right="1440" w:bottom="1440" w:gutter="0" w:footer="0" w:header="0"/>
        </w:sectPr>
      </w:pPr>
    </w:p>
    <w:bookmarkStart w:id="37" w:name="page38"/>
    <w:bookmarkEnd w:id="37"/>
    <w:p>
      <w:pPr>
        <w:ind w:right="3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inclusion in Global Securities—] 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inclusion in Global Securities—] UNLESS THIS CERTIFICATE IS PRESENTED BY AN AUTHORIZED REPRESENTATIVE OF THE DEPOSITARY TO THE CORPORATION (AS DEFINED BELOW) OR ITS AGENT FOR REGISTRATION OF TRANSFER, EXCHANGE OR PAYMENT, AND ANY CERTIFICATE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Floating Rate Notes due 2028</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816851 BY4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US816851BY40</w:t>
      </w:r>
    </w:p>
    <w:p>
      <w:pPr>
        <w:spacing w:after="0" w:line="200" w:lineRule="exact"/>
        <w:rPr>
          <w:sz w:val="20"/>
          <w:szCs w:val="20"/>
          <w:color w:val="auto"/>
        </w:rPr>
      </w:pPr>
    </w:p>
    <w:p>
      <w:pPr>
        <w:sectPr>
          <w:pgSz w:w="11900" w:h="16838" w:orient="portrait"/>
          <w:cols w:equalWidth="0" w:num="2">
            <w:col w:w="8380" w:space="720"/>
            <w:col w:w="1920"/>
          </w:cols>
          <w:pgMar w:left="440" w:top="270" w:right="439" w:bottom="1440" w:gutter="0" w:footer="0" w:header="0"/>
          <w:type w:val="continuous"/>
        </w:sectPr>
      </w:pPr>
    </w:p>
    <w:p>
      <w:pPr>
        <w:spacing w:after="0" w:line="20" w:lineRule="exact"/>
        <w:rPr>
          <w:sz w:val="20"/>
          <w:szCs w:val="20"/>
          <w:color w:val="auto"/>
        </w:rPr>
      </w:pPr>
    </w:p>
    <w:p>
      <w:pPr>
        <w:ind w:right="100" w:firstLine="440"/>
        <w:spacing w:after="0" w:line="276" w:lineRule="auto"/>
        <w:rPr>
          <w:sz w:val="20"/>
          <w:szCs w:val="20"/>
          <w:color w:val="auto"/>
        </w:rPr>
      </w:pPr>
      <w:r>
        <w:rPr>
          <w:rFonts w:ascii="Times New Roman" w:cs="Times New Roman" w:eastAsia="Times New Roman" w:hAnsi="Times New Roman"/>
          <w:sz w:val="17"/>
          <w:szCs w:val="17"/>
          <w:color w:val="auto"/>
        </w:rPr>
        <w:t>Sempra, a corporation duly organized and existing under the laws of the State of California (herein called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which term includes any successor Person under the Indenture hereinafter referred to), for value received, hereby promises to pay to ____________________, or registered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principal sum of ____________________ Dollars ($____________________) on January 7, 2028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and to pay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from June 9, 2026 (the “</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or from the most recent date to which interest has been paid or duly provided for, quarterly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arrears on October 7, January 7, April 7 and July 7 in each year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beginning on October 7, 2026, and on the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at a rate per annum equal to Compounded SOFR (as defined on the other side of this Security) plus 67 basis points (the “</w:t>
      </w:r>
      <w:r>
        <w:rPr>
          <w:rFonts w:ascii="Times New Roman" w:cs="Times New Roman" w:eastAsia="Times New Roman" w:hAnsi="Times New Roman"/>
          <w:sz w:val="18"/>
          <w:szCs w:val="18"/>
          <w:u w:val="single" w:color="auto"/>
          <w:color w:val="auto"/>
        </w:rPr>
        <w:t>Margin</w:t>
      </w:r>
      <w:r>
        <w:rPr>
          <w:rFonts w:ascii="Times New Roman" w:cs="Times New Roman" w:eastAsia="Times New Roman" w:hAnsi="Times New Roman"/>
          <w:sz w:val="18"/>
          <w:szCs w:val="18"/>
          <w:color w:val="auto"/>
        </w:rPr>
        <w:t>”) (such 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until the principal hereof is paid or made available for payment, provided that any principal hereof or (to the extent that the payment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interest shall be legally enforceable) interest hereon which is not paid when due shall bear interest at the Applicable Rate from the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such amounts are due until they are paid or made available for payment, and such interest shall be payable on demand.</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(i) on the business day (as defined on the other side of this Security) immediately preceding such Interest Payment Date if this Security is in the form of one or more Global Securities or (ii) the September 22, December 23, March 23, or June 22 (whether or not a business day), as the case may be, immediately preceding such Interest Payment Date if this Security is not in the form of one or more Global Securities. Any such interest not so punctually paid or duly provided for on any Interest Payment Date will forthwith cease to be payable to the Holder on such Regular Record Date by virtue of having been such Holder and may either, at the election of the Corporation,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II-B-2</w:t>
      </w:r>
    </w:p>
    <w:p>
      <w:pPr>
        <w:sectPr>
          <w:pgSz w:w="11900" w:h="16838" w:orient="portrait"/>
          <w:cols w:equalWidth="0" w:num="1">
            <w:col w:w="11020"/>
          </w:cols>
          <w:pgMar w:left="440" w:top="270" w:right="439" w:bottom="1440" w:gutter="0" w:footer="0" w:header="0"/>
          <w:type w:val="continuous"/>
        </w:sectPr>
      </w:pPr>
    </w:p>
    <w:bookmarkStart w:id="38" w:name="page39"/>
    <w:bookmarkEnd w:id="3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principal of and interest on this Security will be made at the office or agency of the Corporation maintained for that purpose in the Borough of Manhattan, The City of New York, in such coin or currency of the United States of America as at the time of payment is legal tender for payment of public and private debts; provided, however, that at the option of the Corporation payment of interest may be made by check mailed to the address of the Person entitled thereto as such address shall appear in the Security Register or by wire transfer at such place and to such account at a banking institution in the United States as may be designated in writing to the Trustee at least 15 days prior to the date for payment by the Person entitled thereto. Notwithstanding the foregoing, so long as the Holder of this Security is the Depositary or its nominee, payment of the principal of and interest on this Security will be made by wire transfer of immediately available funds.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II-B-3</w:t>
      </w:r>
    </w:p>
    <w:p>
      <w:pPr>
        <w:sectPr>
          <w:pgSz w:w="11900" w:h="16838" w:orient="portrait"/>
          <w:cols w:equalWidth="0" w:num="1">
            <w:col w:w="10940"/>
          </w:cols>
          <w:pgMar w:left="440" w:top="270" w:right="51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has caused this instrument to be duly executed.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SEMPRA</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Annex II-B-4</w:t>
      </w:r>
    </w:p>
    <w:p>
      <w:pPr>
        <w:sectPr>
          <w:pgSz w:w="11900" w:h="16838" w:orient="portrait"/>
          <w:cols w:equalWidth="0" w:num="1">
            <w:col w:w="10019"/>
          </w:cols>
          <w:pgMar w:left="440" w:top="27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22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Corporation (herein called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issued and to be issued in one or more series under an Indenture, dated as of February 23, 2000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which term shall have the meaning assigned to it in such instrument), between the Corporation and U.S. Bank Trust Company, National Association, as successor in interest to U.S. Bank National Association, as successor in interest to U.S. Bank Trust National Association, as trustee (herein called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under the Indenture), and reference is hereby made to the Indenture for a statement of the respective rights, limitation of rights, duties and immunities thereunder of the Corporation, the Trustee and the Holders of the Securities and of the terms upon which the Securities are, and are to be, authenticated and delivered. This Security is one of the series designated on the face hereof and is sometimes referred to as “this Security”.</w:t>
      </w:r>
    </w:p>
    <w:p>
      <w:pPr>
        <w:spacing w:after="0" w:line="189"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This Security will bear interest at the Applicable Rate (as defined on the other side of this Security). Interest on this Security will accrue from and including the Original Issue Date to but excluding the first Interest Payment Date. Starting on the first Interest Payment Date, interest on this Security will accrue from and including the last Interest Payment Date on which the Corporation has paid, or duly provided for the payment of, interest on this Security to but excluding the next succeeding Interest Payment Date. No interest will accrue on this Security for the day that this Security matures.</w:t>
      </w:r>
    </w:p>
    <w:p>
      <w:pPr>
        <w:spacing w:after="0" w:line="164"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amount of interest payable for any period will be computed on the basis of a 360-day year and the actual number of days in the Observation Period (as defined below).</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If any Interest Payment Date falls on a day that is not a business day, the Corporation will be required to make the interest payment on the next succeeding business day unless that business day is in the next succeeding calendar month, in which case (other than in the case of the Maturity Date) the Corporation will be required to make the interest payment on the immediately preceding business day. If an interest payment is made on the next succeeding business day, no interest will accrue as a result of the delay in payment. If the Maturity Date of this Security falls on a day that is not a business day, the payment due on such date will be postponed to the next succeeding business day, and no further interest will accrue in respect of such postponement. As used herein, “business day,” when used with respect to any Place of Payment, means a day other than (i) a Saturday or a Sunday or (ii) a day on which banking institutions in that Place of Payment are authorized or obligated by law or executive order to remain closed.</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each Interest Payment Determination Date (as defined below) relating to the applicable Interest Payment Date, the Calculation Agent (as defined below) will calculate the amount of accrued interest payable on this Security by multiplying (i) the outstanding principal amount of this Security by (ii) the product of (a) the interest rate for the relevant Interest Period (as defined below) multiplied by (b) the quotient of the actual number of calendar days in such Observation Period divided by 360. In no event will the interest rate on this Security be less than zero.</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term “Interest Period” means the period commencing on any Interest Payment Date (or, with respect to the initial Interest Period only, commencing on the Original Issue Date) to, but excluding, the next succeeding Interest Payment Date and, in the case of the last such period, the period from and including the Interest Payment Date immediately preceding the Maturity Date to, but excluding, the Maturity Date.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“Compounded SOFR” will be determined by the Calculation Agent in accordance with the following formula (and the resulting percentage will be rounded, if necessary, to the nearest one hundred-thousandth of a percentage point):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Compounded SOFR = ((SOFR IndexEnd / SOFR IndexStart) - 1) × (360 / dc)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“SOFR IndexStart” = For periods other than the initial Interest Period, the SOFR Index value on the preceding Interest Payment Determination Date, and, for the initial Interest Period, the SOFR Index value two United States Government Securities Business Days (as defined below) before the Original Issue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II-B-5</w:t>
      </w:r>
    </w:p>
    <w:p>
      <w:pPr>
        <w:sectPr>
          <w:pgSz w:w="11900" w:h="16838" w:orient="portrait"/>
          <w:cols w:equalWidth="0" w:num="1">
            <w:col w:w="11000"/>
          </w:cols>
          <w:pgMar w:left="440" w:top="268" w:right="459" w:bottom="1440" w:gutter="0" w:footer="0" w:header="0"/>
        </w:sectPr>
      </w:pPr>
    </w:p>
    <w:bookmarkStart w:id="41" w:name="page42"/>
    <w:bookmarkEnd w:id="41"/>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“SOFR IndexEnd” = The SOFR Index value on the Interest Payment Determination Date relating to the applicable Interest Payment Date (or, in the final Interest Period, relating to the Maturity Date);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“dc” is the number of calendar days in the relevant Observation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Compounded SOFR:</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“Interest Payment Determination Date” means the date that is two United States Government Securities Business Days before each Interest Payment Date.</w:t>
      </w:r>
    </w:p>
    <w:p>
      <w:pPr>
        <w:spacing w:after="0" w:line="162" w:lineRule="exact"/>
        <w:rPr>
          <w:sz w:val="20"/>
          <w:szCs w:val="20"/>
          <w:color w:val="auto"/>
        </w:rPr>
      </w:pPr>
    </w:p>
    <w:p>
      <w:pPr>
        <w:jc w:val="both"/>
        <w:ind w:right="360" w:firstLine="440"/>
        <w:spacing w:after="0" w:line="289" w:lineRule="auto"/>
        <w:rPr>
          <w:sz w:val="20"/>
          <w:szCs w:val="20"/>
          <w:color w:val="auto"/>
        </w:rPr>
      </w:pPr>
      <w:r>
        <w:rPr>
          <w:rFonts w:ascii="Times New Roman" w:cs="Times New Roman" w:eastAsia="Times New Roman" w:hAnsi="Times New Roman"/>
          <w:sz w:val="17"/>
          <w:szCs w:val="17"/>
          <w:color w:val="auto"/>
        </w:rPr>
        <w:t>“Observation Period” means, in respect of each Interest Period, the period from, and including, the date that is two United States Government Securities Business Days preceding the first date in such Interest Period to, but excluding, the date that is two United States Government Securities Business Days preceding the Interest Payment Date for such Interest Period (or in the final Interest Period, preceding the Maturity Date).</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“SOFR Index” means, with respect to any United States Government Securities Business Day: (1) the SOFR Index value as published by the SOFR Administrator (as defined below) as such index appears on the SOFR Administrator’s Website at 3:00 p.m. (New York City time) on such United States Government Securities Business Day (the “SOFR Index Determination Time”); provided that: (2) if a SOFR Index value does not so appear as specified in clause (1) above at the SOFR Index Determination Time, then: (i) if a Benchmark Transition Event (as defined below) and its related Benchmark Replacement Date (as defined below) have not occurred with respect to SOFR (as defined below), then Compounded SOFR shall be the rate determined pursuant to the SOFR Index Unavailable Provisions (as defined below); or (ii) if a Benchmark Transition Event and its related Benchmark Replacement Date have occurred with respect to SOFR, then Compounded SOFR shall be the rate determined pursuant to the benchmark replacement provisions described below.</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“SOFR” means the daily secured overnight financing rate as provided by the SOFR Administrator on the SOFR Administrator’s Website.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“SOFR Administrator” means the Federal Reserve Bank of New York (or a successor administrator of SOFR).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“SOFR Administrator’s Website” means the website of the Federal Reserve Bank of New York, currently at http://www.newyorkfed.org, or any successor source.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“SOFR Index Unavailable Provisions” mean, if a SOFR IndexStart or SOFR IndexEnd is not published on the associated Interest Payment Determination Date and a Benchmark Transition Event and its related Benchmark Replacement Date have not occurred with respect to SOFR, then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located at https://www.newyorkfed.org/markets/reference-rates/additional-information-about-reference-rates.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United States Government Securities Business Day for which SOFR was published on the SOFR Administrator’s Website.</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“United States Government Securities Business Day” means any day except for a Saturday, a Sunday or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Security, if the Corporation or its designee (which may be an independent financial advisor or any other designee of the Corporation) (any of such entities, a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determines that a Benchmark Transition Event and its related Benchmark Replacement Date have occurred prior to the Reference Time (as defined below) in respect of any determination of Compounded SOFR or another applicable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II-B-6</w:t>
      </w:r>
    </w:p>
    <w:p>
      <w:pPr>
        <w:sectPr>
          <w:pgSz w:w="11900" w:h="16838" w:orient="portrait"/>
          <w:cols w:equalWidth="0" w:num="1">
            <w:col w:w="11000"/>
          </w:cols>
          <w:pgMar w:left="440" w:top="270" w:right="459" w:bottom="1440" w:gutter="0" w:footer="0" w:header="0"/>
        </w:sectPr>
      </w:pPr>
    </w:p>
    <w:bookmarkStart w:id="42" w:name="page43"/>
    <w:bookmarkEnd w:id="42"/>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(as defined below) on any date, then the benchmark replacement provisions set forth below will thereafter apply to all determinations of the rate of interest payable on this Security and the Benchmark Replacement will replace the then-current Benchmark for all purposes relating to this Security in respect of such determination on such date and all determinations on all subsequent dates. In the event that the Calculation Agent has determined or has been notified that the current designated Benchmark is not available on any Interest Payment Determination Date, then unless the Corporation (or its Designee) has notified the Calculation Agent of a Benchmark Replacement in accordance with the provisions of the Indenture and the terms of this Security within 30 days prior to the next Interest Payment Date, the Calculation Agent shall use the interest rate in effect for the immediately prior Interest Period.</w:t>
      </w:r>
    </w:p>
    <w:p>
      <w:pPr>
        <w:spacing w:after="0" w:line="18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 accordance with the benchmark replacement provisions, after a Benchmark Transition Event and its related Benchmark Replacement Date have occurred, the interest rate for each Interest Period on this Security will be an annual rate equal to the sum of the Benchmark Replacement and the Margin.</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the Corporation (or its Designee) will have the right to make Benchmark Replacement Conforming Changes (as defined below) from time to time.</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determination, decision or election that may be made by the Corporation (or its Designee) with respect to a Benchmark Transition Event,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Corporation (or its Designee’s) sole discretion, and, notwithstanding anything to the contrary in any documentation relating to this Security, shall become effective without consent from the Holders of this Security or any other party.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these benchmark replacement provisions in this Security, the following terms have the following meanings:</w:t>
      </w:r>
    </w:p>
    <w:p>
      <w:pPr>
        <w:spacing w:after="0" w:line="11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“Benchmark”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means the first alternative set forth in the order below that can be determined by the Corporation (or its Designee) as of the Benchmark Replacement Date: (1) the sum of: (a) the alternate rate of interest that has been selected or recommended by the Relevant Governmental Body (as defined below) as the replacement for the then-current Benchmark and (b) the Benchmark Replacement Adjustment; (2) the sum of: (a) the ISDA Fallback Rate (as defined below) and (b) the Benchmark Replacement Adjustment; and (3) the sum of: (a) the alternate rate of interest that has been selected by the Corporation (or its Designee) as the replacement for the then-current Benchmark giving due consideration to any industry-accepted rate of interest as a replacement for the then-current Benchmark for United States dollar denominated floating rate notes at such time and (b) the Benchmark Replacement Adjustment.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the Corporation (or its Designee) as of the Benchmark Replacement Date: (1) the spread adjustment, or method for calculating or determining such spread adjustment (which may be a positive or negative value or zero) that has been selected or recommended by the Relevant Governmental Body for the applicable Unadjusted Benchmark Replacement (as defined below); (2) if the applicable Unadjusted Benchmark Replacement is equivalent to the ISDA Fallback Rate, then the ISDA Fallback Adjustment (as defined below); and (3) the spread adjustment (which may be a positive or negative value or zero) that has been selected by the Corporation (or its Designee) giving due consideration to any industry-accepted spread adjustment, or method for calculating or determining such spread adjustment, for the replacement of the then-current Benchmark with the applicable Unadjusted Benchmark Replacement for United States dollar denominated floating rate notes at such time. The Benchmark Replacement Adjustment shall not include the Margin specified in this Security and such Margin shall be applied to the Benchmark Replacement to determine the interest payable on this Security.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II-B-7</w:t>
      </w:r>
    </w:p>
    <w:p>
      <w:pPr>
        <w:sectPr>
          <w:pgSz w:w="11900" w:h="16838" w:orient="portrait"/>
          <w:cols w:equalWidth="0" w:num="1">
            <w:col w:w="11000"/>
          </w:cols>
          <w:pgMar w:left="440" w:top="270" w:right="459" w:bottom="1440" w:gutter="0" w:footer="0" w:header="0"/>
        </w:sectPr>
      </w:pPr>
    </w:p>
    <w:bookmarkStart w:id="43" w:name="page44"/>
    <w:bookmarkEnd w:id="43"/>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 Conforming Changes” means, with respect to any Benchmark Replacement, any technical, administrative or operational changes (including changes to the definition or interpretation of “Interest Period,” timing and frequency of determining rates and making payments of interest, rounding of amounts or tenor, and other administrative matters), or any other changes to any other terms or provisions of this Security, in each case that the Corporation (or its Designee) decides may be appropriate to reflect the adoption of such Benchmark Replacement in a manner substantially consistent with market practice (or, if the Corporation (or its Designee) decides that adoption of any portion of such market practice is not administratively feasible or if the Corporation (or its Designee) determines that no market practice for use of the Benchmark Replacement exists, in such other manner as the Corporation (or its Designee) determines is reasonably necessary or practicable).</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(2) in the case of clause (3) of the definition of “Benchmark Transition Event,” the date of the public statement or publication of information referenced therein. 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 (including the daily published component used in the calculation thereof): (1) 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(2) 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(3) a public statement or publication of information by the regulatory supervisor for the administrator of the Benchmark announcing that the Benchmark is no longer representative.</w:t>
      </w:r>
    </w:p>
    <w:p>
      <w:pPr>
        <w:spacing w:after="0" w:line="19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“ISDA Definitions” means the 2021 ISDA Definitions published by the International Swaps and Derivatives Association or any successor thereto, as amended or supplemented from time to time, or any successor definitional booklet for interest rate derivatives published from time to time.</w:t>
      </w:r>
    </w:p>
    <w:p>
      <w:pPr>
        <w:spacing w:after="0" w:line="162" w:lineRule="exact"/>
        <w:rPr>
          <w:sz w:val="20"/>
          <w:szCs w:val="20"/>
          <w:color w:val="auto"/>
        </w:rPr>
      </w:pPr>
    </w:p>
    <w:p>
      <w:pPr>
        <w:ind w:right="220" w:firstLine="440"/>
        <w:spacing w:after="0" w:line="312" w:lineRule="auto"/>
        <w:rPr>
          <w:sz w:val="20"/>
          <w:szCs w:val="20"/>
          <w:color w:val="auto"/>
        </w:rPr>
      </w:pPr>
      <w:r>
        <w:rPr>
          <w:rFonts w:ascii="Times New Roman" w:cs="Times New Roman" w:eastAsia="Times New Roman" w:hAnsi="Times New Roman"/>
          <w:sz w:val="17"/>
          <w:szCs w:val="17"/>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40" w:lineRule="exact"/>
        <w:rPr>
          <w:sz w:val="20"/>
          <w:szCs w:val="20"/>
          <w:color w:val="auto"/>
        </w:rPr>
      </w:pPr>
    </w:p>
    <w:p>
      <w:pPr>
        <w:jc w:val="both"/>
        <w:ind w:right="42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“Reference Time” with respect to any determination of the Benchmark means (1) if the Benchmark is Compounded SOFR, the SOFR Index Determination Time, as such time is defined above, and (2) if the Benchmark is not Compounded SOFR, the time determined by the Corporation (or its Designee) in accordance with the Benchmark Replacement Conforming Changes.</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II-B-8</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“Unadjusted Benchmark Replacement” means the Benchmark Replacement excluding the Benchmark Replacement Adjustment.</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Absent wilful misconduct, bad faith or manifest error, the calculation of the applicable interest rate for each Interest Period by the Calculation Agent, or in certain circumstances described above, by the Corporation (or its Designee), will be final and binding on the Corporation, the Trustee and the Holders of this Security.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None of the Trustee, paying agent, registrar or Calculation Agent shall be under any obligation (i) to monitor, determine or verify the unavailability or cessation of SOFR, the SOFR Index or any applicable Benchmark, or whether or when there has occurred, or to give notice to any other transaction party of the occurrence of, any Benchmark Transition Event or related Benchmark Replacement Date, (ii) to select, determine or designate any alternative method, Benchmark Replacement or alternative index, or other successor or replacement alternative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with respect to such alternative method, Benchmark Replacement or alternative index are necessary or advisable, if any, in connection with any of the foregoing.</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None of the Trustee, paying agent, registrar or Calculation Agent shall be (i) liable for any inability, failure or delay on its part to perform any of its duties described in this Security as a result of the unavailability of SOFR, the SOFR Index or other applicable Benchmark Replacement, including as a result of any failure, inability, delay, error or inaccuracy on the part of any other transaction party in providing any direction, instruction, notice or information contemplated by this Security and reasonably required for the performance of such duties or (ii) required to succeed to, assume or otherwise perform any of the Corporation’s duties or the Designee’s duties in connection with the foregoing, or to appoint a successor or replacement in the event of its resignation or removal, or to remove and replace the Corporation or the Designee in the event of a default, breach or failure of performance on the part of the Corporation or the Designee with respect to the duties and obligations under the Indenture and this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“Calculation Agent” means a banking institution or trust company appointed by the Corporation to act as calculation agent, initially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Trust Company, National Association.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is not subject to optional redemption by the Corporation prior to maturity.</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the Securities of this series upon compliance with certain conditions set forth in the Indenture.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Securities of this series shall occur and be continuing, the principal of and accrued and unpaid interest, if any, on the Securities of this series may be declared due and payable in the manner and with the effect provided in the Indenture.</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Corporation and the rights of the Holders of the Securities of each series affected under the Indenture at any time by the Corporation and the Trustee with the consent of the Holders of a majority in principal amount of the Securities of each series at the time Outstanding affected thereby. The Indenture contains provisions permitting the Holders of not less than a majority in principal amount of the Securities of any series at the time Outstanding with respect to which a default under the Indenture shall have occurred and be continuing, on behalf of the Holders of all Securities of such series, to waive, with certain exceptions, such past default with respect to such series and its consequences. The Indenture also permits the Holders of not less than a majority in principal amount of the Securities of any series at the time Outstanding, on behalf of the Holders of all Securities of such series, to waive compliance by the Corporation with certain provisions of the Indenture.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II-B-9</w:t>
      </w:r>
    </w:p>
    <w:p>
      <w:pPr>
        <w:sectPr>
          <w:pgSz w:w="11900" w:h="16838" w:orient="portrait"/>
          <w:cols w:equalWidth="0" w:num="1">
            <w:col w:w="10980"/>
          </w:cols>
          <w:pgMar w:left="440" w:top="270" w:right="479" w:bottom="1440" w:gutter="0" w:footer="0" w:header="0"/>
        </w:sectPr>
      </w:pPr>
    </w:p>
    <w:bookmarkStart w:id="45" w:name="page46"/>
    <w:bookmarkEnd w:id="4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provided in and subject to the provisions of the Indenture, the Holder of this Security shall not have the right to institute any proceeding, judicial or otherwise,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such Holder or Holders shall have offered the Trustee reasonable indemnity against the costs, expenses and liabilities to be incurred in compliance with such request, the Trustee for 60 days after its receipt of such notice, request and offer of indemnity has failed to institute any such proceeding, and no direction inconsistent with such written request has been given to the Trustee during such 60-day period by the Holders of a majority in principal amount of the Outstanding Securities of this series. The foregoing shall not apply to any suit instituted by the Holder of this Security for the enforcement of any payment of principal hereof or interest hereon on or after the respective due dates expressed herein.</w:t>
      </w:r>
    </w:p>
    <w:p>
      <w:pPr>
        <w:spacing w:after="0" w:line="194"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Corporation, which is absolute and unconditional, to pay the principal of and interest on this Security at the times, place and rate, and in the coin or currency, herein prescribed.</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As provided in the Indenture and subject to certain limitations therein set forth, the transfer of this Security is registrable in the Security Register, upon surrender of this Security for registration of transfer at the office or agency of the Corporation in any place where the principal of and any interest on this Security are payable, duly endorsed by, or accompanied by a written instrument of transfer in form satisfactory to the Corporation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Corporation may require payment of a sum sufficient to cover any tax or other governmental charge payable in connection therewith, subject to certain exceptions set forth in the Indenture.</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Corporation, the Trustee and any agent of the Corporation or the Trustee may treat the Person in whose name this Security is registered as the owner hereof for all purposes, whether or not this Security be overdue, and neither the Corporation, the Trustee nor any such agent shall be affected by notice to the contrary.</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 without regard to conflict of law principles thereof.</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All terms used in this Security which are defined in the Indenture and not defined herein shall have the meanings assigned to them in the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II-B-10</w:t>
      </w:r>
    </w:p>
    <w:p>
      <w:pPr>
        <w:sectPr>
          <w:pgSz w:w="11900" w:h="16838" w:orient="portrait"/>
          <w:cols w:equalWidth="0" w:num="1">
            <w:col w:w="11000"/>
          </w:cols>
          <w:pgMar w:left="440" w:top="270" w:right="45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488 8th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 92101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+1.858.523.5400 Fax: +1.858.523.5450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www.lw.com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2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Seoul</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Tel Aviv</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7"/>
          <w:szCs w:val="17"/>
          <w:color w:val="auto"/>
        </w:rPr>
        <w:t>Tokyo</w:t>
      </w:r>
    </w:p>
    <w:p>
      <w:pPr>
        <w:spacing w:after="0" w:line="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Madrid</w:t>
      </w:r>
      <w:r>
        <w:rPr>
          <w:sz w:val="20"/>
          <w:szCs w:val="20"/>
          <w:color w:val="auto"/>
        </w:rPr>
        <w:tab/>
      </w:r>
      <w:r>
        <w:rPr>
          <w:rFonts w:ascii="Times New Roman" w:cs="Times New Roman" w:eastAsia="Times New Roman" w:hAnsi="Times New Roman"/>
          <w:sz w:val="18"/>
          <w:szCs w:val="18"/>
          <w:color w:val="auto"/>
        </w:rPr>
        <w:t>Washington, D.C.</w:t>
      </w:r>
    </w:p>
    <w:p>
      <w:pPr>
        <w:spacing w:after="0" w:line="1160" w:lineRule="exact"/>
        <w:rPr>
          <w:sz w:val="20"/>
          <w:szCs w:val="20"/>
          <w:color w:val="auto"/>
        </w:rPr>
      </w:pPr>
    </w:p>
    <w:p>
      <w:pPr>
        <w:sectPr>
          <w:pgSz w:w="11900" w:h="16838" w:orient="portrait"/>
          <w:cols w:equalWidth="0" w:num="2">
            <w:col w:w="6780" w:space="720"/>
            <w:col w:w="3520"/>
          </w:cols>
          <w:pgMar w:left="440" w:top="117" w:right="439" w:bottom="1440" w:gutter="0" w:footer="0" w:header="0"/>
        </w:sectPr>
      </w:pPr>
    </w:p>
    <w:p>
      <w:pPr>
        <w:spacing w:after="0" w:line="45" w:lineRule="exact"/>
        <w:rPr>
          <w:sz w:val="20"/>
          <w:szCs w:val="20"/>
          <w:color w:val="auto"/>
        </w:rPr>
      </w:pPr>
    </w:p>
    <w:p>
      <w:pPr>
        <w:ind w:left="1420" w:right="200" w:hanging="43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No. 333-295948 - Issuance of $1,000,000,000 aggregate principal amount of Sempra’s Floating Rate Notes due 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special counsel to Sempra, a California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Company’s issuance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$1,000,000,000 aggregate principal amount of the Company’s Floating Rate Notes due 2028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under an Indenture, dated as of February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between the Company and U.S. Bank Trust Company, National Association, as successor trustee to U.S. Bank National Association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and an officers’ certificate, dated June 9, 2026, setting forth the terms of the Notes (together,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and pursuant to a registration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May 15, 2026 (Registration No. 333-295948) (as so filed,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an underwriting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 between the underwriters named therein and the Company.</w:t>
      </w:r>
    </w:p>
    <w:p>
      <w:pPr>
        <w:spacing w:after="0" w:line="20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Notes.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w:t>
      </w:r>
    </w:p>
    <w:p>
      <w:pPr>
        <w:sectPr>
          <w:pgSz w:w="11900" w:h="16838" w:orient="portrait"/>
          <w:cols w:equalWidth="0" w:num="1">
            <w:col w:w="11020"/>
          </w:cols>
          <w:pgMar w:left="440" w:top="117"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9,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13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We are opining as to the internal laws of the State of New York and the general corporation law of the State of California, and we express no opinion with respect to the applicability to the opinion expressed herein, or the effect thereon, of the laws of any other jurisdiction or, in the case of California, any other laws, or as to any matters of municipal law or the laws of any local agencies within any state.</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the Notes have been duly authorized by all necessary corporate action of the Company and are the legally valid and binding obligations of the Company, enforceable against the Company in accordance with their terms.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opinion is subject to: (i) the effects of bankruptcy, insolvency, reorganization, preference, fraudulent transfer, moratorium or other similar laws relating to or affecting the rights or remedies of creditors; (ii) the effects of general principles of equity, whether considered in a proceeding in equity or at law (including the possible unavailability of specific performance or injunctive relief), concepts of materiality, reasonableness, good faith, fair dealing and the discretion of the court before which a proceeding is brought; (iii) the invalidity under certain circumstances under law or court decisions of provisions for the indemnification or exculpation of, or contribution to, a party with respect to a liability where such indemnification, exculpation or contribution is contrary to public policy; and (iv) we express no opinion with respect to (a) consents to, or restrictions upon, governing law, jurisdiction, venue, service of process, arbitration, remedies or judicial relief, (b) advance waivers of claims, defenses, rights granted by law, or notice, opportunity for hearing, evidentiary requirements, statutes of limitation, trial by jury or at law, or other procedural rights, (c) waivers of rights or defenses contained in Section 515 of the Indenture, and waivers of broadly or vaguely stated rights, (d) provisions for exclusivity, election or cumulation of rights or remedies, (e) provisions authorizing or validating conclusive or discretionary determinations, (f) provisions for the payment of attorneys’ fees where such payment is contrary to law or public policy and we call to your attention the provisions of Sections 1717 and 1717.5 of the California Civil Code, which limit and create obligations for the payment of attorneys’ fees, (g) provisions prohibiting, restricting, or requiring consent to assignment or transfer of any agreement, right or property, or the effect thereon of California Civil Code Section 711, (h) provisions for liquidated damages, default interest, late charges, monetary penalties, prepayment or make-whole premiums or other economic remedies to the extent such provisions are deemed to constitute a penalty, (i) provisions permitting, upon acceleration of any indebtedness (including the Notes), collection of that portion of the stated principal amount thereof which might be determined to constitute unearned interest thereon, and (j) the severability, if invalid, of provisions to the foregoing effect.</w:t>
      </w:r>
    </w:p>
    <w:p>
      <w:pPr>
        <w:spacing w:after="0" w:line="19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 your consent, except to the extent we have expressly opined as to such matters with respect to the Company herein, we have assumed (a) that the Indenture and the Notes (collectively,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have been duly authorized, executed and delivered by the parties thereto, (b) that the Documents constitute legally valid and binding obligations of the parties thereto,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ectPr>
          <w:pgSz w:w="11900" w:h="16838" w:orient="portrait"/>
          <w:cols w:equalWidth="0" w:num="1">
            <w:col w:w="11000"/>
          </w:cols>
          <w:pgMar w:left="440" w:top="266"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9,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13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filed June 9, 2026 and to the reference to our firm contained in the prospectus for the offering of the Notes under the heading “Legal Matters.” In giving such consent, we do not thereby admit that we are in the category of persons whose consent is required under Section 7 of the Act or the rules and regulations of the Commission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Latham &amp; Watkins LLP</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4"/>
    </w:lvl>
  </w:abstractNum>
  <w:abstractNum w:abstractNumId="2">
    <w:nsid w:val="257130A3"/>
    <w:multiLevelType w:val="hybridMultilevel"/>
    <w:lvl w:ilvl="0">
      <w:lvlJc w:val="left"/>
      <w:lvlText w:val="%1."/>
      <w:numFmt w:val="decimal"/>
      <w:start w:val="1"/>
    </w:lvl>
    <w:lvl w:ilvl="1">
      <w:lvlJc w:val="left"/>
      <w:lvlText w:val="(%2)"/>
      <w:numFmt w:val="lowerLetter"/>
      <w:start w:val="1"/>
    </w:lvl>
  </w:abstractNum>
  <w:abstractNum w:abstractNumId="3">
    <w:nsid w:val="62BBD95A"/>
    <w:multiLevelType w:val="hybridMultilevel"/>
    <w:lvl w:ilvl="0">
      <w:lvlJc w:val="left"/>
      <w:lvlText w:val="(%1)"/>
      <w:numFmt w:val="lowerLetter"/>
      <w:start w:val="4"/>
    </w:lvl>
  </w:abstractNum>
  <w:abstractNum w:abstractNumId="4">
    <w:nsid w:val="436C6125"/>
    <w:multiLevelType w:val="hybridMultilevel"/>
    <w:lvl w:ilvl="0">
      <w:lvlJc w:val="left"/>
      <w:lvlText w:val="(%1)"/>
      <w:numFmt w:val="lowerLetter"/>
      <w:start w:val="6"/>
    </w:lvl>
  </w:abstractNum>
  <w:abstractNum w:abstractNumId="5">
    <w:nsid w:val="628C895D"/>
    <w:multiLevelType w:val="hybridMultilevel"/>
    <w:lvl w:ilvl="0">
      <w:lvlJc w:val="left"/>
      <w:lvlText w:val="%1"/>
      <w:numFmt w:val="lowerLetter"/>
      <w:start w:val="1"/>
    </w:lvl>
    <w:lvl w:ilvl="1">
      <w:lvlJc w:val="left"/>
      <w:lvlText w:val="(%2)"/>
      <w:numFmt w:val="lowerLetter"/>
      <w:start w:val="10"/>
    </w:lvl>
  </w:abstractNum>
  <w:abstractNum w:abstractNumId="6">
    <w:nsid w:val="333AB105"/>
    <w:multiLevelType w:val="hybridMultilevel"/>
    <w:lvl w:ilvl="0">
      <w:lvlJc w:val="left"/>
      <w:lvlText w:val="(%1)"/>
      <w:numFmt w:val="lowerLetter"/>
      <w:start w:val="35"/>
    </w:lvl>
    <w:lvl w:ilvl="1">
      <w:lvlJc w:val="left"/>
      <w:lvlText w:val="%2"/>
      <w:numFmt w:val="lowerLetter"/>
      <w:start w:val="1"/>
    </w:lvl>
  </w:abstractNum>
  <w:abstractNum w:abstractNumId="7">
    <w:nsid w:val="721DA317"/>
    <w:multiLevelType w:val="hybridMultilevel"/>
    <w:lvl w:ilvl="0">
      <w:lvlJc w:val="left"/>
      <w:lvlText w:val="(%1)"/>
      <w:numFmt w:val="lowerLetter"/>
      <w:start w:val="13"/>
    </w:lvl>
  </w:abstractNum>
  <w:abstractNum w:abstractNumId="8">
    <w:nsid w:val="2443A858"/>
    <w:multiLevelType w:val="hybridMultilevel"/>
    <w:lvl w:ilvl="0">
      <w:lvlJc w:val="left"/>
      <w:lvlText w:val="(%1)"/>
      <w:numFmt w:val="lowerLetter"/>
      <w:start w:val="19"/>
    </w:lvl>
  </w:abstractNum>
  <w:abstractNum w:abstractNumId="9">
    <w:nsid w:val="2D1D5AE9"/>
    <w:multiLevelType w:val="hybridMultilevel"/>
    <w:lvl w:ilvl="0">
      <w:lvlJc w:val="left"/>
      <w:lvlText w:val="(%1)"/>
      <w:numFmt w:val="lowerRoman"/>
      <w:start w:val="5"/>
    </w:lvl>
  </w:abstractNum>
  <w:abstractNum w:abstractNumId="10">
    <w:nsid w:val="6763845E"/>
    <w:multiLevelType w:val="hybridMultilevel"/>
    <w:lvl w:ilvl="0">
      <w:lvlJc w:val="left"/>
      <w:lvlText w:val="(%1)"/>
      <w:numFmt w:val="lowerLetter"/>
      <w:start w:val="23"/>
    </w:lvl>
  </w:abstractNum>
  <w:abstractNum w:abstractNumId="11">
    <w:nsid w:val="75A2A8D4"/>
    <w:multiLevelType w:val="hybridMultilevel"/>
    <w:lvl w:ilvl="0">
      <w:lvlJc w:val="left"/>
      <w:lvlText w:val="(%1)"/>
      <w:numFmt w:val="lowerLetter"/>
      <w:start w:val="27"/>
    </w:lvl>
  </w:abstractNum>
  <w:abstractNum w:abstractNumId="12">
    <w:nsid w:val="8EDBDAB"/>
    <w:multiLevelType w:val="hybridMultilevel"/>
    <w:lvl w:ilvl="0">
      <w:lvlJc w:val="left"/>
      <w:lvlText w:val="%1."/>
      <w:numFmt w:val="decimal"/>
      <w:start w:val="2"/>
    </w:lvl>
  </w:abstractNum>
  <w:abstractNum w:abstractNumId="13">
    <w:nsid w:val="79838CB2"/>
    <w:multiLevelType w:val="hybridMultilevel"/>
    <w:lvl w:ilvl="0">
      <w:lvlJc w:val="left"/>
      <w:lvlText w:val="%1."/>
      <w:numFmt w:val="decimal"/>
      <w:start w:val="5"/>
    </w:lvl>
    <w:lvl w:ilvl="1">
      <w:lvlJc w:val="left"/>
      <w:lvlText w:val="(%2)"/>
      <w:numFmt w:val="lowerLetter"/>
      <w:start w:val="1"/>
    </w:lvl>
  </w:abstractNum>
  <w:abstractNum w:abstractNumId="14">
    <w:nsid w:val="4353D0CD"/>
    <w:multiLevelType w:val="hybridMultilevel"/>
    <w:lvl w:ilvl="0">
      <w:lvlJc w:val="left"/>
      <w:lvlText w:val="%1"/>
      <w:numFmt w:val="lowerLetter"/>
      <w:start w:val="1"/>
    </w:lvl>
    <w:lvl w:ilvl="1">
      <w:lvlJc w:val="left"/>
      <w:lvlText w:val="(%2)"/>
      <w:numFmt w:val="lowerLetter"/>
      <w:start w:val="4"/>
    </w:lvl>
  </w:abstractNum>
  <w:abstractNum w:abstractNumId="15">
    <w:nsid w:val="B03E0C6"/>
    <w:multiLevelType w:val="hybridMultilevel"/>
    <w:lvl w:ilvl="0">
      <w:lvlJc w:val="left"/>
      <w:lvlText w:val="(%1)"/>
      <w:numFmt w:val="lowerLetter"/>
      <w:start w:val="9"/>
    </w:lvl>
    <w:lvl w:ilvl="1">
      <w:lvlJc w:val="left"/>
      <w:lvlText w:val="%2"/>
      <w:numFmt w:val="lowerLetter"/>
      <w:start w:val="1"/>
    </w:lvl>
  </w:abstractNum>
  <w:abstractNum w:abstractNumId="16">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7">
    <w:nsid w:val="54E49EB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8">
    <w:nsid w:val="71F32454"/>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19">
    <w:nsid w:val="2CA88611"/>
    <w:multiLevelType w:val="hybridMultilevel"/>
    <w:lvl w:ilvl="0">
      <w:lvlJc w:val="left"/>
      <w:lvlText w:val="%1."/>
      <w:numFmt w:val="decimal"/>
      <w:start w:val="7"/>
    </w:lvl>
    <w:lvl w:ilvl="1">
      <w:lvlJc w:val="left"/>
      <w:lvlText w:val="(%2)"/>
      <w:numFmt w:val="lowerLetter"/>
      <w:start w:val="1"/>
    </w:lvl>
  </w:abstractNum>
  <w:abstractNum w:abstractNumId="20">
    <w:nsid w:val="836C40E"/>
    <w:multiLevelType w:val="hybridMultilevel"/>
    <w:lvl w:ilvl="0">
      <w:lvlJc w:val="left"/>
      <w:lvlText w:val="(%1)"/>
      <w:numFmt w:val="lowerLetter"/>
      <w:start w:val="6"/>
    </w:lvl>
  </w:abstractNum>
  <w:abstractNum w:abstractNumId="21">
    <w:nsid w:val="2901D82"/>
    <w:multiLevelType w:val="hybridMultilevel"/>
    <w:lvl w:ilvl="0">
      <w:lvlJc w:val="left"/>
      <w:lvlText w:val="%1"/>
      <w:numFmt w:val="decimal"/>
      <w:start w:val="1"/>
    </w:lvl>
    <w:lvl w:ilvl="1">
      <w:lvlJc w:val="left"/>
      <w:lvlText w:val="(%2)"/>
      <w:numFmt w:val="lowerLetter"/>
      <w:start w:val="10"/>
    </w:lvl>
  </w:abstractNum>
  <w:abstractNum w:abstractNumId="22">
    <w:nsid w:val="3A95F874"/>
    <w:multiLevelType w:val="hybridMultilevel"/>
    <w:lvl w:ilvl="0">
      <w:lvlJc w:val="left"/>
      <w:lvlText w:val="%1."/>
      <w:numFmt w:val="decimal"/>
      <w:start w:val="8"/>
    </w:lvl>
    <w:lvl w:ilvl="1">
      <w:lvlJc w:val="left"/>
      <w:lvlText w:val="(%2)"/>
      <w:numFmt w:val="lowerLetter"/>
      <w:start w:val="2"/>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lowerLetter"/>
      <w:start w:val="4"/>
    </w:lvl>
  </w:abstractNum>
  <w:abstractNum w:abstractNumId="25">
    <w:nsid w:val="7C3DBD3D"/>
    <w:multiLevelType w:val="hybridMultilevel"/>
    <w:lvl w:ilvl="0">
      <w:lvlJc w:val="left"/>
      <w:lvlText w:val="%1"/>
      <w:numFmt w:val="decimal"/>
      <w:start w:val="1"/>
    </w:lvl>
    <w:lvl w:ilvl="1">
      <w:lvlJc w:val="left"/>
      <w:lvlText w:val="(%2)"/>
      <w:numFmt w:val="lowerLetter"/>
      <w:start w:val="5"/>
    </w:lvl>
  </w:abstractNum>
  <w:abstractNum w:abstractNumId="26">
    <w:nsid w:val="737B8DDC"/>
    <w:multiLevelType w:val="hybridMultilevel"/>
    <w:lvl w:ilvl="0">
      <w:lvlJc w:val="left"/>
      <w:lvlText w:val="%1."/>
      <w:numFmt w:val="decimal"/>
      <w:start w:val="9"/>
    </w:lvl>
    <w:lvl w:ilvl="1">
      <w:lvlJc w:val="left"/>
      <w:lvlText w:val="(%2)"/>
      <w:numFmt w:val="lowerLetter"/>
      <w:start w:val="2"/>
    </w:lvl>
  </w:abstractNum>
  <w:abstractNum w:abstractNumId="27">
    <w:nsid w:val="6CEAF087"/>
    <w:multiLevelType w:val="hybridMultilevel"/>
    <w:lvl w:ilvl="0">
      <w:lvlJc w:val="left"/>
      <w:lvlText w:val="%1."/>
      <w:numFmt w:val="decimal"/>
      <w:start w:val="10"/>
    </w:lvl>
  </w:abstractNum>
  <w:abstractNum w:abstractNumId="28">
    <w:nsid w:val="22221A70"/>
    <w:multiLevelType w:val="hybridMultilevel"/>
    <w:lvl w:ilvl="0">
      <w:lvlJc w:val="left"/>
      <w:lvlText w:val="%1."/>
      <w:numFmt w:val="decimal"/>
      <w:start w:val="13"/>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decimal"/>
      <w:start w:val="16"/>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5"/>
    </w:lvl>
  </w:abstractNum>
  <w:abstractNum w:abstractNumId="35">
    <w:nsid w:val="5072367"/>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2026-06-09T15:24:39Z</dcterms:created>
  <dcterms:modified xsi:type="dcterms:W3CDTF">2026-06-09T15:24:39Z</dcterms:modified>
</cp:coreProperties>
</file>