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70436dfwp.htm"/>
      <w:bookmarkStart w:id="1" w:name="ksd170436dfwp"/>
      <w:bookmarkEnd w:id="0"/>
      <w:bookmarkEnd w:id="1"/>
      <w:r>
        <w:rPr>
          <w:rFonts w:ascii="Times New Roman" w:hAnsi="Times New Roman"/>
          <w:sz w:val="20"/>
        </w:rPr>
        <w:t xml:space="preserve">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333-295219 </w:t>
      </w:r>
    </w:p>
    <w:p>
      <w:pPr>
        <w:pStyle w:val="TextBody"/>
        <w:bidi w:val="0"/>
        <w:spacing w:before="48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240" w:after="0"/>
        <w:jc w:val="center"/>
        <w:rPr>
          <w:rFonts w:ascii="Times New Roman" w:hAnsi="Times New Roman"/>
          <w:sz w:val="20"/>
        </w:rPr>
      </w:pPr>
      <w:r>
        <w:rPr>
          <w:rFonts w:ascii="Times New Roman" w:hAnsi="Times New Roman"/>
          <w:sz w:val="20"/>
        </w:rPr>
        <w:t xml:space="preserve">Final Term Sheet </w:t>
      </w:r>
    </w:p>
    <w:p>
      <w:pPr>
        <w:pStyle w:val="TextBody"/>
        <w:bidi w:val="0"/>
        <w:spacing w:before="0" w:after="0"/>
        <w:jc w:val="center"/>
        <w:rPr>
          <w:rFonts w:ascii="Times New Roman" w:hAnsi="Times New Roman"/>
          <w:sz w:val="20"/>
        </w:rPr>
      </w:pPr>
      <w:r>
        <w:rPr>
          <w:rFonts w:ascii="Times New Roman" w:hAnsi="Times New Roman"/>
          <w:sz w:val="20"/>
        </w:rPr>
        <w:t xml:space="preserve">August 17, 2026 </w:t>
      </w:r>
    </w:p>
    <w:p>
      <w:pPr>
        <w:pStyle w:val="TextBody"/>
        <w:bidi w:val="0"/>
        <w:spacing w:before="240" w:after="0"/>
        <w:jc w:val="center"/>
        <w:rPr>
          <w:rFonts w:ascii="Times New Roman" w:hAnsi="Times New Roman"/>
          <w:sz w:val="20"/>
        </w:rPr>
      </w:pPr>
      <w:r>
        <w:rPr>
          <w:rFonts w:ascii="Times New Roman" w:hAnsi="Times New Roman"/>
          <w:sz w:val="20"/>
        </w:rPr>
        <w:t xml:space="preserve">5.500% First Mortgage Bonds, Series GGG, due 2036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securities described below and should be read together with Southern California Gas Company’s preliminary prospectus supplement dated August 17, 2026 (the “Preliminary Prospectus Supplement”), the accompanying prospectus dated April 21, 2026 and the documents incorporated and deemed to be incorporated by reference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3"/>
        <w:gridCol w:w="120"/>
        <w:gridCol w:w="4922"/>
      </w:tblGrid>
      <w:tr>
        <w:trPr/>
        <w:tc>
          <w:tcPr>
            <w:tcW w:w="5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Southern California Gas Company (the “Company”)</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Anticipated Ratings*:</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Aa3 (stable) by Moody’s Investors Service, Inc.</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 (stable) by S&amp;P Global Ratings</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AA- (stable) by Fitch Ratings, Inc.</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August 17, 2026</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August 21, 2026 (T+4)</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Securities Offered: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5.500% First Mortgage Bonds, Series GGG, due 2036 (the “Bonds”)</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Aggregate Principal Amount Offered: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$500,000,000</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March 1 and September 1, commencing March 1, 2027</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5.500% per annum, accruing from August 21, 2026</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September 1, 2036</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5.578%</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+85 basis points</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4.625% due August 15, 2036</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Benchmark Treasury Yield: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4.728%</w:t>
            </w:r>
          </w:p>
        </w:tc>
      </w:tr>
      <w:tr>
        <w:trPr>
          <w:trHeight w:val="120" w:hRule="atLeast"/>
        </w:trPr>
        <w:tc>
          <w:tcPr>
            <w:tcW w:w="5163" w:type="dxa"/>
            <w:tcBorders/>
            <w:vAlign w:val="center"/>
          </w:tcPr>
          <w:p>
            <w:pPr>
              <w:pStyle w:val="TableContents"/>
              <w:bidi w:val="0"/>
              <w:spacing w:before="0" w:after="283"/>
              <w:jc w:val="left"/>
              <w:rPr>
                <w:sz w:val="4"/>
                <w:szCs w:val="4"/>
              </w:rPr>
            </w:pPr>
            <w:r>
              <w:rPr>
                <w:sz w:val="4"/>
                <w:szCs w:val="4"/>
              </w:rPr>
            </w:r>
          </w:p>
        </w:tc>
        <w:tc>
          <w:tcPr>
            <w:tcW w:w="5042" w:type="dxa"/>
            <w:gridSpan w:val="2"/>
            <w:tcBorders/>
            <w:vAlign w:val="center"/>
          </w:tcPr>
          <w:p>
            <w:pPr>
              <w:pStyle w:val="TableContents"/>
              <w:bidi w:val="0"/>
              <w:spacing w:before="0" w:after="283"/>
              <w:jc w:val="left"/>
              <w:rPr>
                <w:sz w:val="4"/>
                <w:szCs w:val="4"/>
              </w:rPr>
            </w:pPr>
            <w:r>
              <w:rPr>
                <w:sz w:val="4"/>
                <w:szCs w:val="4"/>
              </w:rPr>
            </w:r>
          </w:p>
        </w:tc>
      </w:tr>
      <w:tr>
        <w:trPr/>
        <w:tc>
          <w:tcPr>
            <w:tcW w:w="5163" w:type="dxa"/>
            <w:tcBorders/>
          </w:tcPr>
          <w:p>
            <w:pPr>
              <w:pStyle w:val="TableContents"/>
              <w:bidi w:val="0"/>
              <w:spacing w:before="0" w:after="283"/>
              <w:jc w:val="left"/>
              <w:rPr/>
            </w:pPr>
            <w:r>
              <w:rPr/>
              <w:t>Optional Redemption Provision:</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At the Company’s option, prior to June 1, 2036 (the “Par Call Date”), make-whole call at Treasury Rate (as defined in the Preliminary Prospectus Supplement) +15 basis points. At the Company’s option, on and after the Par Call Date, at 100% of the principal amount. See the Preliminary Prospectus Supplement for the definition of “Treasury Rate” and for further terms and provisions applicable to optional redemption.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64"/>
        <w:gridCol w:w="121"/>
        <w:gridCol w:w="4920"/>
      </w:tblGrid>
      <w:tr>
        <w:trPr/>
        <w:tc>
          <w:tcPr>
            <w:tcW w:w="51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99.405%, plus accrued interest, if any</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CUSIP:</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842434 DF6</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ISIN:</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US842434DF68</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Total Net Proceeds:</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Approximately $493.8 million, after deducting the underwriting discount but before deducting the estimated offering expenses payable by the Company.</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Joint Book-Running Managers:</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Barclays Capital Inc.</w:t>
            </w:r>
          </w:p>
        </w:tc>
      </w:tr>
      <w:tr>
        <w:trPr/>
        <w:tc>
          <w:tcPr>
            <w:tcW w:w="51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Credit Agricole Securities (USA) Inc.</w:t>
            </w:r>
          </w:p>
        </w:tc>
      </w:tr>
      <w:tr>
        <w:trPr/>
        <w:tc>
          <w:tcPr>
            <w:tcW w:w="51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MUFG Securities Americas Inc.</w:t>
            </w:r>
          </w:p>
        </w:tc>
      </w:tr>
      <w:tr>
        <w:trPr/>
        <w:tc>
          <w:tcPr>
            <w:tcW w:w="51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TD Securities (USA) LLC</w:t>
            </w:r>
          </w:p>
        </w:tc>
      </w:tr>
      <w:tr>
        <w:trPr/>
        <w:tc>
          <w:tcPr>
            <w:tcW w:w="51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Penserra Securities LLC</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5041" w:type="dxa"/>
            <w:gridSpan w:val="2"/>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pPr>
            <w:r>
              <w:rPr/>
              <w:t>Co-Managers:</w:t>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Blaylock Van, LLC</w:t>
            </w:r>
          </w:p>
        </w:tc>
      </w:tr>
      <w:tr>
        <w:trPr/>
        <w:tc>
          <w:tcPr>
            <w:tcW w:w="51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20" w:type="dxa"/>
            <w:tcBorders/>
          </w:tcPr>
          <w:p>
            <w:pPr>
              <w:pStyle w:val="TableContents"/>
              <w:bidi w:val="0"/>
              <w:spacing w:before="0" w:after="283"/>
              <w:jc w:val="left"/>
              <w:rPr/>
            </w:pPr>
            <w:r>
              <w:rPr/>
              <w:t>MFR Securities,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Note: A securities rating is not a recommendation to buy, sell or hold securities and is subject to revision or withdrawal at any time.</w:t>
            </w:r>
            <w:r>
              <w:rPr>
                <w:rFonts w:ascii="Times New Roman" w:hAnsi="Times New Roman"/>
                <w:sz w:val="20"/>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U.S. Securities and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Barclays Capital Inc. toll-free at 1-888-603-5847, by calling Credit Agricole Securities (USA) Inc. toll-free at 1-866-807-6030, by calling MUFG Securities Americas Inc. toll-free at 1-877-649-6848 or by calling TD Securities (USA) LLC at 1-855-495-9846. </w:t>
      </w:r>
    </w:p>
    <w:p>
      <w:pPr>
        <w:pStyle w:val="TextBody"/>
        <w:bidi w:val="0"/>
        <w:spacing w:before="240" w:after="0"/>
        <w:jc w:val="left"/>
        <w:rPr>
          <w:rFonts w:ascii="Times New Roman" w:hAnsi="Times New Roman"/>
          <w:b/>
          <w:sz w:val="20"/>
        </w:rPr>
      </w:pPr>
      <w:r>
        <w:rPr>
          <w:rFonts w:ascii="Times New Roman" w:hAnsi="Times New Roman"/>
          <w:b/>
          <w:sz w:val="20"/>
        </w:rPr>
        <w:t xml:space="preserve">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520</Words>
  <Characters>3008</Characters>
  <CharactersWithSpaces>3536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