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989330</wp:posOffset>
            </wp:positionH>
            <wp:positionV relativeFrom="page">
              <wp:posOffset>680720</wp:posOffset>
            </wp:positionV>
            <wp:extent cx="55911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91175" cy="26035"/>
                    </a:xfrm>
                    <a:prstGeom prst="rect">
                      <a:avLst/>
                    </a:prstGeom>
                    <a:noFill/>
                  </pic:spPr>
                </pic:pic>
              </a:graphicData>
            </a:graphic>
          </wp:anchor>
        </w:drawing>
        <w:drawing>
          <wp:anchor simplePos="0" relativeHeight="251657728" behindDoc="1" locked="0" layoutInCell="0" allowOverlap="1">
            <wp:simplePos x="0" y="0"/>
            <wp:positionH relativeFrom="page">
              <wp:posOffset>989330</wp:posOffset>
            </wp:positionH>
            <wp:positionV relativeFrom="page">
              <wp:posOffset>749300</wp:posOffset>
            </wp:positionV>
            <wp:extent cx="5591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91175" cy="8890"/>
                    </a:xfrm>
                    <a:prstGeom prst="rect">
                      <a:avLst/>
                    </a:prstGeom>
                    <a:noFill/>
                  </pic:spPr>
                </pic:pic>
              </a:graphicData>
            </a:graphic>
          </wp:anchor>
        </w:drawing>
        <w:t>UNITED STATES</w:t>
      </w:r>
    </w:p>
    <w:p>
      <w:pPr>
        <w:spacing w:after="0" w:line="15"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SECURITIES AND EXCHANGE COMMISSION</w:t>
      </w:r>
    </w:p>
    <w:p>
      <w:pPr>
        <w:jc w:val="center"/>
        <w:ind w:right="100"/>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50"/>
        </w:trPr>
        <w:tc>
          <w:tcPr>
            <w:tcW w:w="1160" w:type="dxa"/>
            <w:vAlign w:val="bottom"/>
          </w:tcPr>
          <w:p>
            <w:pPr>
              <w:spacing w:after="0"/>
              <w:rPr>
                <w:sz w:val="21"/>
                <w:szCs w:val="21"/>
                <w:color w:val="auto"/>
              </w:rPr>
            </w:pPr>
          </w:p>
        </w:tc>
        <w:tc>
          <w:tcPr>
            <w:tcW w:w="4980" w:type="dxa"/>
            <w:vAlign w:val="bottom"/>
          </w:tcPr>
          <w:p>
            <w:pPr>
              <w:jc w:val="center"/>
              <w:ind w:left="1301"/>
              <w:spacing w:after="0"/>
              <w:rPr>
                <w:sz w:val="20"/>
                <w:szCs w:val="20"/>
                <w:color w:val="auto"/>
              </w:rPr>
            </w:pPr>
            <w:r>
              <w:rPr>
                <w:rFonts w:ascii="Arial" w:cs="Arial" w:eastAsia="Arial" w:hAnsi="Arial"/>
                <w:sz w:val="20"/>
                <w:szCs w:val="20"/>
                <w:color w:val="auto"/>
                <w:w w:val="93"/>
              </w:rPr>
              <w:t>FORM 10-Q</w:t>
            </w:r>
          </w:p>
        </w:tc>
        <w:tc>
          <w:tcPr>
            <w:tcW w:w="2660" w:type="dxa"/>
            <w:vAlign w:val="bottom"/>
          </w:tcPr>
          <w:p>
            <w:pPr>
              <w:spacing w:after="0"/>
              <w:rPr>
                <w:sz w:val="21"/>
                <w:szCs w:val="21"/>
                <w:color w:val="auto"/>
              </w:rPr>
            </w:pPr>
          </w:p>
        </w:tc>
      </w:tr>
      <w:tr>
        <w:trPr>
          <w:trHeight w:val="236"/>
        </w:trPr>
        <w:tc>
          <w:tcPr>
            <w:tcW w:w="1160" w:type="dxa"/>
            <w:vAlign w:val="bottom"/>
          </w:tcPr>
          <w:p>
            <w:pPr>
              <w:spacing w:after="0"/>
              <w:rPr>
                <w:sz w:val="20"/>
                <w:szCs w:val="20"/>
                <w:color w:val="auto"/>
              </w:rPr>
            </w:pPr>
          </w:p>
        </w:tc>
        <w:tc>
          <w:tcPr>
            <w:tcW w:w="7640" w:type="dxa"/>
            <w:vAlign w:val="bottom"/>
            <w:gridSpan w:val="2"/>
          </w:tcPr>
          <w:p>
            <w:pPr>
              <w:jc w:val="center"/>
              <w:ind w:right="1161"/>
              <w:spacing w:after="0"/>
              <w:rPr>
                <w:sz w:val="20"/>
                <w:szCs w:val="20"/>
                <w:color w:val="auto"/>
              </w:rPr>
            </w:pPr>
            <w:r>
              <w:rPr>
                <w:rFonts w:ascii="Arial" w:cs="Arial" w:eastAsia="Arial" w:hAnsi="Arial"/>
                <w:sz w:val="20"/>
                <w:szCs w:val="20"/>
                <w:color w:val="auto"/>
                <w:w w:val="93"/>
              </w:rPr>
              <w:t>QUARTERLY REPORT PURSUANT TO SECTION 13 OR 15 (d) OF THE</w:t>
            </w:r>
          </w:p>
        </w:tc>
      </w:tr>
      <w:tr>
        <w:trPr>
          <w:trHeight w:val="250"/>
        </w:trPr>
        <w:tc>
          <w:tcPr>
            <w:tcW w:w="1160" w:type="dxa"/>
            <w:vAlign w:val="bottom"/>
          </w:tcPr>
          <w:p>
            <w:pPr>
              <w:spacing w:after="0"/>
              <w:rPr>
                <w:sz w:val="21"/>
                <w:szCs w:val="21"/>
                <w:color w:val="auto"/>
              </w:rPr>
            </w:pPr>
          </w:p>
        </w:tc>
        <w:tc>
          <w:tcPr>
            <w:tcW w:w="4980" w:type="dxa"/>
            <w:vAlign w:val="bottom"/>
          </w:tcPr>
          <w:p>
            <w:pPr>
              <w:jc w:val="center"/>
              <w:ind w:left="1301"/>
              <w:spacing w:after="0"/>
              <w:rPr>
                <w:sz w:val="20"/>
                <w:szCs w:val="20"/>
                <w:color w:val="auto"/>
              </w:rPr>
            </w:pPr>
            <w:r>
              <w:rPr>
                <w:rFonts w:ascii="Arial" w:cs="Arial" w:eastAsia="Arial" w:hAnsi="Arial"/>
                <w:sz w:val="20"/>
                <w:szCs w:val="20"/>
                <w:color w:val="auto"/>
                <w:w w:val="94"/>
              </w:rPr>
              <w:t>SECURITIES EXCHANGE ACT OF 1934</w:t>
            </w:r>
          </w:p>
        </w:tc>
        <w:tc>
          <w:tcPr>
            <w:tcW w:w="2660" w:type="dxa"/>
            <w:vAlign w:val="bottom"/>
          </w:tcPr>
          <w:p>
            <w:pPr>
              <w:spacing w:after="0"/>
              <w:rPr>
                <w:sz w:val="21"/>
                <w:szCs w:val="21"/>
                <w:color w:val="auto"/>
              </w:rPr>
            </w:pPr>
          </w:p>
        </w:tc>
      </w:tr>
      <w:tr>
        <w:trPr>
          <w:trHeight w:val="260"/>
        </w:trPr>
        <w:tc>
          <w:tcPr>
            <w:tcW w:w="1160" w:type="dxa"/>
            <w:vAlign w:val="bottom"/>
          </w:tcPr>
          <w:p>
            <w:pPr>
              <w:spacing w:after="0"/>
              <w:rPr>
                <w:sz w:val="22"/>
                <w:szCs w:val="22"/>
                <w:color w:val="auto"/>
              </w:rPr>
            </w:pPr>
          </w:p>
        </w:tc>
        <w:tc>
          <w:tcPr>
            <w:tcW w:w="4980" w:type="dxa"/>
            <w:vAlign w:val="bottom"/>
          </w:tcPr>
          <w:p>
            <w:pPr>
              <w:ind w:left="2480"/>
              <w:spacing w:after="0"/>
              <w:rPr>
                <w:sz w:val="20"/>
                <w:szCs w:val="20"/>
                <w:color w:val="auto"/>
              </w:rPr>
            </w:pPr>
            <w:r>
              <w:rPr>
                <w:rFonts w:ascii="Arial" w:cs="Arial" w:eastAsia="Arial" w:hAnsi="Arial"/>
                <w:sz w:val="20"/>
                <w:szCs w:val="20"/>
                <w:color w:val="auto"/>
                <w:w w:val="92"/>
              </w:rPr>
              <w:t>For the quarterly period ended</w:t>
            </w:r>
          </w:p>
        </w:tc>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September 30, 2007</w:t>
            </w:r>
          </w:p>
        </w:tc>
      </w:tr>
      <w:tr>
        <w:trPr>
          <w:trHeight w:val="294"/>
        </w:trPr>
        <w:tc>
          <w:tcPr>
            <w:tcW w:w="1160" w:type="dxa"/>
            <w:vAlign w:val="bottom"/>
          </w:tcPr>
          <w:p>
            <w:pPr>
              <w:spacing w:after="0"/>
              <w:rPr>
                <w:sz w:val="24"/>
                <w:szCs w:val="24"/>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Name of Registrant, State or other jurisdiction of</w:t>
            </w:r>
          </w:p>
        </w:tc>
        <w:tc>
          <w:tcPr>
            <w:tcW w:w="266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Commission</w:t>
            </w:r>
          </w:p>
        </w:tc>
        <w:tc>
          <w:tcPr>
            <w:tcW w:w="4980" w:type="dxa"/>
            <w:vAlign w:val="bottom"/>
          </w:tcPr>
          <w:p>
            <w:pPr>
              <w:ind w:left="220"/>
              <w:spacing w:after="0"/>
              <w:rPr>
                <w:sz w:val="20"/>
                <w:szCs w:val="20"/>
                <w:color w:val="auto"/>
              </w:rPr>
            </w:pPr>
            <w:r>
              <w:rPr>
                <w:rFonts w:ascii="Arial" w:cs="Arial" w:eastAsia="Arial" w:hAnsi="Arial"/>
                <w:sz w:val="20"/>
                <w:szCs w:val="20"/>
                <w:color w:val="auto"/>
                <w:w w:val="99"/>
              </w:rPr>
              <w:t>incorporation or organization, Address and Telephone</w:t>
            </w:r>
          </w:p>
        </w:tc>
        <w:tc>
          <w:tcPr>
            <w:tcW w:w="2660" w:type="dxa"/>
            <w:vAlign w:val="bottom"/>
          </w:tcPr>
          <w:p>
            <w:pPr>
              <w:spacing w:after="0"/>
              <w:rPr>
                <w:sz w:val="20"/>
                <w:szCs w:val="20"/>
                <w:color w:val="auto"/>
              </w:rPr>
            </w:pPr>
            <w:r>
              <w:rPr>
                <w:rFonts w:ascii="Arial" w:cs="Arial" w:eastAsia="Arial" w:hAnsi="Arial"/>
                <w:sz w:val="20"/>
                <w:szCs w:val="20"/>
                <w:color w:val="auto"/>
              </w:rPr>
              <w:t>I.R.S. Employer Identification</w:t>
            </w:r>
          </w:p>
        </w:tc>
      </w:tr>
      <w:tr>
        <w:trPr>
          <w:trHeight w:val="255"/>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File Number</w:t>
            </w: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Number</w:t>
            </w:r>
          </w:p>
        </w:tc>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No.</w:t>
            </w:r>
          </w:p>
        </w:tc>
      </w:tr>
      <w:tr>
        <w:trPr>
          <w:trHeight w:val="225"/>
        </w:trPr>
        <w:tc>
          <w:tcPr>
            <w:tcW w:w="1160" w:type="dxa"/>
            <w:vAlign w:val="bottom"/>
          </w:tcPr>
          <w:p>
            <w:pPr>
              <w:spacing w:after="0" w:line="225" w:lineRule="exact"/>
              <w:rPr>
                <w:sz w:val="20"/>
                <w:szCs w:val="20"/>
                <w:color w:val="auto"/>
              </w:rPr>
            </w:pPr>
            <w:r>
              <w:rPr>
                <w:rFonts w:ascii="Arial" w:cs="Arial" w:eastAsia="Arial" w:hAnsi="Arial"/>
                <w:sz w:val="20"/>
                <w:szCs w:val="20"/>
                <w:color w:val="auto"/>
              </w:rPr>
              <w:t>1-40</w:t>
            </w:r>
          </w:p>
        </w:tc>
        <w:tc>
          <w:tcPr>
            <w:tcW w:w="4980" w:type="dxa"/>
            <w:vAlign w:val="bottom"/>
          </w:tcPr>
          <w:p>
            <w:pPr>
              <w:ind w:left="220"/>
              <w:spacing w:after="0" w:line="225" w:lineRule="exact"/>
              <w:rPr>
                <w:sz w:val="20"/>
                <w:szCs w:val="20"/>
                <w:color w:val="auto"/>
              </w:rPr>
            </w:pPr>
            <w:r>
              <w:rPr>
                <w:rFonts w:ascii="Arial" w:cs="Arial" w:eastAsia="Arial" w:hAnsi="Arial"/>
                <w:sz w:val="20"/>
                <w:szCs w:val="20"/>
                <w:color w:val="auto"/>
              </w:rPr>
              <w:t>PACIFIC ENTERPRISES</w:t>
            </w:r>
          </w:p>
        </w:tc>
        <w:tc>
          <w:tcPr>
            <w:tcW w:w="2660" w:type="dxa"/>
            <w:vAlign w:val="bottom"/>
          </w:tcPr>
          <w:p>
            <w:pPr>
              <w:spacing w:after="0" w:line="225" w:lineRule="exact"/>
              <w:rPr>
                <w:sz w:val="20"/>
                <w:szCs w:val="20"/>
                <w:color w:val="auto"/>
              </w:rPr>
            </w:pPr>
            <w:r>
              <w:rPr>
                <w:rFonts w:ascii="Arial" w:cs="Arial" w:eastAsia="Arial" w:hAnsi="Arial"/>
                <w:sz w:val="20"/>
                <w:szCs w:val="20"/>
                <w:color w:val="auto"/>
              </w:rPr>
              <w:t>94-0743670</w:t>
            </w: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(A California Corporation)</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101 Ash Street</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San Diego, California 92101</w:t>
            </w:r>
          </w:p>
        </w:tc>
        <w:tc>
          <w:tcPr>
            <w:tcW w:w="266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(619) 696-2020</w:t>
            </w:r>
          </w:p>
        </w:tc>
        <w:tc>
          <w:tcPr>
            <w:tcW w:w="2660" w:type="dxa"/>
            <w:vAlign w:val="bottom"/>
          </w:tcPr>
          <w:p>
            <w:pPr>
              <w:spacing w:after="0"/>
              <w:rPr>
                <w:sz w:val="21"/>
                <w:szCs w:val="21"/>
                <w:color w:val="auto"/>
              </w:rPr>
            </w:pPr>
          </w:p>
        </w:tc>
      </w:tr>
      <w:tr>
        <w:trPr>
          <w:trHeight w:val="236"/>
        </w:trPr>
        <w:tc>
          <w:tcPr>
            <w:tcW w:w="1160" w:type="dxa"/>
            <w:vAlign w:val="bottom"/>
          </w:tcPr>
          <w:p>
            <w:pPr>
              <w:spacing w:after="0"/>
              <w:rPr>
                <w:sz w:val="20"/>
                <w:szCs w:val="20"/>
                <w:color w:val="auto"/>
              </w:rPr>
            </w:pPr>
            <w:r>
              <w:rPr>
                <w:rFonts w:ascii="Arial" w:cs="Arial" w:eastAsia="Arial" w:hAnsi="Arial"/>
                <w:sz w:val="20"/>
                <w:szCs w:val="20"/>
                <w:color w:val="auto"/>
              </w:rPr>
              <w:t>1-1402</w:t>
            </w:r>
          </w:p>
        </w:tc>
        <w:tc>
          <w:tcPr>
            <w:tcW w:w="4980" w:type="dxa"/>
            <w:vAlign w:val="bottom"/>
          </w:tcPr>
          <w:p>
            <w:pPr>
              <w:ind w:left="220"/>
              <w:spacing w:after="0"/>
              <w:rPr>
                <w:sz w:val="20"/>
                <w:szCs w:val="20"/>
                <w:color w:val="auto"/>
              </w:rPr>
            </w:pPr>
            <w:r>
              <w:rPr>
                <w:rFonts w:ascii="Arial" w:cs="Arial" w:eastAsia="Arial" w:hAnsi="Arial"/>
                <w:sz w:val="20"/>
                <w:szCs w:val="20"/>
                <w:color w:val="auto"/>
              </w:rPr>
              <w:t>SOUTHERN CALIFORNIA GAS COMPANY</w:t>
            </w:r>
          </w:p>
        </w:tc>
        <w:tc>
          <w:tcPr>
            <w:tcW w:w="2660" w:type="dxa"/>
            <w:vAlign w:val="bottom"/>
          </w:tcPr>
          <w:p>
            <w:pPr>
              <w:spacing w:after="0"/>
              <w:rPr>
                <w:sz w:val="20"/>
                <w:szCs w:val="20"/>
                <w:color w:val="auto"/>
              </w:rPr>
            </w:pPr>
            <w:r>
              <w:rPr>
                <w:rFonts w:ascii="Arial" w:cs="Arial" w:eastAsia="Arial" w:hAnsi="Arial"/>
                <w:sz w:val="20"/>
                <w:szCs w:val="20"/>
                <w:color w:val="auto"/>
              </w:rPr>
              <w:t>95-1240705</w:t>
            </w: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(A California Corporation)</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555 West Fifth Street</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Los Angeles, California 90013</w:t>
            </w:r>
          </w:p>
        </w:tc>
        <w:tc>
          <w:tcPr>
            <w:tcW w:w="266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(213) 244-1200</w:t>
            </w:r>
          </w:p>
        </w:tc>
        <w:tc>
          <w:tcPr>
            <w:tcW w:w="2660" w:type="dxa"/>
            <w:vAlign w:val="bottom"/>
          </w:tcPr>
          <w:p>
            <w:pPr>
              <w:spacing w:after="0"/>
              <w:rPr>
                <w:sz w:val="21"/>
                <w:szCs w:val="21"/>
                <w:color w:val="auto"/>
              </w:rPr>
            </w:pPr>
          </w:p>
        </w:tc>
      </w:tr>
    </w:tbl>
    <w:p>
      <w:pPr>
        <w:spacing w:after="0" w:line="276"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1138555</wp:posOffset>
            </wp:positionH>
            <wp:positionV relativeFrom="paragraph">
              <wp:posOffset>19050</wp:posOffset>
            </wp:positionV>
            <wp:extent cx="3456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(Former name, former address and former fiscal year, if changed</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since last report)</w:t>
      </w:r>
    </w:p>
    <w:p>
      <w:pPr>
        <w:spacing w:after="0" w:line="281" w:lineRule="exact"/>
        <w:rPr>
          <w:sz w:val="24"/>
          <w:szCs w:val="24"/>
          <w:color w:val="auto"/>
        </w:rPr>
      </w:pPr>
    </w:p>
    <w:p>
      <w:pPr>
        <w:ind w:left="200" w:right="320"/>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3" w:lineRule="exact"/>
        <w:rPr>
          <w:sz w:val="24"/>
          <w:szCs w:val="24"/>
          <w:color w:val="auto"/>
        </w:rPr>
      </w:pPr>
    </w:p>
    <w:p>
      <w:pPr>
        <w:ind w:left="5100"/>
        <w:spacing w:after="0"/>
        <w:tabs>
          <w:tab w:leader="none" w:pos="6040" w:val="left"/>
          <w:tab w:leader="none" w:pos="714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3642360</wp:posOffset>
            </wp:positionH>
            <wp:positionV relativeFrom="paragraph">
              <wp:posOffset>19050</wp:posOffset>
            </wp:positionV>
            <wp:extent cx="574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19050</wp:posOffset>
            </wp:positionV>
            <wp:extent cx="831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0" w:lineRule="exact"/>
        <w:rPr>
          <w:sz w:val="24"/>
          <w:szCs w:val="24"/>
          <w:color w:val="auto"/>
        </w:rPr>
      </w:pPr>
    </w:p>
    <w:p>
      <w:pPr>
        <w:ind w:right="320"/>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65" w:lineRule="exact"/>
        <w:rPr>
          <w:sz w:val="24"/>
          <w:szCs w:val="24"/>
          <w:color w:val="auto"/>
        </w:rPr>
      </w:pPr>
    </w:p>
    <w:p>
      <w:pPr>
        <w:spacing w:after="0"/>
        <w:tabs>
          <w:tab w:leader="none" w:pos="2340" w:val="left"/>
          <w:tab w:leader="none" w:pos="2600" w:val="left"/>
          <w:tab w:leader="none" w:pos="3260" w:val="left"/>
          <w:tab w:leader="none" w:pos="5180" w:val="left"/>
          <w:tab w:leader="none" w:pos="5440" w:val="left"/>
          <w:tab w:leader="none" w:pos="6040" w:val="left"/>
          <w:tab w:leader="none" w:pos="828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X ]</w:t>
      </w:r>
    </w:p>
    <w:p>
      <w:pPr>
        <w:spacing w:after="0" w:line="324" w:lineRule="exact"/>
        <w:rPr>
          <w:sz w:val="24"/>
          <w:szCs w:val="24"/>
          <w:color w:val="auto"/>
        </w:rPr>
      </w:pPr>
    </w:p>
    <w:p>
      <w:pPr>
        <w:ind w:right="500"/>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740"/>
        <w:spacing w:after="0"/>
        <w:tabs>
          <w:tab w:leader="none" w:pos="7180" w:val="left"/>
          <w:tab w:leader="none" w:pos="82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3419475</wp:posOffset>
            </wp:positionH>
            <wp:positionV relativeFrom="paragraph">
              <wp:posOffset>19050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19050</wp:posOffset>
            </wp:positionV>
            <wp:extent cx="805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50" w:lineRule="exact"/>
        <w:rPr>
          <w:sz w:val="24"/>
          <w:szCs w:val="24"/>
          <w:color w:val="auto"/>
        </w:rPr>
      </w:pPr>
    </w:p>
    <w:p>
      <w:pPr>
        <w:ind w:right="70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3600" w:type="dxa"/>
            <w:vAlign w:val="bottom"/>
          </w:tcPr>
          <w:p>
            <w:pPr>
              <w:spacing w:after="0"/>
              <w:rPr>
                <w:sz w:val="20"/>
                <w:szCs w:val="20"/>
                <w:color w:val="auto"/>
              </w:rPr>
            </w:pPr>
            <w:r>
              <w:rPr>
                <w:rFonts w:ascii="Arial" w:cs="Arial" w:eastAsia="Arial" w:hAnsi="Arial"/>
                <w:sz w:val="20"/>
                <w:szCs w:val="20"/>
                <w:color w:val="auto"/>
              </w:rPr>
              <w:t>Common stock outstanding:</w:t>
            </w:r>
          </w:p>
        </w:tc>
        <w:tc>
          <w:tcPr>
            <w:tcW w:w="5440" w:type="dxa"/>
            <w:vAlign w:val="bottom"/>
          </w:tcPr>
          <w:p>
            <w:pPr>
              <w:spacing w:after="0"/>
              <w:rPr>
                <w:sz w:val="21"/>
                <w:szCs w:val="2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20"/>
                <w:szCs w:val="20"/>
                <w:color w:val="auto"/>
              </w:rPr>
              <w:t>Pacific Enterprises</w:t>
            </w:r>
          </w:p>
        </w:tc>
        <w:tc>
          <w:tcPr>
            <w:tcW w:w="5440" w:type="dxa"/>
            <w:vAlign w:val="bottom"/>
          </w:tcPr>
          <w:p>
            <w:pPr>
              <w:ind w:left="940"/>
              <w:spacing w:after="0"/>
              <w:rPr>
                <w:sz w:val="20"/>
                <w:szCs w:val="20"/>
                <w:color w:val="auto"/>
              </w:rPr>
            </w:pPr>
            <w:r>
              <w:rPr>
                <w:rFonts w:ascii="Arial" w:cs="Arial" w:eastAsia="Arial" w:hAnsi="Arial"/>
                <w:sz w:val="20"/>
                <w:szCs w:val="20"/>
                <w:color w:val="auto"/>
              </w:rPr>
              <w:t>Wholly owned by Sempra Energy</w:t>
            </w:r>
          </w:p>
        </w:tc>
      </w:tr>
      <w:tr>
        <w:trPr>
          <w:trHeight w:val="257"/>
        </w:trPr>
        <w:tc>
          <w:tcPr>
            <w:tcW w:w="3600" w:type="dxa"/>
            <w:vAlign w:val="bottom"/>
          </w:tcPr>
          <w:p>
            <w:pPr>
              <w:spacing w:after="0"/>
              <w:rPr>
                <w:sz w:val="20"/>
                <w:szCs w:val="20"/>
                <w:color w:val="auto"/>
              </w:rPr>
            </w:pPr>
            <w:r>
              <w:rPr>
                <w:rFonts w:ascii="Arial" w:cs="Arial" w:eastAsia="Arial" w:hAnsi="Arial"/>
                <w:sz w:val="20"/>
                <w:szCs w:val="20"/>
                <w:color w:val="auto"/>
              </w:rPr>
              <w:t>Southern California Gas Company</w:t>
            </w:r>
          </w:p>
        </w:tc>
        <w:tc>
          <w:tcPr>
            <w:tcW w:w="5440" w:type="dxa"/>
            <w:vAlign w:val="bottom"/>
          </w:tcPr>
          <w:p>
            <w:pPr>
              <w:ind w:left="940"/>
              <w:spacing w:after="0"/>
              <w:rPr>
                <w:sz w:val="20"/>
                <w:szCs w:val="20"/>
                <w:color w:val="auto"/>
              </w:rPr>
            </w:pPr>
            <w:r>
              <w:rPr>
                <w:rFonts w:ascii="Arial" w:cs="Arial" w:eastAsia="Arial" w:hAnsi="Arial"/>
                <w:sz w:val="20"/>
                <w:szCs w:val="20"/>
                <w:color w:val="auto"/>
              </w:rPr>
              <w:t>Wholly owned by Pacific Enterprises</w:t>
            </w:r>
          </w:p>
        </w:tc>
      </w:tr>
      <w:tr>
        <w:trPr>
          <w:trHeight w:val="98"/>
        </w:trPr>
        <w:tc>
          <w:tcPr>
            <w:tcW w:w="360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r>
      <w:tr>
        <w:trPr>
          <w:trHeight w:val="713"/>
        </w:trPr>
        <w:tc>
          <w:tcPr>
            <w:tcW w:w="3600" w:type="dxa"/>
            <w:vAlign w:val="bottom"/>
          </w:tcPr>
          <w:p>
            <w:pPr>
              <w:spacing w:after="0"/>
              <w:rPr>
                <w:sz w:val="24"/>
                <w:szCs w:val="24"/>
                <w:color w:val="auto"/>
              </w:rPr>
            </w:pPr>
          </w:p>
        </w:tc>
        <w:tc>
          <w:tcPr>
            <w:tcW w:w="5440" w:type="dxa"/>
            <w:vAlign w:val="bottom"/>
          </w:tcPr>
          <w:p>
            <w:pPr>
              <w:jc w:val="right"/>
              <w:ind w:right="4381"/>
              <w:spacing w:after="0"/>
              <w:rPr>
                <w:sz w:val="20"/>
                <w:szCs w:val="20"/>
                <w:color w:val="auto"/>
              </w:rPr>
            </w:pPr>
            <w:r>
              <w:rPr>
                <w:rFonts w:ascii="Arial" w:cs="Arial" w:eastAsia="Arial" w:hAnsi="Arial"/>
                <w:sz w:val="20"/>
                <w:szCs w:val="20"/>
                <w:color w:val="auto"/>
              </w:rPr>
              <w:t>1</w:t>
            </w:r>
          </w:p>
        </w:tc>
      </w:tr>
    </w:tbl>
    <w:p>
      <w:pPr>
        <w:sectPr>
          <w:pgSz w:w="11900" w:h="16838" w:orient="portrait"/>
          <w:cols w:equalWidth="0" w:num="1">
            <w:col w:w="9040"/>
          </w:cols>
          <w:pgMar w:left="1440" w:top="1190" w:right="14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the Federal Energy Regulatory Commission and other environmental and regulatory bodies in the United States; capital markets conditions, inflation rates, interest rates and exchange rates; energy and trading markets, including the timing and extent of changes in commodity prices; the availability of natural gas and liquefied natural gas; weather conditions and conservation efforts; war and terrorist attacks; business, regulatory, environmental and legal decisions and requirements; the status of deregulation of retail natural gas and electricity delivery; the timi ng and success of business development efforts; the resolution of litigation; and other uncertainties, all of which are difficult to predict and many of which are beyond the control of the companies. Readers are cautioned not to rely unduly on any forward-looking statements and are urged to review and consider carefully the risks, uncertainties and other factors which affect the companies' business described in this report and other reports filed by the companies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240" w:top="852"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ITEM 1. CONDENSED CONSOLIDATED FINANCIAL STATEMENTS</w:t>
      </w:r>
    </w:p>
    <w:p>
      <w:pPr>
        <w:spacing w:after="0" w:line="200" w:lineRule="exact"/>
        <w:rPr>
          <w:sz w:val="20"/>
          <w:szCs w:val="20"/>
          <w:color w:val="auto"/>
        </w:rPr>
      </w:pPr>
    </w:p>
    <w:p>
      <w:pPr>
        <w:spacing w:after="0" w:line="30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20"/>
                <w:szCs w:val="20"/>
                <w:color w:val="auto"/>
              </w:rPr>
            </w:pPr>
          </w:p>
        </w:tc>
        <w:tc>
          <w:tcPr>
            <w:tcW w:w="2020" w:type="dxa"/>
            <w:vAlign w:val="bottom"/>
            <w:gridSpan w:val="4"/>
          </w:tcPr>
          <w:p>
            <w:pPr>
              <w:jc w:val="right"/>
              <w:ind w:right="2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September 30,</w:t>
            </w:r>
          </w:p>
        </w:tc>
        <w:tc>
          <w:tcPr>
            <w:tcW w:w="5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2007</w:t>
            </w: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2006</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2007</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2006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gridSpan w:val="3"/>
          </w:tcPr>
          <w:p>
            <w:pPr>
              <w:jc w:val="center"/>
              <w:ind w:right="450"/>
              <w:spacing w:after="0"/>
              <w:rPr>
                <w:sz w:val="20"/>
                <w:szCs w:val="20"/>
                <w:color w:val="auto"/>
              </w:rPr>
            </w:pPr>
            <w:r>
              <w:rPr>
                <w:rFonts w:ascii="Arial" w:cs="Arial" w:eastAsia="Arial" w:hAnsi="Arial"/>
                <w:sz w:val="18"/>
                <w:szCs w:val="18"/>
                <w:color w:val="auto"/>
                <w:w w:val="90"/>
              </w:rPr>
              <w:t>(unaudited)</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5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819</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812</w:t>
            </w:r>
          </w:p>
        </w:tc>
        <w:tc>
          <w:tcPr>
            <w:tcW w:w="520" w:type="dxa"/>
            <w:vAlign w:val="bottom"/>
            <w:tcBorders>
              <w:bottom w:val="single" w:sz="8" w:color="auto"/>
            </w:tcBorders>
            <w:shd w:val="clear" w:color="auto" w:fill="CCFFCC"/>
          </w:tcPr>
          <w:p>
            <w:pPr>
              <w:jc w:val="center"/>
              <w:ind w:lef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auto"/>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Cost of natural gas</w:t>
            </w: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9"/>
        </w:trPr>
        <w:tc>
          <w:tcPr>
            <w:tcW w:w="50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operating expenses</w:t>
            </w: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9"/>
        </w:trPr>
        <w:tc>
          <w:tcPr>
            <w:tcW w:w="50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Franchise fees and other taxes</w:t>
            </w:r>
          </w:p>
        </w:tc>
        <w:tc>
          <w:tcPr>
            <w:tcW w:w="2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040" w:type="dxa"/>
            <w:vAlign w:val="bottom"/>
          </w:tcPr>
          <w:p>
            <w:pPr>
              <w:ind w:left="7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701</w:t>
            </w: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9"/>
        </w:trPr>
        <w:tc>
          <w:tcPr>
            <w:tcW w:w="5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9"/>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(20 )</w:t>
            </w: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(58 )</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shd w:val="clear" w:color="auto" w:fill="CCFFCC"/>
          </w:tcPr>
          <w:p>
            <w:pPr>
              <w:spacing w:after="0"/>
              <w:rPr>
                <w:sz w:val="20"/>
                <w:szCs w:val="20"/>
                <w:color w:val="auto"/>
              </w:rPr>
            </w:pP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52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auto"/>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Earnings applicable to common shares</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auto"/>
            </w:tcBorders>
            <w:shd w:val="clear" w:color="auto" w:fill="CCFFCC"/>
          </w:tcPr>
          <w:p>
            <w:pPr>
              <w:jc w:val="center"/>
              <w:ind w:left="2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auto"/>
            </w:tcBorders>
            <w:shd w:val="clear" w:color="auto" w:fill="CCFFCC"/>
          </w:tcPr>
          <w:p>
            <w:pPr>
              <w:spacing w:after="0"/>
              <w:rPr>
                <w:sz w:val="22"/>
                <w:szCs w:val="22"/>
                <w:color w:val="auto"/>
              </w:rPr>
            </w:pPr>
          </w:p>
        </w:tc>
        <w:tc>
          <w:tcPr>
            <w:tcW w:w="3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-130175</wp:posOffset>
            </wp:positionV>
            <wp:extent cx="599440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944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440"/>
          </w:cols>
          <w:pgMar w:left="240" w:top="847" w:right="1219" w:bottom="1440" w:gutter="0" w:footer="0" w:header="0"/>
        </w:sectPr>
      </w:pPr>
    </w:p>
    <w:bookmarkStart w:id="3" w:name="page4"/>
    <w:bookmarkEnd w:id="3"/>
    <w:p>
      <w:pPr>
        <w:ind w:left="130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w w:val="86"/>
              </w:rPr>
              <w:t>September 30,</w:t>
            </w:r>
          </w:p>
        </w:tc>
        <w:tc>
          <w:tcPr>
            <w:tcW w:w="4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50"/>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37"/>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211</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Accounts receivable - trade</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640</w:t>
            </w:r>
          </w:p>
        </w:tc>
      </w:tr>
      <w:tr>
        <w:trPr>
          <w:trHeight w:val="249"/>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receivable - other</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49"/>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unconsolidated affiliates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63</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49"/>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43</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192</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106</w:t>
            </w:r>
          </w:p>
        </w:tc>
      </w:tr>
      <w:tr>
        <w:trPr>
          <w:trHeight w:val="249"/>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regulatory assets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41</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r>
      <w:tr>
        <w:trPr>
          <w:trHeight w:val="237"/>
        </w:trPr>
        <w:tc>
          <w:tcPr>
            <w:tcW w:w="574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FFCC"/>
          </w:tcPr>
          <w:p>
            <w:pPr>
              <w:spacing w:after="0"/>
              <w:rPr>
                <w:sz w:val="20"/>
                <w:szCs w:val="20"/>
                <w:color w:val="auto"/>
              </w:rPr>
            </w:pPr>
          </w:p>
        </w:tc>
        <w:tc>
          <w:tcPr>
            <w:tcW w:w="13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1,003</w:t>
            </w:r>
          </w:p>
        </w:tc>
        <w:tc>
          <w:tcPr>
            <w:tcW w:w="44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1,218</w:t>
            </w:r>
          </w:p>
        </w:tc>
      </w:tr>
      <w:tr>
        <w:trPr>
          <w:trHeight w:val="243"/>
        </w:trPr>
        <w:tc>
          <w:tcPr>
            <w:tcW w:w="5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Due from unconsolidated affiliates</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456</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448</w:t>
            </w:r>
          </w:p>
        </w:tc>
      </w:tr>
      <w:tr>
        <w:trPr>
          <w:trHeight w:val="222"/>
        </w:trPr>
        <w:tc>
          <w:tcPr>
            <w:tcW w:w="57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assets arising from pension and other</w:t>
            </w:r>
          </w:p>
        </w:tc>
        <w:tc>
          <w:tcPr>
            <w:tcW w:w="12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r>
      <w:tr>
        <w:trPr>
          <w:trHeight w:val="244"/>
        </w:trPr>
        <w:tc>
          <w:tcPr>
            <w:tcW w:w="574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postretirement benefit obligations</w:t>
            </w: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136</w:t>
            </w: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Other regulatory assets</w:t>
            </w:r>
          </w:p>
        </w:tc>
        <w:tc>
          <w:tcPr>
            <w:tcW w:w="1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95</w:t>
            </w:r>
          </w:p>
        </w:tc>
      </w:tr>
      <w:tr>
        <w:trPr>
          <w:trHeight w:val="243"/>
        </w:trPr>
        <w:tc>
          <w:tcPr>
            <w:tcW w:w="5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Sundry</w:t>
            </w:r>
          </w:p>
        </w:tc>
        <w:tc>
          <w:tcPr>
            <w:tcW w:w="120" w:type="dxa"/>
            <w:vAlign w:val="bottom"/>
            <w:tcBorders>
              <w:bottom w:val="single" w:sz="8" w:color="auto"/>
            </w:tcBorders>
            <w:shd w:val="clear" w:color="auto" w:fill="CCFFCC"/>
          </w:tcPr>
          <w:p>
            <w:pPr>
              <w:spacing w:after="0"/>
              <w:rPr>
                <w:sz w:val="21"/>
                <w:szCs w:val="21"/>
                <w:color w:val="auto"/>
              </w:rPr>
            </w:pPr>
          </w:p>
        </w:tc>
        <w:tc>
          <w:tcPr>
            <w:tcW w:w="13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41</w:t>
            </w:r>
          </w:p>
        </w:tc>
      </w:tr>
      <w:tr>
        <w:trPr>
          <w:trHeight w:val="237"/>
        </w:trPr>
        <w:tc>
          <w:tcPr>
            <w:tcW w:w="5740" w:type="dxa"/>
            <w:vAlign w:val="bottom"/>
          </w:tcPr>
          <w:p>
            <w:pPr>
              <w:ind w:left="4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730</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720</w:t>
            </w:r>
          </w:p>
        </w:tc>
      </w:tr>
      <w:tr>
        <w:trPr>
          <w:trHeight w:val="243"/>
        </w:trPr>
        <w:tc>
          <w:tcPr>
            <w:tcW w:w="5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0219"/>
          </w:cols>
          <w:pgMar w:left="240" w:top="895" w:right="1440" w:bottom="1440" w:gutter="0" w:footer="0" w:header="0"/>
        </w:sectPr>
      </w:pPr>
    </w:p>
    <w:p>
      <w:pPr>
        <w:ind w:left="1300"/>
        <w:spacing w:after="0"/>
        <w:rPr>
          <w:sz w:val="20"/>
          <w:szCs w:val="20"/>
          <w:color w:val="auto"/>
        </w:rPr>
      </w:pPr>
      <w:r>
        <w:rPr>
          <w:rFonts w:ascii="Arial" w:cs="Arial" w:eastAsia="Arial" w:hAnsi="Arial"/>
          <w:sz w:val="18"/>
          <w:szCs w:val="18"/>
          <w:color w:val="auto"/>
        </w:rPr>
        <w:t>Property, plant and equipment:</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Property, plant and equipment</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Less accumulated depreciation</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8,375</w:t>
            </w:r>
          </w:p>
        </w:tc>
        <w:tc>
          <w:tcPr>
            <w:tcW w:w="6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8,151</w:t>
            </w:r>
          </w:p>
        </w:tc>
      </w:tr>
      <w:tr>
        <w:trPr>
          <w:trHeight w:val="250"/>
        </w:trPr>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(3,353 )</w:t>
            </w: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(3,248 )</w:t>
            </w:r>
          </w:p>
        </w:tc>
      </w:tr>
      <w:tr>
        <w:trPr>
          <w:trHeight w:val="237"/>
        </w:trPr>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5,022</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4,903</w:t>
            </w:r>
          </w:p>
        </w:tc>
      </w:tr>
      <w:tr>
        <w:trPr>
          <w:trHeight w:val="26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6,755</w:t>
            </w: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-659765</wp:posOffset>
            </wp:positionV>
            <wp:extent cx="562546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5465" cy="15430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-351155</wp:posOffset>
            </wp:positionV>
            <wp:extent cx="562546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5465" cy="17145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0</wp:posOffset>
            </wp:positionV>
            <wp:extent cx="562546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54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3179"/>
          </w:cols>
          <w:pgMar w:left="240" w:top="895" w:right="1440" w:bottom="1440" w:gutter="0" w:footer="0" w:header="0"/>
          <w:type w:val="continuous"/>
        </w:sectPr>
      </w:pPr>
    </w:p>
    <w:p>
      <w:pPr>
        <w:spacing w:after="0" w:line="42" w:lineRule="exact"/>
        <w:rPr>
          <w:sz w:val="20"/>
          <w:szCs w:val="20"/>
          <w:color w:val="auto"/>
        </w:rPr>
      </w:pPr>
    </w:p>
    <w:p>
      <w:pPr>
        <w:jc w:val="right"/>
        <w:ind w:right="45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895" w:right="1440" w:bottom="1440" w:gutter="0" w:footer="0" w:header="0"/>
          <w:type w:val="continuous"/>
        </w:sectPr>
      </w:pPr>
    </w:p>
    <w:bookmarkStart w:id="4" w:name="page5"/>
    <w:bookmarkEnd w:id="4"/>
    <w:p>
      <w:pPr>
        <w:ind w:left="148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w w:val="86"/>
              </w:rPr>
              <w:t>September 30,</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50"/>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37"/>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w w:val="96"/>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416</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Accounts payable - other</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to unconsolidated affiliates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102</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Regulatory balancing accounts, net</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88</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332</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r>
      <w:tr>
        <w:trPr>
          <w:trHeight w:val="237"/>
        </w:trPr>
        <w:tc>
          <w:tcPr>
            <w:tcW w:w="554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991</w:t>
            </w:r>
          </w:p>
        </w:tc>
        <w:tc>
          <w:tcPr>
            <w:tcW w:w="3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1,192</w:t>
            </w: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7"/>
        </w:trPr>
        <w:tc>
          <w:tcPr>
            <w:tcW w:w="5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1,110</w:t>
            </w:r>
          </w:p>
        </w:tc>
        <w:tc>
          <w:tcPr>
            <w:tcW w:w="3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1,107</w:t>
            </w: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Customer advances for construction</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22"/>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Pension and other postretirement benefit obligations,</w:t>
            </w: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r>
      <w:tr>
        <w:trPr>
          <w:trHeight w:val="244"/>
        </w:trPr>
        <w:tc>
          <w:tcPr>
            <w:tcW w:w="5540" w:type="dxa"/>
            <w:vAlign w:val="bottom"/>
            <w:shd w:val="clear" w:color="auto" w:fill="CCFFCC"/>
          </w:tcPr>
          <w:p>
            <w:pPr>
              <w:ind w:left="440"/>
              <w:spacing w:after="0"/>
              <w:rPr>
                <w:sz w:val="20"/>
                <w:szCs w:val="20"/>
                <w:color w:val="auto"/>
              </w:rPr>
            </w:pPr>
            <w:r>
              <w:rPr>
                <w:rFonts w:ascii="Arial" w:cs="Arial" w:eastAsia="Arial" w:hAnsi="Arial"/>
                <w:sz w:val="18"/>
                <w:szCs w:val="18"/>
                <w:color w:val="auto"/>
              </w:rPr>
              <w:t>net of plan assets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172</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investment tax credits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36</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Regulatory liabilities arising from removal obligations</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1,019</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655</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Deferred taxes refundable in rates</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221</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Preferred stock of subsidiary</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Deferred credits and other</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w:t>
            </w:r>
          </w:p>
        </w:tc>
      </w:tr>
      <w:tr>
        <w:trPr>
          <w:trHeight w:val="237"/>
        </w:trPr>
        <w:tc>
          <w:tcPr>
            <w:tcW w:w="554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deferred credits and other liabilities</w:t>
            </w:r>
          </w:p>
        </w:tc>
        <w:tc>
          <w:tcPr>
            <w:tcW w:w="10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2,650</w:t>
            </w:r>
          </w:p>
        </w:tc>
        <w:tc>
          <w:tcPr>
            <w:tcW w:w="3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2,612</w:t>
            </w: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Common stock (600 million shares authorized;</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5540" w:type="dxa"/>
            <w:vAlign w:val="bottom"/>
          </w:tcPr>
          <w:p>
            <w:pPr>
              <w:ind w:left="420"/>
              <w:spacing w:after="0"/>
              <w:rPr>
                <w:sz w:val="20"/>
                <w:szCs w:val="20"/>
                <w:color w:val="auto"/>
              </w:rPr>
            </w:pPr>
            <w:r>
              <w:rPr>
                <w:rFonts w:ascii="Arial" w:cs="Arial" w:eastAsia="Arial" w:hAnsi="Arial"/>
                <w:sz w:val="18"/>
                <w:szCs w:val="18"/>
                <w:color w:val="auto"/>
              </w:rPr>
              <w:t>84 million shares outstanding; no par value)</w:t>
            </w:r>
          </w:p>
        </w:tc>
        <w:tc>
          <w:tcPr>
            <w:tcW w:w="10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1,462</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1,464</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391</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(5 )</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54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2,004</w:t>
            </w:r>
          </w:p>
        </w:tc>
        <w:tc>
          <w:tcPr>
            <w:tcW w:w="34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1,930</w:t>
            </w:r>
          </w:p>
        </w:tc>
      </w:tr>
      <w:tr>
        <w:trPr>
          <w:trHeight w:val="263"/>
        </w:trPr>
        <w:tc>
          <w:tcPr>
            <w:tcW w:w="55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6,755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6,841</w:t>
            </w:r>
          </w:p>
        </w:tc>
      </w:tr>
      <w:tr>
        <w:trPr>
          <w:trHeight w:val="243"/>
        </w:trPr>
        <w:tc>
          <w:tcPr>
            <w:tcW w:w="55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bl>
    <w:p>
      <w:pPr>
        <w:ind w:left="148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895" w:right="1440" w:bottom="1440" w:gutter="0" w:footer="0" w:header="0"/>
        </w:sectPr>
      </w:pPr>
    </w:p>
    <w:bookmarkStart w:id="5" w:name="page6"/>
    <w:bookmarkEnd w:id="5"/>
    <w:p>
      <w:pPr>
        <w:ind w:left="1660"/>
        <w:spacing w:after="0"/>
        <w:rPr>
          <w:sz w:val="20"/>
          <w:szCs w:val="20"/>
          <w:color w:val="auto"/>
        </w:rPr>
      </w:pPr>
      <w:r>
        <w:rPr>
          <w:rFonts w:ascii="Arial" w:cs="Arial" w:eastAsia="Arial" w:hAnsi="Arial"/>
          <w:sz w:val="18"/>
          <w:szCs w:val="18"/>
          <w:color w:val="auto"/>
        </w:rPr>
        <w:t>PACIFIC ENTERPRISES AND SUBSIDIARIES</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CONDENSED STATEMENTS OF CONSOLIDATED CASH FLOWS</w:t>
      </w:r>
    </w:p>
    <w:p>
      <w:pPr>
        <w:spacing w:after="0" w:line="279"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3"/>
          </w:tcPr>
          <w:p>
            <w:pPr>
              <w:jc w:val="center"/>
              <w:ind w:right="330"/>
              <w:spacing w:after="0"/>
              <w:rPr>
                <w:sz w:val="20"/>
                <w:szCs w:val="20"/>
                <w:color w:val="auto"/>
              </w:rPr>
            </w:pPr>
            <w:r>
              <w:rPr>
                <w:rFonts w:ascii="Arial" w:cs="Arial" w:eastAsia="Arial" w:hAnsi="Arial"/>
                <w:sz w:val="18"/>
                <w:szCs w:val="18"/>
                <w:color w:val="auto"/>
                <w:w w:val="89"/>
              </w:rPr>
              <w:t>Nine months ended</w:t>
            </w:r>
          </w:p>
        </w:tc>
      </w:tr>
      <w:tr>
        <w:trPr>
          <w:trHeight w:val="250"/>
        </w:trPr>
        <w:tc>
          <w:tcPr>
            <w:tcW w:w="5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September 30,</w:t>
            </w:r>
          </w:p>
        </w:tc>
        <w:tc>
          <w:tcPr>
            <w:tcW w:w="740" w:type="dxa"/>
            <w:vAlign w:val="bottom"/>
            <w:tcBorders>
              <w:bottom w:val="single" w:sz="8" w:color="auto"/>
            </w:tcBorders>
          </w:tcPr>
          <w:p>
            <w:pPr>
              <w:spacing w:after="0"/>
              <w:rPr>
                <w:sz w:val="21"/>
                <w:szCs w:val="21"/>
                <w:color w:val="auto"/>
              </w:rPr>
            </w:pPr>
          </w:p>
        </w:tc>
      </w:tr>
      <w:tr>
        <w:trPr>
          <w:trHeight w:val="23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2006</w:t>
            </w:r>
          </w:p>
        </w:tc>
      </w:tr>
      <w:tr>
        <w:trPr>
          <w:trHeight w:val="230"/>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740" w:type="dxa"/>
            <w:vAlign w:val="bottom"/>
          </w:tcPr>
          <w:p>
            <w:pPr>
              <w:spacing w:after="0"/>
              <w:rPr>
                <w:sz w:val="20"/>
                <w:szCs w:val="20"/>
                <w:color w:val="auto"/>
              </w:rPr>
            </w:pPr>
          </w:p>
        </w:tc>
      </w:tr>
      <w:tr>
        <w:trPr>
          <w:trHeight w:val="249"/>
        </w:trPr>
        <w:tc>
          <w:tcPr>
            <w:tcW w:w="55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55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179</w:t>
            </w:r>
          </w:p>
        </w:tc>
      </w:tr>
      <w:tr>
        <w:trPr>
          <w:trHeight w:val="237"/>
        </w:trPr>
        <w:tc>
          <w:tcPr>
            <w:tcW w:w="558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net cash provided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5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by operating activities:</w:t>
            </w:r>
          </w:p>
        </w:tc>
        <w:tc>
          <w:tcPr>
            <w:tcW w:w="1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5580" w:type="dxa"/>
            <w:vAlign w:val="bottom"/>
          </w:tcPr>
          <w:p>
            <w:pPr>
              <w:ind w:left="10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200</w:t>
            </w:r>
          </w:p>
        </w:tc>
      </w:tr>
      <w:tr>
        <w:trPr>
          <w:trHeight w:val="249"/>
        </w:trPr>
        <w:tc>
          <w:tcPr>
            <w:tcW w:w="5580" w:type="dxa"/>
            <w:vAlign w:val="bottom"/>
            <w:shd w:val="clear" w:color="auto" w:fill="CCFFCC"/>
          </w:tcPr>
          <w:p>
            <w:pPr>
              <w:ind w:left="700"/>
              <w:spacing w:after="0"/>
              <w:rPr>
                <w:sz w:val="20"/>
                <w:szCs w:val="20"/>
                <w:color w:val="auto"/>
              </w:rPr>
            </w:pPr>
            <w:r>
              <w:rPr>
                <w:rFonts w:ascii="Arial" w:cs="Arial" w:eastAsia="Arial" w:hAnsi="Arial"/>
                <w:sz w:val="18"/>
                <w:szCs w:val="18"/>
                <w:color w:val="auto"/>
              </w:rPr>
              <w:t>Deferred income taxes and investment tax credits</w:t>
            </w:r>
          </w:p>
        </w:tc>
        <w:tc>
          <w:tcPr>
            <w:tcW w:w="1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w:t>
            </w:r>
          </w:p>
        </w:tc>
      </w:tr>
      <w:tr>
        <w:trPr>
          <w:trHeight w:val="237"/>
        </w:trPr>
        <w:tc>
          <w:tcPr>
            <w:tcW w:w="5580" w:type="dxa"/>
            <w:vAlign w:val="bottom"/>
          </w:tcPr>
          <w:p>
            <w:pPr>
              <w:ind w:left="700"/>
              <w:spacing w:after="0"/>
              <w:rPr>
                <w:sz w:val="20"/>
                <w:szCs w:val="20"/>
                <w:color w:val="auto"/>
              </w:rPr>
            </w:pPr>
            <w:r>
              <w:rPr>
                <w:rFonts w:ascii="Arial" w:cs="Arial" w:eastAsia="Arial" w:hAnsi="Arial"/>
                <w:sz w:val="18"/>
                <w:szCs w:val="18"/>
                <w:color w:val="auto"/>
              </w:rPr>
              <w:t>Accretion of interest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249"/>
        </w:trPr>
        <w:tc>
          <w:tcPr>
            <w:tcW w:w="5580" w:type="dxa"/>
            <w:vAlign w:val="bottom"/>
            <w:shd w:val="clear" w:color="auto" w:fill="CCFFCC"/>
          </w:tcPr>
          <w:p>
            <w:pPr>
              <w:ind w:left="7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(5 )</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(4 )</w:t>
            </w:r>
          </w:p>
        </w:tc>
      </w:tr>
      <w:tr>
        <w:trPr>
          <w:trHeight w:val="237"/>
        </w:trPr>
        <w:tc>
          <w:tcPr>
            <w:tcW w:w="5580" w:type="dxa"/>
            <w:vAlign w:val="bottom"/>
          </w:tcPr>
          <w:p>
            <w:pPr>
              <w:ind w:left="260"/>
              <w:spacing w:after="0"/>
              <w:rPr>
                <w:sz w:val="20"/>
                <w:szCs w:val="20"/>
                <w:color w:val="auto"/>
              </w:rPr>
            </w:pPr>
            <w:r>
              <w:rPr>
                <w:rFonts w:ascii="Arial" w:cs="Arial" w:eastAsia="Arial" w:hAnsi="Arial"/>
                <w:sz w:val="18"/>
                <w:szCs w:val="18"/>
                <w:color w:val="auto"/>
              </w:rPr>
              <w:t>Quasi-reorganization resolution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49"/>
        </w:trPr>
        <w:tc>
          <w:tcPr>
            <w:tcW w:w="55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Net changes in working capital components</w:t>
            </w:r>
          </w:p>
        </w:tc>
        <w:tc>
          <w:tcPr>
            <w:tcW w:w="1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476</w:t>
            </w:r>
          </w:p>
        </w:tc>
      </w:tr>
      <w:tr>
        <w:trPr>
          <w:trHeight w:val="237"/>
        </w:trPr>
        <w:tc>
          <w:tcPr>
            <w:tcW w:w="5580" w:type="dxa"/>
            <w:vAlign w:val="bottom"/>
          </w:tcPr>
          <w:p>
            <w:pPr>
              <w:ind w:left="260"/>
              <w:spacing w:after="0"/>
              <w:rPr>
                <w:sz w:val="20"/>
                <w:szCs w:val="20"/>
                <w:color w:val="auto"/>
              </w:rPr>
            </w:pPr>
            <w:r>
              <w:rPr>
                <w:rFonts w:ascii="Arial" w:cs="Arial" w:eastAsia="Arial" w:hAnsi="Arial"/>
                <w:sz w:val="18"/>
                <w:szCs w:val="18"/>
                <w:color w:val="auto"/>
              </w:rPr>
              <w:t>Changes in other assets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w:t>
            </w:r>
          </w:p>
        </w:tc>
      </w:tr>
      <w:tr>
        <w:trPr>
          <w:trHeight w:val="243"/>
        </w:trPr>
        <w:tc>
          <w:tcPr>
            <w:tcW w:w="558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8"/>
                <w:szCs w:val="18"/>
                <w:color w:val="auto"/>
              </w:rPr>
              <w:t>Changes in other 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(6 )</w:t>
            </w:r>
          </w:p>
        </w:tc>
        <w:tc>
          <w:tcPr>
            <w:tcW w:w="48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8</w:t>
            </w:r>
          </w:p>
        </w:tc>
      </w:tr>
      <w:tr>
        <w:trPr>
          <w:trHeight w:val="237"/>
        </w:trPr>
        <w:tc>
          <w:tcPr>
            <w:tcW w:w="5580" w:type="dxa"/>
            <w:vAlign w:val="bottom"/>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447</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881</w:t>
            </w:r>
          </w:p>
        </w:tc>
      </w:tr>
      <w:tr>
        <w:trPr>
          <w:trHeight w:val="243"/>
        </w:trPr>
        <w:tc>
          <w:tcPr>
            <w:tcW w:w="55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0219"/>
          </w:cols>
          <w:pgMar w:left="240" w:top="1138" w:right="1440" w:bottom="1440" w:gutter="0" w:footer="0" w:header="0"/>
        </w:sectPr>
      </w:pPr>
    </w:p>
    <w:p>
      <w:pPr>
        <w:ind w:left="1660"/>
        <w:spacing w:after="0"/>
        <w:rPr>
          <w:sz w:val="20"/>
          <w:szCs w:val="20"/>
          <w:color w:val="auto"/>
        </w:rPr>
      </w:pPr>
      <w:r>
        <w:rPr>
          <w:rFonts w:ascii="Arial" w:cs="Arial" w:eastAsia="Arial" w:hAnsi="Arial"/>
          <w:sz w:val="17"/>
          <w:szCs w:val="17"/>
          <w:color w:val="auto"/>
        </w:rPr>
        <w:t>CASH FLOWS FROM INVESTING ACTIVITIES</w:t>
      </w:r>
    </w:p>
    <w:p>
      <w:pPr>
        <w:spacing w:after="0" w:line="47"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Expenditures for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-115570</wp:posOffset>
            </wp:positionV>
            <wp:extent cx="516255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2550" cy="154305"/>
                    </a:xfrm>
                    <a:prstGeom prst="rect">
                      <a:avLst/>
                    </a:prstGeom>
                    <a:noFill/>
                  </pic:spPr>
                </pic:pic>
              </a:graphicData>
            </a:graphic>
          </wp:anchor>
        </w:drawing>
      </w:r>
    </w:p>
    <w:p>
      <w:pPr>
        <w:spacing w:after="0" w:line="3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Increase in loans to affiliates, net</w:t>
      </w:r>
    </w:p>
    <w:p>
      <w:pPr>
        <w:spacing w:after="0" w:line="3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-130175</wp:posOffset>
            </wp:positionV>
            <wp:extent cx="516255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2550" cy="154305"/>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-130175</wp:posOffset>
            </wp:positionV>
            <wp:extent cx="516255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2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84"/>
              </w:rPr>
              <w:t>(300 )</w:t>
            </w:r>
          </w:p>
        </w:tc>
        <w:tc>
          <w:tcPr>
            <w:tcW w:w="84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43"/>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84"/>
              </w:rPr>
              <w:t>(116 )</w:t>
            </w:r>
          </w:p>
        </w:tc>
        <w:tc>
          <w:tcPr>
            <w:tcW w:w="840" w:type="dxa"/>
            <w:vAlign w:val="bottom"/>
          </w:tcPr>
          <w:p>
            <w:pPr>
              <w:jc w:val="right"/>
              <w:spacing w:after="0"/>
              <w:rPr>
                <w:sz w:val="20"/>
                <w:szCs w:val="20"/>
                <w:color w:val="auto"/>
              </w:rPr>
            </w:pPr>
            <w:r>
              <w:rPr>
                <w:rFonts w:ascii="Arial" w:cs="Arial" w:eastAsia="Arial" w:hAnsi="Arial"/>
                <w:sz w:val="18"/>
                <w:szCs w:val="18"/>
                <w:color w:val="auto"/>
              </w:rPr>
              <w:t>(114 )</w:t>
            </w:r>
          </w:p>
        </w:tc>
      </w:tr>
    </w:tbl>
    <w:p>
      <w:pPr>
        <w:spacing w:after="0" w:line="13" w:lineRule="exact"/>
        <w:rPr>
          <w:sz w:val="20"/>
          <w:szCs w:val="20"/>
          <w:color w:val="auto"/>
        </w:rPr>
      </w:pPr>
    </w:p>
    <w:p>
      <w:pPr>
        <w:ind w:left="1500" w:hanging="1263"/>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9</w:t>
      </w:r>
    </w:p>
    <w:p>
      <w:pPr>
        <w:spacing w:after="0" w:line="36"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(1 )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23495</wp:posOffset>
            </wp:positionV>
            <wp:extent cx="1509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(415 )</w:t>
      </w:r>
      <w:r>
        <w:rPr>
          <w:sz w:val="20"/>
          <w:szCs w:val="20"/>
          <w:color w:val="auto"/>
        </w:rPr>
        <w:tab/>
      </w:r>
      <w:r>
        <w:rPr>
          <w:rFonts w:ascii="Arial" w:cs="Arial" w:eastAsia="Arial" w:hAnsi="Arial"/>
          <w:sz w:val="16"/>
          <w:szCs w:val="16"/>
          <w:color w:val="auto"/>
        </w:rPr>
        <w:t>(389 )</w:t>
      </w:r>
    </w:p>
    <w:p>
      <w:pPr>
        <w:spacing w:after="0" w:line="200" w:lineRule="exact"/>
        <w:rPr>
          <w:sz w:val="20"/>
          <w:szCs w:val="20"/>
          <w:color w:val="auto"/>
        </w:rPr>
      </w:pPr>
    </w:p>
    <w:p>
      <w:pPr>
        <w:sectPr>
          <w:pgSz w:w="11900" w:h="16838" w:orient="portrait"/>
          <w:cols w:equalWidth="0" w:num="2">
            <w:col w:w="7260" w:space="720"/>
            <w:col w:w="2239"/>
          </w:cols>
          <w:pgMar w:left="240" w:top="1138" w:right="1440" w:bottom="1440" w:gutter="0" w:footer="0" w:header="0"/>
          <w:type w:val="continuous"/>
        </w:sectPr>
      </w:pPr>
    </w:p>
    <w:p>
      <w:pPr>
        <w:spacing w:after="0" w:line="94"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r>
      <w:tr>
        <w:trPr>
          <w:trHeight w:val="237"/>
        </w:trPr>
        <w:tc>
          <w:tcPr>
            <w:tcW w:w="5740" w:type="dxa"/>
            <w:vAlign w:val="bottom"/>
          </w:tcPr>
          <w:p>
            <w:pPr>
              <w:ind w:left="260"/>
              <w:spacing w:after="0"/>
              <w:rPr>
                <w:sz w:val="20"/>
                <w:szCs w:val="20"/>
                <w:color w:val="auto"/>
              </w:rPr>
            </w:pPr>
            <w:r>
              <w:rPr>
                <w:rFonts w:ascii="Arial" w:cs="Arial" w:eastAsia="Arial" w:hAnsi="Arial"/>
                <w:sz w:val="18"/>
                <w:szCs w:val="18"/>
                <w:color w:val="auto"/>
              </w:rPr>
              <w:t>Common dividends paid</w:t>
            </w:r>
          </w:p>
        </w:tc>
        <w:tc>
          <w:tcPr>
            <w:tcW w:w="3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(100 )</w:t>
            </w:r>
          </w:p>
        </w:tc>
        <w:tc>
          <w:tcPr>
            <w:tcW w:w="4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(150 )</w:t>
            </w:r>
          </w:p>
        </w:tc>
      </w:tr>
      <w:tr>
        <w:trPr>
          <w:trHeight w:val="249"/>
        </w:trPr>
        <w:tc>
          <w:tcPr>
            <w:tcW w:w="5740" w:type="dxa"/>
            <w:vAlign w:val="bottom"/>
            <w:shd w:val="clear" w:color="auto" w:fill="CCFFCC"/>
          </w:tcPr>
          <w:p>
            <w:pPr>
              <w:ind w:left="260"/>
              <w:spacing w:after="0"/>
              <w:rPr>
                <w:sz w:val="20"/>
                <w:szCs w:val="20"/>
                <w:color w:val="auto"/>
              </w:rPr>
            </w:pPr>
            <w:r>
              <w:rPr>
                <w:rFonts w:ascii="Arial" w:cs="Arial" w:eastAsia="Arial" w:hAnsi="Arial"/>
                <w:sz w:val="18"/>
                <w:szCs w:val="18"/>
                <w:color w:val="auto"/>
              </w:rPr>
              <w:t>Preferred dividends paid</w:t>
            </w:r>
          </w:p>
        </w:tc>
        <w:tc>
          <w:tcPr>
            <w:tcW w:w="34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(3 )</w:t>
            </w:r>
          </w:p>
        </w:tc>
        <w:tc>
          <w:tcPr>
            <w:tcW w:w="46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(3 )</w:t>
            </w:r>
          </w:p>
        </w:tc>
      </w:tr>
      <w:tr>
        <w:trPr>
          <w:trHeight w:val="237"/>
        </w:trPr>
        <w:tc>
          <w:tcPr>
            <w:tcW w:w="5740" w:type="dxa"/>
            <w:vAlign w:val="bottom"/>
          </w:tcPr>
          <w:p>
            <w:pPr>
              <w:ind w:left="260"/>
              <w:spacing w:after="0"/>
              <w:rPr>
                <w:sz w:val="20"/>
                <w:szCs w:val="20"/>
                <w:color w:val="auto"/>
              </w:rPr>
            </w:pPr>
            <w:r>
              <w:rPr>
                <w:rFonts w:ascii="Arial" w:cs="Arial" w:eastAsia="Arial" w:hAnsi="Arial"/>
                <w:sz w:val="18"/>
                <w:szCs w:val="18"/>
                <w:color w:val="auto"/>
              </w:rPr>
              <w:t>Decrease in short-term debt</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(88 )</w:t>
            </w:r>
          </w:p>
        </w:tc>
      </w:tr>
      <w:tr>
        <w:trPr>
          <w:trHeight w:val="237"/>
        </w:trPr>
        <w:tc>
          <w:tcPr>
            <w:tcW w:w="5740" w:type="dxa"/>
            <w:vAlign w:val="bottom"/>
            <w:tcBorders>
              <w:bottom w:val="single" w:sz="8" w:color="CCFFCC"/>
            </w:tcBorders>
            <w:shd w:val="clear" w:color="auto" w:fill="CCFFCC"/>
          </w:tcPr>
          <w:p>
            <w:pPr>
              <w:ind w:left="10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(103 )</w:t>
            </w:r>
          </w:p>
        </w:tc>
        <w:tc>
          <w:tcPr>
            <w:tcW w:w="46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(241 )</w:t>
            </w:r>
          </w:p>
        </w:tc>
      </w:tr>
      <w:tr>
        <w:trPr>
          <w:trHeight w:val="243"/>
        </w:trPr>
        <w:tc>
          <w:tcPr>
            <w:tcW w:w="5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(71 )</w:t>
            </w:r>
          </w:p>
        </w:tc>
        <w:tc>
          <w:tcPr>
            <w:tcW w:w="46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251</w:t>
            </w: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211</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w:t>
            </w:r>
          </w:p>
        </w:tc>
      </w:tr>
      <w:tr>
        <w:trPr>
          <w:trHeight w:val="263"/>
        </w:trPr>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September 30</w:t>
            </w:r>
          </w:p>
        </w:tc>
        <w:tc>
          <w:tcPr>
            <w:tcW w:w="3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140</w:t>
            </w:r>
          </w:p>
        </w:tc>
        <w:tc>
          <w:tcPr>
            <w:tcW w:w="4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341</w:t>
            </w:r>
          </w:p>
        </w:tc>
      </w:tr>
    </w:tbl>
    <w:p>
      <w:pPr>
        <w:spacing w:after="0" w:line="26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SUPPLEMENTAL DISCLOSURE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-130175</wp:posOffset>
            </wp:positionV>
            <wp:extent cx="493966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9665" cy="154305"/>
                    </a:xfrm>
                    <a:prstGeom prst="rect">
                      <a:avLst/>
                    </a:prstGeom>
                    <a:noFill/>
                  </pic:spPr>
                </pic:pic>
              </a:graphicData>
            </a:graphic>
          </wp:anchor>
        </w:drawing>
      </w:r>
    </w:p>
    <w:p>
      <w:pPr>
        <w:spacing w:after="0" w:line="1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INFORMATION</w:t>
      </w:r>
    </w:p>
    <w:p>
      <w:pPr>
        <w:spacing w:after="0" w:line="43"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Interest payments, net of amounts capitalized</w:t>
            </w:r>
          </w:p>
        </w:tc>
        <w:tc>
          <w:tcPr>
            <w:tcW w:w="380" w:type="dxa"/>
            <w:vAlign w:val="bottom"/>
            <w:tcBorders>
              <w:bottom w:val="single" w:sz="8" w:color="auto"/>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auto"/>
            </w:tcBorders>
            <w:shd w:val="clear" w:color="auto" w:fill="CCFFCC"/>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Income tax payments, net of refunds</w:t>
            </w:r>
          </w:p>
        </w:tc>
        <w:tc>
          <w:tcPr>
            <w:tcW w:w="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22"/>
                <w:szCs w:val="22"/>
                <w:color w:val="auto"/>
              </w:rPr>
            </w:pPr>
          </w:p>
        </w:tc>
      </w:tr>
      <w:tr>
        <w:trPr>
          <w:trHeight w:val="270"/>
        </w:trPr>
        <w:tc>
          <w:tcPr>
            <w:tcW w:w="53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3"/>
        </w:trPr>
        <w:tc>
          <w:tcPr>
            <w:tcW w:w="5340" w:type="dxa"/>
            <w:vAlign w:val="bottom"/>
            <w:gridSpan w:val="2"/>
            <w:shd w:val="clear" w:color="auto" w:fill="CCFFCC"/>
          </w:tcPr>
          <w:p>
            <w:pPr>
              <w:jc w:val="center"/>
              <w:ind w:right="1690"/>
              <w:spacing w:after="0"/>
              <w:rPr>
                <w:sz w:val="20"/>
                <w:szCs w:val="20"/>
                <w:color w:val="auto"/>
              </w:rPr>
            </w:pPr>
            <w:r>
              <w:rPr>
                <w:rFonts w:ascii="Arial" w:cs="Arial" w:eastAsia="Arial" w:hAnsi="Arial"/>
                <w:sz w:val="18"/>
                <w:szCs w:val="18"/>
                <w:color w:val="auto"/>
                <w:w w:val="95"/>
              </w:rPr>
              <w:t>SUPPLEMENTAL SCHEDULE OF NONCASH</w:t>
            </w:r>
          </w:p>
        </w:tc>
        <w:tc>
          <w:tcPr>
            <w:tcW w:w="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INVESTING ACTIVITY</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20" w:type="dxa"/>
            <w:vAlign w:val="bottom"/>
            <w:shd w:val="clear" w:color="auto" w:fill="CCFFCC"/>
          </w:tcPr>
          <w:p>
            <w:pPr>
              <w:spacing w:after="0"/>
              <w:rPr>
                <w:sz w:val="21"/>
                <w:szCs w:val="21"/>
                <w:color w:val="auto"/>
              </w:rPr>
            </w:pPr>
          </w:p>
        </w:tc>
        <w:tc>
          <w:tcPr>
            <w:tcW w:w="53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Decrease in accounts payable from investments</w:t>
            </w:r>
          </w:p>
        </w:tc>
        <w:tc>
          <w:tcPr>
            <w:tcW w:w="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5320" w:type="dxa"/>
            <w:vAlign w:val="bottom"/>
          </w:tcPr>
          <w:p>
            <w:pPr>
              <w:jc w:val="center"/>
              <w:ind w:right="1730"/>
              <w:spacing w:after="0"/>
              <w:rPr>
                <w:sz w:val="20"/>
                <w:szCs w:val="20"/>
                <w:color w:val="auto"/>
              </w:rPr>
            </w:pPr>
            <w:r>
              <w:rPr>
                <w:rFonts w:ascii="Arial" w:cs="Arial" w:eastAsia="Arial" w:hAnsi="Arial"/>
                <w:sz w:val="18"/>
                <w:szCs w:val="18"/>
                <w:color w:val="auto"/>
                <w:w w:val="90"/>
              </w:rPr>
              <w:t>in property, plant and equipment</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(11 )</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r>
      <w:tr>
        <w:trPr>
          <w:trHeight w:val="243"/>
        </w:trPr>
        <w:tc>
          <w:tcPr>
            <w:tcW w:w="20" w:type="dxa"/>
            <w:vAlign w:val="bottom"/>
            <w:shd w:val="clear" w:color="auto" w:fill="CCFFCC"/>
          </w:tcPr>
          <w:p>
            <w:pPr>
              <w:spacing w:after="0"/>
              <w:rPr>
                <w:sz w:val="21"/>
                <w:szCs w:val="21"/>
                <w:color w:val="auto"/>
              </w:rPr>
            </w:pPr>
          </w:p>
        </w:tc>
        <w:tc>
          <w:tcPr>
            <w:tcW w:w="53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360" w:type="dxa"/>
            <w:vAlign w:val="bottom"/>
            <w:tcBorders>
              <w:top w:val="single" w:sz="8" w:color="auto"/>
            </w:tcBorders>
            <w:shd w:val="clear" w:color="auto" w:fill="CCFFCC"/>
          </w:tcPr>
          <w:p>
            <w:pPr>
              <w:spacing w:after="0"/>
              <w:rPr>
                <w:sz w:val="21"/>
                <w:szCs w:val="21"/>
                <w:color w:val="auto"/>
              </w:rPr>
            </w:pPr>
          </w:p>
        </w:tc>
        <w:tc>
          <w:tcPr>
            <w:tcW w:w="800" w:type="dxa"/>
            <w:vAlign w:val="bottom"/>
            <w:tcBorders>
              <w:top w:val="single" w:sz="8" w:color="auto"/>
            </w:tcBorders>
            <w:shd w:val="clear" w:color="auto" w:fill="CCFFCC"/>
          </w:tcPr>
          <w:p>
            <w:pPr>
              <w:spacing w:after="0"/>
              <w:rPr>
                <w:sz w:val="21"/>
                <w:szCs w:val="21"/>
                <w:color w:val="auto"/>
              </w:rPr>
            </w:pPr>
          </w:p>
        </w:tc>
        <w:tc>
          <w:tcPr>
            <w:tcW w:w="340" w:type="dxa"/>
            <w:vAlign w:val="bottom"/>
            <w:tcBorders>
              <w:top w:val="single" w:sz="8" w:color="auto"/>
            </w:tcBorders>
            <w:shd w:val="clear" w:color="auto" w:fill="CCFFCC"/>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shd w:val="clear" w:color="auto" w:fill="CCFFCC"/>
          </w:tcPr>
          <w:p>
            <w:pPr>
              <w:spacing w:after="0"/>
              <w:rPr>
                <w:sz w:val="21"/>
                <w:szCs w:val="21"/>
                <w:color w:val="auto"/>
              </w:rPr>
            </w:pPr>
          </w:p>
        </w:tc>
      </w:tr>
    </w:tbl>
    <w:p>
      <w:pPr>
        <w:ind w:left="182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11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19"/>
          </w:cols>
          <w:pgMar w:left="240" w:top="1138" w:right="1440" w:bottom="1440" w:gutter="0" w:footer="0" w:header="0"/>
          <w:type w:val="continuous"/>
        </w:sectPr>
      </w:pPr>
    </w:p>
    <w:bookmarkStart w:id="6" w:name="page7"/>
    <w:bookmarkEnd w:id="6"/>
    <w:p>
      <w:pPr>
        <w:ind w:left="1100"/>
        <w:spacing w:after="0"/>
        <w:rPr>
          <w:sz w:val="20"/>
          <w:szCs w:val="20"/>
          <w:color w:val="auto"/>
        </w:rPr>
      </w:pPr>
      <w:r>
        <w:rPr>
          <w:rFonts w:ascii="Arial" w:cs="Arial" w:eastAsia="Arial" w:hAnsi="Arial"/>
          <w:sz w:val="18"/>
          <w:szCs w:val="18"/>
          <w:color w:val="auto"/>
        </w:rPr>
        <w:t>SOUTHERN CALIFORNIA GAS COMPANY AND SUBSIDIARIES</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STATEMENTS OF CONSOLIDATED INCOME</w:t>
      </w:r>
    </w:p>
    <w:p>
      <w:pPr>
        <w:spacing w:after="0" w:line="27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w w:val="89"/>
              </w:rPr>
              <w:t>Three months ended</w:t>
            </w:r>
          </w:p>
        </w:tc>
        <w:tc>
          <w:tcPr>
            <w:tcW w:w="360" w:type="dxa"/>
            <w:vAlign w:val="bottom"/>
          </w:tcPr>
          <w:p>
            <w:pPr>
              <w:spacing w:after="0"/>
              <w:rPr>
                <w:sz w:val="20"/>
                <w:szCs w:val="20"/>
                <w:color w:val="auto"/>
              </w:rPr>
            </w:pPr>
          </w:p>
        </w:tc>
        <w:tc>
          <w:tcPr>
            <w:tcW w:w="1840" w:type="dxa"/>
            <w:vAlign w:val="bottom"/>
            <w:gridSpan w:val="4"/>
          </w:tcPr>
          <w:p>
            <w:pPr>
              <w:jc w:val="right"/>
              <w:ind w:right="190"/>
              <w:spacing w:after="0"/>
              <w:rPr>
                <w:sz w:val="20"/>
                <w:szCs w:val="20"/>
                <w:color w:val="auto"/>
              </w:rPr>
            </w:pPr>
            <w:r>
              <w:rPr>
                <w:rFonts w:ascii="Arial" w:cs="Arial" w:eastAsia="Arial" w:hAnsi="Arial"/>
                <w:sz w:val="18"/>
                <w:szCs w:val="18"/>
                <w:color w:val="auto"/>
                <w:w w:val="98"/>
              </w:rPr>
              <w:t>Nine months ended</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3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2007</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2006</w:t>
            </w: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4"/>
          </w:tcPr>
          <w:p>
            <w:pPr>
              <w:jc w:val="right"/>
              <w:ind w:right="52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819</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812</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auto"/>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Arial" w:cs="Arial" w:eastAsia="Arial" w:hAnsi="Arial"/>
                <w:sz w:val="18"/>
                <w:szCs w:val="18"/>
                <w:color w:val="auto"/>
              </w:rPr>
              <w:t>Cost of natural gas</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9"/>
        </w:trPr>
        <w:tc>
          <w:tcPr>
            <w:tcW w:w="4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222</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9"/>
        </w:trPr>
        <w:tc>
          <w:tcPr>
            <w:tcW w:w="4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Franchise fees and other taxes</w:t>
            </w:r>
          </w:p>
        </w:tc>
        <w:tc>
          <w:tcPr>
            <w:tcW w:w="22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4980" w:type="dxa"/>
            <w:vAlign w:val="bottom"/>
          </w:tcPr>
          <w:p>
            <w:pPr>
              <w:ind w:left="7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702</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680</w:t>
            </w: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43"/>
        </w:trPr>
        <w:tc>
          <w:tcPr>
            <w:tcW w:w="49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9"/>
        </w:trPr>
        <w:tc>
          <w:tcPr>
            <w:tcW w:w="49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9"/>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(18 )</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(19 )</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(53 )</w:t>
            </w: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shd w:val="clear" w:color="auto" w:fill="CCFFCC"/>
          </w:tcPr>
          <w:p>
            <w:pPr>
              <w:spacing w:after="0"/>
              <w:rPr>
                <w:sz w:val="20"/>
                <w:szCs w:val="20"/>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FFCC"/>
          </w:tcPr>
          <w:p>
            <w:pPr>
              <w:spacing w:after="0"/>
              <w:rPr>
                <w:sz w:val="21"/>
                <w:szCs w:val="21"/>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Earnings applicable to common shares</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auto"/>
            </w:tcBorders>
            <w:shd w:val="clear" w:color="auto" w:fill="CCFFCC"/>
          </w:tcPr>
          <w:p>
            <w:pPr>
              <w:spacing w:after="0"/>
              <w:rPr>
                <w:sz w:val="22"/>
                <w:szCs w:val="22"/>
                <w:color w:val="auto"/>
              </w:rPr>
            </w:pP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-130175</wp:posOffset>
            </wp:positionV>
            <wp:extent cx="58661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340"/>
          </w:cols>
          <w:pgMar w:left="240" w:top="895" w:right="1319" w:bottom="1440" w:gutter="0" w:footer="0" w:header="0"/>
        </w:sectPr>
      </w:pPr>
    </w:p>
    <w:bookmarkStart w:id="7" w:name="page8"/>
    <w:bookmarkEnd w:id="7"/>
    <w:p>
      <w:pPr>
        <w:ind w:left="1320" w:right="3779"/>
        <w:spacing w:after="0" w:line="309" w:lineRule="auto"/>
        <w:rPr>
          <w:sz w:val="20"/>
          <w:szCs w:val="20"/>
          <w:color w:val="auto"/>
        </w:rPr>
      </w:pPr>
      <w:r>
        <w:rPr>
          <w:rFonts w:ascii="Arial" w:cs="Arial" w:eastAsia="Arial" w:hAnsi="Arial"/>
          <w:sz w:val="18"/>
          <w:szCs w:val="18"/>
          <w:color w:val="auto"/>
        </w:rPr>
        <w:t>SOUTHERN CALIFORNIA GAS COMPANY AND SUBSIDIARIES CONSOLIDATED BALANCE SHEETS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1"/>
              </w:rPr>
              <w:t>December 31,</w:t>
            </w:r>
          </w:p>
        </w:tc>
      </w:tr>
      <w:tr>
        <w:trPr>
          <w:trHeight w:val="237"/>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30"/>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ind w:left="60"/>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760" w:type="dxa"/>
            <w:vAlign w:val="bottom"/>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140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211</w:t>
            </w:r>
          </w:p>
        </w:tc>
      </w:tr>
      <w:tr>
        <w:trPr>
          <w:trHeight w:val="249"/>
        </w:trPr>
        <w:tc>
          <w:tcPr>
            <w:tcW w:w="57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receivable - trade</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330</w:t>
            </w: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640</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Accounts receivable - other</w:t>
            </w: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49"/>
        </w:trPr>
        <w:tc>
          <w:tcPr>
            <w:tcW w:w="57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Due from unconsolidated affiliates</w:t>
            </w: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108</w:t>
            </w:r>
          </w:p>
        </w:tc>
      </w:tr>
      <w:tr>
        <w:trPr>
          <w:trHeight w:val="249"/>
        </w:trPr>
        <w:tc>
          <w:tcPr>
            <w:tcW w:w="57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249"/>
        </w:trPr>
        <w:tc>
          <w:tcPr>
            <w:tcW w:w="57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192</w:t>
            </w: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106</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Other regulatory assets</w:t>
            </w: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w:t>
            </w:r>
          </w:p>
        </w:tc>
      </w:tr>
      <w:tr>
        <w:trPr>
          <w:trHeight w:val="243"/>
        </w:trPr>
        <w:tc>
          <w:tcPr>
            <w:tcW w:w="57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18</w:t>
            </w:r>
          </w:p>
        </w:tc>
      </w:tr>
      <w:tr>
        <w:trPr>
          <w:trHeight w:val="237"/>
        </w:trPr>
        <w:tc>
          <w:tcPr>
            <w:tcW w:w="57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989</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1,209</w:t>
            </w:r>
          </w:p>
        </w:tc>
      </w:tr>
      <w:tr>
        <w:trPr>
          <w:trHeight w:val="243"/>
        </w:trPr>
        <w:tc>
          <w:tcPr>
            <w:tcW w:w="57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2"/>
        </w:trPr>
        <w:tc>
          <w:tcPr>
            <w:tcW w:w="57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assets arising from pension and other</w:t>
            </w:r>
          </w:p>
        </w:tc>
        <w:tc>
          <w:tcPr>
            <w:tcW w:w="14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44"/>
        </w:trPr>
        <w:tc>
          <w:tcPr>
            <w:tcW w:w="57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postretirement benefit obligations</w:t>
            </w: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136</w:t>
            </w:r>
          </w:p>
        </w:tc>
      </w:tr>
      <w:tr>
        <w:trPr>
          <w:trHeight w:val="237"/>
        </w:trPr>
        <w:tc>
          <w:tcPr>
            <w:tcW w:w="5760" w:type="dxa"/>
            <w:vAlign w:val="bottom"/>
          </w:tcPr>
          <w:p>
            <w:pPr>
              <w:ind w:left="220"/>
              <w:spacing w:after="0"/>
              <w:rPr>
                <w:sz w:val="20"/>
                <w:szCs w:val="20"/>
                <w:color w:val="auto"/>
              </w:rPr>
            </w:pPr>
            <w:r>
              <w:rPr>
                <w:rFonts w:ascii="Arial" w:cs="Arial" w:eastAsia="Arial" w:hAnsi="Arial"/>
                <w:sz w:val="18"/>
                <w:szCs w:val="18"/>
                <w:color w:val="auto"/>
              </w:rPr>
              <w:t>Other regulatory assets</w:t>
            </w:r>
          </w:p>
        </w:tc>
        <w:tc>
          <w:tcPr>
            <w:tcW w:w="1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95</w:t>
            </w:r>
          </w:p>
        </w:tc>
      </w:tr>
      <w:tr>
        <w:trPr>
          <w:trHeight w:val="243"/>
        </w:trPr>
        <w:tc>
          <w:tcPr>
            <w:tcW w:w="57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Sundry</w:t>
            </w:r>
          </w:p>
        </w:tc>
        <w:tc>
          <w:tcPr>
            <w:tcW w:w="14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19</w:t>
            </w:r>
          </w:p>
        </w:tc>
      </w:tr>
      <w:tr>
        <w:trPr>
          <w:trHeight w:val="237"/>
        </w:trPr>
        <w:tc>
          <w:tcPr>
            <w:tcW w:w="5760" w:type="dxa"/>
            <w:vAlign w:val="bottom"/>
          </w:tcPr>
          <w:p>
            <w:pPr>
              <w:ind w:left="4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w:t>
            </w:r>
          </w:p>
        </w:tc>
      </w:tr>
      <w:tr>
        <w:trPr>
          <w:trHeight w:val="243"/>
        </w:trPr>
        <w:tc>
          <w:tcPr>
            <w:tcW w:w="57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0219"/>
          </w:cols>
          <w:pgMar w:left="240" w:top="895" w:right="1440" w:bottom="1440" w:gutter="0" w:footer="0" w:header="0"/>
        </w:sectPr>
      </w:pPr>
    </w:p>
    <w:p>
      <w:pPr>
        <w:ind w:left="1320"/>
        <w:spacing w:after="0"/>
        <w:rPr>
          <w:sz w:val="20"/>
          <w:szCs w:val="20"/>
          <w:color w:val="auto"/>
        </w:rPr>
      </w:pPr>
      <w:r>
        <w:rPr>
          <w:rFonts w:ascii="Arial" w:cs="Arial" w:eastAsia="Arial" w:hAnsi="Arial"/>
          <w:sz w:val="18"/>
          <w:szCs w:val="18"/>
          <w:color w:val="auto"/>
        </w:rPr>
        <w:t>Property, plant and equipment:</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Property, plant and equipment</w:t>
      </w:r>
    </w:p>
    <w:p>
      <w:pPr>
        <w:spacing w:after="0" w:line="3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Less accumulated depreciation</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Property, plant and equipment, net</w:t>
      </w:r>
    </w:p>
    <w:p>
      <w:pPr>
        <w:spacing w:after="0" w:line="7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8,372</w:t>
            </w:r>
          </w:p>
        </w:tc>
        <w:tc>
          <w:tcPr>
            <w:tcW w:w="7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8,148</w:t>
            </w:r>
          </w:p>
        </w:tc>
      </w:tr>
      <w:tr>
        <w:trPr>
          <w:trHeight w:val="250"/>
        </w:trPr>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(3,353 )</w:t>
            </w:r>
          </w:p>
        </w:tc>
        <w:tc>
          <w:tcPr>
            <w:tcW w:w="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(3,248 )</w:t>
            </w:r>
          </w:p>
        </w:tc>
      </w:tr>
      <w:tr>
        <w:trPr>
          <w:trHeight w:val="237"/>
        </w:trPr>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5,019</w:t>
            </w: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4,900</w:t>
            </w:r>
          </w:p>
        </w:tc>
      </w:tr>
      <w:tr>
        <w:trPr>
          <w:trHeight w:val="26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6,258</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-659765</wp:posOffset>
            </wp:positionV>
            <wp:extent cx="5608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8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-342265</wp:posOffset>
            </wp:positionV>
            <wp:extent cx="5608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8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0</wp:posOffset>
            </wp:positionV>
            <wp:extent cx="5608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8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3159"/>
          </w:cols>
          <w:pgMar w:left="240" w:top="895" w:right="1440" w:bottom="1440" w:gutter="0" w:footer="0" w:header="0"/>
          <w:type w:val="continuous"/>
        </w:sectPr>
      </w:pPr>
    </w:p>
    <w:p>
      <w:pPr>
        <w:spacing w:after="0" w:line="42"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895" w:right="1440" w:bottom="1440" w:gutter="0" w:footer="0" w:header="0"/>
          <w:type w:val="continuous"/>
        </w:sectPr>
      </w:pPr>
    </w:p>
    <w:bookmarkStart w:id="8" w:name="page9"/>
    <w:bookmarkEnd w:id="8"/>
    <w:p>
      <w:pPr>
        <w:ind w:left="1420" w:right="3679"/>
        <w:spacing w:after="0" w:line="309" w:lineRule="auto"/>
        <w:rPr>
          <w:sz w:val="20"/>
          <w:szCs w:val="20"/>
          <w:color w:val="auto"/>
        </w:rPr>
      </w:pPr>
      <w:r>
        <w:rPr>
          <w:rFonts w:ascii="Arial" w:cs="Arial" w:eastAsia="Arial" w:hAnsi="Arial"/>
          <w:sz w:val="18"/>
          <w:szCs w:val="18"/>
          <w:color w:val="auto"/>
        </w:rPr>
        <w:t>SOUTHERN CALIFORNIA GAS COMPANY AND SUBSIDIARIES CONSOLIDATED BALANCE SHEETS</w:t>
      </w:r>
    </w:p>
    <w:p>
      <w:pPr>
        <w:spacing w:after="0" w:line="196"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8"/>
                <w:szCs w:val="18"/>
                <w:color w:val="auto"/>
                <w:w w:val="88"/>
              </w:rPr>
              <w:t>September 30,</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December 31,</w:t>
            </w:r>
          </w:p>
        </w:tc>
      </w:tr>
      <w:tr>
        <w:trPr>
          <w:trHeight w:val="25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89"/>
              </w:rPr>
              <w:t>2007</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r>
      <w:tr>
        <w:trPr>
          <w:trHeight w:val="237"/>
        </w:trPr>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10"/>
              <w:spacing w:after="0"/>
              <w:rPr>
                <w:sz w:val="20"/>
                <w:szCs w:val="20"/>
                <w:color w:val="auto"/>
              </w:rPr>
            </w:pPr>
            <w:r>
              <w:rPr>
                <w:rFonts w:ascii="Arial" w:cs="Arial" w:eastAsia="Arial" w:hAnsi="Arial"/>
                <w:sz w:val="18"/>
                <w:szCs w:val="18"/>
                <w:color w:val="auto"/>
                <w:w w:val="90"/>
              </w:rPr>
              <w:t>(unaudited)</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251</w:t>
            </w:r>
          </w:p>
        </w:tc>
        <w:tc>
          <w:tcPr>
            <w:tcW w:w="5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416</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Accounts payable - other</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Due to unconsolidated affiliates</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balancing accounts, net</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167</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568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FFCC"/>
          </w:tcPr>
          <w:p>
            <w:pPr>
              <w:spacing w:after="0"/>
              <w:rPr>
                <w:sz w:val="21"/>
                <w:szCs w:val="21"/>
                <w:color w:val="auto"/>
              </w:rPr>
            </w:pPr>
          </w:p>
        </w:tc>
        <w:tc>
          <w:tcPr>
            <w:tcW w:w="134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331</w:t>
            </w:r>
          </w:p>
        </w:tc>
        <w:tc>
          <w:tcPr>
            <w:tcW w:w="52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56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959</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56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37"/>
        </w:trPr>
        <w:tc>
          <w:tcPr>
            <w:tcW w:w="56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1,110</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r>
      <w:tr>
        <w:trPr>
          <w:trHeight w:val="229"/>
        </w:trPr>
        <w:tc>
          <w:tcPr>
            <w:tcW w:w="56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40" w:type="dxa"/>
            <w:vAlign w:val="bottom"/>
            <w:shd w:val="clear" w:color="auto" w:fill="CCFFCC"/>
          </w:tcPr>
          <w:p>
            <w:pPr>
              <w:spacing w:after="0"/>
              <w:rPr>
                <w:sz w:val="19"/>
                <w:szCs w:val="19"/>
                <w:color w:val="auto"/>
              </w:rPr>
            </w:pPr>
          </w:p>
        </w:tc>
        <w:tc>
          <w:tcPr>
            <w:tcW w:w="52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Customer advances for construction</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91</w:t>
            </w:r>
          </w:p>
        </w:tc>
      </w:tr>
      <w:tr>
        <w:trPr>
          <w:trHeight w:val="215"/>
        </w:trPr>
        <w:tc>
          <w:tcPr>
            <w:tcW w:w="5680" w:type="dxa"/>
            <w:vAlign w:val="bottom"/>
          </w:tcPr>
          <w:p>
            <w:pPr>
              <w:ind w:left="220"/>
              <w:spacing w:after="0"/>
              <w:rPr>
                <w:sz w:val="20"/>
                <w:szCs w:val="20"/>
                <w:color w:val="auto"/>
              </w:rPr>
            </w:pPr>
            <w:r>
              <w:rPr>
                <w:rFonts w:ascii="Arial" w:cs="Arial" w:eastAsia="Arial" w:hAnsi="Arial"/>
                <w:sz w:val="18"/>
                <w:szCs w:val="18"/>
                <w:color w:val="auto"/>
              </w:rPr>
              <w:t>Pension and other postretirement benefit obligations,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5680" w:type="dxa"/>
            <w:vAlign w:val="bottom"/>
          </w:tcPr>
          <w:p>
            <w:pPr>
              <w:ind w:left="440"/>
              <w:spacing w:after="0"/>
              <w:rPr>
                <w:sz w:val="20"/>
                <w:szCs w:val="20"/>
                <w:color w:val="auto"/>
              </w:rPr>
            </w:pPr>
            <w:r>
              <w:rPr>
                <w:rFonts w:ascii="Arial" w:cs="Arial" w:eastAsia="Arial" w:hAnsi="Arial"/>
                <w:sz w:val="18"/>
                <w:szCs w:val="18"/>
                <w:color w:val="auto"/>
              </w:rPr>
              <w:t>net of plan assets</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167</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50"/>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Deferred investment tax credits</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liabilities arising from removal obligations</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1,030</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1,019</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685</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taxes refundable in rates</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233</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Deferred credits and other</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262</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r>
      <w:tr>
        <w:trPr>
          <w:trHeight w:val="237"/>
        </w:trPr>
        <w:tc>
          <w:tcPr>
            <w:tcW w:w="568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Total deferred credits and other liabilities</w:t>
            </w:r>
          </w:p>
        </w:tc>
        <w:tc>
          <w:tcPr>
            <w:tcW w:w="140" w:type="dxa"/>
            <w:vAlign w:val="bottom"/>
            <w:tcBorders>
              <w:bottom w:val="single" w:sz="8" w:color="auto"/>
            </w:tcBorders>
            <w:shd w:val="clear" w:color="auto" w:fill="CCFFCC"/>
          </w:tcPr>
          <w:p>
            <w:pPr>
              <w:spacing w:after="0"/>
              <w:rPr>
                <w:sz w:val="20"/>
                <w:szCs w:val="20"/>
                <w:color w:val="auto"/>
              </w:rPr>
            </w:pPr>
          </w:p>
        </w:tc>
        <w:tc>
          <w:tcPr>
            <w:tcW w:w="134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2,627</w:t>
            </w:r>
          </w:p>
        </w:tc>
        <w:tc>
          <w:tcPr>
            <w:tcW w:w="52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2,586</w:t>
            </w:r>
          </w:p>
        </w:tc>
      </w:tr>
      <w:tr>
        <w:trPr>
          <w:trHeight w:val="243"/>
        </w:trPr>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43"/>
        </w:trPr>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56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Common stock (100 million shares authorized;</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37"/>
        </w:trPr>
        <w:tc>
          <w:tcPr>
            <w:tcW w:w="5680" w:type="dxa"/>
            <w:vAlign w:val="bottom"/>
          </w:tcPr>
          <w:p>
            <w:pPr>
              <w:ind w:left="440"/>
              <w:spacing w:after="0"/>
              <w:rPr>
                <w:sz w:val="20"/>
                <w:szCs w:val="20"/>
                <w:color w:val="auto"/>
              </w:rPr>
            </w:pPr>
            <w:r>
              <w:rPr>
                <w:rFonts w:ascii="Arial" w:cs="Arial" w:eastAsia="Arial" w:hAnsi="Arial"/>
                <w:sz w:val="18"/>
                <w:szCs w:val="18"/>
                <w:color w:val="auto"/>
              </w:rPr>
              <w:t>91 million shares outstanding; no par value)</w:t>
            </w:r>
          </w:p>
        </w:tc>
        <w:tc>
          <w:tcPr>
            <w:tcW w:w="1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866</w:t>
            </w: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49"/>
        </w:trPr>
        <w:tc>
          <w:tcPr>
            <w:tcW w:w="56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679</w:t>
            </w: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607</w:t>
            </w:r>
          </w:p>
        </w:tc>
      </w:tr>
      <w:tr>
        <w:trPr>
          <w:trHeight w:val="237"/>
        </w:trPr>
        <w:tc>
          <w:tcPr>
            <w:tcW w:w="56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(5 )</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68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FFCC"/>
          </w:tcPr>
          <w:p>
            <w:pPr>
              <w:spacing w:after="0"/>
              <w:rPr>
                <w:sz w:val="20"/>
                <w:szCs w:val="20"/>
                <w:color w:val="auto"/>
              </w:rPr>
            </w:pPr>
          </w:p>
        </w:tc>
        <w:tc>
          <w:tcPr>
            <w:tcW w:w="134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1,562</w:t>
            </w:r>
          </w:p>
        </w:tc>
        <w:tc>
          <w:tcPr>
            <w:tcW w:w="52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1,490</w:t>
            </w:r>
          </w:p>
        </w:tc>
      </w:tr>
      <w:tr>
        <w:trPr>
          <w:trHeight w:val="263"/>
        </w:trPr>
        <w:tc>
          <w:tcPr>
            <w:tcW w:w="56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6,258</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6,359</w:t>
            </w:r>
          </w:p>
        </w:tc>
      </w:tr>
      <w:tr>
        <w:trPr>
          <w:trHeight w:val="243"/>
        </w:trPr>
        <w:tc>
          <w:tcPr>
            <w:tcW w:w="56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bl>
    <w:p>
      <w:pPr>
        <w:ind w:left="14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9"/>
          </w:cols>
          <w:pgMar w:left="240" w:top="895" w:right="1440" w:bottom="1440" w:gutter="0" w:footer="0" w:header="0"/>
        </w:sectPr>
      </w:pPr>
    </w:p>
    <w:bookmarkStart w:id="9" w:name="page10"/>
    <w:bookmarkEnd w:id="9"/>
    <w:p>
      <w:pPr>
        <w:ind w:left="1360"/>
        <w:spacing w:after="0"/>
        <w:rPr>
          <w:sz w:val="20"/>
          <w:szCs w:val="20"/>
          <w:color w:val="auto"/>
        </w:rPr>
      </w:pPr>
      <w:r>
        <w:rPr>
          <w:rFonts w:ascii="Arial" w:cs="Arial" w:eastAsia="Arial" w:hAnsi="Arial"/>
          <w:sz w:val="18"/>
          <w:szCs w:val="18"/>
          <w:color w:val="auto"/>
        </w:rPr>
        <w:t>SOUTHERN CALIFORNIA GAS COMPANY AND SUBSIDIARIES</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STATEMENTS OF CONSOLIDATED CASH FLOWS</w:t>
      </w:r>
    </w:p>
    <w:p>
      <w:pPr>
        <w:spacing w:after="0" w:line="279"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3"/>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250"/>
        </w:trPr>
        <w:tc>
          <w:tcPr>
            <w:tcW w:w="60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Borders>
              <w:bottom w:val="single" w:sz="8" w:color="auto"/>
            </w:tcBorders>
          </w:tcPr>
          <w:p>
            <w:pPr>
              <w:spacing w:after="0"/>
              <w:rPr>
                <w:sz w:val="21"/>
                <w:szCs w:val="21"/>
                <w:color w:val="auto"/>
              </w:rPr>
            </w:pPr>
          </w:p>
        </w:tc>
      </w:tr>
      <w:tr>
        <w:trPr>
          <w:trHeight w:val="237"/>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2006</w:t>
            </w:r>
          </w:p>
        </w:tc>
      </w:tr>
      <w:tr>
        <w:trPr>
          <w:trHeight w:val="230"/>
        </w:trPr>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800" w:type="dxa"/>
            <w:vAlign w:val="bottom"/>
          </w:tcPr>
          <w:p>
            <w:pPr>
              <w:spacing w:after="0"/>
              <w:rPr>
                <w:sz w:val="20"/>
                <w:szCs w:val="20"/>
                <w:color w:val="auto"/>
              </w:rPr>
            </w:pPr>
          </w:p>
        </w:tc>
      </w:tr>
      <w:tr>
        <w:trPr>
          <w:trHeight w:val="249"/>
        </w:trPr>
        <w:tc>
          <w:tcPr>
            <w:tcW w:w="60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0"/>
        </w:trPr>
        <w:tc>
          <w:tcPr>
            <w:tcW w:w="6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169</w:t>
            </w: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Adjustments to reconcile net income to net cash provided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9"/>
        </w:trPr>
        <w:tc>
          <w:tcPr>
            <w:tcW w:w="6020" w:type="dxa"/>
            <w:vAlign w:val="bottom"/>
            <w:shd w:val="clear" w:color="auto" w:fill="CCFFCC"/>
          </w:tcPr>
          <w:p>
            <w:pPr>
              <w:ind w:left="580"/>
              <w:spacing w:after="0"/>
              <w:rPr>
                <w:sz w:val="20"/>
                <w:szCs w:val="20"/>
                <w:color w:val="auto"/>
              </w:rPr>
            </w:pPr>
            <w:r>
              <w:rPr>
                <w:rFonts w:ascii="Arial" w:cs="Arial" w:eastAsia="Arial" w:hAnsi="Arial"/>
                <w:sz w:val="18"/>
                <w:szCs w:val="18"/>
                <w:color w:val="auto"/>
              </w:rPr>
              <w:t>by operating activities: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6020" w:type="dxa"/>
            <w:vAlign w:val="bottom"/>
          </w:tcPr>
          <w:p>
            <w:pPr>
              <w:ind w:left="110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210</w:t>
            </w:r>
          </w:p>
        </w:tc>
        <w:tc>
          <w:tcPr>
            <w:tcW w:w="5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200</w:t>
            </w:r>
          </w:p>
        </w:tc>
      </w:tr>
      <w:tr>
        <w:trPr>
          <w:trHeight w:val="249"/>
        </w:trPr>
        <w:tc>
          <w:tcPr>
            <w:tcW w:w="6020" w:type="dxa"/>
            <w:vAlign w:val="bottom"/>
            <w:shd w:val="clear" w:color="auto" w:fill="CCFFCC"/>
          </w:tcPr>
          <w:p>
            <w:pPr>
              <w:ind w:left="760"/>
              <w:spacing w:after="0"/>
              <w:rPr>
                <w:sz w:val="20"/>
                <w:szCs w:val="20"/>
                <w:color w:val="auto"/>
              </w:rPr>
            </w:pPr>
            <w:r>
              <w:rPr>
                <w:rFonts w:ascii="Arial" w:cs="Arial" w:eastAsia="Arial" w:hAnsi="Arial"/>
                <w:sz w:val="18"/>
                <w:szCs w:val="18"/>
                <w:color w:val="auto"/>
              </w:rPr>
              <w:t>Deferred income taxes and investment tax credits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w:t>
            </w:r>
          </w:p>
        </w:tc>
      </w:tr>
      <w:tr>
        <w:trPr>
          <w:trHeight w:val="237"/>
        </w:trPr>
        <w:tc>
          <w:tcPr>
            <w:tcW w:w="6020" w:type="dxa"/>
            <w:vAlign w:val="bottom"/>
          </w:tcPr>
          <w:p>
            <w:pPr>
              <w:ind w:left="760"/>
              <w:spacing w:after="0"/>
              <w:rPr>
                <w:sz w:val="20"/>
                <w:szCs w:val="20"/>
                <w:color w:val="auto"/>
              </w:rPr>
            </w:pPr>
            <w:r>
              <w:rPr>
                <w:rFonts w:ascii="Arial" w:cs="Arial" w:eastAsia="Arial" w:hAnsi="Arial"/>
                <w:sz w:val="18"/>
                <w:szCs w:val="18"/>
                <w:color w:val="auto"/>
              </w:rPr>
              <w:t>Accretion of interest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49"/>
        </w:trPr>
        <w:tc>
          <w:tcPr>
            <w:tcW w:w="6020" w:type="dxa"/>
            <w:vAlign w:val="bottom"/>
            <w:shd w:val="clear" w:color="auto" w:fill="CCFFCC"/>
          </w:tcPr>
          <w:p>
            <w:pPr>
              <w:ind w:left="7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(2 )</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(4 )</w:t>
            </w: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Net changes in working capital components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460</w:t>
            </w:r>
          </w:p>
        </w:tc>
      </w:tr>
      <w:tr>
        <w:trPr>
          <w:trHeight w:val="249"/>
        </w:trPr>
        <w:tc>
          <w:tcPr>
            <w:tcW w:w="6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Changes in other assets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w:t>
            </w: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Changes in other liabilities</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(1 )</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w:t>
            </w:r>
          </w:p>
        </w:tc>
      </w:tr>
      <w:tr>
        <w:trPr>
          <w:trHeight w:val="237"/>
        </w:trPr>
        <w:tc>
          <w:tcPr>
            <w:tcW w:w="6020" w:type="dxa"/>
            <w:vAlign w:val="bottom"/>
            <w:tcBorders>
              <w:bottom w:val="single" w:sz="8" w:color="CCFFCC"/>
            </w:tcBorders>
            <w:shd w:val="clear" w:color="auto" w:fill="CCFFCC"/>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435</w:t>
            </w:r>
          </w:p>
        </w:tc>
        <w:tc>
          <w:tcPr>
            <w:tcW w:w="5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848</w:t>
            </w:r>
          </w:p>
        </w:tc>
      </w:tr>
      <w:tr>
        <w:trPr>
          <w:trHeight w:val="243"/>
        </w:trPr>
        <w:tc>
          <w:tcPr>
            <w:tcW w:w="6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(300 )</w:t>
            </w:r>
          </w:p>
        </w:tc>
        <w:tc>
          <w:tcPr>
            <w:tcW w:w="5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(284 )</w:t>
            </w:r>
          </w:p>
        </w:tc>
      </w:tr>
      <w:tr>
        <w:trPr>
          <w:trHeight w:val="249"/>
        </w:trPr>
        <w:tc>
          <w:tcPr>
            <w:tcW w:w="6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Increase in loans to affiliates, net</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(107 )</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(83 )</w:t>
            </w: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r>
      <w:tr>
        <w:trPr>
          <w:trHeight w:val="237"/>
        </w:trPr>
        <w:tc>
          <w:tcPr>
            <w:tcW w:w="6020" w:type="dxa"/>
            <w:vAlign w:val="bottom"/>
            <w:tcBorders>
              <w:bottom w:val="single" w:sz="8" w:color="CCFFCC"/>
            </w:tcBorders>
            <w:shd w:val="clear" w:color="auto" w:fill="CCFFCC"/>
          </w:tcPr>
          <w:p>
            <w:pPr>
              <w:ind w:left="11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(405 )</w:t>
            </w:r>
          </w:p>
        </w:tc>
        <w:tc>
          <w:tcPr>
            <w:tcW w:w="5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(358 )</w:t>
            </w:r>
          </w:p>
        </w:tc>
      </w:tr>
      <w:tr>
        <w:trPr>
          <w:trHeight w:val="243"/>
        </w:trPr>
        <w:tc>
          <w:tcPr>
            <w:tcW w:w="6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Common dividends paid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(100 )</w:t>
            </w:r>
          </w:p>
        </w:tc>
        <w:tc>
          <w:tcPr>
            <w:tcW w:w="54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(150 )</w:t>
            </w:r>
          </w:p>
        </w:tc>
      </w:tr>
      <w:tr>
        <w:trPr>
          <w:trHeight w:val="249"/>
        </w:trPr>
        <w:tc>
          <w:tcPr>
            <w:tcW w:w="6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Preferred dividends paid</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(1 )</w:t>
            </w:r>
          </w:p>
        </w:tc>
      </w:tr>
      <w:tr>
        <w:trPr>
          <w:trHeight w:val="237"/>
        </w:trPr>
        <w:tc>
          <w:tcPr>
            <w:tcW w:w="6020" w:type="dxa"/>
            <w:vAlign w:val="bottom"/>
          </w:tcPr>
          <w:p>
            <w:pPr>
              <w:ind w:left="300"/>
              <w:spacing w:after="0"/>
              <w:rPr>
                <w:sz w:val="20"/>
                <w:szCs w:val="20"/>
                <w:color w:val="auto"/>
              </w:rPr>
            </w:pPr>
            <w:r>
              <w:rPr>
                <w:rFonts w:ascii="Arial" w:cs="Arial" w:eastAsia="Arial" w:hAnsi="Arial"/>
                <w:sz w:val="18"/>
                <w:szCs w:val="18"/>
                <w:color w:val="auto"/>
              </w:rPr>
              <w:t>Decrease in short-term debt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(88 )</w:t>
            </w:r>
          </w:p>
        </w:tc>
      </w:tr>
      <w:tr>
        <w:trPr>
          <w:trHeight w:val="237"/>
        </w:trPr>
        <w:tc>
          <w:tcPr>
            <w:tcW w:w="6020" w:type="dxa"/>
            <w:vAlign w:val="bottom"/>
            <w:tcBorders>
              <w:bottom w:val="single" w:sz="8" w:color="CCFFCC"/>
            </w:tcBorders>
            <w:shd w:val="clear" w:color="auto" w:fill="CCFFCC"/>
          </w:tcPr>
          <w:p>
            <w:pPr>
              <w:ind w:left="11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(101 )</w:t>
            </w:r>
          </w:p>
        </w:tc>
        <w:tc>
          <w:tcPr>
            <w:tcW w:w="5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(239 )</w:t>
            </w:r>
          </w:p>
        </w:tc>
      </w:tr>
      <w:tr>
        <w:trPr>
          <w:trHeight w:val="243"/>
        </w:trPr>
        <w:tc>
          <w:tcPr>
            <w:tcW w:w="6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6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(71 )</w:t>
            </w:r>
          </w:p>
        </w:tc>
        <w:tc>
          <w:tcPr>
            <w:tcW w:w="5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251</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Cash and cash equivalents, January 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211</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w:t>
            </w:r>
          </w:p>
        </w:tc>
      </w:tr>
      <w:tr>
        <w:trPr>
          <w:trHeight w:val="263"/>
        </w:trPr>
        <w:tc>
          <w:tcPr>
            <w:tcW w:w="60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Cash and cash equivalents, September 30</w:t>
            </w:r>
          </w:p>
        </w:tc>
        <w:tc>
          <w:tcPr>
            <w:tcW w:w="18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140</w:t>
            </w:r>
          </w:p>
        </w:tc>
        <w:tc>
          <w:tcPr>
            <w:tcW w:w="5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341</w:t>
            </w:r>
          </w:p>
        </w:tc>
      </w:tr>
    </w:tbl>
    <w:p>
      <w:pPr>
        <w:spacing w:after="0" w:line="26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SUPPLEMENTAL DISCLOSURE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-130175</wp:posOffset>
            </wp:positionV>
            <wp:extent cx="533400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4000" cy="15430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INFORMATION</w:t>
      </w:r>
    </w:p>
    <w:p>
      <w:pPr>
        <w:spacing w:after="0" w:line="43" w:lineRule="exact"/>
        <w:rPr>
          <w:sz w:val="20"/>
          <w:szCs w:val="20"/>
          <w:color w:val="auto"/>
        </w:rPr>
      </w:pPr>
    </w:p>
    <w:tbl>
      <w:tblPr>
        <w:tblLayout w:type="fixed"/>
        <w:tblInd w:w="150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760" w:type="dxa"/>
            <w:vAlign w:val="bottom"/>
            <w:tcBorders>
              <w:bottom w:val="single" w:sz="8" w:color="CCFFCC"/>
            </w:tcBorders>
            <w:shd w:val="clear" w:color="auto" w:fill="CCFFCC"/>
          </w:tcPr>
          <w:p>
            <w:pPr>
              <w:ind w:left="460"/>
              <w:spacing w:after="0"/>
              <w:rPr>
                <w:sz w:val="20"/>
                <w:szCs w:val="20"/>
                <w:color w:val="auto"/>
              </w:rPr>
            </w:pPr>
            <w:r>
              <w:rPr>
                <w:rFonts w:ascii="Arial" w:cs="Arial" w:eastAsia="Arial" w:hAnsi="Arial"/>
                <w:sz w:val="18"/>
                <w:szCs w:val="18"/>
                <w:color w:val="auto"/>
              </w:rPr>
              <w:t>Interest payments, net of amounts capitalized</w:t>
            </w:r>
          </w:p>
        </w:tc>
        <w:tc>
          <w:tcPr>
            <w:tcW w:w="420" w:type="dxa"/>
            <w:vAlign w:val="bottom"/>
            <w:tcBorders>
              <w:bottom w:val="single" w:sz="8" w:color="auto"/>
            </w:tcBorders>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shd w:val="clear" w:color="auto" w:fill="CCFFCC"/>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760" w:type="dxa"/>
            <w:vAlign w:val="bottom"/>
          </w:tcPr>
          <w:p>
            <w:pPr>
              <w:ind w:left="460"/>
              <w:spacing w:after="0"/>
              <w:rPr>
                <w:sz w:val="20"/>
                <w:szCs w:val="20"/>
                <w:color w:val="auto"/>
              </w:rPr>
            </w:pPr>
            <w:r>
              <w:rPr>
                <w:rFonts w:ascii="Arial" w:cs="Arial" w:eastAsia="Arial" w:hAnsi="Arial"/>
                <w:sz w:val="18"/>
                <w:szCs w:val="18"/>
                <w:color w:val="auto"/>
              </w:rPr>
              <w:t>Income tax payments, net of refunds</w:t>
            </w: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118</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57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57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SUPPLEMENTAL SCHEDULE OF NONCASH</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INVESTING ACTIVITY</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20" w:type="dxa"/>
            <w:vAlign w:val="bottom"/>
            <w:shd w:val="clear" w:color="auto" w:fill="CCFFCC"/>
          </w:tcPr>
          <w:p>
            <w:pPr>
              <w:spacing w:after="0"/>
              <w:rPr>
                <w:sz w:val="21"/>
                <w:szCs w:val="21"/>
                <w:color w:val="auto"/>
              </w:rPr>
            </w:pPr>
          </w:p>
        </w:tc>
        <w:tc>
          <w:tcPr>
            <w:tcW w:w="57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Decrease in accounts payable from investments</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in property, plant and equipment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(11 )</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2"/>
                <w:szCs w:val="22"/>
                <w:color w:val="auto"/>
              </w:rPr>
            </w:pPr>
          </w:p>
        </w:tc>
      </w:tr>
      <w:tr>
        <w:trPr>
          <w:trHeight w:val="243"/>
        </w:trPr>
        <w:tc>
          <w:tcPr>
            <w:tcW w:w="20" w:type="dxa"/>
            <w:vAlign w:val="bottom"/>
            <w:shd w:val="clear" w:color="auto" w:fill="CCFFCC"/>
          </w:tcPr>
          <w:p>
            <w:pPr>
              <w:spacing w:after="0"/>
              <w:rPr>
                <w:sz w:val="21"/>
                <w:szCs w:val="21"/>
                <w:color w:val="auto"/>
              </w:rPr>
            </w:pPr>
          </w:p>
        </w:tc>
        <w:tc>
          <w:tcPr>
            <w:tcW w:w="57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00" w:type="dxa"/>
            <w:vAlign w:val="bottom"/>
            <w:tcBorders>
              <w:top w:val="single" w:sz="8" w:color="auto"/>
            </w:tcBorders>
            <w:shd w:val="clear" w:color="auto" w:fill="CCFFCC"/>
          </w:tcPr>
          <w:p>
            <w:pPr>
              <w:spacing w:after="0"/>
              <w:rPr>
                <w:sz w:val="21"/>
                <w:szCs w:val="21"/>
                <w:color w:val="auto"/>
              </w:rPr>
            </w:pPr>
          </w:p>
        </w:tc>
        <w:tc>
          <w:tcPr>
            <w:tcW w:w="840" w:type="dxa"/>
            <w:vAlign w:val="bottom"/>
            <w:tcBorders>
              <w:top w:val="single" w:sz="8" w:color="auto"/>
            </w:tcBorders>
            <w:shd w:val="clear" w:color="auto" w:fill="CCFFCC"/>
          </w:tcPr>
          <w:p>
            <w:pPr>
              <w:spacing w:after="0"/>
              <w:rPr>
                <w:sz w:val="21"/>
                <w:szCs w:val="21"/>
                <w:color w:val="auto"/>
              </w:rPr>
            </w:pPr>
          </w:p>
        </w:tc>
        <w:tc>
          <w:tcPr>
            <w:tcW w:w="380" w:type="dxa"/>
            <w:vAlign w:val="bottom"/>
            <w:tcBorders>
              <w:top w:val="single" w:sz="8" w:color="auto"/>
            </w:tcBorders>
            <w:shd w:val="clear" w:color="auto" w:fill="CCFFCC"/>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shd w:val="clear" w:color="auto" w:fill="CCFFCC"/>
          </w:tcPr>
          <w:p>
            <w:pPr>
              <w:spacing w:after="0"/>
              <w:rPr>
                <w:sz w:val="21"/>
                <w:szCs w:val="21"/>
                <w:color w:val="auto"/>
              </w:rPr>
            </w:pPr>
          </w:p>
        </w:tc>
        <w:tc>
          <w:tcPr>
            <w:tcW w:w="20" w:type="dxa"/>
            <w:vAlign w:val="bottom"/>
            <w:tcBorders>
              <w:top w:val="single" w:sz="8" w:color="auto"/>
            </w:tcBorders>
            <w:shd w:val="clear" w:color="auto" w:fill="CCFFCC"/>
          </w:tcPr>
          <w:p>
            <w:pPr>
              <w:spacing w:after="0"/>
              <w:rPr>
                <w:sz w:val="21"/>
                <w:szCs w:val="21"/>
                <w:color w:val="auto"/>
              </w:rPr>
            </w:pPr>
          </w:p>
        </w:tc>
      </w:tr>
    </w:tbl>
    <w:p>
      <w:pPr>
        <w:ind w:left="152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19"/>
          </w:cols>
          <w:pgMar w:left="240" w:top="89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This Quarterly Report on Form 10-Q is that of Pacific Enterprises (PE) and of Southern California Gas Company (SoCalGas) (collectively referred to as the company or the companies). PE’s common stock is wholly owned by Sempra Energy, a California-based Fortune 500 holding company, and PE owns all of the common stock of SoCalGas. The accompanying financial statements are, in one case, the Condensed Consolidated Financial Statements of PE and its subsidiary, SoCalGas, and, in the other case, the Condensed Consolidated Financial Statements of SoCalGas and its subsidiaries, which comprise less than one percent of SoCalGas' consolidated financial position and results of operations.</w:t>
      </w:r>
    </w:p>
    <w:p>
      <w:pPr>
        <w:spacing w:after="0" w:line="161"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Sempra Energy also indirectly owns all of the common stock of San Diego Gas &amp; Electric Company (SDG&amp;E). SoCalGas and SDG&amp;E are collectively referred to as the Sempra Utilities.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4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189" w:lineRule="exact"/>
        <w:rPr>
          <w:sz w:val="20"/>
          <w:szCs w:val="20"/>
          <w:color w:val="auto"/>
        </w:rPr>
      </w:pPr>
    </w:p>
    <w:p>
      <w:pPr>
        <w:ind w:right="340"/>
        <w:spacing w:after="0" w:line="386" w:lineRule="auto"/>
        <w:rPr>
          <w:sz w:val="20"/>
          <w:szCs w:val="20"/>
          <w:color w:val="auto"/>
        </w:rPr>
      </w:pPr>
      <w:r>
        <w:rPr>
          <w:rFonts w:ascii="Arial" w:cs="Arial" w:eastAsia="Arial" w:hAnsi="Arial"/>
          <w:sz w:val="16"/>
          <w:szCs w:val="16"/>
          <w:color w:val="auto"/>
        </w:rPr>
        <w:t>Information in this Quarterly Report should be read in conjunction with the company’s Annual Report on Form 10-K for the year ended December 31, 2006 (the Annual Report) and its Quarterly Reports on Form 10-Q for the quarters ended March 31, 2007 and June 30, 2007.</w:t>
      </w:r>
    </w:p>
    <w:p>
      <w:pPr>
        <w:spacing w:after="0" w:line="11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companies' significant accounting policies are described in Note 1 of the Notes to Consolidated Financial Statements in the Annual Report. The same accounting policies are followed for interim reporting purposes, except for the adoption of new accounting standards as discussed in Note 2.</w:t>
      </w:r>
    </w:p>
    <w:p>
      <w:pPr>
        <w:spacing w:after="0" w:line="21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Other operating expenses include operating and maintenance costs, and general and administrative costs, consisting primarily of personnel costs, purchased materials and services, and outside services.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SoCalGas accounts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jc w:val="both"/>
        <w:ind w:right="220"/>
        <w:spacing w:after="0" w:line="260" w:lineRule="auto"/>
        <w:rPr>
          <w:sz w:val="20"/>
          <w:szCs w:val="20"/>
          <w:color w:val="auto"/>
        </w:rPr>
      </w:pPr>
      <w:r>
        <w:rPr>
          <w:rFonts w:ascii="Arial" w:cs="Arial" w:eastAsia="Arial" w:hAnsi="Arial"/>
          <w:sz w:val="20"/>
          <w:szCs w:val="20"/>
          <w:color w:val="auto"/>
        </w:rPr>
        <w:t>Pronouncements that have recently become effective that have had or may have a significant effect on the company's financial statements are described below.</w:t>
      </w:r>
    </w:p>
    <w:p>
      <w:pPr>
        <w:spacing w:after="0" w:line="204"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b w:val="1"/>
          <w:bCs w:val="1"/>
          <w:i w:val="1"/>
          <w:iCs w:val="1"/>
          <w:color w:val="auto"/>
        </w:rPr>
        <w:t xml:space="preserve">SFAS 157, "Fair Value Measurements" (SFAS 157): </w:t>
      </w:r>
      <w:r>
        <w:rPr>
          <w:rFonts w:ascii="Arial" w:cs="Arial" w:eastAsia="Arial" w:hAnsi="Arial"/>
          <w:sz w:val="20"/>
          <w:szCs w:val="20"/>
          <w:color w:val="auto"/>
        </w:rPr>
        <w:t>SFAS 157 defines fair value, establishes criteria to be considered when measuring fair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value and expands disclosures about fair value measurements. SFAS 157 does not expand the application of fair value accounting to any new circumstances. The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00"/>
          </w:cols>
          <w:pgMar w:left="240" w:top="805" w:right="25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company applies recurring fair value measurements to certain assets and liabilities, primarily commodity and other derivatives.</w:t>
      </w:r>
    </w:p>
    <w:p>
      <w:pPr>
        <w:spacing w:after="0" w:line="24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SFAS 157: (1) establishes that fair value is based on a hierarchy of inputs into the valuation process (as described in Note 5), (2) clarifies that an issuer's credit standing should be considered when measuring liabilities at fair value, (3) precludes the use of a liquidity or blockage factor discount when measuring instruments traded in an actively quoted market at fair value, and (4) requires costs relating to acquiring instruments carried at fair value to be recognized as expense when incurred. SFAS 157 requires that a fair value measurement reflect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192"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 xml:space="preserve">The provisions of SFAS 157 are to be applied prospectively, except for the initial impact on three specific items: (1) changes in fair value measurements of existing derivative financial instruments measured initially using the transaction price under Emerging Issues Task Force (EITF) Issue No. 02-3, </w:t>
      </w:r>
      <w:r>
        <w:rPr>
          <w:rFonts w:ascii="Arial" w:cs="Arial" w:eastAsia="Arial" w:hAnsi="Arial"/>
          <w:sz w:val="20"/>
          <w:szCs w:val="20"/>
          <w:i w:val="1"/>
          <w:iCs w:val="1"/>
          <w:color w:val="auto"/>
        </w:rPr>
        <w:t>Issues Involved in Accounting for Derivative Contracts Held for Trading Purposes and Contracts Involved in Energy</w:t>
      </w:r>
      <w:r>
        <w:rPr>
          <w:rFonts w:ascii="Arial" w:cs="Arial" w:eastAsia="Arial" w:hAnsi="Arial"/>
          <w:sz w:val="20"/>
          <w:szCs w:val="20"/>
          <w:color w:val="auto"/>
        </w:rPr>
        <w:t xml:space="preserve"> </w:t>
      </w:r>
      <w:r>
        <w:rPr>
          <w:rFonts w:ascii="Arial" w:cs="Arial" w:eastAsia="Arial" w:hAnsi="Arial"/>
          <w:sz w:val="20"/>
          <w:szCs w:val="20"/>
          <w:i w:val="1"/>
          <w:iCs w:val="1"/>
          <w:color w:val="auto"/>
        </w:rPr>
        <w:t>Trading and Risk Management Activities</w:t>
      </w:r>
      <w:r>
        <w:rPr>
          <w:rFonts w:ascii="Arial" w:cs="Arial" w:eastAsia="Arial" w:hAnsi="Arial"/>
          <w:sz w:val="20"/>
          <w:szCs w:val="20"/>
          <w:color w:val="auto"/>
        </w:rPr>
        <w:t>, (2) existing hybrid financial instruments measured initially at fair value using the transaction price,</w:t>
      </w:r>
      <w:r>
        <w:rPr>
          <w:rFonts w:ascii="Arial" w:cs="Arial" w:eastAsia="Arial" w:hAnsi="Arial"/>
          <w:sz w:val="20"/>
          <w:szCs w:val="20"/>
          <w:i w:val="1"/>
          <w:iCs w:val="1"/>
          <w:color w:val="auto"/>
        </w:rPr>
        <w:t xml:space="preserve"> </w:t>
      </w:r>
      <w:r>
        <w:rPr>
          <w:rFonts w:ascii="Arial" w:cs="Arial" w:eastAsia="Arial" w:hAnsi="Arial"/>
          <w:sz w:val="20"/>
          <w:szCs w:val="20"/>
          <w:color w:val="auto"/>
        </w:rPr>
        <w:t>and (3) blockage factor discounts. Adjustments to these items required under SFAS 157 are to be recorded as a transition adjustment to beginning retained earnings in the year of adoption.</w:t>
      </w:r>
    </w:p>
    <w:p>
      <w:pPr>
        <w:spacing w:after="0" w:line="224"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The company elected to early-adopt SFAS 157 in the first quarter of 2007. There was no transition adjustment as a result of the company's adoption of SFAS 157. SFAS 157 also requires new disclosures regarding the level of pricing observability associated with financial instruments carried at fair value. This additional disclosure is provided in Note 5.</w:t>
      </w:r>
    </w:p>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Value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the fair value option for an eligible item is elected, unrealized gains and losses for that item are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 2007. The company is in the process of evaluating the application of the fair value option and the effect on its financial position and results of operations.</w:t>
      </w:r>
    </w:p>
    <w:p>
      <w:pPr>
        <w:spacing w:after="0" w:line="220"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i w:val="1"/>
          <w:iCs w:val="1"/>
          <w:color w:val="auto"/>
        </w:rPr>
        <w:t xml:space="preserve">Financial Accounting Standards Board (FASB) Interpretation No. (FIN) 48, "Accounting for Uncertainty in Income Taxes, an interpretation of FASB Statement No. 109" (FIN 48): </w:t>
      </w:r>
      <w:r>
        <w:rPr>
          <w:rFonts w:ascii="Arial" w:cs="Arial" w:eastAsia="Arial" w:hAnsi="Arial"/>
          <w:sz w:val="20"/>
          <w:szCs w:val="20"/>
          <w:color w:val="auto"/>
        </w:rPr>
        <w:t>FIN 48 clarifies the accounting for uncertainty in income taxes recognized in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enterprise's financial statements in accordance with SFAS 109, </w:t>
      </w:r>
      <w:r>
        <w:rPr>
          <w:rFonts w:ascii="Arial" w:cs="Arial" w:eastAsia="Arial" w:hAnsi="Arial"/>
          <w:sz w:val="20"/>
          <w:szCs w:val="20"/>
          <w:i w:val="1"/>
          <w:iCs w:val="1"/>
          <w:color w:val="auto"/>
        </w:rPr>
        <w:t>Accounting for Income Taxes</w:t>
      </w:r>
      <w:r>
        <w:rPr>
          <w:rFonts w:ascii="Arial" w:cs="Arial" w:eastAsia="Arial" w:hAnsi="Arial"/>
          <w:sz w:val="20"/>
          <w:szCs w:val="20"/>
          <w:color w:val="auto"/>
        </w:rPr>
        <w:t xml:space="preserve">.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 Additionally, the FASB issued FASB Staff Position (FSP) FIN 48-1, </w:t>
      </w:r>
      <w:r>
        <w:rPr>
          <w:rFonts w:ascii="Arial" w:cs="Arial" w:eastAsia="Arial" w:hAnsi="Arial"/>
          <w:sz w:val="20"/>
          <w:szCs w:val="20"/>
          <w:i w:val="1"/>
          <w:iCs w:val="1"/>
          <w:color w:val="auto"/>
        </w:rPr>
        <w:t>Definition of Settlement in FASB Interpretation No. 48</w:t>
      </w:r>
      <w:r>
        <w:rPr>
          <w:rFonts w:ascii="Arial" w:cs="Arial" w:eastAsia="Arial" w:hAnsi="Arial"/>
          <w:sz w:val="20"/>
          <w:szCs w:val="20"/>
          <w:color w:val="auto"/>
        </w:rPr>
        <w:t>, which amends FIN 48 to provide guidance on how an enterpri se should determine whether a tax position is effectively settled for the purpose of recognizing previously unrecognized tax benefits. The company's implementation of FIN 48 as of January 1, 2007 was consistent with the guidance in this FSP.</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company adopted the provisions of FIN 48 on January 1, 2007. As a result, SoCalGas recognized a $1 million decrease in retained earnings. Including this adjustment, the company had unrecognized tax benefits of $33 million (of which $32 million applied to SoCalGas) as of January 1, 2007. Of this amount,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380"/>
          </w:cols>
          <w:pgMar w:left="240" w:top="609" w:right="279" w:bottom="1440" w:gutter="0" w:footer="0" w:header="0"/>
        </w:sectPr>
      </w:pPr>
    </w:p>
    <w:bookmarkStart w:id="12" w:name="page13"/>
    <w:bookmarkEnd w:id="12"/>
    <w:p>
      <w:pPr>
        <w:ind w:right="140"/>
        <w:spacing w:after="0" w:line="316" w:lineRule="auto"/>
        <w:rPr>
          <w:sz w:val="20"/>
          <w:szCs w:val="20"/>
          <w:color w:val="auto"/>
        </w:rPr>
      </w:pPr>
      <w:r>
        <w:rPr>
          <w:rFonts w:ascii="Arial" w:cs="Arial" w:eastAsia="Arial" w:hAnsi="Arial"/>
          <w:sz w:val="18"/>
          <w:szCs w:val="18"/>
          <w:color w:val="auto"/>
        </w:rPr>
        <w:t>$26 million (of which $25 million applied to SoCalGas) related to tax positions that, if recognized, would decrease the effective tax rate; however, $21 million (all of which applied to SoCalGas) related to tax positions that would increase the effective tax rate in subsequent years.</w:t>
      </w:r>
    </w:p>
    <w:p>
      <w:pPr>
        <w:spacing w:after="0" w:line="15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As of September 30, 2007, the company had unrecognized tax benefits of $29 million (all of which applied to SoCalGas). Of this amount, $22 million related to tax positions that, if recognized, would decrease the effective tax rate; however, $21 million related to tax positions that would increase the effective tax rate in subsequent years.</w:t>
      </w:r>
    </w:p>
    <w:p>
      <w:pPr>
        <w:spacing w:after="0" w:line="21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It is reasonably possible that the company’s unrecognized tax benefits could decrease by up to $3 million within the next 12 months due to the expiration of statutes of limitations on tax assessments and by up to $22 million due to the potential resolution of audit issues with various federal and state taxing authorities.</w:t>
      </w:r>
    </w:p>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Effective January 1, 2007, the company’s policy is to recognize accrued interest and penalties on accrued tax balances as components of tax expense. Prior to the adoption of FIN 48, the company accrued interest expense and penalties as components of tax expense and interest income as a component of interest income. As of January 1, 2007, the company had accrued a total of $2 million (all of which applied to SoCalGas) of interest expense. There was no material change to the company’s accrued interest expense as of September 30, 2007. The company had no accrued penalties as of either January 1, 2007 or September 30, 2007. Amounts accrued for interest expense associated with income taxes are included in income tax expense on the Statements of Consolidated Income and in various income tax balances on the Consolidated Balance Sheets.</w:t>
      </w:r>
    </w:p>
    <w:p>
      <w:pPr>
        <w:spacing w:after="0" w:line="22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companies are subject to U.S. federal income tax as well as income tax of state jurisdictions. The companies remain subject to examination by U.S. federal and major state tax jurisdictions only for years after 2001.</w:t>
      </w:r>
    </w:p>
    <w:p>
      <w:pPr>
        <w:spacing w:after="0" w:line="20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In addition, the companies have filed federal and state refund claims for tax years back to 1998. The pre-2002 tax years are closed to new issues; therefore, no additional tax may be assessed by the taxing authorities for these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24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The company’s asset retirement obligations, as defined in SFAS 143, </w:t>
      </w:r>
      <w:r>
        <w:rPr>
          <w:rFonts w:ascii="Arial" w:cs="Arial" w:eastAsia="Arial" w:hAnsi="Arial"/>
          <w:sz w:val="20"/>
          <w:szCs w:val="20"/>
          <w:i w:val="1"/>
          <w:iCs w:val="1"/>
          <w:color w:val="auto"/>
        </w:rPr>
        <w:t>Accounting for Asset Retirement Obligations</w:t>
      </w:r>
      <w:r>
        <w:rPr>
          <w:rFonts w:ascii="Arial" w:cs="Arial" w:eastAsia="Arial" w:hAnsi="Arial"/>
          <w:sz w:val="20"/>
          <w:szCs w:val="20"/>
          <w:color w:val="auto"/>
        </w:rPr>
        <w:t>, and FIN 47</w:t>
      </w:r>
      <w:r>
        <w:rPr>
          <w:rFonts w:ascii="Arial" w:cs="Arial" w:eastAsia="Arial" w:hAnsi="Arial"/>
          <w:sz w:val="20"/>
          <w:szCs w:val="20"/>
          <w:i w:val="1"/>
          <w:iCs w:val="1"/>
          <w:color w:val="auto"/>
        </w:rPr>
        <w:t>, Accounting for</w:t>
      </w:r>
      <w:r>
        <w:rPr>
          <w:rFonts w:ascii="Arial" w:cs="Arial" w:eastAsia="Arial" w:hAnsi="Arial"/>
          <w:sz w:val="20"/>
          <w:szCs w:val="20"/>
          <w:color w:val="auto"/>
        </w:rPr>
        <w:t xml:space="preserve"> </w:t>
      </w:r>
      <w:r>
        <w:rPr>
          <w:rFonts w:ascii="Arial" w:cs="Arial" w:eastAsia="Arial" w:hAnsi="Arial"/>
          <w:sz w:val="20"/>
          <w:szCs w:val="20"/>
          <w:i w:val="1"/>
          <w:iCs w:val="1"/>
          <w:color w:val="auto"/>
        </w:rPr>
        <w:t>Conditional Asset Retirement Obligations, an interpretation of SFAS 143</w:t>
      </w:r>
      <w:r>
        <w:rPr>
          <w:rFonts w:ascii="Arial" w:cs="Arial" w:eastAsia="Arial" w:hAnsi="Arial"/>
          <w:sz w:val="20"/>
          <w:szCs w:val="20"/>
          <w:color w:val="auto"/>
        </w:rPr>
        <w:t>, are discussed in Note 1 of the Notes to Consolidated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 in the Annual Report. Following are the changes in asset retirement obligations for the nine months ended September 30, 2007 and 2006:</w:t>
      </w:r>
    </w:p>
    <w:p>
      <w:pPr>
        <w:spacing w:after="0" w:line="262"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Balance as of January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505</w:t>
            </w:r>
          </w:p>
        </w:tc>
      </w:tr>
      <w:tr>
        <w:trPr>
          <w:trHeight w:val="249"/>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Accretion expense</w:t>
            </w:r>
          </w:p>
        </w:tc>
        <w:tc>
          <w:tcPr>
            <w:tcW w:w="2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24</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Liabilities incurred</w:t>
            </w:r>
          </w:p>
        </w:tc>
        <w:tc>
          <w:tcPr>
            <w:tcW w:w="2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9"/>
        </w:trPr>
        <w:tc>
          <w:tcPr>
            <w:tcW w:w="64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FFCC"/>
          </w:tcPr>
          <w:p>
            <w:pPr>
              <w:spacing w:after="0"/>
              <w:rPr>
                <w:sz w:val="21"/>
                <w:szCs w:val="21"/>
                <w:color w:val="auto"/>
              </w:rPr>
            </w:pPr>
          </w:p>
        </w:tc>
        <w:tc>
          <w:tcPr>
            <w:tcW w:w="8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(1 )</w:t>
            </w:r>
          </w:p>
        </w:tc>
        <w:tc>
          <w:tcPr>
            <w:tcW w:w="30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Revision to estimated cash flows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r>
      <w:tr>
        <w:trPr>
          <w:trHeight w:val="263"/>
        </w:trPr>
        <w:tc>
          <w:tcPr>
            <w:tcW w:w="64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as of September 30*</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700</w:t>
            </w:r>
          </w:p>
        </w:tc>
        <w:tc>
          <w:tcPr>
            <w:tcW w:w="3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530</w:t>
            </w:r>
          </w:p>
        </w:tc>
      </w:tr>
    </w:tbl>
    <w:p>
      <w:pPr>
        <w:spacing w:after="0" w:line="269" w:lineRule="exact"/>
        <w:rPr>
          <w:sz w:val="20"/>
          <w:szCs w:val="20"/>
          <w:color w:val="auto"/>
        </w:rPr>
      </w:pPr>
    </w:p>
    <w:p>
      <w:pPr>
        <w:ind w:left="2140" w:right="2300" w:hanging="108"/>
        <w:spacing w:after="0" w:line="277" w:lineRule="auto"/>
        <w:tabs>
          <w:tab w:leader="none" w:pos="2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portion of the obligation is included in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00"/>
          </w:cols>
          <w:pgMar w:left="240" w:top="609" w:right="25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Pension and Other Postretirement Benefits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components of benefit costs for the three months and nine months ended September 30:</w:t>
      </w:r>
    </w:p>
    <w:p>
      <w:pPr>
        <w:spacing w:after="0" w:line="286"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0"/>
              </w:rPr>
              <w:t>Pension Benefits</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0"/>
              </w:rPr>
              <w:t>Other Postretirement Benefits</w:t>
            </w:r>
          </w:p>
        </w:tc>
      </w:tr>
      <w:tr>
        <w:trPr>
          <w:trHeight w:val="230"/>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3"/>
          </w:tcPr>
          <w:p>
            <w:pPr>
              <w:jc w:val="center"/>
              <w:ind w:right="490"/>
              <w:spacing w:after="0"/>
              <w:rPr>
                <w:sz w:val="20"/>
                <w:szCs w:val="20"/>
                <w:color w:val="auto"/>
              </w:rPr>
            </w:pPr>
            <w:r>
              <w:rPr>
                <w:rFonts w:ascii="Arial" w:cs="Arial" w:eastAsia="Arial" w:hAnsi="Arial"/>
                <w:sz w:val="18"/>
                <w:szCs w:val="18"/>
                <w:color w:val="auto"/>
                <w:w w:val="89"/>
              </w:rPr>
              <w:t>Three months ended</w:t>
            </w:r>
          </w:p>
        </w:tc>
        <w:tc>
          <w:tcPr>
            <w:tcW w:w="320" w:type="dxa"/>
            <w:vAlign w:val="bottom"/>
          </w:tcPr>
          <w:p>
            <w:pPr>
              <w:spacing w:after="0"/>
              <w:rPr>
                <w:sz w:val="20"/>
                <w:szCs w:val="20"/>
                <w:color w:val="auto"/>
              </w:rPr>
            </w:pPr>
          </w:p>
        </w:tc>
        <w:tc>
          <w:tcPr>
            <w:tcW w:w="2560" w:type="dxa"/>
            <w:vAlign w:val="bottom"/>
            <w:gridSpan w:val="3"/>
          </w:tcPr>
          <w:p>
            <w:pPr>
              <w:jc w:val="center"/>
              <w:ind w:right="330"/>
              <w:spacing w:after="0"/>
              <w:rPr>
                <w:sz w:val="20"/>
                <w:szCs w:val="20"/>
                <w:color w:val="auto"/>
              </w:rPr>
            </w:pPr>
            <w:r>
              <w:rPr>
                <w:rFonts w:ascii="Arial" w:cs="Arial" w:eastAsia="Arial" w:hAnsi="Arial"/>
                <w:sz w:val="18"/>
                <w:szCs w:val="18"/>
                <w:color w:val="auto"/>
                <w:w w:val="87"/>
              </w:rPr>
              <w:t>Three months ended</w:t>
            </w:r>
          </w:p>
        </w:tc>
      </w:tr>
      <w:tr>
        <w:trPr>
          <w:trHeight w:val="249"/>
        </w:trPr>
        <w:tc>
          <w:tcPr>
            <w:tcW w:w="25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1"/>
                <w:szCs w:val="21"/>
                <w:color w:val="auto"/>
              </w:rPr>
            </w:pP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2006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2006</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(25 )</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(24 )</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(10 )</w:t>
            </w:r>
          </w:p>
        </w:tc>
        <w:tc>
          <w:tcPr>
            <w:tcW w:w="52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(9 )</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9"/>
        </w:trPr>
        <w:tc>
          <w:tcPr>
            <w:tcW w:w="2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c>
          <w:tcPr>
            <w:tcW w:w="52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r>
      <w:tr>
        <w:trPr>
          <w:trHeight w:val="237"/>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(1 )</w:t>
            </w:r>
          </w:p>
        </w:tc>
      </w:tr>
      <w:tr>
        <w:trPr>
          <w:trHeight w:val="243"/>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Regulatory adjustment</w:t>
            </w:r>
          </w:p>
        </w:tc>
        <w:tc>
          <w:tcPr>
            <w:tcW w:w="2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(9 )</w:t>
            </w:r>
          </w:p>
        </w:tc>
        <w:tc>
          <w:tcPr>
            <w:tcW w:w="5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(10 )</w:t>
            </w:r>
          </w:p>
        </w:tc>
        <w:tc>
          <w:tcPr>
            <w:tcW w:w="3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507"/>
        </w:trPr>
        <w:tc>
          <w:tcPr>
            <w:tcW w:w="2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0"/>
              </w:rPr>
              <w:t>Pension Benefits</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0"/>
              </w:rPr>
              <w:t>Other Postretirement Benefits</w:t>
            </w:r>
          </w:p>
        </w:tc>
      </w:tr>
      <w:tr>
        <w:trPr>
          <w:trHeight w:val="230"/>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3"/>
          </w:tcPr>
          <w:p>
            <w:pPr>
              <w:jc w:val="center"/>
              <w:ind w:right="490"/>
              <w:spacing w:after="0"/>
              <w:rPr>
                <w:sz w:val="20"/>
                <w:szCs w:val="20"/>
                <w:color w:val="auto"/>
              </w:rPr>
            </w:pPr>
            <w:r>
              <w:rPr>
                <w:rFonts w:ascii="Arial" w:cs="Arial" w:eastAsia="Arial" w:hAnsi="Arial"/>
                <w:sz w:val="18"/>
                <w:szCs w:val="18"/>
                <w:color w:val="auto"/>
                <w:w w:val="89"/>
              </w:rPr>
              <w:t>Nine months ended</w:t>
            </w:r>
          </w:p>
        </w:tc>
        <w:tc>
          <w:tcPr>
            <w:tcW w:w="320" w:type="dxa"/>
            <w:vAlign w:val="bottom"/>
          </w:tcPr>
          <w:p>
            <w:pPr>
              <w:spacing w:after="0"/>
              <w:rPr>
                <w:sz w:val="20"/>
                <w:szCs w:val="20"/>
                <w:color w:val="auto"/>
              </w:rPr>
            </w:pPr>
          </w:p>
        </w:tc>
        <w:tc>
          <w:tcPr>
            <w:tcW w:w="2560" w:type="dxa"/>
            <w:vAlign w:val="bottom"/>
            <w:gridSpan w:val="3"/>
          </w:tcPr>
          <w:p>
            <w:pPr>
              <w:jc w:val="center"/>
              <w:ind w:right="310"/>
              <w:spacing w:after="0"/>
              <w:rPr>
                <w:sz w:val="20"/>
                <w:szCs w:val="20"/>
                <w:color w:val="auto"/>
              </w:rPr>
            </w:pPr>
            <w:r>
              <w:rPr>
                <w:rFonts w:ascii="Arial" w:cs="Arial" w:eastAsia="Arial" w:hAnsi="Arial"/>
                <w:sz w:val="18"/>
                <w:szCs w:val="18"/>
                <w:color w:val="auto"/>
                <w:w w:val="89"/>
              </w:rPr>
              <w:t>Nine months ended</w:t>
            </w:r>
          </w:p>
        </w:tc>
      </w:tr>
      <w:tr>
        <w:trPr>
          <w:trHeight w:val="249"/>
        </w:trPr>
        <w:tc>
          <w:tcPr>
            <w:tcW w:w="25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1"/>
                <w:szCs w:val="21"/>
                <w:color w:val="auto"/>
              </w:rPr>
            </w:pP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2006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2006</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13</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(76 )</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(73 )</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(30 )</w:t>
            </w:r>
          </w:p>
        </w:tc>
        <w:tc>
          <w:tcPr>
            <w:tcW w:w="52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(28 )</w:t>
            </w: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9"/>
        </w:trPr>
        <w:tc>
          <w:tcPr>
            <w:tcW w:w="2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(4 )</w:t>
            </w:r>
          </w:p>
        </w:tc>
        <w:tc>
          <w:tcPr>
            <w:tcW w:w="52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(4 )</w:t>
            </w:r>
          </w:p>
        </w:tc>
      </w:tr>
      <w:tr>
        <w:trPr>
          <w:trHeight w:val="237"/>
        </w:trPr>
        <w:tc>
          <w:tcPr>
            <w:tcW w:w="258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43"/>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Regulatory adjustment</w:t>
            </w:r>
          </w:p>
        </w:tc>
        <w:tc>
          <w:tcPr>
            <w:tcW w:w="28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(27 )</w:t>
            </w:r>
          </w:p>
        </w:tc>
        <w:tc>
          <w:tcPr>
            <w:tcW w:w="56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(35 )</w:t>
            </w:r>
          </w:p>
        </w:tc>
        <w:tc>
          <w:tcPr>
            <w:tcW w:w="3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r>
      <w:tr>
        <w:trPr>
          <w:trHeight w:val="263"/>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periodic benefit cost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w:t>
            </w:r>
          </w:p>
        </w:tc>
      </w:tr>
    </w:tbl>
    <w:p>
      <w:pPr>
        <w:spacing w:after="0" w:line="226"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The company expects to contribute $1 million to its pension plan and $26 million to its other postretirement benefit plans in 2007. For the nine months ended September 30, 2007, the company made contributions of $1 million and $22 million to the pension plan and other postretirement benefit plans, respectively, including a negligible amount and $7 million, respectively, for the three months ended September 30, 2007.</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Interest</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recorded a negligible amount and $1 million of capitalized interest for the three months and nine months ended September 30, 2007, respectively, including the debt-related portion of allowance for funds used during construction. The company recorded $1 million and $2 million of capitalized interest for the three months and nine months ended September 30, 2006, respectively, including the debt-related portion of allowance for funds used during construction.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For the three and nine months ended September 30, 2007 and 2006, comprehensive income was equal to net income.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03"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Other Expense</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Net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Other Expense, Net consists of the following:</w:t>
      </w:r>
    </w:p>
    <w:p>
      <w:pPr>
        <w:spacing w:after="0" w:line="28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Three months ended</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w w:val="99"/>
              </w:rPr>
              <w:t>Nine months ended</w:t>
            </w:r>
          </w:p>
        </w:tc>
        <w:tc>
          <w:tcPr>
            <w:tcW w:w="360" w:type="dxa"/>
            <w:vAlign w:val="bottom"/>
          </w:tcPr>
          <w:p>
            <w:pPr>
              <w:spacing w:after="0"/>
              <w:rPr>
                <w:sz w:val="20"/>
                <w:szCs w:val="20"/>
                <w:color w:val="auto"/>
              </w:rPr>
            </w:pPr>
          </w:p>
        </w:tc>
      </w:tr>
      <w:tr>
        <w:trPr>
          <w:trHeight w:val="250"/>
        </w:trPr>
        <w:tc>
          <w:tcPr>
            <w:tcW w:w="4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September 30,</w:t>
            </w:r>
          </w:p>
        </w:tc>
        <w:tc>
          <w:tcPr>
            <w:tcW w:w="360" w:type="dxa"/>
            <w:vAlign w:val="bottom"/>
            <w:tcBorders>
              <w:bottom w:val="single" w:sz="8" w:color="auto"/>
            </w:tcBorders>
          </w:tcPr>
          <w:p>
            <w:pPr>
              <w:spacing w:after="0"/>
              <w:rPr>
                <w:sz w:val="21"/>
                <w:szCs w:val="2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2007</w:t>
            </w:r>
          </w:p>
        </w:tc>
        <w:tc>
          <w:tcPr>
            <w:tcW w:w="10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2006</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2007</w:t>
            </w:r>
          </w:p>
        </w:tc>
        <w:tc>
          <w:tcPr>
            <w:tcW w:w="1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2006</w:t>
            </w:r>
          </w:p>
        </w:tc>
      </w:tr>
      <w:tr>
        <w:trPr>
          <w:trHeight w:val="243"/>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Regulatory interest, net</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(1 )</w:t>
            </w:r>
          </w:p>
        </w:tc>
        <w:tc>
          <w:tcPr>
            <w:tcW w:w="7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6"/>
              </w:rPr>
              <w:t>(2 )</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(6 )</w:t>
            </w:r>
          </w:p>
        </w:tc>
        <w:tc>
          <w:tcPr>
            <w:tcW w:w="7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Allowance for equity funds used during construction</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49"/>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Sundry, net</w:t>
            </w:r>
          </w:p>
        </w:tc>
        <w:tc>
          <w:tcPr>
            <w:tcW w:w="22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(1 )</w:t>
            </w:r>
          </w:p>
        </w:tc>
        <w:tc>
          <w:tcPr>
            <w:tcW w:w="74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(2 )</w:t>
            </w:r>
          </w:p>
        </w:tc>
        <w:tc>
          <w:tcPr>
            <w:tcW w:w="780" w:type="dxa"/>
            <w:vAlign w:val="bottom"/>
            <w:shd w:val="clear" w:color="auto" w:fill="CCFFCC"/>
          </w:tcPr>
          <w:p>
            <w:pPr>
              <w:spacing w:after="0"/>
              <w:rPr>
                <w:sz w:val="21"/>
                <w:szCs w:val="21"/>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340" w:type="dxa"/>
            <w:vAlign w:val="bottom"/>
          </w:tcPr>
          <w:p>
            <w:pPr>
              <w:ind w:left="400"/>
              <w:spacing w:after="0"/>
              <w:rPr>
                <w:sz w:val="20"/>
                <w:szCs w:val="20"/>
                <w:color w:val="auto"/>
              </w:rPr>
            </w:pPr>
            <w:r>
              <w:rPr>
                <w:rFonts w:ascii="Arial" w:cs="Arial" w:eastAsia="Arial" w:hAnsi="Arial"/>
                <w:sz w:val="18"/>
                <w:szCs w:val="18"/>
                <w:color w:val="auto"/>
              </w:rPr>
              <w:t>Total at SoCalGas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(4 )</w:t>
            </w: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9"/>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Additional at Pacific Enterprises:</w:t>
            </w:r>
          </w:p>
        </w:tc>
        <w:tc>
          <w:tcPr>
            <w:tcW w:w="2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r>
      <w:tr>
        <w:trPr>
          <w:trHeight w:val="237"/>
        </w:trPr>
        <w:tc>
          <w:tcPr>
            <w:tcW w:w="4340" w:type="dxa"/>
            <w:vAlign w:val="bottom"/>
          </w:tcPr>
          <w:p>
            <w:pPr>
              <w:ind w:left="200"/>
              <w:spacing w:after="0"/>
              <w:rPr>
                <w:sz w:val="20"/>
                <w:szCs w:val="20"/>
                <w:color w:val="auto"/>
              </w:rPr>
            </w:pPr>
            <w:r>
              <w:rPr>
                <w:rFonts w:ascii="Arial" w:cs="Arial" w:eastAsia="Arial" w:hAnsi="Arial"/>
                <w:sz w:val="18"/>
                <w:szCs w:val="18"/>
                <w:color w:val="auto"/>
              </w:rPr>
              <w:t>Preferred dividends of subsidiary</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(1 )</w:t>
            </w: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Sundry, net</w:t>
            </w:r>
          </w:p>
        </w:tc>
        <w:tc>
          <w:tcPr>
            <w:tcW w:w="22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(1 )</w:t>
            </w:r>
          </w:p>
        </w:tc>
        <w:tc>
          <w:tcPr>
            <w:tcW w:w="740" w:type="dxa"/>
            <w:vAlign w:val="bottom"/>
            <w:tcBorders>
              <w:bottom w:val="single" w:sz="8" w:color="auto"/>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6"/>
              </w:rPr>
              <w:t>(1 )</w:t>
            </w:r>
          </w:p>
        </w:tc>
        <w:tc>
          <w:tcPr>
            <w:tcW w:w="56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43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(1 )</w:t>
            </w: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(1 )</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(4 )</w:t>
            </w: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The effective income tax rates for the company were 41 percent and 51 percent (41 percent and 49 percent at SoCalGas), for the three months ended September 30, 2007 and 2006, respectively, and 42 percent and 46 percent (41 percent and 45 percent at SoCalGas), for the nine months ended September 30, 2007 and 2006, respectively. The lower effective tax rate for the three months ended September 30, 2007 was due to a higher deduction for basis differences in fixed assets. The lower effective tax rate for the nine months ended September 30, 2007 was due to a higher deduction for basis differences in fixed assets and a higher federal deduction for state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DEBT AND CREDIT FACILITIES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Committed Lines of Credit</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SoCalGas and its affiliate, SDG&amp;E, have a combined $600 million five-year syndicated revolving credit facility expiring in 2010, under which each utility individually may borrow up to $500 million, subject to a combined borrowing limit for both utilities of $600 million. At September 30, 2007, the company had no outstanding borrowings under this facility.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concerning this credit facility is provided in the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hedge</w:t>
      </w:r>
    </w:p>
    <w:p>
      <w:pPr>
        <w:spacing w:after="0" w:line="243" w:lineRule="exact"/>
        <w:rPr>
          <w:sz w:val="20"/>
          <w:szCs w:val="20"/>
          <w:color w:val="auto"/>
        </w:rPr>
      </w:pPr>
    </w:p>
    <w:p>
      <w:pPr>
        <w:jc w:val="both"/>
        <w:ind w:right="160"/>
        <w:spacing w:after="0" w:line="263" w:lineRule="auto"/>
        <w:rPr>
          <w:sz w:val="20"/>
          <w:szCs w:val="20"/>
          <w:color w:val="auto"/>
        </w:rPr>
      </w:pPr>
      <w:r>
        <w:rPr>
          <w:rFonts w:ascii="Arial" w:cs="Arial" w:eastAsia="Arial" w:hAnsi="Arial"/>
          <w:sz w:val="19"/>
          <w:szCs w:val="19"/>
          <w:color w:val="auto"/>
        </w:rPr>
        <w:t>During 2003, SoCalGas entered into an interest-rate swap that effectively exchanged the fixed rate on $150 million of its $250 million 4.375-percent first mortgage bonds maturing in 2011 for a floating rate for the remaining term of the bonds. At both September 30, 2007 and 2006, market value adjustments since inception of the hedge of $1 million and $3 million were recorded as an increase in fixed-price contracts and other derivatives (in Deferred Credits and Other) and as an offsetting decrease in Long-term Debt,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60"/>
          </w:cols>
          <w:pgMar w:left="240" w:top="603" w:right="29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without affecting net income or other comprehensive income. There has been no hedge ineffectiveness on this swap.</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 The company's fair value interest-rate swap is discussed in Note 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Contracts</w:t>
      </w: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use of derivative instruments is subject to certain limitations imposed by company policy and regulatory requirements. These instruments enable the company to estimate with greater certainty the effective prices to be received by the company and the prices to be charged to its customers. The company records realized gains or losses on derivative instruments associated with transactions for natural gas contracts in Cost of Natural Gas on the Statements of Consolidated Income. On the Consolidated Balance Sheets, the company records corresponding regulatory assets and liabilities related to unrealized gains and losses from these derivative instruments to the extent derivative gains and losses associated with these derivative instruments will be payable or recoverable in future rates.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SFAS 157</w:t>
      </w:r>
    </w:p>
    <w:p>
      <w:pPr>
        <w:spacing w:after="0" w:line="24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Effective January 1, 2007, the company early-adopted SFAS 157 as discussed in Note 2, which, among other things, requires enhanced disclosures about assets and liabilities carried at fair value.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measured and reported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 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198" w:lineRule="exact"/>
        <w:rPr>
          <w:sz w:val="20"/>
          <w:szCs w:val="20"/>
          <w:color w:val="auto"/>
        </w:rPr>
      </w:pPr>
    </w:p>
    <w:p>
      <w:pPr>
        <w:jc w:val="both"/>
        <w:ind w:left="660" w:right="420"/>
        <w:spacing w:after="0" w:line="291"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and listed equities.</w:t>
      </w:r>
    </w:p>
    <w:p>
      <w:pPr>
        <w:spacing w:after="0" w:line="179"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20"/>
          <w:szCs w:val="20"/>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09" w:right="239" w:bottom="1440" w:gutter="0" w:footer="0" w:header="0"/>
        </w:sectPr>
      </w:pPr>
    </w:p>
    <w:bookmarkStart w:id="16" w:name="page17"/>
    <w:bookmarkEnd w:id="16"/>
    <w:p>
      <w:pPr>
        <w:ind w:left="660"/>
        <w:spacing w:after="0" w:line="278" w:lineRule="auto"/>
        <w:rPr>
          <w:sz w:val="20"/>
          <w:szCs w:val="20"/>
          <w:color w:val="auto"/>
        </w:rPr>
      </w:pPr>
      <w:r>
        <w:rPr>
          <w:rFonts w:ascii="Arial" w:cs="Arial" w:eastAsia="Arial" w:hAnsi="Arial"/>
          <w:sz w:val="18"/>
          <w:szCs w:val="18"/>
          <w:color w:val="auto"/>
        </w:rPr>
        <w:t>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over-the-counter forwards and options.</w:t>
      </w:r>
    </w:p>
    <w:p>
      <w:pPr>
        <w:spacing w:after="0" w:line="192" w:lineRule="exact"/>
        <w:rPr>
          <w:sz w:val="20"/>
          <w:szCs w:val="20"/>
          <w:color w:val="auto"/>
        </w:rPr>
      </w:pPr>
    </w:p>
    <w:p>
      <w:pPr>
        <w:ind w:left="660" w:right="100"/>
        <w:spacing w:after="0" w:line="282"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SFAS 157 and includes in level 3 all of those whose fair value is based on significant unobservable inputs. During the first nine months of 2007, the company had no significant level 3 recurring measurements.</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recurring basis as of September 30,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51" w:lineRule="exact"/>
        <w:rPr>
          <w:sz w:val="20"/>
          <w:szCs w:val="20"/>
          <w:color w:val="auto"/>
        </w:rPr>
      </w:pPr>
    </w:p>
    <w:tbl>
      <w:tblPr>
        <w:tblLayout w:type="fixed"/>
        <w:tblInd w:w="1180" w:type="dxa"/>
        <w:tblCellMar>
          <w:top w:w="0" w:type="dxa"/>
          <w:left w:w="0" w:type="dxa"/>
          <w:bottom w:w="0" w:type="dxa"/>
          <w:right w:w="0" w:type="dxa"/>
        </w:tblCellMar>
      </w:tblPr>
      <w:tr>
        <w:trPr>
          <w:trHeight w:val="244"/>
        </w:trPr>
        <w:tc>
          <w:tcPr>
            <w:tcW w:w="3940" w:type="dxa"/>
            <w:vAlign w:val="bottom"/>
          </w:tcPr>
          <w:p>
            <w:pPr>
              <w:ind w:left="20"/>
              <w:spacing w:after="0"/>
              <w:rPr>
                <w:sz w:val="20"/>
                <w:szCs w:val="20"/>
                <w:color w:val="auto"/>
              </w:rPr>
            </w:pPr>
            <w:r>
              <w:rPr>
                <w:rFonts w:ascii="Arial" w:cs="Arial" w:eastAsia="Arial" w:hAnsi="Arial"/>
                <w:sz w:val="18"/>
                <w:szCs w:val="18"/>
                <w:color w:val="auto"/>
              </w:rPr>
              <w:t>Recurring Fair Value Measures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At fair value as of September 30, 2007</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Level 1</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2</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6"/>
              </w:rPr>
              <w:t>Level 3</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9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11</w:t>
            </w:r>
          </w:p>
        </w:tc>
      </w:tr>
      <w:tr>
        <w:trPr>
          <w:trHeight w:val="479"/>
        </w:trPr>
        <w:tc>
          <w:tcPr>
            <w:tcW w:w="39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9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Commodity derivatives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r>
      <w:tr>
        <w:trPr>
          <w:trHeight w:val="237"/>
        </w:trPr>
        <w:tc>
          <w:tcPr>
            <w:tcW w:w="3940" w:type="dxa"/>
            <w:vAlign w:val="bottom"/>
          </w:tcPr>
          <w:p>
            <w:pPr>
              <w:ind w:left="320"/>
              <w:spacing w:after="0"/>
              <w:rPr>
                <w:sz w:val="20"/>
                <w:szCs w:val="20"/>
                <w:color w:val="auto"/>
              </w:rPr>
            </w:pPr>
            <w:r>
              <w:rPr>
                <w:rFonts w:ascii="Arial" w:cs="Arial" w:eastAsia="Arial" w:hAnsi="Arial"/>
                <w:sz w:val="18"/>
                <w:szCs w:val="18"/>
                <w:color w:val="auto"/>
              </w:rPr>
              <w:t>Other derivatives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394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2</w:t>
            </w:r>
          </w:p>
        </w:tc>
      </w:tr>
    </w:tbl>
    <w:p>
      <w:pPr>
        <w:spacing w:after="0" w:line="22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Commodity derivatives include commodity derivative positions entered into to manage customer price exposures, and other derivatives include interest-rate management instruments.</w:t>
      </w:r>
    </w:p>
    <w:p>
      <w:pPr>
        <w:spacing w:after="0" w:line="20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nonrecurring basis during the nine months ended September 30, 2007. The fair value measures classified as level 3 are calculated based on discounted expected future cash flows.</w:t>
      </w:r>
    </w:p>
    <w:p>
      <w:pPr>
        <w:spacing w:after="0" w:line="25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20" w:type="dxa"/>
            <w:vAlign w:val="bottom"/>
            <w:gridSpan w:val="5"/>
          </w:tcPr>
          <w:p>
            <w:pPr>
              <w:jc w:val="center"/>
              <w:ind w:right="10"/>
              <w:spacing w:after="0"/>
              <w:rPr>
                <w:sz w:val="20"/>
                <w:szCs w:val="20"/>
                <w:color w:val="auto"/>
              </w:rPr>
            </w:pPr>
            <w:r>
              <w:rPr>
                <w:rFonts w:ascii="Arial" w:cs="Arial" w:eastAsia="Arial" w:hAnsi="Arial"/>
                <w:sz w:val="18"/>
                <w:szCs w:val="18"/>
                <w:color w:val="auto"/>
                <w:w w:val="91"/>
              </w:rPr>
              <w:t>At fair value during the nine months ended</w:t>
            </w:r>
          </w:p>
        </w:tc>
        <w:tc>
          <w:tcPr>
            <w:tcW w:w="900" w:type="dxa"/>
            <w:vAlign w:val="bottom"/>
          </w:tcPr>
          <w:p>
            <w:pPr>
              <w:spacing w:after="0"/>
              <w:rPr>
                <w:sz w:val="18"/>
                <w:szCs w:val="18"/>
                <w:color w:val="auto"/>
              </w:rPr>
            </w:pPr>
          </w:p>
        </w:tc>
      </w:tr>
      <w:tr>
        <w:trPr>
          <w:trHeight w:val="244"/>
        </w:trPr>
        <w:tc>
          <w:tcPr>
            <w:tcW w:w="3940" w:type="dxa"/>
            <w:vAlign w:val="bottom"/>
          </w:tcPr>
          <w:p>
            <w:pPr>
              <w:ind w:left="20"/>
              <w:spacing w:after="0"/>
              <w:rPr>
                <w:sz w:val="20"/>
                <w:szCs w:val="20"/>
                <w:color w:val="auto"/>
              </w:rPr>
            </w:pPr>
            <w:r>
              <w:rPr>
                <w:rFonts w:ascii="Arial" w:cs="Arial" w:eastAsia="Arial" w:hAnsi="Arial"/>
                <w:sz w:val="18"/>
                <w:szCs w:val="18"/>
                <w:color w:val="auto"/>
              </w:rPr>
              <w:t>Nonrecurring Fair Value Measures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color w:val="auto"/>
                <w:w w:val="89"/>
              </w:rPr>
              <w:t>September 30, 2007</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Level 1</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2</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394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Asset retirement obligations*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r>
    </w:tbl>
    <w:p>
      <w:pPr>
        <w:spacing w:after="0" w:line="26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Update to asset retirement obligation costs as discussed in Note 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00"/>
          </w:cols>
          <w:pgMar w:left="240" w:top="609" w:right="25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NOTE 6.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April 2007, the company filed an amendment to its original 2008 General Rate Case application (2008 GRC) as filed in December 2006 with the California Public Utilities Commission (CPUC). The 2008 GRC application, as amended, establishes the authorized margin requirements and the ratemaking mechanisms by which those margin requirements would change annually effective in 2008 through 2013 (2008 GRC rate period). The amended 2008 GRC request represents an increase in the company's annual authorized margin of $130 million, as compared to 2007 authorized margin.</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As part of the General Rate Case process, applications are subject to review and testimony by various groups representing the interests of ratepayers and other constituents. In July 2007, the CPUC's Division of Ratepayer Advocates (DRA) submitted testimony to the CPUC proposing, among other things, reductions to SoCalGas' requested margin requirements by $201 million. In addition, the DRA proposed a 5-year term as the applicable 2008 GRC rate period as compared to the 6-year term proposed by the company. Testimony submitted to the CPUC by certain other advocacy groups proposes, among other things, additional reductions in the requested margin requirements beyond those proposed by the DRA.</w:t>
      </w:r>
    </w:p>
    <w:p>
      <w:pPr>
        <w:spacing w:after="0" w:line="224"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In July 2007, the company submitted rebuttal testimony to the CPUC responding to the DRA's and other advocacy groups' testimonies. Public hearings on the 2008 GRC were held in August 2007 and September 2007. A final decision is expected in the first quarter of 2008. The company has filed a request with the CPUC to make any decision on the 2008 GRC effective retroactive to January 1, 2008.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35"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Performance-Based Regulation (PBR), demand-side management and Gas Cost Incentive Mechanism (GCIM) awards are not included in the company's earnings until CPUC approval of each award is received. All awards discussed below are on a pretax basis.</w:t>
      </w:r>
    </w:p>
    <w:p>
      <w:pPr>
        <w:spacing w:after="0" w:line="157"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In July 2007, SoCalGas received approval of its 2006 Operational PBR shareholder award of $1 million, which was included in the company's earnings in the third quarter of 2007. On November 1, 2007, SoCalGas received approval of its GCIM Year 12 application requesting a shareholder award of $10 million, which will be recorded in the fourth quarter of 2007. In October 2007, the DRA recommended approval of SoCalGas' GCIM Year 13 application, which was filed with the CPUC in June 2007, seeking a $9 million shareholder reward. A final CPUC decision is expected in the first half of 2008.</w:t>
      </w:r>
    </w:p>
    <w:p>
      <w:pPr>
        <w:spacing w:after="0" w:line="22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September 2007, the CPUC established a mechanism to financially reward or penalize the California investor-owned utilities (IOUs) for their performance on post-2005 energy-efficiency programs. The mechanism rewards or penalizes the IOUs based upon specific portfolio performance goals to reduce energy consumption. The program provides for three-year cycles, with the first three-year cycle covering 2006 through 2008. The company's maximum rewards and penalties, on a pretax basis, are $20 million. Generally, the company will be entitled to rewards when the energy cost savings are 80-110 percent of goal. The company is subject to penalties when the savings are less than 65 percent of goal, with the maximum penalty reached when savings are 55 percent of goal. No incentive or penalty applies for performance between 65-</w:t>
      </w:r>
    </w:p>
    <w:p>
      <w:pPr>
        <w:spacing w:after="0" w:line="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percent.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2" w:lineRule="exact"/>
        <w:rPr>
          <w:rFonts w:ascii="Arial" w:cs="Arial" w:eastAsia="Arial" w:hAnsi="Arial"/>
          <w:sz w:val="20"/>
          <w:szCs w:val="20"/>
          <w:color w:val="auto"/>
        </w:rPr>
      </w:pPr>
    </w:p>
    <w:p>
      <w:pPr>
        <w:spacing w:after="0"/>
        <w:tabs>
          <w:tab w:leader="none" w:pos="0" w:val="left"/>
        </w:tabs>
        <w:numPr>
          <w:ilvl w:val="0"/>
          <w:numId w:val="4"/>
        </w:numPr>
        <w:rPr>
          <w:rFonts w:ascii="Arial" w:cs="Arial" w:eastAsia="Arial" w:hAnsi="Arial"/>
          <w:sz w:val="20"/>
          <w:szCs w:val="20"/>
          <w:color w:val="auto"/>
        </w:rPr>
      </w:pPr>
    </w:p>
    <w:p>
      <w:pPr>
        <w:sectPr>
          <w:pgSz w:w="11900" w:h="16838" w:orient="portrait"/>
          <w:cols w:equalWidth="0" w:num="1">
            <w:col w:w="11400"/>
          </w:cols>
          <w:pgMar w:left="240" w:top="603" w:right="2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7.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At September 30, 2007, the company's reserves for litigation matters were $77 million, of which $74 million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Sempra Commodities, Sempra Generation and Sempra LNG, referred to in the following discussion, are business units of Sempra Energy.</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Continental Forge Settlement</w:t>
      </w:r>
    </w:p>
    <w:p>
      <w:pPr>
        <w:spacing w:after="0" w:line="24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in California and Nevada alleged that Sempra Energy and the Sempra Utilities unlawfully sought to control natural gas and electricity markets and claimed damages in excess of $23 billion after applicable trebling.</w:t>
      </w:r>
    </w:p>
    <w:p>
      <w:pPr>
        <w:spacing w:after="0" w:line="21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San Diego County Superior Court entered a final order approving the settlement of the Continental Forge class-action litigation as fair and reasonable in July 2006. The California Attorney General and the Department of Water Resources (DWR) have appealed the final order. Oral argument is expected to take place in 2008. The Nevada Clark County District Court entered an order approving the Nevada class-action settlement in September 2006. Both the California and Nevada settlements must be approved for either settlement to take effect, but Sempra Energy is permitted to waive this condition. The settlements are not conditioned upon approval by the CPUC, the DWR, or any other governmental or regulatory agency to be effective.</w:t>
      </w:r>
    </w:p>
    <w:p>
      <w:pPr>
        <w:spacing w:after="0" w:line="22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To settle the California and Nevada litigation, Sempra Energy agreed to make cash payments in installments aggregating $377 million, of which $347 million relates to the Continental Forge and California class action price reporting litigation and $30 million relates to the Nevada antitrust litigation. The Los Angeles City Council had not previously voted to approve the City of Los Angeles' participation in the January 2006 California settlement. On March 26, 2007, Sempra Energy and the Sempra Utilities entered into a separate settlement agreement with the City of Los Angeles resolving all of its claims in the Continental Forge litigation in return for the payment of $8.5 million on April 25, 2007. This payment was made in lieu of the $12 million payable in eight annual installments that the City of Los Angeles was to receive as part of the January 2006 California settlement.</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Additional consideration for the January 2006 California settlement includes an agreement that Sempra LNG would sell to the Sempra Utilities, subject to CPUC approval, regasified liquefied natural gas (LNG) from its LNG terminal being constructed in Baja California, Mexico, for a period of 18 years at the California border index price minus $0.02 per million British thermal units (MMBtu). The Sempra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in July 2006. In addition, Sempra Generation voluntarily would reduce the price that it charges for power and limit the places at which it would deliver power under its contract with the DWR. Based on the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00"/>
          </w:cols>
          <w:pgMar w:left="240" w:top="603" w:right="259" w:bottom="1440" w:gutter="0" w:footer="0" w:header="0"/>
        </w:sectPr>
      </w:pPr>
    </w:p>
    <w:bookmarkStart w:id="19" w:name="page20"/>
    <w:bookmarkEnd w:id="19"/>
    <w:p>
      <w:pPr>
        <w:ind w:right="240"/>
        <w:spacing w:after="0" w:line="260" w:lineRule="auto"/>
        <w:rPr>
          <w:sz w:val="20"/>
          <w:szCs w:val="20"/>
          <w:color w:val="auto"/>
        </w:rPr>
      </w:pPr>
      <w:r>
        <w:rPr>
          <w:rFonts w:ascii="Arial" w:cs="Arial" w:eastAsia="Arial" w:hAnsi="Arial"/>
          <w:sz w:val="20"/>
          <w:szCs w:val="20"/>
          <w:color w:val="auto"/>
        </w:rPr>
        <w:t>expected contractual volumes of power to be delivered, this discount would have potential value aggregating $300 million over the contract's then remaining six-year term.</w:t>
      </w:r>
    </w:p>
    <w:p>
      <w:pPr>
        <w:spacing w:after="0" w:line="204"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Under the terms of the January 2006 settlements, $83 million was paid in August 2006 and an additional $83 million was paid in August 2007. Of the remaining amounts, $25.8 million is to be paid on the closing date of the January 2006 settlements, which will take place after the resolution of all appeals, and $24.8 million will be paid on each successive anniversary of the closing date through the seventh anniversary of the closing date, as adjusted for the City of Los Angeles settlement. Under the terms of the City of Los Angeles settlement, $8.5 million was paid on April 25, 2007. The reserves recorded for the California and Nevada settlements by Sempra Energy, including SoCalGas, in 2005 fully provide for the present value of both the cash amounts to be paid in the settlements and the price discount to be provided on electricity to be delivered under the DWR contract. A portion of the reserves was discounted at 7 percent, the rate specified fo r prepayments in the settlement agreement. For payments not addressed in the agreement and for periods from the settlement date through the estimated date of the first payment, 5 percent was used to approximate Sempra Energy's average cost of financing.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Natural Gas Cases</w:t>
      </w:r>
    </w:p>
    <w:p>
      <w:pPr>
        <w:spacing w:after="0" w:line="243"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 April 2003, Sierra Pacific Resources and its utility subsidiary Nevada Power filed a lawsuit in the U.S. District Court in Nevada against major natural gas suppliers, including Sempra Energy, the Sempra Utilities and Sempra Commodities, seeking recovery of damages alleged to aggregate in excess of $150 million (before trebling). The lawsuit alleges a conspiracy to manipulate and inflate the prices that Nevada Power had to pay for its natural gas by preventing the construction of natural gas pipelines to serve Nevada and other Western states, and reporting artificially inflated prices to trade publications. The U.S. District Court dismissed the case in November 2004, determining that the Federal Energy Regulatory Commission (FERC) had exclusive jurisdiction to resolve the claims. In September 2007, the U.S. Court of Appeals for the Ninth Circuit (Ninth Circuit Court of Appeals) reversed the dismissal and the case is expected to return to the D istrict Court for further proceedings.</w:t>
      </w:r>
    </w:p>
    <w:p>
      <w:pPr>
        <w:spacing w:after="0" w:line="22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Apart from the claims settled in connection with the Continental Forge settlement, there remain pending 13 state antitrust actions that have been coordinated in San Diego Superior Court against Sempra Energy, the Sempra Utilities and Sempra Commodities and other, unrelated energy companies, alleging that energy prices were unlawfully manipulated by the reporting of artificially inflated natural gas prices to trade publications and by entering into wash trades and churning transactions. In July 2007, the Superior Court stayed the portion of the proceeding involving all but three of the 13 individual plaintiffs who brought actions against the company because they are class members in the Continental Forge settlement class described above.</w:t>
      </w:r>
    </w:p>
    <w:p>
      <w:pPr>
        <w:spacing w:after="0" w:line="22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Pending in the U.S. District Court in Nevada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court dismissed four of these actions, determining that the FERC had exclusive jurisdiction to resolve the claims. The remaining case, which includes conspiracy allegations, was stayed. In September 2007, the Ninth Circuit Court of Appeals reversed the dismissal and these cases are expected to return to the District Court for further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Litigation</w:t>
      </w:r>
    </w:p>
    <w:p>
      <w:pPr>
        <w:spacing w:after="0" w:line="243"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In 1998, SoCalGas converted its traditional pension plan for non-union employees to a cash balance plan. In July 2005, a lawsuit was filed against the company in the U.S. District Court for the Central District of California alleging that the conversion unlawfully discriminated against older employees and failed to</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09" w:right="239" w:bottom="1440" w:gutter="0" w:footer="0" w:header="0"/>
        </w:sectPr>
      </w:pPr>
    </w:p>
    <w:bookmarkStart w:id="20" w:name="page21"/>
    <w:bookmarkEnd w:id="20"/>
    <w:p>
      <w:pPr>
        <w:ind w:right="280"/>
        <w:spacing w:after="0" w:line="260" w:lineRule="auto"/>
        <w:rPr>
          <w:sz w:val="20"/>
          <w:szCs w:val="20"/>
          <w:color w:val="auto"/>
        </w:rPr>
      </w:pPr>
      <w:r>
        <w:rPr>
          <w:rFonts w:ascii="Arial" w:cs="Arial" w:eastAsia="Arial" w:hAnsi="Arial"/>
          <w:sz w:val="20"/>
          <w:szCs w:val="20"/>
          <w:color w:val="auto"/>
        </w:rPr>
        <w:t>provide required disclosure of a reduction in benefits. In October 2005, the court dismissed three of the four causes of action and, in March 2006, dismissed the remaining cause of action. The plaintiffs have appealed the court's ruling.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4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SoCalGas increased its environmental-related liabilities in the first quarter of 2007 by $18 million, $16 million of which is expected to be recoverable through rates, to reflect a change in estimate of expected cleanup costs at a former manufactured-gas plant site. Expected cleanup costs have risen due to increasingly stringent regulations by the California Department of Toxic Substances Control and due to technical challenges involved in excavating and removing contaminated soil while keeping existing businesses open.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SUBSEQUENT EVENT -- SOUTHERN CALIFORNIA WILDFIRES</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October 2007, major wildfires throughout Southern California destroyed many homes, damaged utility infrastructure and disrupted utility services. On October 21, 2007, Governor Arnold Schwarzenegger declared a state of emergency for seven California counties, including the County of San Diego and six counties within SoCalGas' service territory. The Sempra Utilities will each apply to the CPUC to recover any material incremental costs of restoring utility services and utility facilities damaged by the wildfires in cost recovery proceedings applicable to disaster events.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00"/>
          </w:cols>
          <w:pgMar w:left="240" w:top="609" w:right="35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ITEM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discussion should be read in conjunction with the financial statements contained in this Form 10-Q and "Management's Discussion and Analysis of Financial Condition and Results of Operations" and "Risk Factors" contained in the company's 2006 Annual Report on Form 10-K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 and Cost of Sales</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During the nine months ended September 30, 2007, natural gas revenues increased compared to the corresponding period in 2006, primarily as a result of higher authorized revenues and higher refundable costs, offset by lower cost of natural gas. Under the current regulatory framework, the cost of natural gas purchased for customers and the variations in that cost are passed through to customers on a substantially concurrent basis. However, SoCalGas' gas cost incentive mechanism allows SoCalGas to share in the savings or costs from buying natural gas for customers below or above market-based monthly benchmarks. Further discussion is provided in Notes 1 and 8 of the Notes to Consolidated Financial Statements in the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summarizes natural gas volumes and revenues by customer class for the nine month periods ended September 30.</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Transportation</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2500" w:type="dxa"/>
            <w:vAlign w:val="bottom"/>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Natural Gas Sales</w:t>
            </w:r>
          </w:p>
        </w:tc>
        <w:tc>
          <w:tcPr>
            <w:tcW w:w="5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8"/>
                <w:szCs w:val="18"/>
                <w:color w:val="auto"/>
              </w:rPr>
              <w:t>and Exchange</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237"/>
        </w:trPr>
        <w:tc>
          <w:tcPr>
            <w:tcW w:w="2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Volumes</w:t>
            </w:r>
          </w:p>
        </w:tc>
        <w:tc>
          <w:tcPr>
            <w:tcW w:w="13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Revenue</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Volumes</w:t>
            </w:r>
          </w:p>
        </w:tc>
        <w:tc>
          <w:tcPr>
            <w:tcW w:w="12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Volumes</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Revenue</w:t>
            </w:r>
          </w:p>
        </w:tc>
      </w:tr>
      <w:tr>
        <w:trPr>
          <w:trHeight w:val="237"/>
        </w:trPr>
        <w:tc>
          <w:tcPr>
            <w:tcW w:w="2500" w:type="dxa"/>
            <w:vAlign w:val="bottom"/>
          </w:tcPr>
          <w:p>
            <w:pPr>
              <w:spacing w:after="0"/>
              <w:rPr>
                <w:sz w:val="20"/>
                <w:szCs w:val="20"/>
                <w:color w:val="auto"/>
              </w:rPr>
            </w:pPr>
            <w:r>
              <w:rPr>
                <w:rFonts w:ascii="Arial" w:cs="Arial" w:eastAsia="Arial" w:hAnsi="Arial"/>
                <w:sz w:val="18"/>
                <w:szCs w:val="18"/>
                <w:color w:val="auto"/>
              </w:rPr>
              <w:t>2007:</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25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Residential</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173</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3"/>
              </w:rPr>
              <w:t>1,915</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FFCC"/>
          </w:tcPr>
          <w:p>
            <w:pPr>
              <w:jc w:val="right"/>
              <w:ind w:right="1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68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FFCC"/>
          </w:tcPr>
          <w:p>
            <w:pPr>
              <w:spacing w:after="0"/>
              <w:rPr>
                <w:sz w:val="21"/>
                <w:szCs w:val="2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729</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62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r>
      <w:tr>
        <w:trPr>
          <w:trHeight w:val="249"/>
        </w:trPr>
        <w:tc>
          <w:tcPr>
            <w:tcW w:w="25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Electric generation plants</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spacing w:after="0"/>
              <w:rPr>
                <w:sz w:val="21"/>
                <w:szCs w:val="21"/>
                <w:color w:val="auto"/>
              </w:rPr>
            </w:pP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158</w:t>
            </w:r>
          </w:p>
        </w:tc>
        <w:tc>
          <w:tcPr>
            <w:tcW w:w="62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21"/>
                <w:szCs w:val="2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20"/>
                <w:szCs w:val="20"/>
                <w:color w:val="auto"/>
              </w:rPr>
            </w:pPr>
          </w:p>
        </w:tc>
      </w:tr>
      <w:tr>
        <w:trPr>
          <w:trHeight w:val="243"/>
        </w:trPr>
        <w:tc>
          <w:tcPr>
            <w:tcW w:w="2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252</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3"/>
              </w:rPr>
              <w:t>2,644</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462</w:t>
            </w:r>
          </w:p>
        </w:tc>
        <w:tc>
          <w:tcPr>
            <w:tcW w:w="620" w:type="dxa"/>
            <w:vAlign w:val="bottom"/>
            <w:shd w:val="clear" w:color="auto" w:fill="CCFFCC"/>
          </w:tcPr>
          <w:p>
            <w:pPr>
              <w:jc w:val="right"/>
              <w:ind w:right="1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251</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714</w:t>
            </w:r>
          </w:p>
        </w:tc>
        <w:tc>
          <w:tcPr>
            <w:tcW w:w="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CFFCC"/>
          </w:tcPr>
          <w:p>
            <w:pPr>
              <w:spacing w:after="0"/>
              <w:rPr>
                <w:sz w:val="21"/>
                <w:szCs w:val="21"/>
                <w:color w:val="auto"/>
              </w:rPr>
            </w:pPr>
          </w:p>
        </w:tc>
      </w:tr>
      <w:tr>
        <w:trPr>
          <w:trHeight w:val="230"/>
        </w:trPr>
        <w:tc>
          <w:tcPr>
            <w:tcW w:w="2500" w:type="dxa"/>
            <w:vAlign w:val="bottom"/>
          </w:tcPr>
          <w:p>
            <w:pPr>
              <w:ind w:left="140"/>
              <w:spacing w:after="0"/>
              <w:rPr>
                <w:sz w:val="20"/>
                <w:szCs w:val="20"/>
                <w:color w:val="auto"/>
              </w:rPr>
            </w:pPr>
            <w:r>
              <w:rPr>
                <w:rFonts w:ascii="Arial" w:cs="Arial" w:eastAsia="Arial" w:hAnsi="Arial"/>
                <w:sz w:val="18"/>
                <w:szCs w:val="18"/>
                <w:color w:val="auto"/>
                <w:w w:val="98"/>
              </w:rPr>
              <w:t>Balancing accounts and other</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auto"/>
            </w:tcBorders>
          </w:tcPr>
          <w:p>
            <w:pPr>
              <w:spacing w:after="0"/>
              <w:rPr>
                <w:sz w:val="19"/>
                <w:szCs w:val="19"/>
                <w:color w:val="auto"/>
              </w:rPr>
            </w:pPr>
          </w:p>
        </w:tc>
      </w:tr>
      <w:tr>
        <w:trPr>
          <w:trHeight w:val="257"/>
        </w:trPr>
        <w:tc>
          <w:tcPr>
            <w:tcW w:w="250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auto"/>
            </w:tcBorders>
            <w:shd w:val="clear" w:color="auto" w:fill="CCFFCC"/>
          </w:tcPr>
          <w:p>
            <w:pPr>
              <w:spacing w:after="0"/>
              <w:rPr>
                <w:sz w:val="22"/>
                <w:szCs w:val="22"/>
                <w:color w:val="auto"/>
              </w:rPr>
            </w:pPr>
          </w:p>
        </w:tc>
      </w:tr>
      <w:tr>
        <w:trPr>
          <w:trHeight w:val="51"/>
        </w:trPr>
        <w:tc>
          <w:tcPr>
            <w:tcW w:w="2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jc w:val="right"/>
              <w:ind w:right="142"/>
              <w:spacing w:after="0"/>
              <w:rPr>
                <w:sz w:val="20"/>
                <w:szCs w:val="20"/>
                <w:color w:val="auto"/>
              </w:rPr>
            </w:pPr>
            <w:r>
              <w:rPr>
                <w:rFonts w:ascii="Arial" w:cs="Arial" w:eastAsia="Arial" w:hAnsi="Arial"/>
                <w:sz w:val="4"/>
                <w:szCs w:val="4"/>
                <w:color w:val="auto"/>
              </w:rPr>
              <w:t>&amp;nb sp;</w:t>
            </w: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3"/>
        </w:trPr>
        <w:tc>
          <w:tcPr>
            <w:tcW w:w="2500" w:type="dxa"/>
            <w:vAlign w:val="bottom"/>
          </w:tcPr>
          <w:p>
            <w:pPr>
              <w:spacing w:after="0"/>
              <w:rPr>
                <w:sz w:val="20"/>
                <w:szCs w:val="20"/>
                <w:color w:val="auto"/>
              </w:rPr>
            </w:pPr>
            <w:r>
              <w:rPr>
                <w:rFonts w:ascii="Arial" w:cs="Arial" w:eastAsia="Arial" w:hAnsi="Arial"/>
                <w:sz w:val="18"/>
                <w:szCs w:val="18"/>
                <w:color w:val="auto"/>
              </w:rPr>
              <w:t>2006:</w:t>
            </w: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25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Residential</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176</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3"/>
              </w:rPr>
              <w:t>2,009</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FFCC"/>
          </w:tcPr>
          <w:p>
            <w:pPr>
              <w:jc w:val="right"/>
              <w:ind w:right="1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w:t>
            </w:r>
          </w:p>
        </w:tc>
        <w:tc>
          <w:tcPr>
            <w:tcW w:w="680" w:type="dxa"/>
            <w:vAlign w:val="bottom"/>
            <w:gridSpan w:val="2"/>
            <w:shd w:val="clear" w:color="auto" w:fill="CCFFCC"/>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FFCC"/>
          </w:tcPr>
          <w:p>
            <w:pPr>
              <w:spacing w:after="0"/>
              <w:rPr>
                <w:sz w:val="21"/>
                <w:szCs w:val="2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74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747</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62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r>
      <w:tr>
        <w:trPr>
          <w:trHeight w:val="249"/>
        </w:trPr>
        <w:tc>
          <w:tcPr>
            <w:tcW w:w="25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Electric generation plants</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spacing w:after="0"/>
              <w:rPr>
                <w:sz w:val="21"/>
                <w:szCs w:val="21"/>
                <w:color w:val="auto"/>
              </w:rPr>
            </w:pP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147</w:t>
            </w:r>
          </w:p>
        </w:tc>
        <w:tc>
          <w:tcPr>
            <w:tcW w:w="620" w:type="dxa"/>
            <w:vAlign w:val="bottom"/>
            <w:shd w:val="clear" w:color="auto" w:fill="CCFFCC"/>
          </w:tcPr>
          <w:p>
            <w:pPr>
              <w:spacing w:after="0"/>
              <w:rPr>
                <w:sz w:val="21"/>
                <w:szCs w:val="21"/>
                <w:color w:val="auto"/>
              </w:rPr>
            </w:pP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59</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FFCC"/>
          </w:tcPr>
          <w:p>
            <w:pPr>
              <w:spacing w:after="0"/>
              <w:rPr>
                <w:sz w:val="21"/>
                <w:szCs w:val="2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w:t>
            </w: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rPr>
                <w:sz w:val="20"/>
                <w:szCs w:val="20"/>
                <w:color w:val="auto"/>
              </w:rPr>
            </w:pPr>
          </w:p>
        </w:tc>
      </w:tr>
      <w:tr>
        <w:trPr>
          <w:trHeight w:val="243"/>
        </w:trPr>
        <w:tc>
          <w:tcPr>
            <w:tcW w:w="2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255</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3"/>
              </w:rPr>
              <w:t>2,756</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450</w:t>
            </w:r>
          </w:p>
        </w:tc>
        <w:tc>
          <w:tcPr>
            <w:tcW w:w="620" w:type="dxa"/>
            <w:vAlign w:val="bottom"/>
            <w:shd w:val="clear" w:color="auto" w:fill="CCFFCC"/>
          </w:tcPr>
          <w:p>
            <w:pPr>
              <w:jc w:val="right"/>
              <w:ind w:right="1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247</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705</w:t>
            </w:r>
          </w:p>
        </w:tc>
        <w:tc>
          <w:tcPr>
            <w:tcW w:w="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CCFFCC"/>
          </w:tcPr>
          <w:p>
            <w:pPr>
              <w:spacing w:after="0"/>
              <w:rPr>
                <w:sz w:val="21"/>
                <w:szCs w:val="2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w w:val="98"/>
              </w:rPr>
              <w:t>Balancing accounts and other</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1 42</w:t>
            </w:r>
          </w:p>
        </w:tc>
        <w:tc>
          <w:tcPr>
            <w:tcW w:w="120" w:type="dxa"/>
            <w:vAlign w:val="bottom"/>
            <w:tcBorders>
              <w:bottom w:val="single" w:sz="8" w:color="auto"/>
            </w:tcBorders>
          </w:tcPr>
          <w:p>
            <w:pPr>
              <w:spacing w:after="0"/>
              <w:rPr>
                <w:sz w:val="20"/>
                <w:szCs w:val="20"/>
                <w:color w:val="auto"/>
              </w:rPr>
            </w:pPr>
          </w:p>
        </w:tc>
      </w:tr>
      <w:tr>
        <w:trPr>
          <w:trHeight w:val="263"/>
        </w:trPr>
        <w:tc>
          <w:tcPr>
            <w:tcW w:w="2500" w:type="dxa"/>
            <w:vAlign w:val="bottom"/>
            <w:tcBorders>
              <w:bottom w:val="single" w:sz="8" w:color="auto"/>
            </w:tcBorders>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auto"/>
            </w:tcBorders>
            <w:shd w:val="clear" w:color="auto" w:fill="CCFFCC"/>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380"/>
          </w:cols>
          <w:pgMar w:left="240" w:top="609" w:right="279" w:bottom="1440" w:gutter="0" w:footer="0" w:header="0"/>
        </w:sectPr>
      </w:pPr>
    </w:p>
    <w:bookmarkStart w:id="22" w:name="page23"/>
    <w:bookmarkEnd w:id="22"/>
    <w:p>
      <w:pPr>
        <w:spacing w:after="0"/>
        <w:rPr>
          <w:sz w:val="20"/>
          <w:szCs w:val="20"/>
          <w:color w:val="auto"/>
        </w:rPr>
      </w:pPr>
      <w:r>
        <w:rPr>
          <w:rFonts w:ascii="Arial" w:cs="Arial" w:eastAsia="Arial" w:hAnsi="Arial"/>
          <w:sz w:val="20"/>
          <w:szCs w:val="20"/>
          <w:i w:val="1"/>
          <w:iCs w:val="1"/>
          <w:color w:val="auto"/>
        </w:rPr>
        <w:t>Interest Income</w:t>
      </w:r>
    </w:p>
    <w:p>
      <w:pPr>
        <w:spacing w:after="0" w:line="243" w:lineRule="exact"/>
        <w:rPr>
          <w:sz w:val="20"/>
          <w:szCs w:val="20"/>
          <w:color w:val="auto"/>
        </w:rPr>
      </w:pPr>
    </w:p>
    <w:p>
      <w:pPr>
        <w:ind w:right="900"/>
        <w:spacing w:after="0" w:line="250" w:lineRule="auto"/>
        <w:rPr>
          <w:sz w:val="20"/>
          <w:szCs w:val="20"/>
          <w:color w:val="auto"/>
        </w:rPr>
      </w:pPr>
      <w:r>
        <w:rPr>
          <w:rFonts w:ascii="Arial" w:cs="Arial" w:eastAsia="Arial" w:hAnsi="Arial"/>
          <w:sz w:val="20"/>
          <w:szCs w:val="20"/>
          <w:color w:val="auto"/>
        </w:rPr>
        <w:t>Interest income at Pacific Enterprises (PE) decreased by $12 million (23%) in the nine months ended September 30, 2007 to $40 million. The decrease in the nine months ended September 30, 2007 was primarily due to $13 million in interest income recorded in 2006 at PE related to an insurance claim.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ind w:right="1000"/>
        <w:spacing w:after="0" w:line="250" w:lineRule="auto"/>
        <w:rPr>
          <w:sz w:val="20"/>
          <w:szCs w:val="20"/>
          <w:color w:val="auto"/>
        </w:rPr>
      </w:pPr>
      <w:r>
        <w:rPr>
          <w:rFonts w:ascii="Arial" w:cs="Arial" w:eastAsia="Arial" w:hAnsi="Arial"/>
          <w:sz w:val="20"/>
          <w:szCs w:val="20"/>
          <w:color w:val="auto"/>
        </w:rPr>
        <w:t>Income tax expense was $128 million and $151 million ($122 million and $139 million for SoCalGas) for the nine months ended September 30, 2007 and 2006, respectively, and the effective income tax rates for the company were 42 percent and 46 percent (41 percent and 45 percent at SoCalGas), respectively.</w:t>
      </w:r>
    </w:p>
    <w:p>
      <w:pPr>
        <w:spacing w:after="0" w:line="213" w:lineRule="exact"/>
        <w:rPr>
          <w:sz w:val="20"/>
          <w:szCs w:val="20"/>
          <w:color w:val="auto"/>
        </w:rPr>
      </w:pPr>
    </w:p>
    <w:p>
      <w:pPr>
        <w:ind w:right="1000"/>
        <w:spacing w:after="0" w:line="250" w:lineRule="auto"/>
        <w:rPr>
          <w:sz w:val="20"/>
          <w:szCs w:val="20"/>
          <w:color w:val="auto"/>
        </w:rPr>
      </w:pPr>
      <w:r>
        <w:rPr>
          <w:rFonts w:ascii="Arial" w:cs="Arial" w:eastAsia="Arial" w:hAnsi="Arial"/>
          <w:sz w:val="20"/>
          <w:szCs w:val="20"/>
          <w:color w:val="auto"/>
        </w:rPr>
        <w:t>Income tax expense was $46 million and $63 million ($44 million and $59 million for SoCalGas) for the three months ended September 30, 2007 and 2006, respectively, and the effective income tax rates for the company were 41 percent and 51 percent (41 percent and 49 percent at SoCalGas), respectively.</w:t>
      </w:r>
    </w:p>
    <w:p>
      <w:pPr>
        <w:spacing w:after="0" w:line="21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decrease in expense for the three months and nine months ended September 30, 2007 was due primarily to a lower effective income tax rate. The lower effective tax rate for the nine months ended September 30, 2007 was due to a higher deduction for basis differences in fixed assets and a higher federal deduction for state taxes. The lower effective tax rate for the three months ended September 30, 2007 was due to a higher deduction for basis differences in fixed assets.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43" w:lineRule="exact"/>
        <w:rPr>
          <w:sz w:val="20"/>
          <w:szCs w:val="20"/>
          <w:color w:val="auto"/>
        </w:rPr>
      </w:pPr>
    </w:p>
    <w:p>
      <w:pPr>
        <w:ind w:right="580"/>
        <w:spacing w:after="0" w:line="291" w:lineRule="auto"/>
        <w:rPr>
          <w:sz w:val="20"/>
          <w:szCs w:val="20"/>
          <w:color w:val="auto"/>
        </w:rPr>
      </w:pPr>
      <w:r>
        <w:rPr>
          <w:rFonts w:ascii="Arial" w:cs="Arial" w:eastAsia="Arial" w:hAnsi="Arial"/>
          <w:sz w:val="18"/>
          <w:szCs w:val="18"/>
          <w:color w:val="auto"/>
        </w:rPr>
        <w:t>Net income for SoCalGas increased by $4 million (2%) in the nine months ended September 30, 2007 to $173 million and by $2 million (3%) in the three months ended September 30, 2007 to $63 million. The increase for the nine months ended September 30, 2007 was primarily due to a lower effective income tax rate in 2007, offset by the favorable resolution of a natural gas royalty matter in 2006.</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At September 30, 2007, the company had $140 million in unrestricted cash and $500 million in available unused credit on its committed line at SoCalGas, which is shared with SDG&amp;E and is discussed more fully in Note 4 of the Notes to Condensed Consolidated Financial Statements herein. Management believes that these amounts and cash flows from operations and security issuances will be adequate to finance capital expenditures and meet liquidity requirements and other commitments. Management continues to regularly monitor SoCalGas' ability to finance the needs of its operating, investing and financing activities in a manner consistent with its intention to maintain strong, investment-quality credit ratings.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Net cash provided by PE's operating activities decreased by $434 million (49%) to $447 million for 2007. For SoCalGas, net cash provided by operating activities decreased by $413 million (49%) to $435 million for 2007. The changes were primarily due to a lower decrease in accounts receivable of $297 million in 2007 compared to $376 million in 2006, a $137 million decrease in accounts payable in 2007 compared 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360"/>
          </w:cols>
          <w:pgMar w:left="240" w:top="852" w:right="299" w:bottom="1440" w:gutter="0" w:footer="0" w:header="0"/>
        </w:sectPr>
      </w:pPr>
    </w:p>
    <w:bookmarkStart w:id="23" w:name="page24"/>
    <w:bookmarkEnd w:id="23"/>
    <w:p>
      <w:pPr>
        <w:ind w:right="560"/>
        <w:spacing w:after="0" w:line="260" w:lineRule="auto"/>
        <w:rPr>
          <w:sz w:val="20"/>
          <w:szCs w:val="20"/>
          <w:color w:val="auto"/>
        </w:rPr>
      </w:pPr>
      <w:r>
        <w:rPr>
          <w:rFonts w:ascii="Arial" w:cs="Arial" w:eastAsia="Arial" w:hAnsi="Arial"/>
          <w:sz w:val="20"/>
          <w:szCs w:val="20"/>
          <w:color w:val="auto"/>
        </w:rPr>
        <w:t>an increase of $34 million in 2006, and a decrease of $86 million in overcollected regulatory balancing accounts in 2007 compared to an increase of $95 million in 2006.</w:t>
      </w:r>
    </w:p>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For the nine months ended September 30, 2007, the company made contributions of $1 million and $22 million to the pension plan and other postretirement benefit plans,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Net cash used in PE's investing activities increased by $26 million (7%) to $415 million for 2007. Net cash used in SoCalGas' investing activities increased by $47 million (13%) to $405 million for 2007. The changes were primarily due to an increase in capital expenditures for property, plant and equipment of $16 million at both SoCalGas and PE, and an increase in advances to Sempra Energy of $24 million at SoCalGas and proceeds of $2 million from the sale of assets at PE compared to $9 million in 2006.</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Significant capital expenditures in 2007 are expected to include $500 million for improvements to distribution and transmission systems. These expenditures are expected to be financed by cash flows from operations and security issuances.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Net cash used in PE's financing activities decreased by $138 million (57%) to $103 million for 2007. Net cash used in SoCalGas' financing activities decreased by $138 million (58%) to $101 million for 2007. The changes were attributable to an $88 million reduction of short-term debt in 2006 and $50 million of higher common dividend payments made in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At September 30, 2007, there were no significant changes to the commitments that were disclosed in the Annual Report, except for increases of $698 million and $18 million, respectively, related to new natural gas contracts and environmental commitments. The future payments under these contractual commitments are expected to be $192 million for 2007, $376 million for 2008, $20 million for 2009, $15 million for 2010, $15 million for 2011 and $98 million thereafter.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color w:val="auto"/>
        </w:rPr>
        <w:t>Performance of the company will depend primarily on the ratemaking and regulatory process, natural gas industry restructuring, and the changing energy marketplace. Performance will also depend on the successful completion of capital projects which are discussed in various places in this report. These factors are discussed in Note 6 of the Notes to Condensed Consolidated Financial Statements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Note 7 of the Notes to Condensed Consolidated Financial Statements herein and Note 9 of the Notes to Consolidated Financial Statements in the Annual Report describe litigation (primarily cases arising from the California energy crisis), the ultimate resolution of which could have a material adverse effect on future performance.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80"/>
          </w:cols>
          <w:pgMar w:left="240" w:top="609" w:right="27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Industry Developments</w:t>
      </w:r>
    </w:p>
    <w:p>
      <w:pPr>
        <w:spacing w:after="0" w:line="249"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Note 6 of the Notes to Condensed Consolidated Financial Statements herein and Note 8 of the Notes to Consolidated Financial Statements in the Annual Report describe natural gas regulation and rates, and other pending proceedings and investigations.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One accounting pronouncement that has recently become effective and may have a significant effect on the company’s accounting policies and estimates is described below and was adopted by the company effective January 1, 2007, as discussed in Note 2 of the Notes to Condensed Consolidated Financial Statements herein.</w:t>
      </w:r>
    </w:p>
    <w:p>
      <w:pPr>
        <w:spacing w:after="0" w:line="258"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340"/>
          </w:cols>
          <w:pgMar w:left="240" w:top="603" w:right="319" w:bottom="1440" w:gutter="0" w:footer="0" w:header="0"/>
        </w:sectPr>
      </w:pPr>
    </w:p>
    <w:p>
      <w:pPr>
        <w:ind w:left="1240"/>
        <w:spacing w:after="0" w:line="267" w:lineRule="auto"/>
        <w:rPr>
          <w:sz w:val="20"/>
          <w:szCs w:val="20"/>
          <w:color w:val="auto"/>
        </w:rPr>
      </w:pPr>
      <w:r>
        <w:rPr>
          <w:rFonts w:ascii="Arial" w:cs="Arial" w:eastAsia="Arial" w:hAnsi="Arial"/>
          <w:sz w:val="17"/>
          <w:szCs w:val="17"/>
          <w:i w:val="1"/>
          <w:iCs w:val="1"/>
          <w:color w:val="auto"/>
        </w:rPr>
        <w:t>Financial Accounting Standards Board (FASB) Interpretation No. (FIN) 48, Accounting for Uncertainty in Income Taxes, an interpretation of FASB Statement No. 109 (FIN 48)</w:t>
      </w:r>
      <w:r>
        <w:rPr>
          <w:rFonts w:ascii="Arial" w:cs="Arial" w:eastAsia="Arial" w:hAnsi="Arial"/>
          <w:sz w:val="17"/>
          <w:szCs w:val="17"/>
          <w:color w:val="auto"/>
        </w:rPr>
        <w:t>,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uncertainty in income taxes recognized in a company's financial statements.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For a position to qualify for benefit recognition under FIN 48, the position must have at least a “more likely than not” chance of being sustained (based on the position’s technical merits) upon challenge by the respective authorities. The term “more likely than not” means a likelihood of more than</w:t>
      </w:r>
    </w:p>
    <w:p>
      <w:pPr>
        <w:spacing w:after="0" w:line="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50 percent. If the company does not have a more likely than not position with respect to a tax position, then the company may not recognize any of the potential tax benefit associated with the position. A tax position that meets the “more likely than not” recognition shall initially and subsequently be measured as the largest amount of tax benefit that is greater than 50 percent likely of being realized upon the effective resolution of the tax position.</w:t>
      </w:r>
    </w:p>
    <w:p>
      <w:pPr>
        <w:spacing w:after="0" w:line="20" w:lineRule="exact"/>
        <w:rPr>
          <w:sz w:val="20"/>
          <w:szCs w:val="20"/>
          <w:color w:val="auto"/>
        </w:rPr>
      </w:pPr>
      <w:r>
        <w:rPr>
          <w:sz w:val="20"/>
          <w:szCs w:val="20"/>
          <w:color w:val="auto"/>
        </w:rPr>
        <w:br w:type="column"/>
      </w:r>
    </w:p>
    <w:p>
      <w:pPr>
        <w:ind w:right="1180"/>
        <w:spacing w:after="0" w:line="270" w:lineRule="auto"/>
        <w:rPr>
          <w:sz w:val="20"/>
          <w:szCs w:val="20"/>
          <w:color w:val="auto"/>
        </w:rPr>
      </w:pPr>
      <w:r>
        <w:rPr>
          <w:rFonts w:ascii="Arial" w:cs="Arial" w:eastAsia="Arial" w:hAnsi="Arial"/>
          <w:sz w:val="17"/>
          <w:szCs w:val="17"/>
          <w:color w:val="auto"/>
        </w:rPr>
        <w:t>Unrecognized tax benefits involve management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2" w:lineRule="exact"/>
        <w:rPr>
          <w:sz w:val="20"/>
          <w:szCs w:val="20"/>
          <w:color w:val="auto"/>
        </w:rPr>
      </w:pPr>
    </w:p>
    <w:p>
      <w:pPr>
        <w:ind w:right="1180"/>
        <w:spacing w:after="0" w:line="255" w:lineRule="auto"/>
        <w:rPr>
          <w:sz w:val="20"/>
          <w:szCs w:val="20"/>
          <w:color w:val="auto"/>
        </w:rPr>
      </w:pPr>
      <w:r>
        <w:rPr>
          <w:rFonts w:ascii="Arial" w:cs="Arial" w:eastAsia="Arial" w:hAnsi="Arial"/>
          <w:sz w:val="18"/>
          <w:szCs w:val="18"/>
          <w:color w:val="auto"/>
        </w:rPr>
        <w:t>Additional information related to accounting for uncertainty in income taxes is discussed in Note 2 of the Notes to Condensed Consolidated Financial Statements herein.</w:t>
      </w:r>
    </w:p>
    <w:p>
      <w:pPr>
        <w:spacing w:after="0" w:line="1068" w:lineRule="exact"/>
        <w:rPr>
          <w:sz w:val="20"/>
          <w:szCs w:val="20"/>
          <w:color w:val="auto"/>
        </w:rPr>
      </w:pPr>
    </w:p>
    <w:p>
      <w:pPr>
        <w:sectPr>
          <w:pgSz w:w="11900" w:h="16838" w:orient="portrait"/>
          <w:cols w:equalWidth="0" w:num="3">
            <w:col w:w="3820" w:space="260"/>
            <w:col w:w="3220" w:space="300"/>
            <w:col w:w="3740"/>
          </w:cols>
          <w:pgMar w:left="240" w:top="603" w:right="31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Pronouncements that have recently become effective and have had or may have a significant effect on the company's financial statements are described in Note 2 of the Notes to Condensed Consolidated Financial Statements herein.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340"/>
          </w:cols>
          <w:pgMar w:left="240" w:top="603" w:right="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significant changes in the risk issues affecting the company subsequent to those discussed in the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30, 2007, the total Value at Risk of SoCalGas' positions was not material.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 ost-benefit relationship of other possible controls and procedures. 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September 30, 2007,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22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Except as described in Notes 6 and 7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material changes from risk factors as previously disclosed in the company's 2006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00"/>
          </w:cols>
          <w:pgMar w:left="240" w:top="609" w:right="25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Exhibit 12 - Computation of ratios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12.1 Computation of Ratio of Earnings to Combined Fixed Charges of PE.</w:t>
      </w:r>
    </w:p>
    <w:p>
      <w:pPr>
        <w:spacing w:after="0" w:line="243" w:lineRule="exact"/>
        <w:rPr>
          <w:sz w:val="20"/>
          <w:szCs w:val="20"/>
          <w:color w:val="auto"/>
        </w:rPr>
      </w:pPr>
    </w:p>
    <w:p>
      <w:pPr>
        <w:ind w:right="1460"/>
        <w:spacing w:after="0" w:line="493" w:lineRule="auto"/>
        <w:rPr>
          <w:sz w:val="20"/>
          <w:szCs w:val="20"/>
          <w:color w:val="auto"/>
        </w:rPr>
      </w:pPr>
      <w:r>
        <w:rPr>
          <w:rFonts w:ascii="Arial" w:cs="Arial" w:eastAsia="Arial" w:hAnsi="Arial"/>
          <w:sz w:val="20"/>
          <w:szCs w:val="20"/>
          <w:color w:val="auto"/>
        </w:rPr>
        <w:t>12.2 Computation of Ratio of Earnings to Combined Fixed Charges and Preferred Stock Dividends of SoCalGas. Exhibit 31 -- Section 302 Certifications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31.1 Statement of PE's Chief Executive Officer pursuant to Rules 13a-14 and 15d-14 of the Securities Exchange Act of 1934.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31.2 Statement of PE's Chief Financial Officer pursuant to Rules 13a-14 and 15d-14 of the Securities Exchange Act of 1934.</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31.3 Statement of SoCalGas' Chief Executive Officer pursuant to Rules 13a-14 and 15d-14 of the Securities Exchange Act of 1934.</w:t>
      </w:r>
    </w:p>
    <w:p>
      <w:pPr>
        <w:spacing w:after="0" w:line="289" w:lineRule="exact"/>
        <w:rPr>
          <w:sz w:val="20"/>
          <w:szCs w:val="20"/>
          <w:color w:val="auto"/>
        </w:rPr>
      </w:pPr>
    </w:p>
    <w:p>
      <w:pPr>
        <w:ind w:right="60"/>
        <w:spacing w:after="0" w:line="493" w:lineRule="auto"/>
        <w:rPr>
          <w:sz w:val="20"/>
          <w:szCs w:val="20"/>
          <w:color w:val="auto"/>
        </w:rPr>
      </w:pPr>
      <w:r>
        <w:rPr>
          <w:rFonts w:ascii="Arial" w:cs="Arial" w:eastAsia="Arial" w:hAnsi="Arial"/>
          <w:sz w:val="20"/>
          <w:szCs w:val="20"/>
          <w:color w:val="auto"/>
        </w:rPr>
        <w:t>31.4 Statement of SoCalGas' Chief Financial Officer pursuant to Rules 13a-14 and 15d-14 of the Securities Exchange Act of 1934. Exhibit 32 -- Section 906 Certifications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32.1 Statement of PE's Chief Executive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32.2 Statement of PE's Chief Financial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32.3 Statement of SoCalGas' Chief Executive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32.4 Statement of SoCalGas'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420"/>
          </w:cols>
          <w:pgMar w:left="240" w:top="609" w:right="1239" w:bottom="1440" w:gutter="0" w:footer="0" w:header="0"/>
        </w:sectPr>
      </w:pPr>
    </w:p>
    <w:bookmarkStart w:id="27" w:name="page28"/>
    <w:bookmarkEnd w:id="27"/>
    <w:p>
      <w:pPr>
        <w:jc w:val="center"/>
        <w:ind w:right="-560"/>
        <w:spacing w:after="0"/>
        <w:rPr>
          <w:sz w:val="20"/>
          <w:szCs w:val="20"/>
          <w:color w:val="auto"/>
        </w:rPr>
      </w:pPr>
      <w:r>
        <w:rPr>
          <w:rFonts w:ascii="Arial" w:cs="Arial" w:eastAsia="Arial" w:hAnsi="Arial"/>
          <w:sz w:val="20"/>
          <w:szCs w:val="20"/>
          <w:color w:val="auto"/>
        </w:rPr>
        <w:t>SIGNATURES</w:t>
      </w:r>
    </w:p>
    <w:p>
      <w:pPr>
        <w:spacing w:after="0" w:line="27" w:lineRule="exact"/>
        <w:rPr>
          <w:sz w:val="20"/>
          <w:szCs w:val="20"/>
          <w:color w:val="auto"/>
        </w:rPr>
      </w:pPr>
    </w:p>
    <w:p>
      <w:pPr>
        <w:ind w:left="1180" w:right="81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1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PACIFIC ENTERPRISES,</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November 1, 2007</w:t>
      </w:r>
      <w:r>
        <w:rPr>
          <w:sz w:val="20"/>
          <w:szCs w:val="20"/>
          <w:color w:val="auto"/>
        </w:rPr>
        <w:tab/>
      </w:r>
      <w:r>
        <w:rPr>
          <w:rFonts w:ascii="Arial" w:cs="Arial" w:eastAsia="Arial" w:hAnsi="Arial"/>
          <w:sz w:val="18"/>
          <w:szCs w:val="18"/>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Sr. Vice President and Chief Financial Officer</w:t>
      </w: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SOUTHERN CALIFORNIA GAS COMPANY,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November 1, 2007</w:t>
      </w:r>
      <w:r>
        <w:rPr>
          <w:sz w:val="20"/>
          <w:szCs w:val="20"/>
          <w:color w:val="auto"/>
        </w:rPr>
        <w:tab/>
      </w:r>
      <w:r>
        <w:rPr>
          <w:rFonts w:ascii="Arial" w:cs="Arial" w:eastAsia="Arial" w:hAnsi="Arial"/>
          <w:sz w:val="18"/>
          <w:szCs w:val="18"/>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219"/>
          </w:cols>
          <w:pgMar w:left="240" w:top="1136"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Interest portion of annual rentals</w:t>
      </w:r>
    </w:p>
    <w:p>
      <w:pPr>
        <w:spacing w:after="0" w:line="75"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color w:val="auto"/>
        </w:rPr>
        <w:t>Preferred dividends of subsidiary (1)</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Total fixed</w:t>
      </w:r>
    </w:p>
    <w:p>
      <w:pPr>
        <w:spacing w:after="0"/>
        <w:rPr>
          <w:sz w:val="20"/>
          <w:szCs w:val="20"/>
          <w:color w:val="auto"/>
        </w:rPr>
      </w:pPr>
      <w:r>
        <w:rPr>
          <w:rFonts w:ascii="Arial" w:cs="Arial" w:eastAsia="Arial" w:hAnsi="Arial"/>
          <w:sz w:val="18"/>
          <w:szCs w:val="18"/>
          <w:color w:val="auto"/>
        </w:rPr>
        <w:t>charges</w:t>
      </w:r>
    </w:p>
    <w:p>
      <w:pPr>
        <w:spacing w:after="0" w:line="9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Preferred stock dividends</w:t>
      </w:r>
    </w:p>
    <w:p>
      <w:pPr>
        <w:spacing w:after="0" w:line="11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9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Pretax income from continuing operations</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Total fixed charges (from above)</w:t>
      </w:r>
    </w:p>
    <w:p>
      <w:pPr>
        <w:spacing w:after="0" w:line="5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Less: interest capitalized</w:t>
      </w:r>
    </w:p>
    <w:p>
      <w:pPr>
        <w:spacing w:after="0" w:line="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Total earnings for purpose of ratio</w:t>
      </w:r>
    </w:p>
    <w:p>
      <w:pPr>
        <w:spacing w:after="0" w:line="11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8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Ratio of earnings to fixed charges</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PACIFIC ENTERPRISES</w:t>
      </w:r>
    </w:p>
    <w:p>
      <w:pPr>
        <w:spacing w:after="0" w:line="23"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99"/>
              </w:rPr>
              <w:t>Nine mon ths</w:t>
            </w:r>
          </w:p>
        </w:tc>
        <w:tc>
          <w:tcPr>
            <w:tcW w:w="2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left="170"/>
              <w:spacing w:after="0"/>
              <w:rPr>
                <w:sz w:val="20"/>
                <w:szCs w:val="20"/>
                <w:color w:val="auto"/>
              </w:rPr>
            </w:pPr>
            <w:r>
              <w:rPr>
                <w:rFonts w:ascii="Arial" w:cs="Arial" w:eastAsia="Arial" w:hAnsi="Arial"/>
                <w:sz w:val="18"/>
                <w:szCs w:val="18"/>
                <w:color w:val="auto"/>
                <w:w w:val="99"/>
              </w:rPr>
              <w:t>ended</w:t>
            </w:r>
          </w:p>
        </w:tc>
        <w:tc>
          <w:tcPr>
            <w:tcW w:w="280" w:type="dxa"/>
            <w:vAlign w:val="bottom"/>
          </w:tcPr>
          <w:p>
            <w:pPr>
              <w:spacing w:after="0"/>
              <w:rPr>
                <w:sz w:val="19"/>
                <w:szCs w:val="19"/>
                <w:color w:val="auto"/>
              </w:rPr>
            </w:pPr>
          </w:p>
        </w:tc>
      </w:tr>
      <w:tr>
        <w:trPr>
          <w:trHeight w:val="230"/>
        </w:trPr>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September 30, 2007</w:t>
            </w:r>
          </w:p>
        </w:tc>
      </w:tr>
      <w:tr>
        <w:trPr>
          <w:trHeight w:val="520"/>
        </w:trPr>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5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00"/>
        </w:trPr>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89"/>
        </w:trPr>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493"/>
        </w:trPr>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86"/>
        </w:trPr>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tabs>
          <w:tab w:leader="none" w:pos="1220" w:val="left"/>
          <w:tab w:leader="none" w:pos="1700" w:val="left"/>
          <w:tab w:leader="none" w:pos="2760" w:val="left"/>
          <w:tab w:leader="none" w:pos="3240" w:val="left"/>
          <w:tab w:leader="none" w:pos="4300" w:val="left"/>
          <w:tab w:leader="none" w:pos="4780" w:val="left"/>
          <w:tab w:leader="none" w:pos="5840" w:val="left"/>
          <w:tab w:leader="none" w:pos="6320" w:val="left"/>
          <w:tab w:leader="none" w:pos="7380" w:val="left"/>
          <w:tab w:leader="none" w:pos="7980" w:val="left"/>
          <w:tab w:leader="none" w:pos="9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003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3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383</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500"/>
        </w:trPr>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86"/>
        </w:trPr>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39"/>
        </w:trPr>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1"/>
        </w:trPr>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tcPr>
          <w:p>
            <w:pPr>
              <w:jc w:val="right"/>
              <w:spacing w:after="0"/>
              <w:rPr>
                <w:sz w:val="20"/>
                <w:szCs w:val="20"/>
                <w:color w:val="auto"/>
              </w:rPr>
            </w:pPr>
            <w:r>
              <w:rPr>
                <w:rFonts w:ascii="Arial" w:cs="Arial" w:eastAsia="Arial" w:hAnsi="Arial"/>
                <w:sz w:val="18"/>
                <w:szCs w:val="18"/>
                <w:color w:val="auto"/>
              </w:rPr>
              <w:t>6.08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r>
        <w:trPr>
          <w:trHeight w:val="21"/>
        </w:trPr>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r>
      <w:tr>
        <w:trPr>
          <w:trHeight w:val="21"/>
        </w:trPr>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1500" w:space="160"/>
            <w:col w:w="9460"/>
          </w:cols>
          <w:pgMar w:left="260" w:top="886" w:right="519" w:bottom="1440" w:gutter="0" w:footer="0" w:header="0"/>
        </w:sectPr>
      </w:pPr>
    </w:p>
    <w:p>
      <w:pPr>
        <w:ind w:right="740" w:firstLine="2"/>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120"/>
          </w:cols>
          <w:pgMar w:left="260" w:top="886" w:right="51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SOUTHERN CALIFORNIA GAS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PREFERRED STOCK DIVIDENDS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color w:val="auto"/>
                <w:w w:val="98"/>
              </w:rPr>
              <w:t>Nine months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center"/>
              <w:ind w:right="250"/>
              <w:spacing w:after="0"/>
              <w:rPr>
                <w:sz w:val="20"/>
                <w:szCs w:val="20"/>
                <w:color w:val="auto"/>
              </w:rPr>
            </w:pPr>
            <w:r>
              <w:rPr>
                <w:rFonts w:ascii="Arial" w:cs="Arial" w:eastAsia="Arial" w:hAnsi="Arial"/>
                <w:sz w:val="18"/>
                <w:szCs w:val="18"/>
                <w:color w:val="auto"/>
                <w:w w:val="99"/>
              </w:rPr>
              <w:t>ended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2002</w:t>
            </w:r>
          </w:p>
        </w:tc>
        <w:tc>
          <w:tcPr>
            <w:tcW w:w="4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rPr>
              <w:t>September 30, 2007</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Fixed Charges:</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Interest portion of annual</w:t>
            </w: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300" w:type="dxa"/>
            <w:vAlign w:val="bottom"/>
          </w:tcPr>
          <w:p>
            <w:pPr>
              <w:spacing w:after="0" w:line="203" w:lineRule="exact"/>
              <w:rPr>
                <w:sz w:val="20"/>
                <w:szCs w:val="20"/>
                <w:color w:val="auto"/>
              </w:rPr>
            </w:pPr>
            <w:r>
              <w:rPr>
                <w:rFonts w:ascii="Arial" w:cs="Arial" w:eastAsia="Arial" w:hAnsi="Arial"/>
                <w:sz w:val="18"/>
                <w:szCs w:val="18"/>
                <w:color w:val="auto"/>
              </w:rPr>
              <w:t>rentals</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300" w:type="dxa"/>
            <w:vAlign w:val="bottom"/>
          </w:tcPr>
          <w:p>
            <w:pPr>
              <w:spacing w:after="0"/>
              <w:rPr>
                <w:sz w:val="20"/>
                <w:szCs w:val="20"/>
                <w:color w:val="auto"/>
              </w:rPr>
            </w:pPr>
            <w:r>
              <w:rPr>
                <w:rFonts w:ascii="Arial" w:cs="Arial" w:eastAsia="Arial" w:hAnsi="Arial"/>
                <w:sz w:val="18"/>
                <w:szCs w:val="18"/>
                <w:color w:val="auto"/>
              </w:rPr>
              <w:t>Total fixed charges</w:t>
            </w: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300" w:type="dxa"/>
            <w:vAlign w:val="bottom"/>
          </w:tcPr>
          <w:p>
            <w:pPr>
              <w:spacing w:after="0" w:line="203" w:lineRule="exact"/>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300" w:type="dxa"/>
            <w:vAlign w:val="bottom"/>
          </w:tcPr>
          <w:p>
            <w:pPr>
              <w:spacing w:after="0"/>
              <w:rPr>
                <w:sz w:val="20"/>
                <w:szCs w:val="20"/>
                <w:color w:val="auto"/>
              </w:rPr>
            </w:pPr>
            <w:r>
              <w:rPr>
                <w:rFonts w:ascii="Arial" w:cs="Arial" w:eastAsia="Arial" w:hAnsi="Arial"/>
                <w:sz w:val="18"/>
                <w:szCs w:val="18"/>
                <w:color w:val="auto"/>
              </w:rPr>
              <w:t>Combined fixed charges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and preferred stock</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dividends for purpose of</w:t>
            </w:r>
          </w:p>
        </w:tc>
        <w:tc>
          <w:tcPr>
            <w:tcW w:w="88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3"/>
        </w:trPr>
        <w:tc>
          <w:tcPr>
            <w:tcW w:w="2300" w:type="dxa"/>
            <w:vAlign w:val="bottom"/>
          </w:tcPr>
          <w:p>
            <w:pPr>
              <w:spacing w:after="0" w:line="143" w:lineRule="exact"/>
              <w:rPr>
                <w:sz w:val="20"/>
                <w:szCs w:val="20"/>
                <w:color w:val="auto"/>
              </w:rPr>
            </w:pPr>
            <w:r>
              <w:rPr>
                <w:rFonts w:ascii="Arial" w:cs="Arial" w:eastAsia="Arial" w:hAnsi="Arial"/>
                <w:sz w:val="16"/>
                <w:szCs w:val="16"/>
                <w:color w:val="auto"/>
              </w:rPr>
              <w:t>ratio</w:t>
            </w: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Pretax income from</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auto"/>
              </w:rPr>
              <w:t>continuing operations</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Add: total fixed charges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auto"/>
              </w:rPr>
              <w:t>(from above)</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0"/>
                <w:szCs w:val="20"/>
                <w:color w:val="auto"/>
              </w:rPr>
            </w:pPr>
            <w:r>
              <w:rPr>
                <w:rFonts w:ascii="Arial" w:cs="Arial" w:eastAsia="Arial" w:hAnsi="Arial"/>
                <w:sz w:val="18"/>
                <w:szCs w:val="18"/>
                <w:color w:val="auto"/>
              </w:rPr>
              <w:t>Total earnings for purpose</w:t>
            </w:r>
          </w:p>
        </w:tc>
        <w:tc>
          <w:tcPr>
            <w:tcW w:w="88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440</w:t>
            </w: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472</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63"/>
        </w:trPr>
        <w:tc>
          <w:tcPr>
            <w:tcW w:w="2300" w:type="dxa"/>
            <w:vAlign w:val="bottom"/>
          </w:tcPr>
          <w:p>
            <w:pPr>
              <w:spacing w:after="0" w:line="143" w:lineRule="exact"/>
              <w:rPr>
                <w:sz w:val="20"/>
                <w:szCs w:val="20"/>
                <w:color w:val="auto"/>
              </w:rPr>
            </w:pPr>
            <w:r>
              <w:rPr>
                <w:rFonts w:ascii="Arial" w:cs="Arial" w:eastAsia="Arial" w:hAnsi="Arial"/>
                <w:sz w:val="16"/>
                <w:szCs w:val="16"/>
                <w:color w:val="auto"/>
              </w:rPr>
              <w:t>of ratio</w:t>
            </w:r>
          </w:p>
        </w:tc>
        <w:tc>
          <w:tcPr>
            <w:tcW w:w="8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combined fixed charges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and preferred stock</w:t>
            </w:r>
          </w:p>
        </w:tc>
        <w:tc>
          <w:tcPr>
            <w:tcW w:w="88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163"/>
        </w:trPr>
        <w:tc>
          <w:tcPr>
            <w:tcW w:w="2300" w:type="dxa"/>
            <w:vAlign w:val="bottom"/>
          </w:tcPr>
          <w:p>
            <w:pPr>
              <w:spacing w:after="0" w:line="143" w:lineRule="exact"/>
              <w:rPr>
                <w:sz w:val="20"/>
                <w:szCs w:val="20"/>
                <w:color w:val="auto"/>
              </w:rPr>
            </w:pPr>
            <w:r>
              <w:rPr>
                <w:rFonts w:ascii="Arial" w:cs="Arial" w:eastAsia="Arial" w:hAnsi="Arial"/>
                <w:sz w:val="16"/>
                <w:szCs w:val="16"/>
                <w:color w:val="auto"/>
              </w:rPr>
              <w:t>dividends</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63"/>
        </w:trPr>
        <w:tc>
          <w:tcPr>
            <w:tcW w:w="2300" w:type="dxa"/>
            <w:vAlign w:val="bottom"/>
          </w:tcPr>
          <w:p>
            <w:pPr>
              <w:spacing w:after="0" w:line="143" w:lineRule="exact"/>
              <w:rPr>
                <w:sz w:val="20"/>
                <w:szCs w:val="20"/>
                <w:color w:val="auto"/>
              </w:rPr>
            </w:pPr>
            <w:r>
              <w:rPr>
                <w:rFonts w:ascii="Arial" w:cs="Arial" w:eastAsia="Arial" w:hAnsi="Arial"/>
                <w:sz w:val="16"/>
                <w:szCs w:val="16"/>
                <w:color w:val="auto"/>
              </w:rPr>
              <w:t>charges</w:t>
            </w: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20" w:firstLine="2"/>
        <w:spacing w:after="0" w:line="24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000"/>
          </w:cols>
          <w:pgMar w:left="260" w:top="639" w:right="639" w:bottom="1440" w:gutter="0" w:footer="0" w:header="0"/>
        </w:sectPr>
      </w:pPr>
    </w:p>
    <w:bookmarkStart w:id="30" w:name="page31"/>
    <w:bookmarkEnd w:id="30"/>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38100</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1" w:name="page32"/>
    <w:bookmarkEnd w:id="31"/>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2" w:name="page33"/>
    <w:bookmarkEnd w:id="32"/>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3" w:name="page34"/>
    <w:bookmarkEnd w:id="33"/>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Pacific Enterprises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38100</wp:posOffset>
            </wp:positionV>
            <wp:extent cx="19894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Pacific Enterprises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ind w:left="1300" w:right="60" w:hanging="644"/>
        <w:spacing w:after="0" w:line="258"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November 1,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80"/>
    </w:lvl>
  </w:abstractNum>
  <w:abstractNum w:abstractNumId="3">
    <w:nsid w:val="5BD062C2"/>
    <w:multiLevelType w:val="hybridMultilevel"/>
    <w:lvl w:ilvl="0">
      <w:lvlJc w:val="left"/>
      <w:lvlText w:val="%1"/>
      <w:numFmt w:val="decimal"/>
      <w:start w:val="18"/>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2019-12-13T05:57:27Z</dcterms:created>
  <dcterms:modified xsi:type="dcterms:W3CDTF">2019-12-13T05:57:27Z</dcterms:modified>
</cp:coreProperties>
</file>