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0628d8k.htm"/>
      <w:bookmarkStart w:id="1" w:name="ksd14062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August 17, 2026</w:t>
      </w:r>
    </w:p>
    <w:p>
      <w:pPr>
        <w:pStyle w:val="TextBody"/>
        <w:bidi w:val="0"/>
        <w:spacing w:before="0" w:after="0"/>
        <w:jc w:val="center"/>
        <w:rPr>
          <w:rFonts w:ascii="Times New Roman" w:hAnsi="Times New Roman"/>
          <w:b/>
          <w:sz w:val="20"/>
        </w:rPr>
      </w:pPr>
      <w:r>
        <w:rPr>
          <w:rFonts w:ascii="Times New Roman" w:hAnsi="Times New Roman"/>
          <w:b/>
          <w:sz w:val="20"/>
        </w:rPr>
        <w:t xml:space="preserve">Date of Report (Date of earliest event </w:t>
      </w:r>
    </w:p>
    <w:p>
      <w:pPr>
        <w:pStyle w:val="TextBody"/>
        <w:bidi w:val="0"/>
        <w:spacing w:before="0" w:after="0"/>
        <w:jc w:val="center"/>
        <w:rPr>
          <w:rFonts w:ascii="Times New Roman" w:hAnsi="Times New Roman"/>
          <w:b/>
          <w:sz w:val="20"/>
        </w:rPr>
      </w:pPr>
      <w:r>
        <w:rPr>
          <w:rFonts w:ascii="Times New Roman" w:hAnsi="Times New Roman"/>
          <w:b/>
          <w:sz w:val="20"/>
        </w:rPr>
        <w:t>reported</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60"/>
        <w:gridCol w:w="2700"/>
        <w:gridCol w:w="60"/>
        <w:gridCol w:w="1702"/>
        <w:gridCol w:w="60"/>
        <w:gridCol w:w="1189"/>
        <w:gridCol w:w="60"/>
        <w:gridCol w:w="1032"/>
        <w:gridCol w:w="60"/>
        <w:gridCol w:w="2392"/>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Commission</w:t>
            </w:r>
          </w:p>
          <w:p>
            <w:pPr>
              <w:pStyle w:val="TableContents"/>
              <w:bidi w:val="0"/>
              <w:spacing w:before="0" w:after="20"/>
              <w:jc w:val="center"/>
              <w:rPr>
                <w:rFonts w:ascii="Times New Roman" w:hAnsi="Times New Roman"/>
                <w:sz w:val="16"/>
              </w:rPr>
            </w:pPr>
            <w:r>
              <w:rPr>
                <w:rFonts w:ascii="Times New Roman" w:hAnsi="Times New Roman"/>
                <w:sz w:val="16"/>
              </w:rPr>
              <w:t>File No.</w:t>
            </w:r>
          </w:p>
        </w:tc>
        <w:tc>
          <w:tcPr>
            <w:tcW w:w="60" w:type="dxa"/>
            <w:tcBorders/>
            <w:vAlign w:val="center"/>
          </w:tcPr>
          <w:p>
            <w:pPr>
              <w:pStyle w:val="TableContents"/>
              <w:bidi w:val="0"/>
              <w:spacing w:before="0" w:after="283"/>
              <w:jc w:val="left"/>
              <w:rPr/>
            </w:pPr>
            <w:r>
              <w:rPr/>
              <w:t> </w:t>
            </w:r>
          </w:p>
        </w:tc>
        <w:tc>
          <w:tcPr>
            <w:tcW w:w="4462"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Exact Name of Registrants as Specified in their</w:t>
              <w:br/>
              <w:t>Charters, Address and Telephone Number</w:t>
            </w:r>
          </w:p>
        </w:tc>
        <w:tc>
          <w:tcPr>
            <w:tcW w:w="60" w:type="dxa"/>
            <w:tcBorders/>
            <w:vAlign w:val="center"/>
          </w:tcPr>
          <w:p>
            <w:pPr>
              <w:pStyle w:val="TableContents"/>
              <w:bidi w:val="0"/>
              <w:spacing w:before="0" w:after="283"/>
              <w:jc w:val="left"/>
              <w:rPr/>
            </w:pPr>
            <w:r>
              <w:rPr/>
              <w:t> </w:t>
            </w:r>
          </w:p>
        </w:tc>
        <w:tc>
          <w:tcPr>
            <w:tcW w:w="118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State of Incorporation</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I.R.S. Employer</w:t>
              <w:br/>
              <w:t>Identification</w:t>
            </w:r>
          </w:p>
          <w:p>
            <w:pPr>
              <w:pStyle w:val="TableContents"/>
              <w:bidi w:val="0"/>
              <w:spacing w:before="0" w:after="20"/>
              <w:jc w:val="center"/>
              <w:rPr>
                <w:rFonts w:ascii="Times New Roman" w:hAnsi="Times New Roman"/>
                <w:sz w:val="16"/>
              </w:rPr>
            </w:pPr>
            <w:r>
              <w:rPr>
                <w:rFonts w:ascii="Times New Roman" w:hAnsi="Times New Roman"/>
                <w:sz w:val="16"/>
              </w:rPr>
              <w:t>Nos.</w:t>
            </w:r>
          </w:p>
        </w:tc>
        <w:tc>
          <w:tcPr>
            <w:tcW w:w="60" w:type="dxa"/>
            <w:tcBorders/>
            <w:vAlign w:val="center"/>
          </w:tcPr>
          <w:p>
            <w:pPr>
              <w:pStyle w:val="TableContents"/>
              <w:bidi w:val="0"/>
              <w:spacing w:before="0" w:after="283"/>
              <w:jc w:val="left"/>
              <w:rPr/>
            </w:pPr>
            <w:r>
              <w:rPr/>
              <w:t> </w:t>
            </w:r>
          </w:p>
        </w:tc>
        <w:tc>
          <w:tcPr>
            <w:tcW w:w="239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Former name, former address and</w:t>
              <w:br/>
              <w:t>former fiscal year, if</w:t>
              <w:br/>
              <w:t>changed since last report</w:t>
            </w:r>
          </w:p>
        </w:tc>
      </w:tr>
      <w:tr>
        <w:trPr/>
        <w:tc>
          <w:tcPr>
            <w:tcW w:w="890" w:type="dxa"/>
            <w:tcBorders/>
            <w:vAlign w:val="center"/>
          </w:tcPr>
          <w:p>
            <w:pPr>
              <w:pStyle w:val="TableContents"/>
              <w:bidi w:val="0"/>
              <w:spacing w:before="0" w:after="0"/>
              <w:jc w:val="left"/>
              <w:rPr>
                <w:spacing w:val="0"/>
              </w:rPr>
            </w:pPr>
            <w:r>
              <w:rPr>
                <w:spacing w:val="0"/>
              </w:rPr>
              <w:t>1-14201</w:t>
            </w:r>
          </w:p>
        </w:tc>
        <w:tc>
          <w:tcPr>
            <w:tcW w:w="60" w:type="dxa"/>
            <w:tcBorders/>
            <w:vAlign w:val="center"/>
          </w:tcPr>
          <w:p>
            <w:pPr>
              <w:pStyle w:val="TableContents"/>
              <w:bidi w:val="0"/>
              <w:spacing w:before="0" w:after="283"/>
              <w:jc w:val="left"/>
              <w:rPr/>
            </w:pPr>
            <w:r>
              <w:rPr/>
              <w:t> </w:t>
            </w:r>
          </w:p>
        </w:tc>
        <w:tc>
          <w:tcPr>
            <w:tcW w:w="2700" w:type="dxa"/>
            <w:tcBorders/>
            <w:vAlign w:val="center"/>
          </w:tcPr>
          <w:p>
            <w:pPr>
              <w:pStyle w:val="TableContents"/>
              <w:bidi w:val="0"/>
              <w:spacing w:before="0" w:after="283"/>
              <w:jc w:val="left"/>
              <w:rPr/>
            </w:pPr>
            <w:r>
              <w:rPr/>
              <w:t>SEMPRA</w:t>
            </w:r>
          </w:p>
        </w:tc>
        <w:tc>
          <w:tcPr>
            <w:tcW w:w="60" w:type="dxa"/>
            <w:tcBorders/>
            <w:vAlign w:val="center"/>
          </w:tcPr>
          <w:p>
            <w:pPr>
              <w:pStyle w:val="TableContents"/>
              <w:bidi w:val="0"/>
              <w:spacing w:before="0" w:after="283"/>
              <w:jc w:val="left"/>
              <w:rPr/>
            </w:pPr>
            <w:r>
              <w:rPr/>
              <w:t> </w:t>
            </w:r>
          </w:p>
        </w:tc>
        <w:tc>
          <w:tcPr>
            <w:tcW w:w="1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0"/>
              <w:jc w:val="center"/>
              <w:rPr/>
            </w:pPr>
            <w:r>
              <w:rPr/>
              <w:t>California</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0"/>
              <w:jc w:val="center"/>
              <w:rPr>
                <w:spacing w:val="0"/>
              </w:rPr>
            </w:pPr>
            <w:r>
              <w:rPr>
                <w:spacing w:val="0"/>
              </w:rPr>
              <w:t>33-0732627</w:t>
            </w:r>
          </w:p>
        </w:tc>
        <w:tc>
          <w:tcPr>
            <w:tcW w:w="60" w:type="dxa"/>
            <w:tcBorders/>
            <w:vAlign w:val="center"/>
          </w:tcPr>
          <w:p>
            <w:pPr>
              <w:pStyle w:val="TableContents"/>
              <w:bidi w:val="0"/>
              <w:spacing w:before="0" w:after="283"/>
              <w:jc w:val="left"/>
              <w:rPr/>
            </w:pPr>
            <w:r>
              <w:rPr/>
              <w:t> </w:t>
            </w:r>
          </w:p>
        </w:tc>
        <w:tc>
          <w:tcPr>
            <w:tcW w:w="2392" w:type="dxa"/>
            <w:tcBorders/>
            <w:vAlign w:val="center"/>
          </w:tcPr>
          <w:p>
            <w:pPr>
              <w:pStyle w:val="TableContents"/>
              <w:bidi w:val="0"/>
              <w:spacing w:before="0" w:after="283"/>
              <w:jc w:val="center"/>
              <w:rPr/>
            </w:pPr>
            <w:r>
              <w:rPr/>
              <w:t>No change</w:t>
            </w:r>
          </w:p>
        </w:tc>
      </w:tr>
      <w:tr>
        <w:trPr/>
        <w:tc>
          <w:tcPr>
            <w:tcW w:w="890" w:type="dxa"/>
            <w:tcBorders/>
            <w:vAlign w:val="center"/>
          </w:tcPr>
          <w:p>
            <w:pPr>
              <w:pStyle w:val="TableContents"/>
              <w:bidi w:val="0"/>
              <w:spacing w:before="0" w:after="283"/>
              <w:jc w:val="left"/>
              <w:rPr>
                <w:sz w:val="4"/>
                <w:szCs w:val="4"/>
              </w:rPr>
            </w:pPr>
            <w:r>
              <w:rPr>
                <w:sz w:val="4"/>
                <w:szCs w:val="4"/>
              </w:rPr>
            </w:r>
          </w:p>
        </w:tc>
        <w:tc>
          <w:tcPr>
            <w:tcW w:w="2760" w:type="dxa"/>
            <w:gridSpan w:val="2"/>
            <w:tcBorders/>
            <w:vAlign w:val="center"/>
          </w:tcPr>
          <w:p>
            <w:pPr>
              <w:pStyle w:val="TableContents"/>
              <w:bidi w:val="0"/>
              <w:spacing w:before="0" w:after="283"/>
              <w:jc w:val="left"/>
              <w:rPr>
                <w:sz w:val="4"/>
                <w:szCs w:val="4"/>
              </w:rPr>
            </w:pPr>
            <w:r>
              <w:rPr>
                <w:sz w:val="4"/>
                <w:szCs w:val="4"/>
              </w:rPr>
            </w:r>
          </w:p>
        </w:tc>
        <w:tc>
          <w:tcPr>
            <w:tcW w:w="1762" w:type="dxa"/>
            <w:gridSpan w:val="2"/>
            <w:tcBorders/>
            <w:vAlign w:val="center"/>
          </w:tcPr>
          <w:p>
            <w:pPr>
              <w:pStyle w:val="TableContents"/>
              <w:bidi w:val="0"/>
              <w:spacing w:before="0" w:after="283"/>
              <w:jc w:val="left"/>
              <w:rPr>
                <w:sz w:val="4"/>
                <w:szCs w:val="4"/>
              </w:rPr>
            </w:pPr>
            <w:r>
              <w:rPr>
                <w:sz w:val="4"/>
                <w:szCs w:val="4"/>
              </w:rPr>
            </w:r>
          </w:p>
        </w:tc>
        <w:tc>
          <w:tcPr>
            <w:tcW w:w="1249" w:type="dxa"/>
            <w:gridSpan w:val="2"/>
            <w:tcBorders/>
            <w:vAlign w:val="center"/>
          </w:tcPr>
          <w:p>
            <w:pPr>
              <w:pStyle w:val="TableContents"/>
              <w:bidi w:val="0"/>
              <w:spacing w:before="0" w:after="283"/>
              <w:jc w:val="left"/>
              <w:rPr>
                <w:sz w:val="4"/>
                <w:szCs w:val="4"/>
              </w:rPr>
            </w:pPr>
            <w:r>
              <w:rPr>
                <w:sz w:val="4"/>
                <w:szCs w:val="4"/>
              </w:rPr>
            </w:r>
          </w:p>
        </w:tc>
        <w:tc>
          <w:tcPr>
            <w:tcW w:w="1092" w:type="dxa"/>
            <w:gridSpan w:val="2"/>
            <w:tcBorders/>
            <w:vAlign w:val="center"/>
          </w:tcPr>
          <w:p>
            <w:pPr>
              <w:pStyle w:val="TableContents"/>
              <w:bidi w:val="0"/>
              <w:spacing w:before="0" w:after="283"/>
              <w:jc w:val="left"/>
              <w:rPr>
                <w:sz w:val="4"/>
                <w:szCs w:val="4"/>
              </w:rPr>
            </w:pPr>
            <w:r>
              <w:rPr>
                <w:sz w:val="4"/>
                <w:szCs w:val="4"/>
              </w:rPr>
            </w:r>
          </w:p>
        </w:tc>
        <w:tc>
          <w:tcPr>
            <w:tcW w:w="245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488 8th Avenue</w:t>
            </w:r>
          </w:p>
          <w:p>
            <w:pPr>
              <w:pStyle w:val="TableContents"/>
              <w:bidi w:val="0"/>
              <w:spacing w:before="0" w:after="0"/>
              <w:jc w:val="left"/>
              <w:rPr>
                <w:rFonts w:ascii="Times New Roman" w:hAnsi="Times New Roman"/>
                <w:sz w:val="20"/>
              </w:rPr>
            </w:pPr>
            <w:r>
              <w:rPr>
                <w:rFonts w:ascii="Times New Roman" w:hAnsi="Times New Roman"/>
                <w:sz w:val="20"/>
              </w:rPr>
              <w:t>San Diego,</w:t>
            </w:r>
          </w:p>
          <w:p>
            <w:pPr>
              <w:pStyle w:val="TableContents"/>
              <w:bidi w:val="0"/>
              <w:spacing w:before="0" w:after="0"/>
              <w:jc w:val="left"/>
              <w:rPr>
                <w:rFonts w:ascii="Times New Roman" w:hAnsi="Times New Roman"/>
                <w:sz w:val="20"/>
              </w:rPr>
            </w:pPr>
            <w:r>
              <w:rPr>
                <w:rFonts w:ascii="Times New Roman" w:hAnsi="Times New Roman"/>
                <w:sz w:val="20"/>
              </w:rPr>
              <w:t>California 92101</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(619)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696-2000</w:t>
            </w:r>
          </w:p>
        </w:tc>
        <w:tc>
          <w:tcPr>
            <w:tcW w:w="60" w:type="dxa"/>
            <w:tcBorders/>
            <w:vAlign w:val="center"/>
          </w:tcPr>
          <w:p>
            <w:pPr>
              <w:pStyle w:val="TableContents"/>
              <w:bidi w:val="0"/>
              <w:spacing w:before="0" w:after="283"/>
              <w:jc w:val="left"/>
              <w:rPr/>
            </w:pPr>
            <w:r>
              <w:rPr/>
              <w:t> </w:t>
            </w:r>
          </w:p>
        </w:tc>
        <w:tc>
          <w:tcPr>
            <w:tcW w:w="1702" w:type="dxa"/>
            <w:tcBorders/>
            <w:vAlign w:val="center"/>
          </w:tcPr>
          <w:p>
            <w:pPr>
              <w:pStyle w:val="TableContents"/>
              <w:bidi w:val="0"/>
              <w:spacing w:before="0" w:after="283"/>
              <w:jc w:val="left"/>
              <w:rPr/>
            </w:pPr>
            <w:r>
              <w:rPr/>
              <w:drawing>
                <wp:inline distT="0" distB="0" distL="0" distR="0">
                  <wp:extent cx="10668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2667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2"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2760" w:type="dxa"/>
            <w:gridSpan w:val="2"/>
            <w:tcBorders/>
            <w:vAlign w:val="center"/>
          </w:tcPr>
          <w:p>
            <w:pPr>
              <w:pStyle w:val="TableContents"/>
              <w:bidi w:val="0"/>
              <w:spacing w:before="0" w:after="283"/>
              <w:jc w:val="left"/>
              <w:rPr>
                <w:sz w:val="4"/>
                <w:szCs w:val="4"/>
              </w:rPr>
            </w:pPr>
            <w:r>
              <w:rPr>
                <w:sz w:val="4"/>
                <w:szCs w:val="4"/>
              </w:rPr>
            </w:r>
          </w:p>
        </w:tc>
        <w:tc>
          <w:tcPr>
            <w:tcW w:w="1762" w:type="dxa"/>
            <w:gridSpan w:val="2"/>
            <w:tcBorders/>
            <w:vAlign w:val="center"/>
          </w:tcPr>
          <w:p>
            <w:pPr>
              <w:pStyle w:val="TableContents"/>
              <w:bidi w:val="0"/>
              <w:spacing w:before="0" w:after="283"/>
              <w:jc w:val="left"/>
              <w:rPr>
                <w:sz w:val="4"/>
                <w:szCs w:val="4"/>
              </w:rPr>
            </w:pPr>
            <w:r>
              <w:rPr>
                <w:sz w:val="4"/>
                <w:szCs w:val="4"/>
              </w:rPr>
            </w:r>
          </w:p>
        </w:tc>
        <w:tc>
          <w:tcPr>
            <w:tcW w:w="1249" w:type="dxa"/>
            <w:gridSpan w:val="2"/>
            <w:tcBorders/>
            <w:vAlign w:val="center"/>
          </w:tcPr>
          <w:p>
            <w:pPr>
              <w:pStyle w:val="TableContents"/>
              <w:bidi w:val="0"/>
              <w:spacing w:before="0" w:after="283"/>
              <w:jc w:val="left"/>
              <w:rPr>
                <w:sz w:val="4"/>
                <w:szCs w:val="4"/>
              </w:rPr>
            </w:pPr>
            <w:r>
              <w:rPr>
                <w:sz w:val="4"/>
                <w:szCs w:val="4"/>
              </w:rPr>
            </w:r>
          </w:p>
        </w:tc>
        <w:tc>
          <w:tcPr>
            <w:tcW w:w="1092" w:type="dxa"/>
            <w:gridSpan w:val="2"/>
            <w:tcBorders/>
            <w:vAlign w:val="center"/>
          </w:tcPr>
          <w:p>
            <w:pPr>
              <w:pStyle w:val="TableContents"/>
              <w:bidi w:val="0"/>
              <w:spacing w:before="0" w:after="283"/>
              <w:jc w:val="left"/>
              <w:rPr>
                <w:sz w:val="4"/>
                <w:szCs w:val="4"/>
              </w:rPr>
            </w:pPr>
            <w:r>
              <w:rPr>
                <w:sz w:val="4"/>
                <w:szCs w:val="4"/>
              </w:rPr>
            </w:r>
          </w:p>
        </w:tc>
        <w:tc>
          <w:tcPr>
            <w:tcW w:w="245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spacing w:val="0"/>
              </w:rPr>
            </w:pPr>
            <w:r>
              <w:rPr>
                <w:spacing w:val="0"/>
              </w:rPr>
              <w:t>1-01402</w:t>
            </w:r>
          </w:p>
        </w:tc>
        <w:tc>
          <w:tcPr>
            <w:tcW w:w="60" w:type="dxa"/>
            <w:tcBorders/>
            <w:vAlign w:val="center"/>
          </w:tcPr>
          <w:p>
            <w:pPr>
              <w:pStyle w:val="TableContents"/>
              <w:bidi w:val="0"/>
              <w:spacing w:before="0" w:after="283"/>
              <w:jc w:val="left"/>
              <w:rPr/>
            </w:pPr>
            <w:r>
              <w:rPr/>
              <w:t> </w:t>
            </w:r>
          </w:p>
        </w:tc>
        <w:tc>
          <w:tcPr>
            <w:tcW w:w="2700" w:type="dxa"/>
            <w:tcBorders/>
            <w:vAlign w:val="center"/>
          </w:tcPr>
          <w:p>
            <w:pPr>
              <w:pStyle w:val="TableContents"/>
              <w:bidi w:val="0"/>
              <w:spacing w:before="0" w:after="283"/>
              <w:jc w:val="left"/>
              <w:rPr/>
            </w:pPr>
            <w:r>
              <w:rPr/>
              <w:t>SOUTHERN CALIFORNIA GAS COMPANY</w:t>
            </w:r>
          </w:p>
        </w:tc>
        <w:tc>
          <w:tcPr>
            <w:tcW w:w="60" w:type="dxa"/>
            <w:vMerge w:val="restart"/>
            <w:tcBorders/>
            <w:vAlign w:val="center"/>
          </w:tcPr>
          <w:p>
            <w:pPr>
              <w:pStyle w:val="TableContents"/>
              <w:bidi w:val="0"/>
              <w:spacing w:before="0" w:after="283"/>
              <w:jc w:val="left"/>
              <w:rPr/>
            </w:pPr>
            <w:r>
              <w:rPr/>
              <w:t> </w:t>
            </w:r>
          </w:p>
        </w:tc>
        <w:tc>
          <w:tcPr>
            <w:tcW w:w="1702" w:type="dxa"/>
            <w:vMerge w:val="restart"/>
            <w:tcBorders/>
            <w:vAlign w:val="center"/>
          </w:tcPr>
          <w:p>
            <w:pPr>
              <w:pStyle w:val="TableContents"/>
              <w:bidi w:val="0"/>
              <w:spacing w:before="0" w:after="20"/>
              <w:jc w:val="left"/>
              <w:rPr/>
            </w:pPr>
            <w:r>
              <w:rPr/>
              <w:drawing>
                <wp:inline distT="0" distB="0" distL="0" distR="0">
                  <wp:extent cx="9144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 cy="3810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0"/>
              <w:jc w:val="center"/>
              <w:rPr/>
            </w:pPr>
            <w:r>
              <w:rPr/>
              <w:t>California</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0"/>
              <w:jc w:val="center"/>
              <w:rPr>
                <w:spacing w:val="0"/>
              </w:rPr>
            </w:pPr>
            <w:r>
              <w:rPr>
                <w:spacing w:val="0"/>
              </w:rPr>
              <w:t>95-1240705</w:t>
            </w:r>
          </w:p>
        </w:tc>
        <w:tc>
          <w:tcPr>
            <w:tcW w:w="60" w:type="dxa"/>
            <w:tcBorders/>
            <w:vAlign w:val="center"/>
          </w:tcPr>
          <w:p>
            <w:pPr>
              <w:pStyle w:val="TableContents"/>
              <w:bidi w:val="0"/>
              <w:spacing w:before="0" w:after="283"/>
              <w:jc w:val="left"/>
              <w:rPr/>
            </w:pPr>
            <w:r>
              <w:rPr/>
              <w:t> </w:t>
            </w:r>
          </w:p>
        </w:tc>
        <w:tc>
          <w:tcPr>
            <w:tcW w:w="2392" w:type="dxa"/>
            <w:tcBorders/>
            <w:vAlign w:val="center"/>
          </w:tcPr>
          <w:p>
            <w:pPr>
              <w:pStyle w:val="TableContents"/>
              <w:bidi w:val="0"/>
              <w:spacing w:before="0" w:after="283"/>
              <w:jc w:val="center"/>
              <w:rPr/>
            </w:pPr>
            <w:r>
              <w:rPr/>
              <w:t>No change</w:t>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0" w:type="dxa"/>
            <w:tcBorders/>
            <w:vAlign w:val="center"/>
          </w:tcPr>
          <w:p>
            <w:pPr>
              <w:pStyle w:val="TableContents"/>
              <w:bidi w:val="0"/>
              <w:spacing w:before="0" w:after="283"/>
              <w:jc w:val="left"/>
              <w:rPr/>
            </w:pPr>
            <w:r>
              <w:rPr/>
              <w:t>555 West 5th Street</w:t>
            </w:r>
          </w:p>
        </w:tc>
        <w:tc>
          <w:tcPr>
            <w:tcW w:w="60" w:type="dxa"/>
            <w:vMerge w:val="continue"/>
            <w:tcBorders/>
            <w:vAlign w:val="center"/>
          </w:tcPr>
          <w:p>
            <w:pPr>
              <w:pStyle w:val="Normal"/>
              <w:bidi w:val="0"/>
              <w:jc w:val="left"/>
              <w:rPr/>
            </w:pPr>
            <w:r>
              <w:rPr/>
            </w:r>
          </w:p>
        </w:tc>
        <w:tc>
          <w:tcPr>
            <w:tcW w:w="170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2"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2760" w:type="dxa"/>
            <w:gridSpan w:val="2"/>
            <w:tcBorders/>
            <w:vAlign w:val="center"/>
          </w:tcPr>
          <w:p>
            <w:pPr>
              <w:pStyle w:val="TableContents"/>
              <w:bidi w:val="0"/>
              <w:spacing w:before="0" w:after="283"/>
              <w:jc w:val="left"/>
              <w:rPr>
                <w:sz w:val="4"/>
                <w:szCs w:val="4"/>
              </w:rPr>
            </w:pPr>
            <w:r>
              <w:rPr>
                <w:sz w:val="4"/>
                <w:szCs w:val="4"/>
              </w:rPr>
            </w:r>
          </w:p>
        </w:tc>
        <w:tc>
          <w:tcPr>
            <w:tcW w:w="1762" w:type="dxa"/>
            <w:gridSpan w:val="2"/>
            <w:tcBorders/>
            <w:vAlign w:val="center"/>
          </w:tcPr>
          <w:p>
            <w:pPr>
              <w:pStyle w:val="TableContents"/>
              <w:bidi w:val="0"/>
              <w:spacing w:before="0" w:after="283"/>
              <w:jc w:val="left"/>
              <w:rPr>
                <w:sz w:val="4"/>
                <w:szCs w:val="4"/>
              </w:rPr>
            </w:pPr>
            <w:r>
              <w:rPr>
                <w:sz w:val="4"/>
                <w:szCs w:val="4"/>
              </w:rPr>
            </w:r>
          </w:p>
        </w:tc>
        <w:tc>
          <w:tcPr>
            <w:tcW w:w="1249" w:type="dxa"/>
            <w:gridSpan w:val="2"/>
            <w:tcBorders/>
            <w:vAlign w:val="center"/>
          </w:tcPr>
          <w:p>
            <w:pPr>
              <w:pStyle w:val="TableContents"/>
              <w:bidi w:val="0"/>
              <w:spacing w:before="0" w:after="283"/>
              <w:jc w:val="left"/>
              <w:rPr>
                <w:sz w:val="4"/>
                <w:szCs w:val="4"/>
              </w:rPr>
            </w:pPr>
            <w:r>
              <w:rPr>
                <w:sz w:val="4"/>
                <w:szCs w:val="4"/>
              </w:rPr>
            </w:r>
          </w:p>
        </w:tc>
        <w:tc>
          <w:tcPr>
            <w:tcW w:w="1092" w:type="dxa"/>
            <w:gridSpan w:val="2"/>
            <w:tcBorders/>
            <w:vAlign w:val="center"/>
          </w:tcPr>
          <w:p>
            <w:pPr>
              <w:pStyle w:val="TableContents"/>
              <w:bidi w:val="0"/>
              <w:spacing w:before="0" w:after="283"/>
              <w:jc w:val="left"/>
              <w:rPr>
                <w:sz w:val="4"/>
                <w:szCs w:val="4"/>
              </w:rPr>
            </w:pPr>
            <w:r>
              <w:rPr>
                <w:sz w:val="4"/>
                <w:szCs w:val="4"/>
              </w:rPr>
            </w:r>
          </w:p>
        </w:tc>
        <w:tc>
          <w:tcPr>
            <w:tcW w:w="245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 Angeles,</w:t>
            </w:r>
          </w:p>
          <w:p>
            <w:pPr>
              <w:pStyle w:val="TableContents"/>
              <w:bidi w:val="0"/>
              <w:spacing w:before="0" w:after="20"/>
              <w:jc w:val="left"/>
              <w:rPr>
                <w:rFonts w:ascii="Times New Roman" w:hAnsi="Times New Roman"/>
                <w:sz w:val="20"/>
              </w:rPr>
            </w:pPr>
            <w:r>
              <w:rPr>
                <w:rFonts w:ascii="Times New Roman" w:hAnsi="Times New Roman"/>
                <w:sz w:val="20"/>
              </w:rPr>
              <w:t>California 90013</w:t>
            </w:r>
          </w:p>
        </w:tc>
        <w:tc>
          <w:tcPr>
            <w:tcW w:w="60" w:type="dxa"/>
            <w:tcBorders/>
            <w:vAlign w:val="center"/>
          </w:tcPr>
          <w:p>
            <w:pPr>
              <w:pStyle w:val="TableContents"/>
              <w:bidi w:val="0"/>
              <w:spacing w:before="0" w:after="283"/>
              <w:jc w:val="left"/>
              <w:rPr/>
            </w:pPr>
            <w:r>
              <w:rPr/>
              <w:t> </w:t>
            </w:r>
          </w:p>
        </w:tc>
        <w:tc>
          <w:tcPr>
            <w:tcW w:w="1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2"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2760" w:type="dxa"/>
            <w:gridSpan w:val="2"/>
            <w:tcBorders/>
            <w:vAlign w:val="center"/>
          </w:tcPr>
          <w:p>
            <w:pPr>
              <w:pStyle w:val="TableContents"/>
              <w:bidi w:val="0"/>
              <w:spacing w:before="0" w:after="283"/>
              <w:jc w:val="left"/>
              <w:rPr>
                <w:sz w:val="4"/>
                <w:szCs w:val="4"/>
              </w:rPr>
            </w:pPr>
            <w:r>
              <w:rPr>
                <w:sz w:val="4"/>
                <w:szCs w:val="4"/>
              </w:rPr>
            </w:r>
          </w:p>
        </w:tc>
        <w:tc>
          <w:tcPr>
            <w:tcW w:w="1762" w:type="dxa"/>
            <w:gridSpan w:val="2"/>
            <w:tcBorders/>
            <w:vAlign w:val="center"/>
          </w:tcPr>
          <w:p>
            <w:pPr>
              <w:pStyle w:val="TableContents"/>
              <w:bidi w:val="0"/>
              <w:spacing w:before="0" w:after="283"/>
              <w:jc w:val="left"/>
              <w:rPr>
                <w:sz w:val="4"/>
                <w:szCs w:val="4"/>
              </w:rPr>
            </w:pPr>
            <w:r>
              <w:rPr>
                <w:sz w:val="4"/>
                <w:szCs w:val="4"/>
              </w:rPr>
            </w:r>
          </w:p>
        </w:tc>
        <w:tc>
          <w:tcPr>
            <w:tcW w:w="1249" w:type="dxa"/>
            <w:gridSpan w:val="2"/>
            <w:tcBorders/>
            <w:vAlign w:val="center"/>
          </w:tcPr>
          <w:p>
            <w:pPr>
              <w:pStyle w:val="TableContents"/>
              <w:bidi w:val="0"/>
              <w:spacing w:before="0" w:after="283"/>
              <w:jc w:val="left"/>
              <w:rPr>
                <w:sz w:val="4"/>
                <w:szCs w:val="4"/>
              </w:rPr>
            </w:pPr>
            <w:r>
              <w:rPr>
                <w:sz w:val="4"/>
                <w:szCs w:val="4"/>
              </w:rPr>
            </w:r>
          </w:p>
        </w:tc>
        <w:tc>
          <w:tcPr>
            <w:tcW w:w="1092" w:type="dxa"/>
            <w:gridSpan w:val="2"/>
            <w:tcBorders/>
            <w:vAlign w:val="center"/>
          </w:tcPr>
          <w:p>
            <w:pPr>
              <w:pStyle w:val="TableContents"/>
              <w:bidi w:val="0"/>
              <w:spacing w:before="0" w:after="283"/>
              <w:jc w:val="left"/>
              <w:rPr>
                <w:sz w:val="4"/>
                <w:szCs w:val="4"/>
              </w:rPr>
            </w:pPr>
            <w:r>
              <w:rPr>
                <w:sz w:val="4"/>
                <w:szCs w:val="4"/>
              </w:rPr>
            </w:r>
          </w:p>
        </w:tc>
        <w:tc>
          <w:tcPr>
            <w:tcW w:w="245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00" w:type="dxa"/>
            <w:tcBorders/>
            <w:vAlign w:val="center"/>
          </w:tcPr>
          <w:p>
            <w:pPr>
              <w:pStyle w:val="TableContents"/>
              <w:bidi w:val="0"/>
              <w:spacing w:before="0" w:after="0"/>
              <w:jc w:val="left"/>
              <w:rPr/>
            </w:pPr>
            <w:r>
              <w:rPr/>
              <w:t xml:space="preserve">(213) </w:t>
            </w:r>
          </w:p>
          <w:p>
            <w:pPr>
              <w:pStyle w:val="TableContents"/>
              <w:bidi w:val="0"/>
              <w:spacing w:before="0" w:after="0"/>
              <w:jc w:val="left"/>
              <w:rPr>
                <w:spacing w:val="0"/>
              </w:rPr>
            </w:pPr>
            <w:r>
              <w:rPr>
                <w:spacing w:val="0"/>
              </w:rPr>
              <w:t>244-1200</w:t>
            </w:r>
          </w:p>
        </w:tc>
        <w:tc>
          <w:tcPr>
            <w:tcW w:w="60" w:type="dxa"/>
            <w:tcBorders/>
            <w:vAlign w:val="center"/>
          </w:tcPr>
          <w:p>
            <w:pPr>
              <w:pStyle w:val="TableContents"/>
              <w:bidi w:val="0"/>
              <w:spacing w:before="0" w:after="283"/>
              <w:jc w:val="left"/>
              <w:rPr/>
            </w:pPr>
            <w:r>
              <w:rPr/>
              <w:t> </w:t>
            </w:r>
          </w:p>
        </w:tc>
        <w:tc>
          <w:tcPr>
            <w:tcW w:w="1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registrants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9855" w:type="dxa"/>
        <w:jc w:val="left"/>
        <w:tblInd w:w="0" w:type="dxa"/>
        <w:tblLayout w:type="fixed"/>
        <w:tblCellMar>
          <w:top w:w="0" w:type="dxa"/>
          <w:left w:w="0" w:type="dxa"/>
          <w:bottom w:w="0" w:type="dxa"/>
          <w:right w:w="0" w:type="dxa"/>
        </w:tblCellMar>
      </w:tblPr>
      <w:tblGrid>
        <w:gridCol w:w="6425"/>
        <w:gridCol w:w="60"/>
        <w:gridCol w:w="650"/>
        <w:gridCol w:w="60"/>
        <w:gridCol w:w="2660"/>
      </w:tblGrid>
      <w:tr>
        <w:trPr/>
        <w:tc>
          <w:tcPr>
            <w:tcW w:w="6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64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w:t>
            </w:r>
          </w:p>
          <w:p>
            <w:pPr>
              <w:pStyle w:val="TableContents"/>
              <w:bidi w:val="0"/>
              <w:spacing w:before="0" w:after="20"/>
              <w:jc w:val="center"/>
              <w:rPr>
                <w:rFonts w:ascii="Times New Roman" w:hAnsi="Times New Roman"/>
                <w:b/>
                <w:sz w:val="16"/>
              </w:rPr>
            </w:pPr>
            <w:r>
              <w:rPr>
                <w:rFonts w:ascii="Times New Roman" w:hAnsi="Times New Roman"/>
                <w:b/>
                <w:sz w:val="16"/>
              </w:rPr>
              <w:t>Which Registered</w:t>
            </w:r>
          </w:p>
        </w:tc>
      </w:tr>
      <w:tr>
        <w:trPr/>
        <w:tc>
          <w:tcPr>
            <w:tcW w:w="642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rPr/>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SEMPRA:</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r>
      <w:tr>
        <w:trPr/>
        <w:tc>
          <w:tcPr>
            <w:tcW w:w="642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rPr/>
        <w:tc>
          <w:tcPr>
            <w:tcW w:w="6425" w:type="dxa"/>
            <w:tcBorders/>
            <w:vAlign w:val="center"/>
          </w:tcPr>
          <w:p>
            <w:pPr>
              <w:pStyle w:val="TableContents"/>
              <w:bidi w:val="0"/>
              <w:spacing w:before="0" w:after="283"/>
              <w:jc w:val="center"/>
              <w:rPr/>
            </w:pPr>
            <w:r>
              <w:rPr/>
              <w:t>Sempra Common Stock, without par value</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center"/>
              <w:rPr/>
            </w:pPr>
            <w:r>
              <w:rPr/>
              <w:t>SRE</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center"/>
              <w:rPr/>
            </w:pPr>
            <w:r>
              <w:rPr/>
              <w:t>New York Stock Exchange</w:t>
            </w:r>
          </w:p>
        </w:tc>
      </w:tr>
      <w:tr>
        <w:trPr/>
        <w:tc>
          <w:tcPr>
            <w:tcW w:w="6425" w:type="dxa"/>
            <w:tcBorders/>
            <w:vAlign w:val="center"/>
          </w:tcPr>
          <w:p>
            <w:pPr>
              <w:pStyle w:val="TableContents"/>
              <w:bidi w:val="0"/>
              <w:spacing w:before="0" w:after="283"/>
              <w:jc w:val="center"/>
              <w:rPr/>
            </w:pPr>
            <w:r>
              <w:rPr/>
              <w:t>Sempra 5.75% Junior Subordinated Notes Due 2079, $25 par value</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center"/>
              <w:rPr/>
            </w:pPr>
            <w:r>
              <w:rPr/>
              <w:t>SREA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center"/>
              <w:rPr/>
            </w:pPr>
            <w:r>
              <w:rPr/>
              <w:t>New York Stock Exchange</w:t>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SOUTHERN CALIFORNIA GAS COMPANY:</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r>
      <w:tr>
        <w:trPr/>
        <w:tc>
          <w:tcPr>
            <w:tcW w:w="6425"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(17 CFR 230.405)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(17 CFR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4925"/>
        <w:gridCol w:w="60"/>
        <w:gridCol w:w="1310"/>
      </w:tblGrid>
      <w:tr>
        <w:trPr/>
        <w:tc>
          <w:tcPr>
            <w:tcW w:w="4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Emerging growth</w:t>
            </w:r>
          </w:p>
          <w:p>
            <w:pPr>
              <w:pStyle w:val="TableContents"/>
              <w:bidi w:val="0"/>
              <w:spacing w:before="0" w:after="20"/>
              <w:jc w:val="center"/>
              <w:rPr>
                <w:rFonts w:ascii="Times New Roman" w:hAnsi="Times New Roman"/>
                <w:b/>
                <w:sz w:val="16"/>
                <w:bdr w:val="single" w:sz="8" w:space="1" w:color="000000"/>
              </w:rPr>
            </w:pPr>
            <w:r>
              <w:rPr>
                <w:rFonts w:ascii="Times New Roman" w:hAnsi="Times New Roman"/>
                <w:b/>
                <w:sz w:val="16"/>
                <w:bdr w:val="single" w:sz="8" w:space="1" w:color="000000"/>
              </w:rPr>
              <w:t>company</w:t>
            </w:r>
          </w:p>
        </w:tc>
      </w:tr>
      <w:tr>
        <w:trPr/>
        <w:tc>
          <w:tcPr>
            <w:tcW w:w="4925" w:type="dxa"/>
            <w:tcBorders/>
            <w:vAlign w:val="center"/>
          </w:tcPr>
          <w:p>
            <w:pPr>
              <w:pStyle w:val="TableContents"/>
              <w:bidi w:val="0"/>
              <w:spacing w:before="0" w:after="0"/>
              <w:jc w:val="center"/>
              <w:rPr>
                <w:b/>
                <w:spacing w:val="0"/>
              </w:rPr>
            </w:pPr>
            <w:r>
              <w:rPr>
                <w:b/>
                <w:spacing w:val="0"/>
              </w:rPr>
              <w:t>SEMPRA</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w:t>
            </w:r>
          </w:p>
        </w:tc>
      </w:tr>
      <w:tr>
        <w:trPr/>
        <w:tc>
          <w:tcPr>
            <w:tcW w:w="4925" w:type="dxa"/>
            <w:tcBorders/>
            <w:vAlign w:val="center"/>
          </w:tcPr>
          <w:p>
            <w:pPr>
              <w:pStyle w:val="TableContents"/>
              <w:bidi w:val="0"/>
              <w:spacing w:before="0" w:after="0"/>
              <w:jc w:val="center"/>
              <w:rPr>
                <w:b/>
                <w:spacing w:val="0"/>
              </w:rPr>
            </w:pPr>
            <w:r>
              <w:rPr>
                <w:b/>
                <w:spacing w:val="0"/>
              </w:rPr>
              <w:t>SOUTHERN CALIFORNIA GAS COMPANY</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4925"/>
        <w:gridCol w:w="60"/>
        <w:gridCol w:w="245"/>
      </w:tblGrid>
      <w:tr>
        <w:trPr/>
        <w:tc>
          <w:tcPr>
            <w:tcW w:w="4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center"/>
          </w:tcPr>
          <w:p>
            <w:pPr>
              <w:pStyle w:val="TableContents"/>
              <w:bidi w:val="0"/>
              <w:spacing w:before="0" w:after="0"/>
              <w:jc w:val="center"/>
              <w:rPr>
                <w:b/>
                <w:spacing w:val="0"/>
              </w:rPr>
            </w:pPr>
            <w:r>
              <w:rPr>
                <w:b/>
                <w:spacing w:val="0"/>
              </w:rPr>
              <w:t>SEMPRA</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w:t>
            </w:r>
          </w:p>
        </w:tc>
      </w:tr>
      <w:tr>
        <w:trPr/>
        <w:tc>
          <w:tcPr>
            <w:tcW w:w="4925" w:type="dxa"/>
            <w:tcBorders/>
            <w:vAlign w:val="center"/>
          </w:tcPr>
          <w:p>
            <w:pPr>
              <w:pStyle w:val="TableContents"/>
              <w:bidi w:val="0"/>
              <w:spacing w:before="0" w:after="0"/>
              <w:jc w:val="center"/>
              <w:rPr>
                <w:b/>
                <w:spacing w:val="0"/>
              </w:rPr>
            </w:pPr>
            <w:r>
              <w:rPr>
                <w:b/>
                <w:spacing w:val="0"/>
              </w:rPr>
              <w:t>SOUTHERN CALIFORNIA GAS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August 17, 2026, Southern California Gas Company (the “Company”), an indirect subsidiary of Sempra, entered into an underwriting agreement (the “Underwriting Agreement”) with Barclays Capital Inc., Credit Agricole Securities (USA) Inc., MUFG Securities Americas Inc. and TD Securities (USA) LLC, as the representatives of the several underwriters named on Schedule I thereto (the “Underwriters”), pursuant to which the Company agreed to issue and sell to the Underwriters, severally and not jointly, $500,000,000 aggregate principal amount of its 5.500% First Mortgage Bonds, Series GGG, due 2036 (the “Bonds”) for resale at a public offering price of 99.405% of the aggregate principal amount of the Bonds, in a registered public offering under a prospectus supplement and related prospectus filed with the U.S. Securities and Exchange Commission pursuant to the Company’s effective shelf registration statement on Form S-3 (File No. 333-295219). A copy of the Underwriting Agreement is filed as Exhibit 1.1 to this Current Report on Form 8-K and is incorporated herein by reference. The summary set forth above is qualified in its entirety by reference to such exhibit.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does not constitute an offer to sell or the solicitation of an offer to buy any securities nor will there be any sale of these securities in any jurisdiction in which, or to any person to whom, such offer, solicitation or sale would be unlawful. These securities are only offered by means of the prospectus supplement and related prospectus referred to above.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40628dex11.htm">
              <w:r>
                <w:rPr>
                  <w:rStyle w:val="InternetLink"/>
                </w:rPr>
                <w:t xml:space="preserve">Underwriting Agreement, dated August 17, 2026, among Southern California Gas Company and Barclays Capital Inc., Credit Agricole Securities (USA) Inc., MUFG Securities Americas Inc. and TD Securities (USA) LLC, as the representatives of the several underwriters named therein.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7380" w:type="dxa"/>
        <w:jc w:val="left"/>
        <w:tblInd w:w="0" w:type="dxa"/>
        <w:tblLayout w:type="fixed"/>
        <w:tblCellMar>
          <w:top w:w="0" w:type="dxa"/>
          <w:left w:w="0" w:type="dxa"/>
          <w:bottom w:w="0" w:type="dxa"/>
          <w:right w:w="0" w:type="dxa"/>
        </w:tblCellMar>
      </w:tblPr>
      <w:tblGrid>
        <w:gridCol w:w="2195"/>
        <w:gridCol w:w="60"/>
        <w:gridCol w:w="60"/>
        <w:gridCol w:w="60"/>
        <w:gridCol w:w="365"/>
        <w:gridCol w:w="60"/>
        <w:gridCol w:w="458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SEMPRA,</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By:</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Dyan Z. Wold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Dyan Z. Wold </w:t>
            </w:r>
          </w:p>
          <w:p>
            <w:pPr>
              <w:pStyle w:val="TableContents"/>
              <w:bidi w:val="0"/>
              <w:spacing w:before="0" w:after="20"/>
              <w:jc w:val="left"/>
              <w:rPr>
                <w:rFonts w:ascii="Times New Roman" w:hAnsi="Times New Roman"/>
                <w:sz w:val="20"/>
              </w:rPr>
            </w:pPr>
            <w:r>
              <w:rPr>
                <w:rFonts w:ascii="Times New Roman" w:hAnsi="Times New Roman"/>
                <w:sz w:val="20"/>
              </w:rPr>
              <w:t>Vice President, Controller and Chief Accounting Officer</w:t>
            </w:r>
          </w:p>
        </w:tc>
      </w:tr>
    </w:tbl>
    <w:p>
      <w:pPr>
        <w:pStyle w:val="TextBody"/>
        <w:bidi w:val="0"/>
        <w:spacing w:before="0" w:after="0"/>
        <w:jc w:val="left"/>
        <w:rPr/>
      </w:pPr>
      <w:r>
        <w:rPr/>
        <w:t> </w:t>
      </w:r>
    </w:p>
    <w:tbl>
      <w:tblPr>
        <w:tblW w:w="7380" w:type="dxa"/>
        <w:jc w:val="left"/>
        <w:tblInd w:w="0" w:type="dxa"/>
        <w:tblLayout w:type="fixed"/>
        <w:tblCellMar>
          <w:top w:w="0" w:type="dxa"/>
          <w:left w:w="0" w:type="dxa"/>
          <w:bottom w:w="0" w:type="dxa"/>
          <w:right w:w="0" w:type="dxa"/>
        </w:tblCellMar>
      </w:tblPr>
      <w:tblGrid>
        <w:gridCol w:w="2195"/>
        <w:gridCol w:w="60"/>
        <w:gridCol w:w="60"/>
        <w:gridCol w:w="60"/>
        <w:gridCol w:w="365"/>
        <w:gridCol w:w="60"/>
        <w:gridCol w:w="458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SOUTHERN CALIFORNIA GAS COMPANY,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By:</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Elvia Lima Ortiz</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Elvia Lima Ortiz </w:t>
            </w:r>
          </w:p>
          <w:p>
            <w:pPr>
              <w:pStyle w:val="TableContents"/>
              <w:bidi w:val="0"/>
              <w:spacing w:before="0" w:after="20"/>
              <w:jc w:val="left"/>
              <w:rPr>
                <w:rFonts w:ascii="Times New Roman" w:hAnsi="Times New Roman"/>
                <w:sz w:val="20"/>
              </w:rPr>
            </w:pPr>
            <w:r>
              <w:rPr>
                <w:rFonts w:ascii="Times New Roman" w:hAnsi="Times New Roman"/>
                <w:sz w:val="20"/>
              </w:rPr>
              <w:t>Vice President, Controller and Chief Accounting Officer</w:t>
            </w:r>
          </w:p>
        </w:tc>
      </w:tr>
    </w:tbl>
    <w:p>
      <w:pPr>
        <w:pStyle w:val="TextBody"/>
        <w:bidi w:val="0"/>
        <w:spacing w:before="0" w:after="0"/>
        <w:jc w:val="right"/>
        <w:rPr>
          <w:rFonts w:ascii="Times New Roman" w:hAnsi="Times New Roman"/>
          <w:b/>
          <w:sz w:val="20"/>
        </w:rPr>
      </w:pPr>
      <w:bookmarkStart w:id="2" w:name="d140628dex11.htm"/>
      <w:bookmarkStart w:id="3" w:name="ksd140628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Southern California Gas Company </w:t>
      </w:r>
    </w:p>
    <w:p>
      <w:pPr>
        <w:pStyle w:val="TextBody"/>
        <w:bidi w:val="0"/>
        <w:spacing w:before="240" w:after="0"/>
        <w:jc w:val="center"/>
        <w:rPr>
          <w:rFonts w:ascii="Times New Roman" w:hAnsi="Times New Roman"/>
          <w:sz w:val="20"/>
        </w:rPr>
      </w:pPr>
      <w:r>
        <w:rPr>
          <w:rFonts w:ascii="Times New Roman" w:hAnsi="Times New Roman"/>
          <w:sz w:val="20"/>
        </w:rPr>
        <w:t xml:space="preserve">5.500% First Mortgage Bonds, Series GGG,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August 17, 2026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w:t>
      </w:r>
    </w:p>
    <w:p>
      <w:pPr>
        <w:pStyle w:val="TextBody"/>
        <w:bidi w:val="0"/>
        <w:spacing w:before="0" w:after="0"/>
        <w:jc w:val="left"/>
        <w:rPr>
          <w:rFonts w:ascii="Times New Roman" w:hAnsi="Times New Roman"/>
          <w:sz w:val="20"/>
        </w:rPr>
      </w:pPr>
      <w:r>
        <w:rPr>
          <w:rFonts w:ascii="Times New Roman" w:hAnsi="Times New Roman"/>
          <w:sz w:val="20"/>
        </w:rPr>
        <w:t xml:space="preserve">745 Seventh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Credit Agricole Securities (USA) Inc.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8th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MUFG Securities Americas Inc. </w:t>
      </w:r>
    </w:p>
    <w:p>
      <w:pPr>
        <w:pStyle w:val="TextBody"/>
        <w:bidi w:val="0"/>
        <w:spacing w:before="0" w:after="0"/>
        <w:jc w:val="left"/>
        <w:rPr>
          <w:rFonts w:ascii="Times New Roman" w:hAnsi="Times New Roman"/>
          <w:sz w:val="20"/>
        </w:rPr>
      </w:pPr>
      <w:r>
        <w:rPr>
          <w:rFonts w:ascii="Times New Roman" w:hAnsi="Times New Roman"/>
          <w:sz w:val="20"/>
        </w:rPr>
        <w:t xml:space="preserve">1221 Avenue of the Americas, 6th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240" w:after="0"/>
        <w:jc w:val="left"/>
        <w:rPr>
          <w:rFonts w:ascii="Times New Roman" w:hAnsi="Times New Roman"/>
          <w:sz w:val="20"/>
        </w:rPr>
      </w:pPr>
      <w:r>
        <w:rPr>
          <w:rFonts w:ascii="Times New Roman" w:hAnsi="Times New Roman"/>
          <w:sz w:val="20"/>
        </w:rPr>
        <w:t>TD Securities (USA) LLC</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Southern California Gas Company, a California corporation (the “</w:t>
      </w:r>
      <w:r>
        <w:rPr>
          <w:rFonts w:ascii="Times New Roman" w:hAnsi="Times New Roman"/>
          <w:b/>
          <w:sz w:val="20"/>
        </w:rPr>
        <w:t>Company</w:t>
      </w:r>
      <w:r>
        <w:rPr>
          <w:rFonts w:ascii="Times New Roman" w:hAnsi="Times New Roman"/>
          <w:sz w:val="20"/>
        </w:rPr>
        <w:t>”), confirms its agreement (this “</w:t>
      </w:r>
      <w:r>
        <w:rPr>
          <w:rFonts w:ascii="Times New Roman" w:hAnsi="Times New Roman"/>
          <w:b/>
          <w:sz w:val="20"/>
        </w:rPr>
        <w:t>Agreement</w:t>
      </w:r>
      <w:r>
        <w:rPr>
          <w:rFonts w:ascii="Times New Roman" w:hAnsi="Times New Roman"/>
          <w:sz w:val="20"/>
        </w:rPr>
        <w:t>”) with each of the Underwriters named in Schedule I hereto (collectively, the “</w:t>
      </w:r>
      <w:r>
        <w:rPr>
          <w:rFonts w:ascii="Times New Roman" w:hAnsi="Times New Roman"/>
          <w:b/>
          <w:sz w:val="20"/>
        </w:rPr>
        <w:t>Underwriters</w:t>
      </w:r>
      <w:r>
        <w:rPr>
          <w:rFonts w:ascii="Times New Roman" w:hAnsi="Times New Roman"/>
          <w:sz w:val="20"/>
        </w:rPr>
        <w:t>,” which term shall also include any underwriter substituted as hereinafter provided in Section 9 hereof), for whom Barclays Capital Inc., Credit Agricole Securities (USA) Inc., MUFG Securities Americas Inc. and TD Securities (USA) LLC are acting as representatives (the “</w:t>
      </w:r>
      <w:r>
        <w:rPr>
          <w:rFonts w:ascii="Times New Roman" w:hAnsi="Times New Roman"/>
          <w:b/>
          <w:sz w:val="20"/>
        </w:rPr>
        <w:t>Representatives</w:t>
      </w:r>
      <w:r>
        <w:rPr>
          <w:rFonts w:ascii="Times New Roman" w:hAnsi="Times New Roman"/>
          <w:sz w:val="20"/>
        </w:rPr>
        <w:t>”), with respect to the issue and sale by the Company and the purchase by the Underwriters, acting severally and not jointly, of $500,000,000 aggregate principal amount of the Company’s 5.500% First Mortgage Bonds, Series GGG, due 2036 (the “</w:t>
      </w:r>
      <w:r>
        <w:rPr>
          <w:rFonts w:ascii="Times New Roman" w:hAnsi="Times New Roman"/>
          <w:b/>
          <w:sz w:val="20"/>
        </w:rPr>
        <w:t>Bonds</w:t>
      </w:r>
      <w:r>
        <w:rPr>
          <w:rFonts w:ascii="Times New Roman" w:hAnsi="Times New Roman"/>
          <w:sz w:val="20"/>
        </w:rPr>
        <w:t>”). The Bonds are to be issued pursuant to a First Mortgage Indenture dated as of October 1, 1940 (the “</w:t>
      </w:r>
      <w:r>
        <w:rPr>
          <w:rFonts w:ascii="Times New Roman" w:hAnsi="Times New Roman"/>
          <w:b/>
          <w:sz w:val="20"/>
        </w:rPr>
        <w:t>Base Indenture</w:t>
      </w:r>
      <w:r>
        <w:rPr>
          <w:rFonts w:ascii="Times New Roman" w:hAnsi="Times New Roman"/>
          <w:sz w:val="20"/>
        </w:rPr>
        <w:t>”), as supplemented and amended by the Supplemental Indenture to be dated as of August 21, 2026, establishing the terms of the Bonds (the “</w:t>
      </w:r>
      <w:r>
        <w:rPr>
          <w:rFonts w:ascii="Times New Roman" w:hAnsi="Times New Roman"/>
          <w:b/>
          <w:sz w:val="20"/>
        </w:rPr>
        <w:t>Current Supplemental Indenture</w:t>
      </w:r>
      <w:r>
        <w:rPr>
          <w:rFonts w:ascii="Times New Roman" w:hAnsi="Times New Roman"/>
          <w:sz w:val="20"/>
        </w:rPr>
        <w:t>”), and all other indentures supplemental thereto and amendatory thereof (each, including the Current Supplemental Indenture, a “</w:t>
      </w:r>
      <w:r>
        <w:rPr>
          <w:rFonts w:ascii="Times New Roman" w:hAnsi="Times New Roman"/>
          <w:b/>
          <w:sz w:val="20"/>
        </w:rPr>
        <w:t>Supplemental Indenture</w:t>
      </w:r>
      <w:r>
        <w:rPr>
          <w:rFonts w:ascii="Times New Roman" w:hAnsi="Times New Roman"/>
          <w:sz w:val="20"/>
        </w:rPr>
        <w:t>”; the Base Indenture, as amended and supplemented by all Supplemental Indentures, except as the context may otherwise require, is referred to herein as the “</w:t>
      </w:r>
      <w:r>
        <w:rPr>
          <w:rFonts w:ascii="Times New Roman" w:hAnsi="Times New Roman"/>
          <w:b/>
          <w:sz w:val="20"/>
        </w:rPr>
        <w:t>Indenture</w:t>
      </w:r>
      <w:r>
        <w:rPr>
          <w:rFonts w:ascii="Times New Roman" w:hAnsi="Times New Roman"/>
          <w:sz w:val="20"/>
        </w:rPr>
        <w:t>”), each between the Company and U.S. Bank National Association, as successor trustee (the “</w:t>
      </w:r>
      <w:r>
        <w:rPr>
          <w:rFonts w:ascii="Times New Roman" w:hAnsi="Times New Roman"/>
          <w:b/>
          <w:sz w:val="20"/>
        </w:rPr>
        <w:t>Trustee</w:t>
      </w:r>
      <w:r>
        <w:rPr>
          <w:rFonts w:ascii="Times New Roman" w:hAnsi="Times New Roman"/>
          <w:sz w:val="20"/>
        </w:rPr>
        <w:t xml:space="preserv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an automatic shelf registration statement on Form S-3 (File No. 333-295219), which registration statement became effective upon filing under Rule 462(e) of the rules and regulations of the Commission (the “</w:t>
      </w:r>
      <w:r>
        <w:rPr>
          <w:rFonts w:ascii="Times New Roman" w:hAnsi="Times New Roman"/>
          <w:b/>
          <w:sz w:val="20"/>
        </w:rPr>
        <w:t>Rules and Regulations</w:t>
      </w:r>
      <w:r>
        <w:rPr>
          <w:rFonts w:ascii="Times New Roman" w:hAnsi="Times New Roman"/>
          <w:sz w:val="20"/>
        </w:rPr>
        <w:t>”) under the Securities Act of 1933, as amended (the “</w:t>
      </w:r>
      <w:r>
        <w:rPr>
          <w:rFonts w:ascii="Times New Roman" w:hAnsi="Times New Roman"/>
          <w:b/>
          <w:sz w:val="20"/>
        </w:rPr>
        <w:t>Act</w:t>
      </w:r>
      <w:r>
        <w:rPr>
          <w:rFonts w:ascii="Times New Roman" w:hAnsi="Times New Roman"/>
          <w:sz w:val="20"/>
        </w:rPr>
        <w:t>”). Such registration statement covers the registration of the Bonds (among other securities) under the Act. Such registration statement, as amended through the date hereof (including by any post-effective amendments thereto) and including the information deemed pursuant to Rule 430B under the Rules and Regulations to be part of the registration statement at the time of its effectiveness with respect to the offering contemplated by this Agreement and all documents incorporated or deemed to be incorporated by reference therein through the date hereof, but excluding any Form T-1 (as defined below), is hereinafter referred to as the “</w:t>
      </w:r>
      <w:r>
        <w:rPr>
          <w:rFonts w:ascii="Times New Roman" w:hAnsi="Times New Roman"/>
          <w:b/>
          <w:sz w:val="20"/>
        </w:rPr>
        <w:t>Registration Statement</w:t>
      </w:r>
      <w:r>
        <w:rPr>
          <w:rFonts w:ascii="Times New Roman" w:hAnsi="Times New Roman"/>
          <w:sz w:val="20"/>
        </w:rPr>
        <w:t>.” The Company proposes to file with the Commission pursuant to Rule 424(b) of the Rules and Regulations the Prospectus Supplement (as defined in Section 5(h) hereof) relating to the Bonds and the prospectus dated April 21, 2026 (the “</w:t>
      </w:r>
      <w:r>
        <w:rPr>
          <w:rFonts w:ascii="Times New Roman" w:hAnsi="Times New Roman"/>
          <w:b/>
          <w:sz w:val="20"/>
        </w:rPr>
        <w:t>Base Prospectus</w:t>
      </w:r>
      <w:r>
        <w:rPr>
          <w:rFonts w:ascii="Times New Roman" w:hAnsi="Times New Roman"/>
          <w:sz w:val="20"/>
        </w:rPr>
        <w:t>”), and has previously advised you of all further information (financial and other) with respect to the Company set forth therein. The Base Prospectus together with the Prospectus Supplement, in their respective forms on the date hereof (being the forms in which they are to be filed with the Commission pursuant to Rule 424(b) of the Rules and Regulations), including all documents incorporated or deemed to be incorporated by reference therein through the date hereof, are hereinafter referred to as, collectively, the “</w:t>
      </w:r>
      <w:r>
        <w:rPr>
          <w:rFonts w:ascii="Times New Roman" w:hAnsi="Times New Roman"/>
          <w:b/>
          <w:sz w:val="20"/>
        </w:rPr>
        <w:t>Prospectus</w:t>
      </w:r>
      <w:r>
        <w:rPr>
          <w:rFonts w:ascii="Times New Roman" w:hAnsi="Times New Roman"/>
          <w:sz w:val="20"/>
        </w:rPr>
        <w:t>,” except that if any revised prospectus or prospectus supplement shall be provided to the Underwriters by the Company for use in connection with the offering and sale of the Bonds which differs from the Prospectus (whether or not such revised prospectus or prospectus supplement is required to be filed by the Company pursuant to Rule 424(b) of the Rules and Regulations), the term “Prospectus” shall refer to such revised prospectus or prospectus supplement, as the case may be, from and after the time it is first provided to the Underwriters for such use. The term “</w:t>
      </w:r>
      <w:r>
        <w:rPr>
          <w:rFonts w:ascii="Times New Roman" w:hAnsi="Times New Roman"/>
          <w:b/>
          <w:sz w:val="20"/>
        </w:rPr>
        <w:t>Preliminary Prospectus</w:t>
      </w:r>
      <w:r>
        <w:rPr>
          <w:rFonts w:ascii="Times New Roman" w:hAnsi="Times New Roman"/>
          <w:sz w:val="20"/>
        </w:rPr>
        <w:t>,” as used in this Agreement, means the preliminary prospectus supplement dated August 17, 2026 and filed with the Commission pursuant to Rule 424(b) of the Rules and Regulations, together with the Base Prospectus used with such preliminary prospectus supplement in connection with the marketing of the Bonds, in each case as amended or supplemented by the Company, including all documents incorporated or deemed to be incorporated by reference therein through the date thereof. Unless the context otherwise requires, all references in this Agreement to documents, financial statements and schedules and other information which is “contained,” “included,” “stated,” “described in” or “referred to” in the Registration Statement, the Preliminary Prospectus or the Prospectus (and all other references of like import) shall be deemed to mean and include all such documents, financial statements and schedules and other information which is or is deemed to be incorporated by reference in the Registration Statement, the Preliminary Prospectus or the Prospectus, as the case may be; and all references in this Agreement to amendments or supplements to the Registration Statement, the Preliminary Prospectus or the Prospectus shall be deemed to mean and include the filing of any document under the Securities Exchange Act of 1934, as amended (the “</w:t>
      </w:r>
      <w:r>
        <w:rPr>
          <w:rFonts w:ascii="Times New Roman" w:hAnsi="Times New Roman"/>
          <w:b/>
          <w:sz w:val="20"/>
        </w:rPr>
        <w:t>Exchange</w:t>
      </w:r>
      <w:r>
        <w:rPr>
          <w:rFonts w:ascii="Times New Roman" w:hAnsi="Times New Roman"/>
          <w:sz w:val="20"/>
        </w:rPr>
        <w:t> </w:t>
      </w:r>
      <w:r>
        <w:rPr>
          <w:rFonts w:ascii="Times New Roman" w:hAnsi="Times New Roman"/>
          <w:b/>
          <w:sz w:val="20"/>
        </w:rPr>
        <w:t>Act</w:t>
      </w:r>
      <w:r>
        <w:rPr>
          <w:rFonts w:ascii="Times New Roman" w:hAnsi="Times New Roman"/>
          <w:sz w:val="20"/>
        </w:rPr>
        <w:t xml:space="preserve">”), after the date of this Agreement which is or is deemed to be incorporated by reference in the Registration Statement, the Preliminary Prospectus or the Prospectus,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At or prior to 2:55 p.m. (New York City time) on August 17, 2026, which was the time when sales of the Bonds were first made (such time, the “</w:t>
      </w:r>
      <w:r>
        <w:rPr>
          <w:rFonts w:ascii="Times New Roman" w:hAnsi="Times New Roman"/>
          <w:b/>
          <w:sz w:val="20"/>
        </w:rPr>
        <w:t>Applicable Time</w:t>
      </w:r>
      <w:r>
        <w:rPr>
          <w:rFonts w:ascii="Times New Roman" w:hAnsi="Times New Roman"/>
          <w:sz w:val="20"/>
        </w:rPr>
        <w:t>”), the Company had prepared the following information (collectively the “</w:t>
      </w:r>
      <w:r>
        <w:rPr>
          <w:rFonts w:ascii="Times New Roman" w:hAnsi="Times New Roman"/>
          <w:b/>
          <w:sz w:val="20"/>
        </w:rPr>
        <w:t>Pricing Disclosure Package</w:t>
      </w:r>
      <w:r>
        <w:rPr>
          <w:rFonts w:ascii="Times New Roman" w:hAnsi="Times New Roman"/>
          <w:sz w:val="20"/>
        </w:rPr>
        <w:t xml:space="preserve">”): the Preliminary Prospectus and each “free writing prospectus” (as defined pursuant to Rule 405 of the Rules and Regulations) listed on Schedule II hereto. </w:t>
      </w:r>
    </w:p>
    <w:p>
      <w:pPr>
        <w:pStyle w:val="TextBody"/>
        <w:bidi w:val="0"/>
        <w:spacing w:before="240" w:after="0"/>
        <w:jc w:val="left"/>
        <w:rPr>
          <w:rFonts w:ascii="Times New Roman" w:hAnsi="Times New Roman"/>
          <w:sz w:val="20"/>
        </w:rPr>
      </w:pPr>
      <w:r>
        <w:rPr>
          <w:rFonts w:ascii="Times New Roman" w:hAnsi="Times New Roman"/>
          <w:sz w:val="20"/>
        </w:rPr>
        <w:t>1. The Company represents and warrants to each Underwriter as of the date hereof (such date being hereinafter referred to as the “</w:t>
      </w:r>
      <w:r>
        <w:rPr>
          <w:rFonts w:ascii="Times New Roman" w:hAnsi="Times New Roman"/>
          <w:b/>
          <w:sz w:val="20"/>
        </w:rPr>
        <w:t>Representation Date</w:t>
      </w:r>
      <w:r>
        <w:rPr>
          <w:rFonts w:ascii="Times New Roman" w:hAnsi="Times New Roman"/>
          <w:sz w:val="20"/>
        </w:rPr>
        <w:t xml:space="preserve">”), as of the Applicable Time, and as of the Time of Delivery referred to in Section 4 herein as follows: </w:t>
      </w:r>
    </w:p>
    <w:p>
      <w:pPr>
        <w:pStyle w:val="TextBody"/>
        <w:bidi w:val="0"/>
        <w:spacing w:before="240" w:after="0"/>
        <w:jc w:val="left"/>
        <w:rPr>
          <w:rFonts w:ascii="Times New Roman" w:hAnsi="Times New Roman"/>
          <w:sz w:val="20"/>
        </w:rPr>
      </w:pPr>
      <w:r>
        <w:rPr>
          <w:rFonts w:ascii="Times New Roman" w:hAnsi="Times New Roman"/>
          <w:sz w:val="20"/>
        </w:rPr>
        <w:t xml:space="preserve">(a) No order preventing or suspending the use of the Preliminary Prospectus has been issued by the Commission, and the Preliminary Prospectus, at the time of filing thereof, complied in all material respects with the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the representations and warranties in this subsection (a) shall not apply to statements in or omissions from the Preliminary Prospectus made in reliance upon and in conformity with information furnished to the Company in writing by any Underwriter through the Representatives expressly for use in the Preliminary Prospectus; </w:t>
      </w:r>
    </w:p>
    <w:p>
      <w:pPr>
        <w:pStyle w:val="TextBody"/>
        <w:bidi w:val="0"/>
        <w:spacing w:before="240" w:after="0"/>
        <w:jc w:val="left"/>
        <w:rPr>
          <w:rFonts w:ascii="Times New Roman" w:hAnsi="Times New Roman"/>
          <w:sz w:val="20"/>
        </w:rPr>
      </w:pPr>
      <w:r>
        <w:rPr>
          <w:rFonts w:ascii="Times New Roman" w:hAnsi="Times New Roman"/>
          <w:sz w:val="20"/>
        </w:rPr>
        <w:t xml:space="preserve">(b) The Pricing Disclosure Package, at the Applicable Time, did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representations and warranties in this subsection (b) shall not apply to statements in or omissions from the Pricing Disclosure Package made in reliance upon and in conformity with information furnished to the Company in writing by any Underwriter through the Representatives expressly for use in such Pricing Disclosure Package; </w:t>
      </w:r>
    </w:p>
    <w:p>
      <w:pPr>
        <w:pStyle w:val="TextBody"/>
        <w:bidi w:val="0"/>
        <w:spacing w:before="240" w:after="0"/>
        <w:jc w:val="left"/>
        <w:rPr>
          <w:rFonts w:ascii="Times New Roman" w:hAnsi="Times New Roman"/>
          <w:sz w:val="20"/>
        </w:rPr>
      </w:pPr>
      <w:r>
        <w:rPr>
          <w:rFonts w:ascii="Times New Roman" w:hAnsi="Times New Roman"/>
          <w:sz w:val="20"/>
        </w:rPr>
        <w:t>(c) The Company (including its agents and representatives, other than the Underwriters in their capacity as such) has not prepared, made, used, approved or referred to and will not prepare, make, use, approve or refer to any “written communication” (as defined in Rule 405 of the Rules and Regulations) that constitutes an offer to sell or solicitation of an offer to buy the Bonds (each such communication by the Company or its agents and representatives other than the Underwriters in their capacity as such (other than a communication referred to in clauses (i), (ii) and (iii) below) an “</w:t>
      </w:r>
      <w:r>
        <w:rPr>
          <w:rFonts w:ascii="Times New Roman" w:hAnsi="Times New Roman"/>
          <w:b/>
          <w:sz w:val="20"/>
        </w:rPr>
        <w:t>Issuer Free Writing Prospectus</w:t>
      </w:r>
      <w:r>
        <w:rPr>
          <w:rFonts w:ascii="Times New Roman" w:hAnsi="Times New Roman"/>
          <w:sz w:val="20"/>
        </w:rPr>
        <w:t xml:space="preserve">”) other than (i) any document not constituting a prospectus pursuant to Section 2(a)(10)(a) of the Act or Rule 134 of the Rules and Regulations, (ii) the Preliminary Prospectus, (iii) the Prospectus, (iv) the documents listed on Schedule II hereto and (v) any electronic road show or other written communications, in each case approved in advance by the Representatives. Each such Issuer Free Writing Prospectus complied in all material respects with the Act, has been or will be (within the time period specified in Rule 433 of the Rules and Regulations) filed (to the extent required thereby) in accordance with the Act and when taken together with the Preliminary Prospectus accompanying, or delivered prior to delivery of, such Issuer Free Writing Prospectus, did not, and at the Time of Delivery will not, contain any untrue statement of a material fact or omit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the representations and warranties in this subsection (c) shall not apply to statements in or omissions from any Issuer Free Writing Prospectus made in reliance upon and in conformity with information furnished to the Company in writing by any Underwriter through the Representatives expressly for use in any Issuer Free Writing Prospectus. Each Issuer Free Writing Prospectus, as of its issue date and at all subsequent times through the completion of the public offer and sale of the Bonds or until any earlier date that the Company notified or notifies the Representatives as described in Section 5(c) with respect to such Issuer Free Writing Prospectus, did not, does not and will not include any information that conflicted, conflicts or will conflict with the information contained in the Registration Statement, the Prospectus or the Preliminary Prospectus that has not been superseded or modified; </w:t>
      </w:r>
    </w:p>
    <w:p>
      <w:pPr>
        <w:pStyle w:val="TextBody"/>
        <w:bidi w:val="0"/>
        <w:spacing w:before="240" w:after="0"/>
        <w:jc w:val="left"/>
        <w:rPr>
          <w:rFonts w:ascii="Times New Roman" w:hAnsi="Times New Roman"/>
          <w:sz w:val="20"/>
        </w:rPr>
      </w:pPr>
      <w:r>
        <w:rPr>
          <w:rFonts w:ascii="Times New Roman" w:hAnsi="Times New Roman"/>
          <w:sz w:val="20"/>
        </w:rPr>
        <w:t>(d) The Registration Statement is an “automatic shelf registration statement” as defined under Rule 405 of the Rules and Regulations that became effective not earlier than three years prior to the date hereof; and no notice of objection of the Commission to the use of such registration statement or any post-effective amendment thereto pursuant to Rule 401(g)(2) of the Rules and Regulations has been received by the Company. The Registration Statement, at the respective times the Registration Statement and any post-effective amendments thereto became effective, and the Registration Statement and the Prospectus, as of the Representation Date, complied and comply in all material respects with the requirements of the Act and the Rules and Regulations (including Rule 415(a) of the Rules and Regulations), and the Trust Indenture Act of 1939, as amended (the “</w:t>
      </w:r>
      <w:r>
        <w:rPr>
          <w:rFonts w:ascii="Times New Roman" w:hAnsi="Times New Roman"/>
          <w:b/>
          <w:sz w:val="20"/>
        </w:rPr>
        <w:t>Trust Indenture Act</w:t>
      </w:r>
      <w:r>
        <w:rPr>
          <w:rFonts w:ascii="Times New Roman" w:hAnsi="Times New Roman"/>
          <w:sz w:val="20"/>
        </w:rPr>
        <w:t xml:space="preserve">”), and the rules and regulations of the Commission under the Trust Indenture Act, and the Registration Statement did not and as of the Representation Date and at the Time of Delivery does not and will not contain an untrue statement of a material fact or omit to state a material fact required to be stated therein or necessary to make the statements therein not misleading. No order suspending the effectiveness of the Registration Statement has been issued under the Act and no proceedings for that purpose or pursuant to Section 8A of the Act against the Company or related to the offering of the Bonds have been instituted or are pending or, to the knowledge of the Company, are contemplated by the Commission, and any request on the part of the Commission for additional information has been complied with. The Prospectus, at the Representation Date (unless the term “Prospectus” refers to a prospectus which has been provided to the Underwriters by the Company for use in connection with the offering of the Bonds which differs from the Prospectus filed with the Commission pursuant to Rule 424(b) of the Rules and Regulations, in which case at the time it is first provided to the Underwriters for such use) and at the Time of Delivery, does not and will not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the representations and warranties in this subsection (d) shall not apply to statements in or omissions from the Registration Statement or Prospectus made in reliance upon and in conformity with information furnished to the Company in writing by any Underwriter through the Representatives expressly for use in the Registration Statement or the Prospectus or the information contained in any Statement of Eligibility and Qualification of a trustee under the Trust Indenture Act filed as an exhibit to the Registration Statement (a “</w:t>
      </w:r>
      <w:r>
        <w:rPr>
          <w:rFonts w:ascii="Times New Roman" w:hAnsi="Times New Roman"/>
          <w:b/>
          <w:sz w:val="20"/>
        </w:rPr>
        <w:t>Form</w:t>
      </w:r>
      <w:r>
        <w:rPr>
          <w:rFonts w:ascii="Times New Roman" w:hAnsi="Times New Roman"/>
          <w:sz w:val="20"/>
        </w:rPr>
        <w:t> </w:t>
      </w:r>
      <w:r>
        <w:rPr>
          <w:rFonts w:ascii="Times New Roman" w:hAnsi="Times New Roman"/>
          <w:b/>
          <w:sz w:val="20"/>
        </w:rPr>
        <w:t>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documents filed by the Company and incorporated or deemed to be incorporated by reference into the Registration Statement, the Prospectus and the Pricing Disclosure Package pursuant to Item 12 of Form S-3 under the Act, at the time they were or hereafter are filed with the Commission, complied and will comply in all material respects with the requirements of the Exchange Act and the rules and regulations of the Commission thereunder and, when read together and with the other information in the Registration Statement, the Prospectus and the Pricing Disclosure Package, at the respective times the Registration Statement and any amendments thereto became effective, at the Representation Date, at the Applicable Time and at the Time of Delivery, did not, do not and will not contain an untrue statement of a material fact or omit to state a material fact required to be stated therein or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its subsidiaries, taken as a whole, have not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Pricing Disclosure Package and the Prospectus; and, since the date as of which information is given in the Pricing Disclosure Package and the Prospectus, there has not been any material change in the capital stock or long-term debt of the Company or any of its subsidiaries or any material adverse change, or any development involving a prospective material adverse change, in or affecting the general affairs, management or consolidated financial position, shareholders’ equity or results of operations of the Company and its subsidiaries, taken as a whole, otherwise than as set forth or contemplated in the Pricing Disclosure Package and the Prospectus (for purposes of this Agreement, for the avoidance of doubt, all references to the Company’s “subsidiaries” shall be deemed to refer to the Company’s “subsidiaries (if any),” and all references to the Company’s consolidated position or results shall be deemed to refer to the position or results of the Company alone at any time that the Company has no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been duly incorporated and is validly existing as a corporation in good standing under the laws of the State of California, with power and authority (corporate and other) to own its properties and conduct its business as described in the Pricing Disclosure Package and the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in good standing would not, individually or in the aggregate, reasonably be expected to have a material adverse effect on the consolidated financial position, shareholders’ equity or results of operations of the Company and its subsidiaries, taken as a whole; and the subsidiaries of the Company, considered in the aggregate as a single subsidiary, do not constitute a “significant subsidiary” as defined in Rule 1-02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an authorized capitalization as set forth in the Pricing Disclosure Package and the Prospectus, and all of the issued shares of capital stock of the Company have been duly and validly authorized and issued and are fully paid and non-assessable and conform to the description thereof contained in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Bonds have been duly authorized for issuance and sale by the Company and, when the Bonds are issued and delivered pursuant to this Agreement, the Bonds will have been duly executed by the Company and, when authenticated in the manner provided for in the Indenture and delivered against payment of the purchase price therefor specified in this Agreement, the Bonds will have been duly delivered by the Company and will constitute valid and legally binding obligations of the Company entitled to the benefits provided by the Indenture and enforceable in accordance with their terms, subject, as to enforcement, to bankruptcy, insolvency, receivership, liquidation, fraudulent conveyance, fraudulent transfer, reorganization, moratorium and similar laws of general applicability relating to or affecting creditors’ rights and to general equity principles; the Indenture has been duly qualified under the Trust Indenture Act; the Indenture (excluding the Current Supplemental Indenture) has been duly authorized, executed and delivered by the Company and the Current Supplemental Indenture has been duly authorized and, at the Time of Delivery will be duly executed and delivered by the Company, and the Indenture (excluding the Current Supplemental Indenture) constitutes, and at the Time of Delivery the Current Supplemental Indenture will constitute, a valid and legally binding agreement of the Company, enforceable in accordance with its terms, subject, as to enforcement, to bankruptcy, insolvency, receivership, liquidation, fraudulent conveyance, fraudulent transfer, reorganization, moratorium and similar laws of general applicability relating to or affecting creditors’ rights and to general equity principles; and the Indenture (excluding the Current Supplemental Indenture) conforms in all material respects, and each of the Current Supplemental Indenture and the Bonds will conform in all material respects, to the descriptions thereof contained in the Pricing Disclosure Package and the Prospectus, as amended or supplemented; </w:t>
      </w:r>
    </w:p>
    <w:p>
      <w:pPr>
        <w:pStyle w:val="TextBody"/>
        <w:bidi w:val="0"/>
        <w:spacing w:before="240" w:after="0"/>
        <w:jc w:val="left"/>
        <w:rPr>
          <w:rFonts w:ascii="Times New Roman" w:hAnsi="Times New Roman"/>
          <w:sz w:val="20"/>
        </w:rPr>
      </w:pPr>
      <w:r>
        <w:rPr>
          <w:rFonts w:ascii="Times New Roman" w:hAnsi="Times New Roman"/>
          <w:sz w:val="20"/>
        </w:rPr>
        <w:t xml:space="preserve">(j)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(k) The issue and sale of the Bonds and the compliance by the Company with all of the provisions of the Bonds, the Indenture and this Agreement, and the consummation of the transactions herein and therein contemplated will not (i) conflict with or result in a breach or violation of any of the terms or provisions of, or constitute a default under, any contract, indenture, mortgage, deed of trust, loan agreement, note, lease or other agreement or instrument to which the Company is a party or by which the Company is bound or to which any of the properties or assets of the Company is subject, (ii) result in any violation of the provisions of the Restated Articles of Incorporation or the Bylaws of the Company, or (iii) result in any violation of any statute or any order, rule or regulation of any court or governmental agency or body having jurisdiction over the Company or any of its properties, except, solely in the case of clauses (i) and (iii) above, for such conflicts, breaches, violations or defaults that would not, individually or in the aggregate, reasonably be expected to have a material adverse effect on the consolidated financial position, shareholders’ equity or results of operations of the Company and its subsidiaries, taken as a whole; and no consent, approval, authorization, order, registration or qualification of or with any such court or governmental agency or body is required for the issue and sale of the Bonds or the consummation by the Company of the transactions contemplated by this Agreement or the Indenture, except such as have been obtained under the Act, the Trust Indenture Act and from the Public Utilities Commission of the State of California and such consents, approvals, authorizations, registrations or qualifications as may be required under state securities or Blue Sky laws in connection with the purchase and distribution of the Bonds by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statements set forth in the Pricing Disclosure Package and the Prospectus, each as amended or supplemented, if applicable, under the captions “Description of First Mortgage Bonds” and “Supplemental Description of First Mortgage Bonds,” insofar as they purport to constitute a summary of the terms of the Bonds or the Indenture, and under the captions “Plan of Distribution” and “Underwriting (Conflicts of Interest),” insofar as they purport to describe the provisions of the laws and documents referred to therein, are accurate, complete and fair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(m) The Company is not (i) in violation of its Restated Articles of Incorporation or Bylaws or (ii) in default in the performance or observance of any material obligation, agreement, covenant or condition contained in any contract, indenture, mortgage, deed of trust, loan agreement, note, lease or other agreement or instrument to which it is a party or by which it or any of its properties may be bound, except in the case of clause (ii) for such defaults which, individually or in the aggregate, would not reasonably be expected to have a material adverse effect on the consolidated financial position, shareholders’ equity or results of operations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(n) Other than as set forth in the Pricing Disclosure Package and the Prospectus, (i) there are no legal or governmental proceedings pending to which the Company or any of its subsidiaries is a party or of which any property of the Company or any of its subsidiaries is the subject, except for such proceedings which, if determined adversely to the Company or any of its subsidiaries, would not reasonably be expected individually or in the aggregate to have a material adverse effect on the consolidated financial position, shareholders’ equity or results of operations of the Company and its subsidiaries, taken as a whole and (ii) to the Company’s knowledge, no such proceedings are threatened in writing or contemplated by governmental authorities or threatened in writing by others; </w:t>
      </w:r>
    </w:p>
    <w:p>
      <w:pPr>
        <w:pStyle w:val="TextBody"/>
        <w:bidi w:val="0"/>
        <w:spacing w:before="240" w:after="0"/>
        <w:jc w:val="left"/>
        <w:rPr>
          <w:rFonts w:ascii="Times New Roman" w:hAnsi="Times New Roman"/>
          <w:sz w:val="20"/>
        </w:rPr>
      </w:pPr>
      <w:r>
        <w:rPr>
          <w:rFonts w:ascii="Times New Roman" w:hAnsi="Times New Roman"/>
          <w:sz w:val="20"/>
        </w:rPr>
        <w:t>(o) The Company is not and after giving effect to the offering and sale of the Bonds, will not be, an “investment company,” as such term is defined in the Investment Company Act of 1940, as amended (the “</w:t>
      </w:r>
      <w:r>
        <w:rPr>
          <w:rFonts w:ascii="Times New Roman" w:hAnsi="Times New Roman"/>
          <w:b/>
          <w:sz w:val="20"/>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 Deloitte &amp; Touche LLP, who have certified certain financial statements of the Company and its subsidiaries, taken as a whole, is an independent registered public accounting firm as required by the Act and the Rules and Regulations and the rules and regulations of the Public Company Accounting Oversight Board; </w:t>
      </w:r>
    </w:p>
    <w:p>
      <w:pPr>
        <w:pStyle w:val="TextBody"/>
        <w:bidi w:val="0"/>
        <w:spacing w:before="240" w:after="0"/>
        <w:jc w:val="left"/>
        <w:rPr>
          <w:rFonts w:ascii="Times New Roman" w:hAnsi="Times New Roman"/>
          <w:sz w:val="20"/>
        </w:rPr>
      </w:pPr>
      <w:r>
        <w:rPr>
          <w:rFonts w:ascii="Times New Roman" w:hAnsi="Times New Roman"/>
          <w:sz w:val="20"/>
        </w:rPr>
        <w:t xml:space="preserve">(q) The financial statements of the Company and its consolidated subsidiaries included (if applicable) and incorporated by reference in the Registration Statement, the Pricing Disclosure Package and the Prospectus present fairly in all material respects the consolidated financial position of the Company and its consolidated subsidiaries as of the dates indicated and the consolidated results of their operations for the periods specified; and, except as stated therein, such financial statements have been prepared in conformity with generally accepted accounting principles in the United States applied on a consistent basis; </w:t>
      </w:r>
    </w:p>
    <w:p>
      <w:pPr>
        <w:pStyle w:val="TextBody"/>
        <w:bidi w:val="0"/>
        <w:spacing w:before="240" w:after="0"/>
        <w:jc w:val="left"/>
        <w:rPr>
          <w:rFonts w:ascii="Times New Roman" w:hAnsi="Times New Roman"/>
          <w:sz w:val="20"/>
        </w:rPr>
      </w:pPr>
      <w:r>
        <w:rPr>
          <w:rFonts w:ascii="Times New Roman" w:hAnsi="Times New Roman"/>
          <w:sz w:val="20"/>
        </w:rPr>
        <w:t xml:space="preserve">(r) The Company and each of its consolidated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material differences;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The Company and each of its consolidated subsidiaries maintain “disclosure controls and procedures” (as such term is defined in Rule 13a-15(e) under the Exchange Act); such disclosure controls and procedures are effective; </w:t>
      </w:r>
    </w:p>
    <w:p>
      <w:pPr>
        <w:pStyle w:val="TextBody"/>
        <w:bidi w:val="0"/>
        <w:spacing w:before="240" w:after="0"/>
        <w:jc w:val="left"/>
        <w:rPr>
          <w:rFonts w:ascii="Times New Roman" w:hAnsi="Times New Roman"/>
          <w:sz w:val="20"/>
        </w:rPr>
      </w:pPr>
      <w:r>
        <w:rPr>
          <w:rFonts w:ascii="Times New Roman" w:hAnsi="Times New Roman"/>
          <w:sz w:val="20"/>
        </w:rPr>
        <w:t xml:space="preserve">(t) The Company and its subsidiaries possess such certificates, authorities or permits issued by the appropriate state, federal, local or foreign regulatory agencies or bodies necessary to conduct their businesses as described in the Pricing Disclosure Package and the Prospectus, except where the failure to possess such certificates, authorities or permits, individually or in the aggregate, would not have a material adverse effect on the consolidated financial position, shareholders’ equity or results of operations of the Company and its subsidiaries, taken as a whole; and neither the Company nor any of its subsidiaries has received any notice of proceedings relating to the revocation or modification of any such certificate, authority or permit which, individually or in the aggregate, if the subject of an unfavorable decision, ruling or finding, would have a material adverse effect on the consolidated financial position, shareholders’ equity or results of operations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(u) The Company and its subsidiaries are in compliance with, and conduct their respective businesses in conformity with, all applicable state, federal, local and foreign laws and regulations relating to the operation and ownership of a public utility, including, without limitation, those relating to the distribution and transmission of natural gas, except to the extent that any failure so to comply or conform would not individually or in the aggregate have a material adverse effect on the consolidated financial position, shareholders’ equity or results of operations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(v) The issuance and sale of the Bonds by the Company have been duly authorized by the Public Utilities Commission of the State of California, such authorization is in full force and effect, no authorization of any other governmental agency having regulatory jurisdiction over the Company is required for such issuance and sale, except such as may be required by the securities or Blue Sky laws of any jurisdiction, and no further authorization by the Public Utilities Commission of the State of California is required for such issuance and sale on the terms set forth in the Pricing Disclosure Package and the Prospectus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 The Company and its subsidiaries hold all franchises, certificates of public convenience and necessity, permits, licenses and easements necessary to own, operate and maintain their properties as described in the Pricing Disclosure Package and the Prospectus, except to the extent that such failure, individually or in the aggregate, would not reasonably be expected to have a material adverse effect on the consolidated financial position, shareholders’ equity or results of operations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(x) The Company and its subsidiaries have good and valid title to all the principal plants and other important units of their property and to all other real estate and fixed property (including plants, machinery and equipment) specifically described in the Indenture as subject to the lien thereof (except property theretofore retired or released from such lien in accordance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of the Indenture) subject only to Permissible Encumbrances (as defined in the Indenture) and other liens and charges permitted by the Indenture and such liens, charges, encumbrances, defects, qualifications, exceptions and other matters affecting title, possession or use as are set forth or referred to in the Pricing Disclosure Package and the Prospectus or which, individually or in the aggregate, would not reasonably be expected to have a material adverse effect on the consolidated financial position, shareholders’ equity or results of operations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(y) The Base Indenture and each Supplemental Indenture have been duly recorded (or, in the case of the Current Supplemental Indenture, arrangements have been made for the recording thereof as promptly as reasonably practicable following the Time of Delivery) in all offices of county recorders or clerks of all counties in the State of California in which any real property subject to the lien of the Indenture is located, appropriate financing statements in respect of personal property and fixtures have been filed in the Office of the Secretary of State of the State of California and no other filing or recordation is necessary for the perfection and preservation of the lien created thereby except for recordations required in respect of after-acquired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(z) The Indenture constitutes, as security for the Bonds, a valid and subsisting lien to the extent that it purports to be such on all the present properties of the Company (including plants, machinery, equipment, real estate and fixed property), rights and franchises of the Company and its subsidiaries (other than those properties excepted or released from the lien of the Indenture by its terms) subject only to Permissible Encumbrances and other liens and charges permitted by the Indenture and such liens, charges and encumbrances, defects, qualifications, exceptions and other matters as are set forth or referred to in the Pricing Disclosure Package and the Prospectus, or which would not reasonably be expected to materially affect the security for the Bonds, and upon acquisition thereafter by the Company of similar properties, the Indenture will, subject to liens existing thereon at the time of acquisition, create such a lien thereon; </w:t>
      </w:r>
    </w:p>
    <w:p>
      <w:pPr>
        <w:pStyle w:val="TextBody"/>
        <w:bidi w:val="0"/>
        <w:spacing w:before="240" w:after="0"/>
        <w:jc w:val="left"/>
        <w:rPr>
          <w:rFonts w:ascii="Times New Roman" w:hAnsi="Times New Roman"/>
          <w:sz w:val="20"/>
        </w:rPr>
      </w:pPr>
      <w:r>
        <w:rPr>
          <w:rFonts w:ascii="Times New Roman" w:hAnsi="Times New Roman"/>
          <w:sz w:val="20"/>
        </w:rPr>
        <w:t>(aa) Except as otherwise described in the Pricing Disclosure Package and the Prospectus and except as would not, singly or in the aggregate, result in a material adverse effect on the consolidated financial position, shareholders’ equity or results of operations of the Company and its subsidiaries, taken as a whole,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sz w:val="20"/>
        </w:rPr>
        <w:t>Environmental Laws</w:t>
      </w:r>
      <w:r>
        <w:rPr>
          <w:rFonts w:ascii="Times New Roman" w:hAnsi="Times New Roman"/>
          <w:sz w:val="20"/>
        </w:rPr>
        <w:t xml:space="preserve">”),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violations, investigations or proceedings relating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Environmental Law against the Company or any of its subsidiaries and (D)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and </w:t>
      </w:r>
    </w:p>
    <w:p>
      <w:pPr>
        <w:pStyle w:val="TextBody"/>
        <w:bidi w:val="0"/>
        <w:spacing w:before="240" w:after="0"/>
        <w:jc w:val="left"/>
        <w:rPr>
          <w:rFonts w:ascii="Times New Roman" w:hAnsi="Times New Roman"/>
          <w:sz w:val="20"/>
        </w:rPr>
      </w:pPr>
      <w:r>
        <w:rPr>
          <w:rFonts w:ascii="Times New Roman" w:hAnsi="Times New Roman"/>
          <w:sz w:val="20"/>
        </w:rPr>
        <w:t xml:space="preserve">(bb) The Company has not (A) engaged in any Testing-the-Waters Communication (as defined below) or (B) authorized anyone to engage in Testing-the-Waters Communications; the Company has not distributed any Written Testing-the-Waters Communications (as defined below). “Testing-the-Waters Communication” means any oral or written communication with potential investors undertaken in reliance on Section 5(d) of the Act or Rule 163B promulgated under Section 5 of the Act. “Written Testing-the-Waters Communication” means any Testing-the-Waters Communication that is a “written communication” within the meaning of Rule 405.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of the Company and delivered to the Representatives or counsel for the Underwriters pursuant to this Agreement shall be deemed a representation and warranty by the Company, as to matters covered thereby, to each Underwriter, and the officer(s) signing such certificate shall have no personal liability for any representation or warranty so made. </w:t>
      </w:r>
    </w:p>
    <w:p>
      <w:pPr>
        <w:pStyle w:val="TextBody"/>
        <w:bidi w:val="0"/>
        <w:spacing w:before="240" w:after="0"/>
        <w:jc w:val="left"/>
        <w:rPr>
          <w:rFonts w:ascii="Times New Roman" w:hAnsi="Times New Roman"/>
          <w:sz w:val="20"/>
        </w:rPr>
      </w:pPr>
      <w:r>
        <w:rPr>
          <w:rFonts w:ascii="Times New Roman" w:hAnsi="Times New Roman"/>
          <w:sz w:val="20"/>
        </w:rPr>
        <w:t xml:space="preserve">2. The Company understands that upon authorization by the Representatives of the release of the Bonds, the several Underwriters propose to offer the Bonds for sale upon the terms and conditions set forth in the Prospectus, as amended or supplemented. </w:t>
      </w:r>
    </w:p>
    <w:p>
      <w:pPr>
        <w:pStyle w:val="TextBody"/>
        <w:bidi w:val="0"/>
        <w:spacing w:before="240" w:after="0"/>
        <w:jc w:val="left"/>
        <w:rPr>
          <w:rFonts w:ascii="Times New Roman" w:hAnsi="Times New Roman"/>
          <w:sz w:val="20"/>
        </w:rPr>
      </w:pPr>
      <w:r>
        <w:rPr>
          <w:rFonts w:ascii="Times New Roman" w:hAnsi="Times New Roman"/>
          <w:sz w:val="20"/>
        </w:rPr>
        <w:t xml:space="preserve">3.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a purchase price of 98.755% of the principal amount thereof, the aggregate principal amount of Bonds set forth in Schedule I hereto opposite the name of such Underwriter, plus any additional principal amount of Bonds which such Underwriter may become obligated to purchase pursuant to the provisions of Section 9 hereof. </w:t>
      </w:r>
    </w:p>
    <w:p>
      <w:pPr>
        <w:pStyle w:val="TextBody"/>
        <w:bidi w:val="0"/>
        <w:spacing w:before="240" w:after="0"/>
        <w:jc w:val="left"/>
        <w:rPr>
          <w:rFonts w:ascii="Times New Roman" w:hAnsi="Times New Roman"/>
          <w:sz w:val="20"/>
        </w:rPr>
      </w:pPr>
      <w:r>
        <w:rPr>
          <w:rFonts w:ascii="Times New Roman" w:hAnsi="Times New Roman"/>
          <w:sz w:val="20"/>
        </w:rPr>
        <w:t>4. Payment of the purchase price for, and delivery of certificates (and, if applicable, book-entry credits) for, the Bonds shall be made at the office of Latham &amp; Watkins LLP, 1271 Avenue of the Americas, New York, New York 10020 or at such other place as shall be agreed upon by the Representatives and the Company, at 10:00 a.m. (New York City time), on August 21, 2026, or such other time not later than ten business days after such date as shall be agreed upon by the Representatives and the Company (such time and date of payment and delivery being herein called the “</w:t>
      </w:r>
      <w:r>
        <w:rPr>
          <w:rFonts w:ascii="Times New Roman" w:hAnsi="Times New Roman"/>
          <w:b/>
          <w:sz w:val="20"/>
        </w:rPr>
        <w:t>Time of Delivery</w:t>
      </w:r>
      <w:r>
        <w:rPr>
          <w:rFonts w:ascii="Times New Roman" w:hAnsi="Times New Roman"/>
          <w:sz w:val="20"/>
        </w:rPr>
        <w:t xml:space="preserve">”). Payment shall be made to the Company by wire transfer of Federal (same day) funds to the account specified by the Company to the Representatives at least forty-eight hours in advance against delivery to the Representatives for the respective accounts of the Underwriters of certificates (or book-entry credits) for the Bonds to be purchased by them. Certificates (or book-entry credits) for the Bonds shall be in such authorized denominations and registered in such names as the Representatives may request upon at least forty-eight hours prior notice to the Company. It is understood that each Underwriter has authorized the Representatives, for its account, to accept delivery of, receipt for, and make payment of the purchase price for, the Bonds which it has agreed to purchase. MUFG Securities Americas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individually and not as representative of the Underwriters, may (but shall not be obligated to) make payment of the purchase price for the Bonds to be purchased by any Underwriter whose check has not been received by the Time of Delivery, but such payment shall not release such Underwriter from its obligations hereunder. The certificates for the Bonds will be made available for examination and, if applicable, packaging by the Representatives not later than 10:00 a.m. (New York City time), on the last business day prior to the Time of Delivery in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5. The Company agrees with each of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(a) To prepare the Prospectus, as amended or supplemented, in a form approved by the Representatives and to file such Prospectus pursuant to Rule 424(b) under the Act not later than the Commission’s close of business on the second business day following the date hereof or, if applicable, such earlier time as may be required by Rule 424(b); to make no further amendment or any supplement to the Registration Statement or Prospectus, as amended or supplemented, after the date hereof and on or prior to the Time of Delivery which shall be reasonably disapproved by the Representatives promptly after reasonable written notice thereof; to advise the Representatives promptly of any such amendment or supplement after the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(or a notice pursuant to Rule 173 of the Rules and Regulations) is required in connection with the offering or sale of the Bonds, and during such same period to advise the Representatives, promptly after it receives written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Bonds, of the suspension of the qualification of the Bonds for offering or sale in any jurisdiction, of the initiation or threatening of any proceeding for any such purpose, of any examination pursuant to Section 8(e) of the Act concerning the Registration Statement, of the Company becoming the subject of a proceeding under Section 8A of the Act in connection with the offering of the Bonds,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Bonds or suspending any such qualification, to promptly use reasonable best efforts to obtain the withdrawal of such order; </w:t>
      </w:r>
    </w:p>
    <w:p>
      <w:pPr>
        <w:pStyle w:val="TextBody"/>
        <w:bidi w:val="0"/>
        <w:spacing w:before="240" w:after="0"/>
        <w:jc w:val="left"/>
        <w:rPr>
          <w:rFonts w:ascii="Times New Roman" w:hAnsi="Times New Roman"/>
          <w:sz w:val="20"/>
        </w:rPr>
      </w:pPr>
      <w:r>
        <w:rPr>
          <w:rFonts w:ascii="Times New Roman" w:hAnsi="Times New Roman"/>
          <w:sz w:val="20"/>
        </w:rPr>
        <w:t>(b) To prepare a final term sheet or sheets, as the case may be (in either such case, the “</w:t>
      </w:r>
      <w:r>
        <w:rPr>
          <w:rFonts w:ascii="Times New Roman" w:hAnsi="Times New Roman"/>
          <w:b/>
          <w:sz w:val="20"/>
        </w:rPr>
        <w:t>Final Term Sheet</w:t>
      </w:r>
      <w:r>
        <w:rPr>
          <w:rFonts w:ascii="Times New Roman" w:hAnsi="Times New Roman"/>
          <w:sz w:val="20"/>
        </w:rPr>
        <w:t xml:space="preserve">”) reflecting the final terms of the Bonds and the offering thereof, in the form of Schedule III hereto (except that the Final Term Sheet may also include information regarding the credit ratings of the Bonds and such other information as the Company and the Representatives may agree), and file such Final Term Sheet as an “issuer free writing prospectus” pursuant to Rule 433 prior to the close of business two business days after the date hereof; </w:t>
      </w:r>
      <w:r>
        <w:rPr>
          <w:rFonts w:ascii="Times New Roman" w:hAnsi="Times New Roman"/>
          <w:sz w:val="20"/>
          <w:u w:val="single"/>
        </w:rPr>
        <w:t>provided</w:t>
      </w:r>
      <w:r>
        <w:rPr>
          <w:rFonts w:ascii="Times New Roman" w:hAnsi="Times New Roman"/>
          <w:sz w:val="20"/>
        </w:rPr>
        <w:t xml:space="preserve"> that the Company shall furnish the Representatives with copies of such Final Term Sheet a reasonable amount of time prior to such proposed filing and will not use or file any such document to which the Representatives or counsel to the Underwriters shall reasonably object;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at any time after the date hereof any events shall have occurred as a result of which any Issuer Free Writing Prospectus, as then amended or supplemented, would conflict with the information in the Registration Statement, the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(d) Promptly from time to time to take such action as the Representatives may reasonably request to qualify the Bonds for offering and sale under the securities laws of such domestic jurisdictions and (with the prior consent of the Company) foreign jurisdictions as the Representatives may request and to comply with such laws so as to permit the continuance of sales and dealings therein in such jurisdictions for as long as may be necessary to complete the distribution of the Bonds; </w:t>
      </w:r>
      <w:r>
        <w:rPr>
          <w:rFonts w:ascii="Times New Roman" w:hAnsi="Times New Roman"/>
          <w:sz w:val="20"/>
          <w:u w:val="single"/>
        </w:rPr>
        <w:t>provided</w:t>
      </w:r>
      <w:r>
        <w:rPr>
          <w:rFonts w:ascii="Times New Roman" w:hAnsi="Times New Roman"/>
          <w:sz w:val="20"/>
        </w:rPr>
        <w:t xml:space="preserve"> that in connection therewith the Company shall not be required to qualify as a foreign corporation or to file a general consent to service of process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Prior to 10:00 a.m., New York City time, on the second business day succeeding the date hereof, or such later time or date as agreed to by the Company and the Representatives, and from time to time, to furnish the Underwriters with copies of the Prospectus in New York City, as amended or supplemented, in such quantities as the Representatives may reasonably request, and, if the delivery of a prospectus (or a notice pursuant to Rule 173 of the Rules and Regulations) is required at any time in connection with the offering or sale of the Bonds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securities dealer participating in the offering of the Bonds as many copies as the Representatives may from time to time reasonably request of an amended Prospectus or a supplement to the Prospectus which will correct such statement or omission or effect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(f) To make generally available to its securityholders as soon as practicable, but in any event not later than fifteen months after the date hereof, an earnings statement of the Company and its consolidated subsidiaries (which need not be audited) complying with Section 11(a) of the Act and the Rules and Regulations (including, at the option of the Company, Rule 158);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During the period beginning on and including the date hereof and continuing to and including the later of (i) the termination of trading restrictions for the Bonds, as notified to the Company by the Representatives, but only if the Representatives shall have notified the Company in writing at the Time of Delivery that such trading restrictions have not been terminated, and (ii) the Time of Delivery, not to offer, sell, contract to sell or otherwise dispose of any of the Company’s first mortgage bonds, without the prior written consent of the Representatives; </w:t>
      </w:r>
      <w:r>
        <w:rPr>
          <w:rFonts w:ascii="Times New Roman" w:hAnsi="Times New Roman"/>
          <w:sz w:val="20"/>
          <w:u w:val="single"/>
        </w:rPr>
        <w:t>provided</w:t>
      </w:r>
      <w:r>
        <w:rPr>
          <w:rFonts w:ascii="Times New Roman" w:hAnsi="Times New Roman"/>
          <w:sz w:val="20"/>
        </w:rPr>
        <w:t xml:space="preserve"> that this subparagraph (g) shall not apply to the offer, issuance or sale of, or any contract to sell or other disposal of, the Bonds to the Underwriters pursuant to this Agreement; </w:t>
      </w:r>
    </w:p>
    <w:p>
      <w:pPr>
        <w:pStyle w:val="TextBody"/>
        <w:bidi w:val="0"/>
        <w:spacing w:before="240" w:after="0"/>
        <w:jc w:val="left"/>
        <w:rPr>
          <w:rFonts w:ascii="Times New Roman" w:hAnsi="Times New Roman"/>
          <w:sz w:val="20"/>
        </w:rPr>
      </w:pPr>
      <w:r>
        <w:rPr>
          <w:rFonts w:ascii="Times New Roman" w:hAnsi="Times New Roman"/>
          <w:sz w:val="20"/>
        </w:rPr>
        <w:t>(h) Immediately following the execution of this Agreement, the Company will prepare a prospectus supplement, dated the date hereof (the “</w:t>
      </w:r>
      <w:r>
        <w:rPr>
          <w:rFonts w:ascii="Times New Roman" w:hAnsi="Times New Roman"/>
          <w:b/>
          <w:sz w:val="20"/>
        </w:rPr>
        <w:t>Prospectus Supplement</w:t>
      </w:r>
      <w:r>
        <w:rPr>
          <w:rFonts w:ascii="Times New Roman" w:hAnsi="Times New Roman"/>
          <w:sz w:val="20"/>
        </w:rPr>
        <w:t xml:space="preserve">”), containing the terms of the Bonds, the plan of distribution thereof and such other information as may be required by the Act or the Rules and Regulations or as the Representatives and the Company deem appropriate, and will file or transmit for filing with the Commission in accordance with Rule 424(b) of the Rules and Regulations copies of the Prospectus (including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 To apply the net proceeds from the sale of the Bonds as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represents and agrees that, unless it obtains the prior consent of the Representatives, and each Underwriter represents and agrees that, unless it obtains the prior consent of the Company and the Representatives, it has not made and will not make any offer relating to the Bonds that would constitute an Issuer Free Writing Prospectus, or that would otherwise constitute a “free writing prospectus,” as defined in Rule 405, required to be filed with the Commission;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the prior consent of the Representatives and the Company shall be deemed to have been given in respect of the Final Term Sheet and any other Issuer Free Writing Prospectuses included in Schedule II hereto;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prior to the preparation of the Final Term Sheet in accordance with Section 5(b), the Underwriters are authorized to use the information with respect to the final terms of the Bonds in communications conveying information relating to the offering to investors. Any such free writing prospectus consented to by the Company and the Representatives or otherwise permitted by the immediately preceding sentence is hereinafter referred to as a “</w:t>
      </w:r>
      <w:r>
        <w:rPr>
          <w:rFonts w:ascii="Times New Roman" w:hAnsi="Times New Roman"/>
          <w:b/>
          <w:sz w:val="20"/>
        </w:rPr>
        <w:t>Permitted Free Writing Prospectus</w:t>
      </w:r>
      <w:r>
        <w:rPr>
          <w:rFonts w:ascii="Times New Roman" w:hAnsi="Times New Roman"/>
          <w:sz w:val="20"/>
        </w:rPr>
        <w:t xml:space="preserve">.” For purposes of clarity, it is understood and agreed that the term Issuer Free Writing Prospectus, as used in this Agreement, includes all Permitted Free Writing Prospectuses; and </w:t>
      </w:r>
    </w:p>
    <w:p>
      <w:pPr>
        <w:pStyle w:val="TextBody"/>
        <w:bidi w:val="0"/>
        <w:spacing w:before="240" w:after="0"/>
        <w:jc w:val="left"/>
        <w:rPr>
          <w:rFonts w:ascii="Times New Roman" w:hAnsi="Times New Roman"/>
          <w:sz w:val="20"/>
        </w:rPr>
      </w:pPr>
      <w:r>
        <w:rPr>
          <w:rFonts w:ascii="Times New Roman" w:hAnsi="Times New Roman"/>
          <w:sz w:val="20"/>
        </w:rPr>
        <w:t xml:space="preserve">(k) As promptly as reasonably practicable after the Time of Delivery, the Company will duly record the Current Supplemental Indenture in all offices of county recorders and clerks of all counties in the State of California in which any real property subject to the lien of the Indenture is located. </w:t>
      </w:r>
    </w:p>
    <w:p>
      <w:pPr>
        <w:pStyle w:val="TextBody"/>
        <w:bidi w:val="0"/>
        <w:spacing w:before="240" w:after="0"/>
        <w:jc w:val="left"/>
        <w:rPr>
          <w:rFonts w:ascii="Times New Roman" w:hAnsi="Times New Roman"/>
          <w:sz w:val="20"/>
        </w:rPr>
      </w:pPr>
      <w:r>
        <w:rPr>
          <w:rFonts w:ascii="Times New Roman" w:hAnsi="Times New Roman"/>
          <w:sz w:val="20"/>
        </w:rPr>
        <w:t xml:space="preserve">6. The Company covenants and agrees with the several Underwriters that the Company will pay or cause to be paid the following: (i) the fees, disbursements and expenses of the Company’s counsel and accountants in connection with the registration of the Bonds under the Act and all other expenses in connection with the preparation, printing and filing of the Registration Statement, the Preliminary Prospectus, any Permitted Free Writing Prospectus and the Prospectus and amendments and supplements thereto and the mailing and delivering of copies thereof to the Underwriters and dealers; (ii) the cost of printing or producing any agreement among Underwriters, this Agreement, the Indenture, any Blue Sky and Legal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Memoranda, closing documents (including any compilations thereof) and any other documents in connection with the offering, purchase, sale and delivery of the Bonds; (iii) all expenses in connection with the qualification of the Bonds for offering and sale under state securities laws as provided in Section 5(d) hereof, including the reasonable fees and disbursements of counsel for the Underwriters in connection with such qualification and in connection with the Blue Sky and Legal Investment Memoranda; (iv) any fees charged by securities rating services for rating the Bonds; (v) any filing fees incident to, and the reasonable fees and disbursements of counsel for the Underwriters in connection with, any required review by The Financial Industry Regulatory Authority, Inc. of the terms of the sale of the Bonds (up to a maximum aggregate amount of $5,000); (vi) the cost of preparing the Bonds; (vii) the fees and expenses of the Trustee and any agent of the Trustee and the reasonable fees and disbursements of counsel for the Trustee in connection with the Indenture and the Bonds; (viii) any fees and expenses in connection with listing the Bonds and any costs of registering the Bonds under Section 12 of the Exchange Act, if applicable; and (ix) 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 and expenses, including the fees of their counsel, transfer taxes on resale of any of the Bonds by them, and any advertising expenses connected with any offers they may make. </w:t>
      </w:r>
    </w:p>
    <w:p>
      <w:pPr>
        <w:pStyle w:val="TextBody"/>
        <w:bidi w:val="0"/>
        <w:spacing w:before="240" w:after="0"/>
        <w:jc w:val="left"/>
        <w:rPr>
          <w:rFonts w:ascii="Times New Roman" w:hAnsi="Times New Roman"/>
          <w:sz w:val="20"/>
        </w:rPr>
      </w:pPr>
      <w:r>
        <w:rPr>
          <w:rFonts w:ascii="Times New Roman" w:hAnsi="Times New Roman"/>
          <w:sz w:val="20"/>
        </w:rPr>
        <w:t xml:space="preserve">7. The obligations of the Underwriters shall be subject, in the discretion of the Representatives, to the condition that all representations and warranties and other statements of the Company in or incorporated by reference in this Agreement are, at and as of the Time of Delivery, true and correct, the condition that the Company shall have performed all of its obligations hereunder theretofore to be performed, and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Prospectus, as amended or supplemented, shall have been filed with the Commission pursuant to Rule 424(b) within the applicable time period prescribed for such filing (without reliance on Rule 424(b)(8) of the Rules and Regulations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from the Commission shall have been complied with to the Representatives’ reasonable satisfaction. </w:t>
      </w:r>
    </w:p>
    <w:p>
      <w:pPr>
        <w:pStyle w:val="TextBody"/>
        <w:bidi w:val="0"/>
        <w:spacing w:before="240" w:after="0"/>
        <w:jc w:val="left"/>
        <w:rPr>
          <w:rFonts w:ascii="Times New Roman" w:hAnsi="Times New Roman"/>
          <w:sz w:val="20"/>
        </w:rPr>
      </w:pPr>
      <w:r>
        <w:rPr>
          <w:rFonts w:ascii="Times New Roman" w:hAnsi="Times New Roman"/>
          <w:sz w:val="20"/>
        </w:rPr>
        <w:t xml:space="preserve">(b) Counsel for the Underwriters shall have furnished to the Representatives such written opinion or opinions, dated the Time of Delivery, with respect to the Registration Statement and the Prospectus, as amended or supplemented, as well as such other related matters as the Representatives may reasonably request, and such counsel shall have received such papers and information as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(c) The Company’s general counsel, or any associate or assistant general counsel of the Company, shall have furnished to the Representatives a written opinion, dated the Time of Delivery, in the form previously agreed and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(d) Latham &amp; Watkins LLP shall have furnished to the Representatives its written opinion or opinions and negative assurances letter, dated the Time of Delivery, in the forms previously agreed and satisfactory to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Deloitte &amp; Touche LLP shall have furnished to the Representatives, on the date hereof at a time prior to the execution of this Agreement, a letter, dated the date hereof, in form and substance reasonably satisfactory to the Representatives, containing statements and information of the type ordinarily included in accountants’ “comfort letters” to underwriters, and, at the Time of Delivery, a letter dated the Time of Delivery reaffirming the statements made in their letter dated the date hereof, except that the specified date referred to in such letter delivered on the Time of Delivery shall be a date not more than three days prior to the Time of Delivery, and with respect to such letter dated the Time of Delivery, as to such other matters as the Representatives may reasonably request and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 (i) The Company and its subsidiaries, taken as a whole, shall have not sustained since the date of the latest audited financial statements included or incorporated by reference in the Prospectus, as amended prior to the date hereof, any material loss or interference with its business from fire, explosion, flood or other calamity, whether or not covered by insurance, or from any labor dispute or court or governmental action, order or decree, otherwise than as set forth or contemplated in the Pricing Disclosure Package and the Prospectus, as amended prior to the date hereof, and (ii) since the respective dates as of which information is given in the Pricing Disclosure Package and the Prospectus, as amended prior to the date hereof, there shall not have been any material change in the capital stock or long-term debt of the Company or any of its subsidiaries or any material adverse change, or any development involving a prospective material adverse change, in or affecting the general affairs, management or consolidated financial position, shareholders’ equity or results of operations of the Company and its subsidiaries, taken as a whole, in each case otherwise than as set forth or contemplated in the Pricing Disclosure Package and the Prospectus, as amended prior to the date hereof, the effect of which, in any such case described in clause (i) or (ii), is in the judgment of the Representatives so material and adverse to the Company and its subsidiaries, taken as a whole, as to make it impracticable or inadvisable to proceed with the public offering or the delivery of the Bonds on the terms and in the manner contemplated in the Pricing Disclosure Package and the Prospectus as first amended or supplemented. </w:t>
      </w:r>
    </w:p>
    <w:p>
      <w:pPr>
        <w:pStyle w:val="TextBody"/>
        <w:bidi w:val="0"/>
        <w:spacing w:before="240" w:after="0"/>
        <w:jc w:val="left"/>
        <w:rPr>
          <w:rFonts w:ascii="Times New Roman" w:hAnsi="Times New Roman"/>
          <w:sz w:val="20"/>
        </w:rPr>
      </w:pPr>
      <w:r>
        <w:rPr>
          <w:rFonts w:ascii="Times New Roman" w:hAnsi="Times New Roman"/>
          <w:sz w:val="20"/>
        </w:rPr>
        <w:t xml:space="preserve">(g) At or after the Applicable Time (i) no downgrading shall have occurred in the rating accorded any of the Company’s secured debt securities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secured debt securities. </w:t>
      </w:r>
    </w:p>
    <w:p>
      <w:pPr>
        <w:pStyle w:val="TextBody"/>
        <w:bidi w:val="0"/>
        <w:spacing w:before="240" w:after="0"/>
        <w:jc w:val="left"/>
        <w:rPr>
          <w:rFonts w:ascii="Times New Roman" w:hAnsi="Times New Roman"/>
          <w:sz w:val="20"/>
        </w:rPr>
      </w:pPr>
      <w:r>
        <w:rPr>
          <w:rFonts w:ascii="Times New Roman" w:hAnsi="Times New Roman"/>
          <w:sz w:val="20"/>
        </w:rPr>
        <w:t>(h) On or after the date hereof there shall not have occurred any of the following: (i) a suspension or material limitation in trading in securities generally on the New York Stock Exchange (the “</w:t>
      </w:r>
      <w:r>
        <w:rPr>
          <w:rFonts w:ascii="Times New Roman" w:hAnsi="Times New Roman"/>
          <w:b/>
          <w:sz w:val="20"/>
        </w:rPr>
        <w:t>NYSE</w:t>
      </w:r>
      <w:r>
        <w:rPr>
          <w:rFonts w:ascii="Times New Roman" w:hAnsi="Times New Roman"/>
          <w:sz w:val="20"/>
        </w:rPr>
        <w:t xml:space="preserve">”) or the Nasdaq Global Market; (ii) a suspension or material limitation in trading in the Company’s securities on the NYSE; (iii) a general moratorium on commercial banking activities declared by either Federal or New York or California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or any change or development involving a prospective change in national or international political, financial or economic conditions, if the effect of any such event specified in this clause (iv) in the judgment of the Representatives (A) is material and adverse and (B) makes it impracticable or inadvisable to proceed with the public offering or the delivery of the Bonds on the terms and in the manner contemplated in the Pricing Disclosure Package and the Prospectus as first amended or supplemented.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shall have complied with the provisions of Section 5(e) hereof with respect to the furnishing of prospectuses on the second business day succeeding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have furnished or caused to be furnished to the Representatives at the Time of Delivery a certificate of officers of the Company satisfactory to the Representatives as to the accuracy of the representations and warranties of the Company herein at and as of the Time of Delivery, as to the performance by the Company of all of its obligations hereunder to be performed at or prior to the Time of Delivery, as to the matters set forth in subsections (a) and (f) of this Section and as to such other matters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8.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Preliminary Prospectus, the Registration Statement, any Issuer Free Writing Prospectus, the Prospectus or any other prospectus relating to the Bonds,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the Company shall not be liable in any such case to the extent that any such loss, claim, damage or liability arises out of or is based upon an untrue statement or alleged untrue statement or omission or alleged omission made in the Preliminary Prospectus, the Registration Statement, any Issuer Free Writing Prospectus, the Prospectus or any other prospectus relating to the Bonds or any amendment or supplement thereto in reliance upon and in conformity with written information furnished to the Company by any Underwriter through the Representatives expressly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(b) 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Preliminary Prospectus, the Registration Statement, any Issuer Free Writing Prospectus, the Prospectus or any other prospectus relating to the Bonds,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Preliminary Prospectus, the Registration Statement, any Issuer Free Writing Prospectus, the Prospectus or any other prospectus relating to the Bonds or any such amendment or supplement thereto in reliance upon and in conformity with written information furnished to the Company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Underwriter through the Representatives expressly for use therein, it being understood and agreed that the only such information consists of the following: the information in the third paragraph of text under the caption “Underwriting (Conflicts of Interest)” in the Preliminary Prospectus and the Prospectus concerning the terms of the offering by the Underwriters; and the information in the third sentence of the fourth paragraph of text, and the sixth, seventh, eighth and ninth paragraphs of text (solely with respect to the statements attributable to the Underwriters) under the caption “Underwriting (Conflicts of Interest)” in the Preliminary Prospectus and the Prospectus, insofar as such information relates to market making, stabilization, penalty bids, overallotment, short positions and purchases to cover short positions by the Underwriters; and will reimburse the Company for any legal or other expenses reasonably incurred by the Company in connection with investigating or defending any such action or claim as such expenses are incurred.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under such subsection to the extent it is not materially prejudiced as a result thereof and in any event shall not relieve it from any liability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the Representatives shall have the right to employ counsel to represent jointly the Underwriters and their respective directors, officers, employees, agents and controlling persons who may be subject to liability arising out of any claim in respect of which indemnity may be sought by the Underwriters against the Company under this Section 8, if the Representatives shall have reasonably concluded that there may be one or more legal defenses available to the Underwriters and their respective directors, officers, employees, agents and controlling persons that are different from or additional to those available to the Company and its officers, directors, employees and controlling persons, and in each case the fees and expenses of a single separate counsel for the Underwriters and their respective directors, officers, employees, agents and controlling persons (in addition to local counsel) shall be paid by the Company. The indemnifying party shall not be liable for any settlement or compromise of, or the consent to the entry of any judgment with respect to, any pending or threatened action or claim in respect of which indemnification may be sought hereunder effected without the prior written consent of the indemnifying party (which consent shall not be unreasonably withheld), but, if settled or compromised with the indemnifying party’s consent, or if judgment shall be entered following consent to the entry of such judgment given with the indemnifying party’s consent, or if there shall otherwise be a final judgment for the plaintiff, the indemnifying party agrees to indemnify and hold harmless each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against any and all losses, claims, damages, liabilities and expenses, joint or several, by reason of such settlement, compromise or judgment, as the case may be. No indemnifying party shall, without the prior written consent of the indemnified party (which consent shall not be unreasonably withheld),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Bonds contemplated by this Agreement. If, however, the allocation provided by the immediately preceding sentence is not permitted by applicable law or if the indemnified party failed to give the notice required under subsection (c) above, then in each case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of the Bonds contemplated by this Agreement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Bonds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in this subsection (d) to contribute are several in proportion to their respective underwriting obligations with respect to the Bonds and not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obligations of the Company under this Section 8 shall be in addition to any liability which the Company may otherwise have and shall extend, upon the same terms and conditions, to each director, officer, employee and agent of any Underwriter and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director and employee of the Company and to each person, if any, who controls the Company within the meaning of the Act. </w:t>
      </w:r>
    </w:p>
    <w:p>
      <w:pPr>
        <w:pStyle w:val="TextBody"/>
        <w:bidi w:val="0"/>
        <w:spacing w:before="240" w:after="0"/>
        <w:jc w:val="left"/>
        <w:rPr>
          <w:rFonts w:ascii="Times New Roman" w:hAnsi="Times New Roman"/>
          <w:sz w:val="20"/>
        </w:rPr>
      </w:pPr>
      <w:r>
        <w:rPr>
          <w:rFonts w:ascii="Times New Roman" w:hAnsi="Times New Roman"/>
          <w:sz w:val="20"/>
        </w:rPr>
        <w:t>9. (a) If any Underwriter shall default in its obligation to purchase the Bonds which it has agreed to purchase under this Agreement, the Representatives may in their discretion arrange for themselves or another party or other parties to purchase such Bonds on the terms contained herein. If within thirty-six hours after such default by any Underwriter the Representatives do not arrange for the purchase of such Bonds, then the Company shall be entitled to a further period of thirty-six hours within which to procure another party or other parties reasonably satisfactory to the Representatives to purchase such Bonds on such terms. In the event that, within the respective prescribed period, the Representatives notify the Company that they have so arranged for the purchase of such Bonds, or the Company notifies the Representatives that it has so arranged for the purchase of such Bonds, the Representatives or the Company shall have the right to postpone the Time of Delivery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w:t>
      </w:r>
      <w:r>
        <w:rPr>
          <w:rFonts w:ascii="Times New Roman" w:hAnsi="Times New Roman"/>
          <w:b/>
          <w:sz w:val="20"/>
        </w:rPr>
        <w:t>Underwriter</w:t>
      </w:r>
      <w:r>
        <w:rPr>
          <w:rFonts w:ascii="Times New Roman" w:hAnsi="Times New Roman"/>
          <w:sz w:val="20"/>
        </w:rPr>
        <w:t xml:space="preserve">” as used in this Agreement shall include any person substituted under this Section with like effect as if such person had originally been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Bonds of a defaulting Underwriter or Underwriters by the Representatives and the Company as provided in subsection (a) above, the aggregate principal amount of the Bonds which remains unpurchased does not exceed one-eleventh of the aggregate principal amount of the Bonds, then the Company shall have the right to require each non-defaulting Underwriter to purchase the principal amount of Bonds which such Underwriter agreed to purchase under this Agreement and, in addition, to require each non-defaulting Underwriter to purchase its pro rata share (based on the principal amount of Bonds which such Underwriter agreed to purchase under this Agreement) of the Bonds of such defaulting Underwriter or Underwriters for which such arrangements have not been made; but nothing herein shall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Bonds of a defaulting Underwriter or Underwriters by the Representatives and the Company as provided in subsection (a) above, the aggregate principal amount of Bonds which remains unpurchased exceeds one-eleventh of the aggregate principal amount of the Bonds, or if the Company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exercise the right described in subsection (b) above to require non-defaulting Underwriters to purchase Bonds of a defaulting Underwriter or Underwriters, then this Agreement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10. 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Bonds. </w:t>
      </w:r>
    </w:p>
    <w:p>
      <w:pPr>
        <w:pStyle w:val="TextBody"/>
        <w:bidi w:val="0"/>
        <w:spacing w:before="240" w:after="0"/>
        <w:jc w:val="left"/>
        <w:rPr>
          <w:rFonts w:ascii="Times New Roman" w:hAnsi="Times New Roman"/>
          <w:sz w:val="20"/>
        </w:rPr>
      </w:pPr>
      <w:r>
        <w:rPr>
          <w:rFonts w:ascii="Times New Roman" w:hAnsi="Times New Roman"/>
          <w:sz w:val="20"/>
        </w:rPr>
        <w:t xml:space="preserve">11. If this Agreement shall be terminated pursuant to Section 9 hereof, the Company shall not then be under any liability to any Underwriter with respect to the Bonds except as provided in Sections 6 and 8 hereof; but, if for any other reason Bonds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Bonds, but the Company shall then be under no further liability to any Underwriter with respect to the Bonds except as provided in Sections 6 and 8 hereof. </w:t>
      </w:r>
    </w:p>
    <w:p>
      <w:pPr>
        <w:pStyle w:val="TextBody"/>
        <w:bidi w:val="0"/>
        <w:spacing w:before="240" w:after="0"/>
        <w:jc w:val="left"/>
        <w:rPr>
          <w:rFonts w:ascii="Times New Roman" w:hAnsi="Times New Roman"/>
          <w:sz w:val="20"/>
        </w:rPr>
      </w:pPr>
      <w:r>
        <w:rPr>
          <w:rFonts w:ascii="Times New Roman" w:hAnsi="Times New Roman"/>
          <w:sz w:val="20"/>
        </w:rPr>
        <w:t xml:space="preserve">12. In all dealings hereunder, the Representatives of the Underwriters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requests, notices and agreements hereunder shall be in writing, and if to the Underwriters shall be delivered or sent by mail, overnight courier or facsimile transmission to Barclays Capital Inc., 745 Seventh Avenue, New York, New York 10019, Attention: Syndicate Registration, Facsimile: 646-834-8133; Credit Agricole Securities (USA) Inc., 1301 Avenue of the Americas, New York, New York 10019, Attention: Debt Capital Markets, Email: DCMNewYork@ca-cib.com; MUFG Securities Americas Inc. at 1221 Avenue of the Americas, 6th Floor, New York, New York 10020, Attention: Capital Markets Group, Facsimile: 646-434-3455; and TD Securities (USA) LLC, 1 Vanderbilt Avenue, 11th Floor, New York, New York 10017, Attention: DCM – Transaction Advisory, Email: ustransactionadvisory@tdsecurities.com; and if to the Company shall be delivered or sent by mail or overnight courier to the address of the Company set forth on the cover page of the Registration Statement, Attention: Secretary, with a copy to the General Counsel and to the Treasurer;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any notice to an Underwriter pursuant to Section 8(c) hereof shall be delivered or sent by mail, overnight courier or facsimile transmission to such Underwriter at its address set forth in its Underwriters’ Questionnaire, or email or facsimile transmission constituting such Questionnaire, which address will be supplied to the Company by the Representatives upon request. Any such statements, requests, notices or agreements shall take effect upon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13. This Agreement shall be binding upon, and inure solely to the benefit of, the Underwriters, the Company and, to the extent provided in Sections 8 and 10 hereof, the directors, officers, employees and agents of each Underwriter, the officers, directors and employees of the Company and each person who controls the Company or any Underwriter, and their respective heirs, executors, administrators, successors and assigns, and no other person shall acquire or have any right under or by virtue of this Agreement. No purchaser of any of the Bonds from any Underwriter shall be deemed a successor or assign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14. The Company acknowledges and agrees that the Underwriters are acting solely in the capacity of an arm’s length contractual counterparty to the Company with respect to the offering of the Bonds contemplated hereby (including in connection with determining the terms of the offering) and not as a financial advisor or a fiduciary to, or an agent of, the Company or any other person. The Company agrees that it will not claim that the Underwriters have rendered advisory services of any nature or respect, or owe an agency, fiduciary or similar duty to the Company, in connection with the transactions contemplated hereby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and none of the activities of the Underwriters in connection with the transactions contemplated herein constitutes a recommendation or investment advice by the Underwriters with respect to any entity or natural person. </w:t>
      </w:r>
    </w:p>
    <w:p>
      <w:pPr>
        <w:pStyle w:val="TextBody"/>
        <w:bidi w:val="0"/>
        <w:spacing w:before="240" w:after="0"/>
        <w:jc w:val="left"/>
        <w:rPr>
          <w:rFonts w:ascii="Times New Roman" w:hAnsi="Times New Roman"/>
          <w:sz w:val="20"/>
        </w:rPr>
      </w:pPr>
      <w:r>
        <w:rPr>
          <w:rFonts w:ascii="Times New Roman" w:hAnsi="Times New Roman"/>
          <w:sz w:val="20"/>
        </w:rPr>
        <w:t xml:space="preserve">15.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the purposes of this Section 15,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16. Time shall be of the essence of this Agreement. As used herein, “</w:t>
      </w:r>
      <w:r>
        <w:rPr>
          <w:rFonts w:ascii="Times New Roman" w:hAnsi="Times New Roman"/>
          <w:b/>
          <w:sz w:val="20"/>
        </w:rPr>
        <w:t>business day</w:t>
      </w:r>
      <w:r>
        <w:rPr>
          <w:rFonts w:ascii="Times New Roman" w:hAnsi="Times New Roman"/>
          <w:sz w:val="20"/>
        </w:rPr>
        <w:t xml:space="preserve">” shall mean, unless otherwise expressly stated, any day when the Commission’s office in Washington, D.C. is open for business, which for these purposes shall be deemed to include days on which the Commission’s electronic data gathering, analysis, and retrieval system is accepting filings. </w:t>
      </w:r>
    </w:p>
    <w:p>
      <w:pPr>
        <w:pStyle w:val="TextBody"/>
        <w:bidi w:val="0"/>
        <w:spacing w:before="240" w:after="0"/>
        <w:jc w:val="left"/>
        <w:rPr>
          <w:rFonts w:ascii="Times New Roman" w:hAnsi="Times New Roman"/>
          <w:sz w:val="20"/>
        </w:rPr>
      </w:pPr>
      <w:r>
        <w:rPr>
          <w:rFonts w:ascii="Times New Roman" w:hAnsi="Times New Roman"/>
          <w:sz w:val="20"/>
        </w:rPr>
        <w:t xml:space="preserve">17.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18. This Agreement may be executed by any one or more of the parties hereto in any number of counterparts, each of which shall be deemed to be an original, but all such respective counterparts shall together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The words “execution,” “signed,” “signature,” and words of like import in this Agreement or in any instruments, agreements, certificates, officers’ certificates, Company orders, legal opinions, negative assurance letters or other documents entered into or delivered pursuant to or in connection with this Agreement or the issuance or sale of the Bonds shall include images of manually executed signatures transmitted by facsimile or other electronic format (including, without limitation, “pdf,” “tif” or “jpg”) and electronic signatures (including, without limitation, DocuSign and AdobeSign), and this Agreement and any instruments, agreements, certificates, officers’ certificates, Company orders, legal opinions, negative assurance letters or other documents entered into or delivered pursuant to or in connection with this Agreement may be executed, attested and transmitted by any of the foregoing electronic means and formats.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sign and return to us one for the Company and for each of the Representatives plus one for each counsel counterparts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Southern California Gas Company</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3" w:type="dxa"/>
            <w:tcBorders>
              <w:bottom w:val="single" w:sz="2" w:space="0" w:color="000000"/>
            </w:tcBorders>
            <w:tcMar>
              <w:bottom w:w="28" w:type="dxa"/>
            </w:tcMar>
          </w:tcPr>
          <w:p>
            <w:pPr>
              <w:pStyle w:val="TableContents"/>
              <w:bidi w:val="0"/>
              <w:spacing w:before="0" w:after="283"/>
              <w:jc w:val="left"/>
              <w:rPr/>
            </w:pPr>
            <w:r>
              <w:rPr/>
              <w:t>/s/ Jawaad A. Malik</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 Jawaad A. Malik</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 Strategy and Financial Planning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hereof: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Barclays Capital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John Lembeck</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 John Lembeck</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Credit Agricole Securities (USA)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Nils Hansen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 Nils Hansen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Ivan Hrazdira</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 Ivan Hrazdira</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MUFG Securities Americas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Lee Schreibstein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 Lee Schreibstein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TD Securities (USA) LLC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Luiz Lanfredi</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 Luiz Lanfredi</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Acting as Representatives of the several Underwriters, on behalf of each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41"/>
        <w:gridCol w:w="483"/>
        <w:gridCol w:w="225"/>
        <w:gridCol w:w="1993"/>
        <w:gridCol w:w="63"/>
      </w:tblGrid>
      <w:tr>
        <w:trPr/>
        <w:tc>
          <w:tcPr>
            <w:tcW w:w="7441"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44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Underwriter</w:t>
            </w:r>
          </w:p>
        </w:tc>
        <w:tc>
          <w:tcPr>
            <w:tcW w:w="483" w:type="dxa"/>
            <w:tcBorders/>
            <w:vAlign w:val="bottom"/>
          </w:tcPr>
          <w:p>
            <w:pPr>
              <w:pStyle w:val="TableContents"/>
              <w:bidi w:val="0"/>
              <w:spacing w:before="0" w:after="283"/>
              <w:jc w:val="left"/>
              <w:rPr/>
            </w:pPr>
            <w:r>
              <w:rPr/>
              <w:t>  </w:t>
            </w:r>
          </w:p>
        </w:tc>
        <w:tc>
          <w:tcPr>
            <w:tcW w:w="2218" w:type="dxa"/>
            <w:gridSpan w:val="2"/>
            <w:tcBorders>
              <w:bottom w:val="single" w:sz="8" w:space="0" w:color="000000"/>
            </w:tcBorders>
            <w:tcMar>
              <w:bottom w:w="28" w:type="dxa"/>
            </w:tcMar>
            <w:vAlign w:val="bottom"/>
          </w:tcPr>
          <w:p>
            <w:pPr>
              <w:pStyle w:val="TableContents"/>
              <w:bidi w:val="0"/>
              <w:spacing w:before="0" w:after="283"/>
              <w:jc w:val="center"/>
              <w:rPr/>
            </w:pPr>
            <w:r>
              <w:rPr/>
              <w:t>Principal Amount of</w:t>
              <w:br/>
              <w:t>Bonds to be Purchased</w:t>
            </w:r>
          </w:p>
        </w:tc>
        <w:tc>
          <w:tcPr>
            <w:tcW w:w="63" w:type="dxa"/>
            <w:tcBorders/>
            <w:vAlign w:val="bottom"/>
          </w:tcPr>
          <w:p>
            <w:pPr>
              <w:pStyle w:val="TableContents"/>
              <w:bidi w:val="0"/>
              <w:spacing w:before="0" w:after="283"/>
              <w:jc w:val="left"/>
              <w:rPr/>
            </w:pPr>
            <w:r>
              <w:rPr/>
              <w:t> </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48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993" w:type="dxa"/>
            <w:tcBorders/>
            <w:shd w:fill="CCEEFF" w:val="clear"/>
            <w:vAlign w:val="bottom"/>
          </w:tcPr>
          <w:p>
            <w:pPr>
              <w:pStyle w:val="TableContents"/>
              <w:bidi w:val="0"/>
              <w:spacing w:before="0" w:after="283"/>
              <w:jc w:val="right"/>
              <w:rPr/>
            </w:pPr>
            <w:r>
              <w:rPr/>
              <w:t>112,000,000</w:t>
            </w:r>
          </w:p>
        </w:tc>
        <w:tc>
          <w:tcPr>
            <w:tcW w:w="63" w:type="dxa"/>
            <w:tcBorders/>
            <w:shd w:fill="CCEEFF" w:val="clear"/>
            <w:vAlign w:val="bottom"/>
          </w:tcPr>
          <w:p>
            <w:pPr>
              <w:pStyle w:val="TableContents"/>
              <w:bidi w:val="0"/>
              <w:spacing w:before="0" w:after="283"/>
              <w:jc w:val="left"/>
              <w:rPr/>
            </w:pPr>
            <w:r>
              <w:rPr/>
              <w:t> </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tc>
        <w:tc>
          <w:tcPr>
            <w:tcW w:w="48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pPr>
            <w:r>
              <w:rPr/>
              <w:t>112,000,000</w:t>
            </w:r>
          </w:p>
        </w:tc>
        <w:tc>
          <w:tcPr>
            <w:tcW w:w="63" w:type="dxa"/>
            <w:tcBorders/>
            <w:vAlign w:val="bottom"/>
          </w:tcPr>
          <w:p>
            <w:pPr>
              <w:pStyle w:val="TableContents"/>
              <w:bidi w:val="0"/>
              <w:spacing w:before="0" w:after="283"/>
              <w:jc w:val="left"/>
              <w:rPr/>
            </w:pPr>
            <w:r>
              <w:rPr/>
              <w:t> </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48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pPr>
            <w:r>
              <w:rPr/>
              <w:t>114,000,000</w:t>
            </w:r>
          </w:p>
        </w:tc>
        <w:tc>
          <w:tcPr>
            <w:tcW w:w="63" w:type="dxa"/>
            <w:tcBorders/>
            <w:shd w:fill="CCEEFF" w:val="clear"/>
            <w:vAlign w:val="bottom"/>
          </w:tcPr>
          <w:p>
            <w:pPr>
              <w:pStyle w:val="TableContents"/>
              <w:bidi w:val="0"/>
              <w:spacing w:before="0" w:after="283"/>
              <w:jc w:val="left"/>
              <w:rPr/>
            </w:pPr>
            <w:r>
              <w:rPr/>
              <w:t> </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48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pPr>
            <w:r>
              <w:rPr/>
              <w:t>112,000,000</w:t>
            </w:r>
          </w:p>
        </w:tc>
        <w:tc>
          <w:tcPr>
            <w:tcW w:w="63" w:type="dxa"/>
            <w:tcBorders/>
            <w:vAlign w:val="bottom"/>
          </w:tcPr>
          <w:p>
            <w:pPr>
              <w:pStyle w:val="TableContents"/>
              <w:bidi w:val="0"/>
              <w:spacing w:before="0" w:after="283"/>
              <w:jc w:val="left"/>
              <w:rPr/>
            </w:pPr>
            <w:r>
              <w:rPr/>
              <w:t> </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Penserra Securities LLC</w:t>
            </w:r>
          </w:p>
        </w:tc>
        <w:tc>
          <w:tcPr>
            <w:tcW w:w="48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pPr>
            <w:r>
              <w:rPr/>
              <w:t>26,000,000</w:t>
            </w:r>
          </w:p>
        </w:tc>
        <w:tc>
          <w:tcPr>
            <w:tcW w:w="63" w:type="dxa"/>
            <w:tcBorders/>
            <w:shd w:fill="CCEEFF" w:val="clear"/>
            <w:vAlign w:val="bottom"/>
          </w:tcPr>
          <w:p>
            <w:pPr>
              <w:pStyle w:val="TableContents"/>
              <w:bidi w:val="0"/>
              <w:spacing w:before="0" w:after="283"/>
              <w:jc w:val="left"/>
              <w:rPr/>
            </w:pPr>
            <w:r>
              <w:rPr/>
              <w:t> </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Blaylock Van, LLC</w:t>
            </w:r>
          </w:p>
        </w:tc>
        <w:tc>
          <w:tcPr>
            <w:tcW w:w="48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pPr>
            <w:r>
              <w:rPr/>
              <w:t>12,000,000</w:t>
            </w:r>
          </w:p>
        </w:tc>
        <w:tc>
          <w:tcPr>
            <w:tcW w:w="63" w:type="dxa"/>
            <w:tcBorders/>
            <w:vAlign w:val="bottom"/>
          </w:tcPr>
          <w:p>
            <w:pPr>
              <w:pStyle w:val="TableContents"/>
              <w:bidi w:val="0"/>
              <w:spacing w:before="0" w:after="283"/>
              <w:jc w:val="left"/>
              <w:rPr/>
            </w:pPr>
            <w:r>
              <w:rPr/>
              <w:t> </w:t>
            </w:r>
          </w:p>
        </w:tc>
      </w:tr>
      <w:tr>
        <w:trPr/>
        <w:tc>
          <w:tcPr>
            <w:tcW w:w="7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MFR Securities, Inc.</w:t>
            </w:r>
          </w:p>
        </w:tc>
        <w:tc>
          <w:tcPr>
            <w:tcW w:w="48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pPr>
            <w:r>
              <w:rPr/>
              <w:t>12,000,000</w:t>
            </w:r>
          </w:p>
        </w:tc>
        <w:tc>
          <w:tcPr>
            <w:tcW w:w="63" w:type="dxa"/>
            <w:tcBorders/>
            <w:shd w:fill="CCEEFF" w:val="clear"/>
            <w:vAlign w:val="bottom"/>
          </w:tcPr>
          <w:p>
            <w:pPr>
              <w:pStyle w:val="TableContents"/>
              <w:bidi w:val="0"/>
              <w:spacing w:before="0" w:after="283"/>
              <w:jc w:val="left"/>
              <w:rPr/>
            </w:pPr>
            <w:r>
              <w:rPr/>
              <w:t> </w:t>
            </w:r>
          </w:p>
        </w:tc>
      </w:tr>
      <w:tr>
        <w:trPr/>
        <w:tc>
          <w:tcPr>
            <w:tcW w:w="7441"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99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44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8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993" w:type="dxa"/>
            <w:tcBorders/>
            <w:vAlign w:val="bottom"/>
          </w:tcPr>
          <w:p>
            <w:pPr>
              <w:pStyle w:val="TableContents"/>
              <w:bidi w:val="0"/>
              <w:spacing w:before="0" w:after="283"/>
              <w:jc w:val="right"/>
              <w:rPr/>
            </w:pPr>
            <w:r>
              <w:rPr/>
              <w:t>500,000,000</w:t>
            </w:r>
          </w:p>
        </w:tc>
        <w:tc>
          <w:tcPr>
            <w:tcW w:w="63" w:type="dxa"/>
            <w:tcBorders/>
            <w:vAlign w:val="bottom"/>
          </w:tcPr>
          <w:p>
            <w:pPr>
              <w:pStyle w:val="TableContents"/>
              <w:bidi w:val="0"/>
              <w:spacing w:before="0" w:after="283"/>
              <w:jc w:val="left"/>
              <w:rPr/>
            </w:pPr>
            <w:r>
              <w:rPr/>
              <w:t> </w:t>
            </w:r>
          </w:p>
        </w:tc>
      </w:tr>
      <w:tr>
        <w:trPr/>
        <w:tc>
          <w:tcPr>
            <w:tcW w:w="7441"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99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Writing Prospectus dated August 17, 2026, filed with the Commission on August 17,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III </w:t>
      </w:r>
    </w:p>
    <w:p>
      <w:pPr>
        <w:pStyle w:val="TextBody"/>
        <w:bidi w:val="0"/>
        <w:spacing w:before="240" w:after="0"/>
        <w:jc w:val="right"/>
        <w:rPr>
          <w:rFonts w:ascii="Times New Roman" w:hAnsi="Times New Roman"/>
          <w:sz w:val="20"/>
        </w:rPr>
      </w:pPr>
      <w:r>
        <w:rPr>
          <w:rFonts w:ascii="Times New Roman" w:hAnsi="Times New Roman"/>
          <w:sz w:val="20"/>
        </w:rPr>
        <w:t xml:space="preserve">Free Writing Prospectus </w:t>
      </w:r>
    </w:p>
    <w:p>
      <w:pPr>
        <w:pStyle w:val="TextBody"/>
        <w:bidi w:val="0"/>
        <w:spacing w:before="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Statement No. 333-295219 </w:t>
      </w:r>
    </w:p>
    <w:p>
      <w:pPr>
        <w:pStyle w:val="TextBody"/>
        <w:bidi w:val="0"/>
        <w:spacing w:before="480" w:after="0"/>
        <w:jc w:val="center"/>
        <w:rPr>
          <w:rFonts w:ascii="Times New Roman" w:hAnsi="Times New Roman"/>
          <w:b/>
          <w:sz w:val="20"/>
        </w:rPr>
      </w:pPr>
      <w:r>
        <w:rPr>
          <w:rFonts w:ascii="Times New Roman" w:hAnsi="Times New Roman"/>
          <w:b/>
          <w:sz w:val="20"/>
        </w:rPr>
        <w:t xml:space="preserve">Southern California Gas Company </w:t>
      </w:r>
    </w:p>
    <w:p>
      <w:pPr>
        <w:pStyle w:val="TextBody"/>
        <w:bidi w:val="0"/>
        <w:spacing w:before="120" w:after="0"/>
        <w:jc w:val="center"/>
        <w:rPr>
          <w:rFonts w:ascii="Times New Roman" w:hAnsi="Times New Roman"/>
          <w:sz w:val="20"/>
        </w:rPr>
      </w:pPr>
      <w:r>
        <w:rPr>
          <w:rFonts w:ascii="Times New Roman" w:hAnsi="Times New Roman"/>
          <w:sz w:val="20"/>
        </w:rPr>
        <w:t xml:space="preserve">Final Term Sheet </w:t>
      </w:r>
    </w:p>
    <w:p>
      <w:pPr>
        <w:pStyle w:val="TextBody"/>
        <w:bidi w:val="0"/>
        <w:spacing w:before="0" w:after="0"/>
        <w:jc w:val="center"/>
        <w:rPr>
          <w:rFonts w:ascii="Times New Roman" w:hAnsi="Times New Roman"/>
          <w:sz w:val="20"/>
        </w:rPr>
      </w:pPr>
      <w:r>
        <w:rPr>
          <w:rFonts w:ascii="Times New Roman" w:hAnsi="Times New Roman"/>
          <w:sz w:val="20"/>
        </w:rPr>
        <w:t xml:space="preserve">August 17, 2026 </w:t>
      </w:r>
    </w:p>
    <w:p>
      <w:pPr>
        <w:pStyle w:val="TextBody"/>
        <w:bidi w:val="0"/>
        <w:spacing w:before="240" w:after="0"/>
        <w:jc w:val="center"/>
        <w:rPr>
          <w:rFonts w:ascii="Times New Roman" w:hAnsi="Times New Roman"/>
          <w:sz w:val="20"/>
        </w:rPr>
      </w:pPr>
      <w:r>
        <w:rPr>
          <w:rFonts w:ascii="Times New Roman" w:hAnsi="Times New Roman"/>
          <w:sz w:val="20"/>
        </w:rPr>
        <w:t xml:space="preserve">5.500% First Mortgage Bonds, Series GGG, due 2036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relates only to the securities described below and should be read together with Southern California Gas Company’s preliminary prospectus supplement dated August 17, 2026 (the “Preliminary Prospectus Supplement”), the accompanying prospectus dated April 21, 2026 and the documents incorporated and deemed to be incorporated by reference therein.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4"/>
        <w:gridCol w:w="120"/>
        <w:gridCol w:w="7141"/>
      </w:tblGrid>
      <w:tr>
        <w:trPr/>
        <w:tc>
          <w:tcPr>
            <w:tcW w:w="29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Southern California Gas Company (the “Company”)</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August 17, 2026</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Settlement Date:</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August 21, 2026 (T+4)</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Securities Offered:</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5.500% First Mortgage Bonds, Series GGG, due 2036 (the “Bonds”)</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Aggregate Principal Amount Offered:</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$500,000,000</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March 1 and September 1, commencing March 1, 2027</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Coupon:</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5.500% per annum, accruing from August 21, 2026</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Maturity:</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September 1, 2036</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Yield to Maturity:</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5.578%</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Spread to Benchmark Treasury:</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+85 basis points</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Benchmark Treasury:</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4.625% due August 15, 2036</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Benchmark Treasury Yield:</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4.728%</w:t>
            </w:r>
          </w:p>
        </w:tc>
      </w:tr>
      <w:tr>
        <w:trPr>
          <w:trHeight w:val="120" w:hRule="atLeast"/>
        </w:trPr>
        <w:tc>
          <w:tcPr>
            <w:tcW w:w="2944" w:type="dxa"/>
            <w:tcBorders/>
            <w:vAlign w:val="center"/>
          </w:tcPr>
          <w:p>
            <w:pPr>
              <w:pStyle w:val="TableContents"/>
              <w:bidi w:val="0"/>
              <w:spacing w:before="0" w:after="283"/>
              <w:jc w:val="left"/>
              <w:rPr>
                <w:sz w:val="4"/>
                <w:szCs w:val="4"/>
              </w:rPr>
            </w:pPr>
            <w:r>
              <w:rPr>
                <w:sz w:val="4"/>
                <w:szCs w:val="4"/>
              </w:rPr>
            </w:r>
          </w:p>
        </w:tc>
        <w:tc>
          <w:tcPr>
            <w:tcW w:w="7261"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bidi w:val="0"/>
              <w:spacing w:before="0" w:after="283"/>
              <w:jc w:val="left"/>
              <w:rPr/>
            </w:pPr>
            <w:r>
              <w:rPr/>
              <w:t>Optional Redemption Provision:</w:t>
            </w:r>
          </w:p>
        </w:tc>
        <w:tc>
          <w:tcPr>
            <w:tcW w:w="120"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At the Company’s option, prior to June 1, 2036 (the “Par Call Date”), make-whole call at Treasury Rate (as defined in the Preliminary Prospectus Supplement) +15 basis points. At the Company’s option, on and after the Par Call Date, at 100% of the principal amount. See the Preliminary Prospectus Supplement for the definition of “Treasury Rate” and for further terms and provisions applicable to optional redemption.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III-1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79"/>
        <w:gridCol w:w="121"/>
        <w:gridCol w:w="7105"/>
      </w:tblGrid>
      <w:tr>
        <w:trPr/>
        <w:tc>
          <w:tcPr>
            <w:tcW w:w="29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0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79" w:type="dxa"/>
            <w:tcBorders/>
            <w:vAlign w:val="center"/>
          </w:tcPr>
          <w:p>
            <w:pPr>
              <w:pStyle w:val="TableContents"/>
              <w:bidi w:val="0"/>
              <w:spacing w:before="0" w:after="283"/>
              <w:jc w:val="left"/>
              <w:rPr>
                <w:sz w:val="4"/>
                <w:szCs w:val="4"/>
              </w:rPr>
            </w:pPr>
            <w:r>
              <w:rPr>
                <w:sz w:val="4"/>
                <w:szCs w:val="4"/>
              </w:rPr>
            </w:r>
          </w:p>
        </w:tc>
        <w:tc>
          <w:tcPr>
            <w:tcW w:w="7226" w:type="dxa"/>
            <w:gridSpan w:val="2"/>
            <w:tcBorders/>
            <w:vAlign w:val="center"/>
          </w:tcPr>
          <w:p>
            <w:pPr>
              <w:pStyle w:val="TableContents"/>
              <w:bidi w:val="0"/>
              <w:spacing w:before="0" w:after="283"/>
              <w:jc w:val="left"/>
              <w:rPr>
                <w:sz w:val="4"/>
                <w:szCs w:val="4"/>
              </w:rPr>
            </w:pPr>
            <w:r>
              <w:rPr>
                <w:sz w:val="4"/>
                <w:szCs w:val="4"/>
              </w:rPr>
            </w:r>
          </w:p>
        </w:tc>
      </w:tr>
      <w:tr>
        <w:trPr/>
        <w:tc>
          <w:tcPr>
            <w:tcW w:w="2979" w:type="dxa"/>
            <w:tcBorders/>
          </w:tcPr>
          <w:p>
            <w:pPr>
              <w:pStyle w:val="TableContents"/>
              <w:bidi w:val="0"/>
              <w:spacing w:before="0" w:after="283"/>
              <w:jc w:val="left"/>
              <w:rPr/>
            </w:pPr>
            <w:r>
              <w:rPr/>
              <w:t>Price to Public:</w:t>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99.405%, plus accrued interest, if any</w:t>
            </w:r>
          </w:p>
        </w:tc>
      </w:tr>
      <w:tr>
        <w:trPr>
          <w:trHeight w:val="120" w:hRule="atLeast"/>
        </w:trPr>
        <w:tc>
          <w:tcPr>
            <w:tcW w:w="2979" w:type="dxa"/>
            <w:tcBorders/>
            <w:vAlign w:val="center"/>
          </w:tcPr>
          <w:p>
            <w:pPr>
              <w:pStyle w:val="TableContents"/>
              <w:bidi w:val="0"/>
              <w:spacing w:before="0" w:after="283"/>
              <w:jc w:val="left"/>
              <w:rPr>
                <w:sz w:val="4"/>
                <w:szCs w:val="4"/>
              </w:rPr>
            </w:pPr>
            <w:r>
              <w:rPr>
                <w:sz w:val="4"/>
                <w:szCs w:val="4"/>
              </w:rPr>
            </w:r>
          </w:p>
        </w:tc>
        <w:tc>
          <w:tcPr>
            <w:tcW w:w="7226" w:type="dxa"/>
            <w:gridSpan w:val="2"/>
            <w:tcBorders/>
            <w:vAlign w:val="center"/>
          </w:tcPr>
          <w:p>
            <w:pPr>
              <w:pStyle w:val="TableContents"/>
              <w:bidi w:val="0"/>
              <w:spacing w:before="0" w:after="283"/>
              <w:jc w:val="left"/>
              <w:rPr>
                <w:sz w:val="4"/>
                <w:szCs w:val="4"/>
              </w:rPr>
            </w:pPr>
            <w:r>
              <w:rPr>
                <w:sz w:val="4"/>
                <w:szCs w:val="4"/>
              </w:rPr>
            </w:r>
          </w:p>
        </w:tc>
      </w:tr>
      <w:tr>
        <w:trPr/>
        <w:tc>
          <w:tcPr>
            <w:tcW w:w="2979" w:type="dxa"/>
            <w:tcBorders/>
          </w:tcPr>
          <w:p>
            <w:pPr>
              <w:pStyle w:val="TableContents"/>
              <w:bidi w:val="0"/>
              <w:spacing w:before="0" w:after="283"/>
              <w:jc w:val="left"/>
              <w:rPr/>
            </w:pPr>
            <w:r>
              <w:rPr/>
              <w:t>CUSIP:</w:t>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842434 DF6</w:t>
            </w:r>
          </w:p>
        </w:tc>
      </w:tr>
      <w:tr>
        <w:trPr>
          <w:trHeight w:val="120" w:hRule="atLeast"/>
        </w:trPr>
        <w:tc>
          <w:tcPr>
            <w:tcW w:w="2979" w:type="dxa"/>
            <w:tcBorders/>
            <w:vAlign w:val="center"/>
          </w:tcPr>
          <w:p>
            <w:pPr>
              <w:pStyle w:val="TableContents"/>
              <w:bidi w:val="0"/>
              <w:spacing w:before="0" w:after="283"/>
              <w:jc w:val="left"/>
              <w:rPr>
                <w:sz w:val="4"/>
                <w:szCs w:val="4"/>
              </w:rPr>
            </w:pPr>
            <w:r>
              <w:rPr>
                <w:sz w:val="4"/>
                <w:szCs w:val="4"/>
              </w:rPr>
            </w:r>
          </w:p>
        </w:tc>
        <w:tc>
          <w:tcPr>
            <w:tcW w:w="7226" w:type="dxa"/>
            <w:gridSpan w:val="2"/>
            <w:tcBorders/>
            <w:vAlign w:val="center"/>
          </w:tcPr>
          <w:p>
            <w:pPr>
              <w:pStyle w:val="TableContents"/>
              <w:bidi w:val="0"/>
              <w:spacing w:before="0" w:after="283"/>
              <w:jc w:val="left"/>
              <w:rPr>
                <w:sz w:val="4"/>
                <w:szCs w:val="4"/>
              </w:rPr>
            </w:pPr>
            <w:r>
              <w:rPr>
                <w:sz w:val="4"/>
                <w:szCs w:val="4"/>
              </w:rPr>
            </w:r>
          </w:p>
        </w:tc>
      </w:tr>
      <w:tr>
        <w:trPr/>
        <w:tc>
          <w:tcPr>
            <w:tcW w:w="2979" w:type="dxa"/>
            <w:tcBorders/>
          </w:tcPr>
          <w:p>
            <w:pPr>
              <w:pStyle w:val="TableContents"/>
              <w:bidi w:val="0"/>
              <w:spacing w:before="0" w:after="283"/>
              <w:jc w:val="left"/>
              <w:rPr/>
            </w:pPr>
            <w:r>
              <w:rPr/>
              <w:t>ISIN:</w:t>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US842434DF68</w:t>
            </w:r>
          </w:p>
        </w:tc>
      </w:tr>
      <w:tr>
        <w:trPr>
          <w:trHeight w:val="120" w:hRule="atLeast"/>
        </w:trPr>
        <w:tc>
          <w:tcPr>
            <w:tcW w:w="2979" w:type="dxa"/>
            <w:tcBorders/>
            <w:vAlign w:val="center"/>
          </w:tcPr>
          <w:p>
            <w:pPr>
              <w:pStyle w:val="TableContents"/>
              <w:bidi w:val="0"/>
              <w:spacing w:before="0" w:after="283"/>
              <w:jc w:val="left"/>
              <w:rPr>
                <w:sz w:val="4"/>
                <w:szCs w:val="4"/>
              </w:rPr>
            </w:pPr>
            <w:r>
              <w:rPr>
                <w:sz w:val="4"/>
                <w:szCs w:val="4"/>
              </w:rPr>
            </w:r>
          </w:p>
        </w:tc>
        <w:tc>
          <w:tcPr>
            <w:tcW w:w="7226" w:type="dxa"/>
            <w:gridSpan w:val="2"/>
            <w:tcBorders/>
            <w:vAlign w:val="center"/>
          </w:tcPr>
          <w:p>
            <w:pPr>
              <w:pStyle w:val="TableContents"/>
              <w:bidi w:val="0"/>
              <w:spacing w:before="0" w:after="283"/>
              <w:jc w:val="left"/>
              <w:rPr>
                <w:sz w:val="4"/>
                <w:szCs w:val="4"/>
              </w:rPr>
            </w:pPr>
            <w:r>
              <w:rPr>
                <w:sz w:val="4"/>
                <w:szCs w:val="4"/>
              </w:rPr>
            </w:r>
          </w:p>
        </w:tc>
      </w:tr>
      <w:tr>
        <w:trPr/>
        <w:tc>
          <w:tcPr>
            <w:tcW w:w="2979" w:type="dxa"/>
            <w:tcBorders/>
          </w:tcPr>
          <w:p>
            <w:pPr>
              <w:pStyle w:val="TableContents"/>
              <w:bidi w:val="0"/>
              <w:spacing w:before="0" w:after="283"/>
              <w:jc w:val="left"/>
              <w:rPr/>
            </w:pPr>
            <w:r>
              <w:rPr/>
              <w:t>Total Net Proceeds:</w:t>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Approximately $493.8 million, after deducting the underwriting discount but before deducting the estimated offering expenses payable by the Company.</w:t>
            </w:r>
          </w:p>
        </w:tc>
      </w:tr>
      <w:tr>
        <w:trPr>
          <w:trHeight w:val="120" w:hRule="atLeast"/>
        </w:trPr>
        <w:tc>
          <w:tcPr>
            <w:tcW w:w="2979" w:type="dxa"/>
            <w:tcBorders/>
            <w:vAlign w:val="center"/>
          </w:tcPr>
          <w:p>
            <w:pPr>
              <w:pStyle w:val="TableContents"/>
              <w:bidi w:val="0"/>
              <w:spacing w:before="0" w:after="283"/>
              <w:jc w:val="left"/>
              <w:rPr>
                <w:sz w:val="4"/>
                <w:szCs w:val="4"/>
              </w:rPr>
            </w:pPr>
            <w:r>
              <w:rPr>
                <w:sz w:val="4"/>
                <w:szCs w:val="4"/>
              </w:rPr>
            </w:r>
          </w:p>
        </w:tc>
        <w:tc>
          <w:tcPr>
            <w:tcW w:w="7226" w:type="dxa"/>
            <w:gridSpan w:val="2"/>
            <w:tcBorders/>
            <w:vAlign w:val="center"/>
          </w:tcPr>
          <w:p>
            <w:pPr>
              <w:pStyle w:val="TableContents"/>
              <w:bidi w:val="0"/>
              <w:spacing w:before="0" w:after="283"/>
              <w:jc w:val="left"/>
              <w:rPr>
                <w:sz w:val="4"/>
                <w:szCs w:val="4"/>
              </w:rPr>
            </w:pPr>
            <w:r>
              <w:rPr>
                <w:sz w:val="4"/>
                <w:szCs w:val="4"/>
              </w:rPr>
            </w:r>
          </w:p>
        </w:tc>
      </w:tr>
      <w:tr>
        <w:trPr/>
        <w:tc>
          <w:tcPr>
            <w:tcW w:w="2979" w:type="dxa"/>
            <w:tcBorders/>
          </w:tcPr>
          <w:p>
            <w:pPr>
              <w:pStyle w:val="TableContents"/>
              <w:bidi w:val="0"/>
              <w:spacing w:before="0" w:after="283"/>
              <w:jc w:val="left"/>
              <w:rPr/>
            </w:pPr>
            <w:r>
              <w:rPr/>
              <w:t>Joint Book-Running Managers:</w:t>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Barclays Capital Inc.</w:t>
            </w:r>
          </w:p>
        </w:tc>
      </w:tr>
      <w:tr>
        <w:trPr/>
        <w:tc>
          <w:tcPr>
            <w:tcW w:w="297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Credit Agricole Securities (USA) Inc.</w:t>
            </w:r>
          </w:p>
        </w:tc>
      </w:tr>
      <w:tr>
        <w:trPr/>
        <w:tc>
          <w:tcPr>
            <w:tcW w:w="297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MUFG Securities Americas Inc.</w:t>
            </w:r>
          </w:p>
        </w:tc>
      </w:tr>
      <w:tr>
        <w:trPr/>
        <w:tc>
          <w:tcPr>
            <w:tcW w:w="297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TD Securities (USA) LLC</w:t>
            </w:r>
          </w:p>
        </w:tc>
      </w:tr>
      <w:tr>
        <w:trPr/>
        <w:tc>
          <w:tcPr>
            <w:tcW w:w="297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Penserra Securities LLC</w:t>
            </w:r>
          </w:p>
        </w:tc>
      </w:tr>
      <w:tr>
        <w:trPr>
          <w:trHeight w:val="120" w:hRule="atLeast"/>
        </w:trPr>
        <w:tc>
          <w:tcPr>
            <w:tcW w:w="2979" w:type="dxa"/>
            <w:tcBorders/>
            <w:vAlign w:val="center"/>
          </w:tcPr>
          <w:p>
            <w:pPr>
              <w:pStyle w:val="TableContents"/>
              <w:bidi w:val="0"/>
              <w:spacing w:before="0" w:after="283"/>
              <w:jc w:val="left"/>
              <w:rPr>
                <w:sz w:val="4"/>
                <w:szCs w:val="4"/>
              </w:rPr>
            </w:pPr>
            <w:r>
              <w:rPr>
                <w:sz w:val="4"/>
                <w:szCs w:val="4"/>
              </w:rPr>
            </w:r>
          </w:p>
        </w:tc>
        <w:tc>
          <w:tcPr>
            <w:tcW w:w="7226" w:type="dxa"/>
            <w:gridSpan w:val="2"/>
            <w:tcBorders/>
            <w:vAlign w:val="center"/>
          </w:tcPr>
          <w:p>
            <w:pPr>
              <w:pStyle w:val="TableContents"/>
              <w:bidi w:val="0"/>
              <w:spacing w:before="0" w:after="283"/>
              <w:jc w:val="left"/>
              <w:rPr>
                <w:sz w:val="4"/>
                <w:szCs w:val="4"/>
              </w:rPr>
            </w:pPr>
            <w:r>
              <w:rPr>
                <w:sz w:val="4"/>
                <w:szCs w:val="4"/>
              </w:rPr>
            </w:r>
          </w:p>
        </w:tc>
      </w:tr>
      <w:tr>
        <w:trPr/>
        <w:tc>
          <w:tcPr>
            <w:tcW w:w="2979" w:type="dxa"/>
            <w:tcBorders/>
          </w:tcPr>
          <w:p>
            <w:pPr>
              <w:pStyle w:val="TableContents"/>
              <w:bidi w:val="0"/>
              <w:spacing w:before="0" w:after="283"/>
              <w:jc w:val="left"/>
              <w:rPr/>
            </w:pPr>
            <w:r>
              <w:rPr/>
              <w:t>Co-Managers:</w:t>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Blaylock Van, LLC</w:t>
            </w:r>
          </w:p>
        </w:tc>
      </w:tr>
      <w:tr>
        <w:trPr/>
        <w:tc>
          <w:tcPr>
            <w:tcW w:w="297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05" w:type="dxa"/>
            <w:tcBorders/>
          </w:tcPr>
          <w:p>
            <w:pPr>
              <w:pStyle w:val="TableContents"/>
              <w:bidi w:val="0"/>
              <w:spacing w:before="0" w:after="283"/>
              <w:jc w:val="left"/>
              <w:rPr/>
            </w:pPr>
            <w:r>
              <w:rPr/>
              <w:t>MFR Securities, Inc.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with the U.S. Securities and Exchange Commission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Barclays Capital Inc. toll-free at 1-888-603-5847, by calling Credit Agricole Securities (USA) Inc. toll-free at 1-866-807-6030, by calling MUFG Securities Americas Inc. toll-free at 1-877-649-6848 or by calling TD Securities (USA) LLC at 1-855-495-9846. </w:t>
      </w:r>
    </w:p>
    <w:p>
      <w:pPr>
        <w:pStyle w:val="TextBody"/>
        <w:bidi w:val="0"/>
        <w:spacing w:before="240" w:after="0"/>
        <w:jc w:val="left"/>
        <w:rPr>
          <w:rFonts w:ascii="Times New Roman" w:hAnsi="Times New Roman"/>
          <w:b/>
          <w:sz w:val="20"/>
        </w:rPr>
      </w:pPr>
      <w:r>
        <w:rPr>
          <w:rFonts w:ascii="Times New Roman" w:hAnsi="Times New Roman"/>
          <w:b/>
          <w:sz w:val="20"/>
        </w:rPr>
        <w:t xml:space="preserve">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III-2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14610</Words>
  <Characters>78152</Characters>
  <CharactersWithSpaces>92853</CharactersWithSpaces>
  <Paragraphs>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