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6"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UNITED STATES</w:t>
      </w:r>
    </w:p>
    <w:p>
      <w:pPr>
        <w:jc w:val="center"/>
        <w:spacing w:after="0" w:line="238" w:lineRule="auto"/>
        <w:rPr>
          <w:sz w:val="20"/>
          <w:szCs w:val="20"/>
          <w:color w:val="auto"/>
        </w:rPr>
      </w:pPr>
      <w:r>
        <w:rPr>
          <w:rFonts w:ascii="Arial" w:cs="Arial" w:eastAsia="Arial" w:hAnsi="Arial"/>
          <w:sz w:val="22"/>
          <w:szCs w:val="22"/>
          <w:color w:val="auto"/>
        </w:rPr>
        <w:t>SECURITIES AND EXCHANGE COMMISSION</w:t>
      </w:r>
    </w:p>
    <w:p>
      <w:pPr>
        <w:jc w:val="center"/>
        <w:spacing w:after="0"/>
        <w:rPr>
          <w:sz w:val="20"/>
          <w:szCs w:val="20"/>
          <w:color w:val="auto"/>
        </w:rPr>
      </w:pPr>
      <w:r>
        <w:rPr>
          <w:rFonts w:ascii="Arial" w:cs="Arial" w:eastAsia="Arial" w:hAnsi="Arial"/>
          <w:sz w:val="22"/>
          <w:szCs w:val="22"/>
          <w:color w:val="auto"/>
        </w:rPr>
        <w:t>Washington, D.C. 20549</w:t>
      </w:r>
    </w:p>
    <w:p>
      <w:pPr>
        <w:spacing w:after="0" w:line="161"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FORM 10-K</w:t>
      </w:r>
    </w:p>
    <w:p>
      <w:pPr>
        <w:spacing w:after="0" w:line="179" w:lineRule="exact"/>
        <w:rPr>
          <w:sz w:val="24"/>
          <w:szCs w:val="24"/>
          <w:color w:val="auto"/>
        </w:rPr>
      </w:pPr>
    </w:p>
    <w:p>
      <w:pPr>
        <w:ind w:left="360"/>
        <w:spacing w:after="0"/>
        <w:rPr>
          <w:sz w:val="20"/>
          <w:szCs w:val="20"/>
          <w:color w:val="auto"/>
        </w:rPr>
      </w:pPr>
      <w:r>
        <w:rPr>
          <w:rFonts w:ascii="Arial" w:cs="Arial" w:eastAsia="Arial" w:hAnsi="Arial"/>
          <w:sz w:val="22"/>
          <w:szCs w:val="22"/>
          <w:color w:val="auto"/>
        </w:rPr>
        <w:t>(Mark One)</w:t>
      </w:r>
    </w:p>
    <w:p>
      <w:pPr>
        <w:spacing w:after="0" w:line="179" w:lineRule="exact"/>
        <w:rPr>
          <w:sz w:val="24"/>
          <w:szCs w:val="24"/>
          <w:color w:val="auto"/>
        </w:rPr>
      </w:pPr>
    </w:p>
    <w:p>
      <w:pPr>
        <w:ind w:left="360" w:right="579" w:firstLine="500"/>
        <w:spacing w:after="0" w:line="251" w:lineRule="auto"/>
        <w:rPr>
          <w:sz w:val="20"/>
          <w:szCs w:val="20"/>
          <w:color w:val="auto"/>
        </w:rPr>
      </w:pPr>
      <w:r>
        <w:rPr>
          <w:rFonts w:ascii="Arial" w:cs="Arial" w:eastAsia="Arial" w:hAnsi="Arial"/>
          <w:sz w:val="22"/>
          <w:szCs w:val="22"/>
          <w:color w:val="auto"/>
        </w:rPr>
        <w:t>ANNUAL REPORT PURSUANT TO SECTION 13 OR 15 (d) OF THE SECURITIES [X] EXCHANGE ACT OF 1934</w:t>
      </w:r>
    </w:p>
    <w:p>
      <w:pPr>
        <w:spacing w:after="0" w:line="146" w:lineRule="exact"/>
        <w:rPr>
          <w:sz w:val="24"/>
          <w:szCs w:val="24"/>
          <w:color w:val="auto"/>
        </w:rPr>
      </w:pPr>
    </w:p>
    <w:p>
      <w:pPr>
        <w:ind w:left="860"/>
        <w:spacing w:after="0"/>
        <w:tabs>
          <w:tab w:leader="none" w:pos="5620" w:val="left"/>
        </w:tabs>
        <w:rPr>
          <w:sz w:val="20"/>
          <w:szCs w:val="20"/>
          <w:color w:val="auto"/>
        </w:rPr>
      </w:pPr>
      <w:r>
        <w:rPr>
          <w:rFonts w:ascii="Arial" w:cs="Arial" w:eastAsia="Arial" w:hAnsi="Arial"/>
          <w:sz w:val="22"/>
          <w:szCs w:val="22"/>
          <w:color w:val="auto"/>
        </w:rPr>
        <w:t>For the fiscal year ended</w:t>
      </w:r>
      <w:r>
        <w:rPr>
          <w:sz w:val="20"/>
          <w:szCs w:val="20"/>
          <w:color w:val="auto"/>
        </w:rPr>
        <w:tab/>
      </w:r>
      <w:r>
        <w:rPr>
          <w:rFonts w:ascii="Arial" w:cs="Arial" w:eastAsia="Arial" w:hAnsi="Arial"/>
          <w:sz w:val="19"/>
          <w:szCs w:val="19"/>
          <w:color w:val="auto"/>
        </w:rPr>
        <w:t>December 31, 2005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3522345</wp:posOffset>
            </wp:positionH>
            <wp:positionV relativeFrom="paragraph">
              <wp:posOffset>67310</wp:posOffset>
            </wp:positionV>
            <wp:extent cx="2040890" cy="25717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040890" cy="25717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7" w:lineRule="exact"/>
        <w:rPr>
          <w:sz w:val="24"/>
          <w:szCs w:val="24"/>
          <w:color w:val="auto"/>
        </w:rPr>
      </w:pPr>
    </w:p>
    <w:p>
      <w:pPr>
        <w:ind w:left="360" w:right="1479" w:firstLine="500"/>
        <w:spacing w:after="0" w:line="251" w:lineRule="auto"/>
        <w:rPr>
          <w:sz w:val="20"/>
          <w:szCs w:val="20"/>
          <w:color w:val="auto"/>
        </w:rPr>
      </w:pPr>
      <w:r>
        <w:rPr>
          <w:rFonts w:ascii="Arial" w:cs="Arial" w:eastAsia="Arial" w:hAnsi="Arial"/>
          <w:sz w:val="22"/>
          <w:szCs w:val="22"/>
          <w:color w:val="auto"/>
        </w:rPr>
        <w:t>TRANSITION REPORT PURSUANT TO SECTION 13 OR 15(D) OF THE [ ] SECURITIES EXCHANGE ACT OF 1934</w:t>
      </w:r>
    </w:p>
    <w:p>
      <w:pPr>
        <w:spacing w:after="0" w:line="146" w:lineRule="exact"/>
        <w:rPr>
          <w:sz w:val="24"/>
          <w:szCs w:val="24"/>
          <w:color w:val="auto"/>
        </w:rPr>
      </w:pPr>
    </w:p>
    <w:p>
      <w:pPr>
        <w:ind w:left="860"/>
        <w:spacing w:after="0"/>
        <w:tabs>
          <w:tab w:leader="none" w:pos="5440" w:val="left"/>
        </w:tabs>
        <w:rPr>
          <w:sz w:val="20"/>
          <w:szCs w:val="20"/>
          <w:color w:val="auto"/>
        </w:rPr>
      </w:pPr>
      <w:r>
        <w:rPr>
          <w:rFonts w:ascii="Arial" w:cs="Arial" w:eastAsia="Arial" w:hAnsi="Arial"/>
          <w:sz w:val="22"/>
          <w:szCs w:val="22"/>
          <w:color w:val="auto"/>
        </w:rPr>
        <w:t>For the transition period from</w:t>
      </w:r>
      <w:r>
        <w:rPr>
          <w:sz w:val="20"/>
          <w:szCs w:val="20"/>
          <w:color w:val="auto"/>
        </w:rPr>
        <w:tab/>
      </w:r>
      <w:r>
        <w:rPr>
          <w:rFonts w:ascii="Arial" w:cs="Arial" w:eastAsia="Arial" w:hAnsi="Arial"/>
          <w:sz w:val="19"/>
          <w:szCs w:val="19"/>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1987550</wp:posOffset>
            </wp:positionH>
            <wp:positionV relativeFrom="paragraph">
              <wp:posOffset>67310</wp:posOffset>
            </wp:positionV>
            <wp:extent cx="3576320" cy="25717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576320" cy="25717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7" w:lineRule="exact"/>
        <w:rPr>
          <w:sz w:val="24"/>
          <w:szCs w:val="24"/>
          <w:color w:val="auto"/>
        </w:rPr>
      </w:pPr>
    </w:p>
    <w:p>
      <w:pPr>
        <w:ind w:left="3300"/>
        <w:spacing w:after="0"/>
        <w:tabs>
          <w:tab w:leader="none" w:pos="5620" w:val="left"/>
        </w:tabs>
        <w:rPr>
          <w:sz w:val="20"/>
          <w:szCs w:val="20"/>
          <w:color w:val="auto"/>
        </w:rPr>
      </w:pPr>
      <w:r>
        <w:rPr>
          <w:rFonts w:ascii="Arial" w:cs="Arial" w:eastAsia="Arial" w:hAnsi="Arial"/>
          <w:sz w:val="22"/>
          <w:szCs w:val="22"/>
          <w:color w:val="auto"/>
        </w:rPr>
        <w:t>Commission file number</w:t>
      </w:r>
      <w:r>
        <w:rPr>
          <w:sz w:val="20"/>
          <w:szCs w:val="20"/>
          <w:color w:val="auto"/>
        </w:rPr>
        <w:tab/>
      </w:r>
      <w:r>
        <w:rPr>
          <w:rFonts w:ascii="Arial" w:cs="Arial" w:eastAsia="Arial" w:hAnsi="Arial"/>
          <w:sz w:val="19"/>
          <w:szCs w:val="19"/>
          <w:color w:val="auto"/>
        </w:rPr>
        <w:t>1-3779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3522345</wp:posOffset>
            </wp:positionH>
            <wp:positionV relativeFrom="paragraph">
              <wp:posOffset>67310</wp:posOffset>
            </wp:positionV>
            <wp:extent cx="2040890" cy="25717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040890" cy="25717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7"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SAN DIEGO GAS &amp; ELECTRIC COMPANY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495300</wp:posOffset>
            </wp:positionH>
            <wp:positionV relativeFrom="paragraph">
              <wp:posOffset>67310</wp:posOffset>
            </wp:positionV>
            <wp:extent cx="5068570" cy="2571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068570" cy="257175"/>
                    </a:xfrm>
                    <a:prstGeom prst="rect">
                      <a:avLst/>
                    </a:prstGeom>
                    <a:noFill/>
                  </pic:spPr>
                </pic:pic>
              </a:graphicData>
            </a:graphic>
          </wp:anchor>
        </w:drawing>
      </w:r>
    </w:p>
    <w:p>
      <w:pPr>
        <w:spacing w:after="0" w:line="200" w:lineRule="exact"/>
        <w:rPr>
          <w:sz w:val="24"/>
          <w:szCs w:val="24"/>
          <w:color w:val="auto"/>
        </w:rPr>
      </w:pPr>
    </w:p>
    <w:p>
      <w:pPr>
        <w:spacing w:after="0" w:line="364"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(Exact name of registrant as specified in its charter)</w:t>
      </w:r>
    </w:p>
    <w:p>
      <w:pPr>
        <w:spacing w:after="0" w:line="179" w:lineRule="exact"/>
        <w:rPr>
          <w:sz w:val="24"/>
          <w:szCs w:val="24"/>
          <w:color w:val="auto"/>
        </w:rPr>
      </w:pPr>
    </w:p>
    <w:tbl>
      <w:tblPr>
        <w:tblLayout w:type="fixed"/>
        <w:tblInd w:w="780" w:type="dxa"/>
        <w:tblCellMar>
          <w:top w:w="0" w:type="dxa"/>
          <w:left w:w="0" w:type="dxa"/>
          <w:bottom w:w="0" w:type="dxa"/>
          <w:right w:w="0" w:type="dxa"/>
        </w:tblCellMar>
      </w:tblPr>
      <w:tr>
        <w:trPr>
          <w:trHeight w:val="275"/>
        </w:trPr>
        <w:tc>
          <w:tcPr>
            <w:tcW w:w="4420" w:type="dxa"/>
            <w:vAlign w:val="bottom"/>
          </w:tcPr>
          <w:p>
            <w:pPr>
              <w:jc w:val="center"/>
              <w:spacing w:after="0"/>
              <w:rPr>
                <w:sz w:val="20"/>
                <w:szCs w:val="20"/>
                <w:color w:val="auto"/>
              </w:rPr>
            </w:pPr>
            <w:r>
              <w:rPr>
                <w:rFonts w:ascii="Arial" w:cs="Arial" w:eastAsia="Arial" w:hAnsi="Arial"/>
                <w:sz w:val="22"/>
                <w:szCs w:val="22"/>
                <w:color w:val="auto"/>
                <w:w w:val="94"/>
              </w:rPr>
              <w:t>California</w:t>
            </w:r>
          </w:p>
        </w:tc>
        <w:tc>
          <w:tcPr>
            <w:tcW w:w="3560" w:type="dxa"/>
            <w:vAlign w:val="bottom"/>
            <w:gridSpan w:val="2"/>
          </w:tcPr>
          <w:p>
            <w:pPr>
              <w:jc w:val="center"/>
              <w:ind w:left="212"/>
              <w:spacing w:after="0"/>
              <w:rPr>
                <w:sz w:val="20"/>
                <w:szCs w:val="20"/>
                <w:color w:val="auto"/>
              </w:rPr>
            </w:pPr>
            <w:r>
              <w:rPr>
                <w:rFonts w:ascii="Arial" w:cs="Arial" w:eastAsia="Arial" w:hAnsi="Arial"/>
                <w:sz w:val="22"/>
                <w:szCs w:val="22"/>
                <w:color w:val="auto"/>
                <w:w w:val="88"/>
              </w:rPr>
              <w:t>95-1184800</w:t>
            </w:r>
          </w:p>
        </w:tc>
      </w:tr>
      <w:tr>
        <w:trPr>
          <w:trHeight w:val="85"/>
        </w:trPr>
        <w:tc>
          <w:tcPr>
            <w:tcW w:w="4420" w:type="dxa"/>
            <w:vAlign w:val="bottom"/>
          </w:tcPr>
          <w:p>
            <w:pPr>
              <w:spacing w:after="0"/>
              <w:rPr>
                <w:sz w:val="7"/>
                <w:szCs w:val="7"/>
                <w:color w:val="auto"/>
              </w:rPr>
            </w:pPr>
          </w:p>
        </w:tc>
        <w:tc>
          <w:tcPr>
            <w:tcW w:w="340" w:type="dxa"/>
            <w:vAlign w:val="bottom"/>
          </w:tcPr>
          <w:p>
            <w:pPr>
              <w:spacing w:after="0"/>
              <w:rPr>
                <w:sz w:val="7"/>
                <w:szCs w:val="7"/>
                <w:color w:val="auto"/>
              </w:rPr>
            </w:pPr>
          </w:p>
        </w:tc>
        <w:tc>
          <w:tcPr>
            <w:tcW w:w="3220" w:type="dxa"/>
            <w:vAlign w:val="bottom"/>
          </w:tcPr>
          <w:p>
            <w:pPr>
              <w:spacing w:after="0"/>
              <w:rPr>
                <w:sz w:val="7"/>
                <w:szCs w:val="7"/>
                <w:color w:val="auto"/>
              </w:rPr>
            </w:pPr>
          </w:p>
        </w:tc>
      </w:tr>
      <w:tr>
        <w:trPr>
          <w:trHeight w:val="405"/>
        </w:trPr>
        <w:tc>
          <w:tcPr>
            <w:tcW w:w="4420" w:type="dxa"/>
            <w:vAlign w:val="bottom"/>
            <w:shd w:val="clear" w:color="auto" w:fill="000000"/>
          </w:tcPr>
          <w:p>
            <w:pPr>
              <w:spacing w:after="0"/>
              <w:rPr>
                <w:sz w:val="24"/>
                <w:szCs w:val="24"/>
                <w:color w:val="auto"/>
              </w:rPr>
            </w:pPr>
          </w:p>
        </w:tc>
        <w:tc>
          <w:tcPr>
            <w:tcW w:w="340" w:type="dxa"/>
            <w:vAlign w:val="bottom"/>
          </w:tcPr>
          <w:p>
            <w:pPr>
              <w:spacing w:after="0"/>
              <w:rPr>
                <w:sz w:val="24"/>
                <w:szCs w:val="24"/>
                <w:color w:val="auto"/>
              </w:rPr>
            </w:pPr>
          </w:p>
        </w:tc>
        <w:tc>
          <w:tcPr>
            <w:tcW w:w="3220" w:type="dxa"/>
            <w:vAlign w:val="bottom"/>
            <w:shd w:val="clear" w:color="auto" w:fill="000000"/>
          </w:tcPr>
          <w:p>
            <w:pPr>
              <w:spacing w:after="0"/>
              <w:rPr>
                <w:sz w:val="24"/>
                <w:szCs w:val="24"/>
                <w:color w:val="auto"/>
              </w:rPr>
            </w:pPr>
          </w:p>
        </w:tc>
      </w:tr>
      <w:tr>
        <w:trPr>
          <w:trHeight w:val="316"/>
        </w:trPr>
        <w:tc>
          <w:tcPr>
            <w:tcW w:w="4420" w:type="dxa"/>
            <w:vAlign w:val="bottom"/>
          </w:tcPr>
          <w:p>
            <w:pPr>
              <w:jc w:val="center"/>
              <w:spacing w:after="0"/>
              <w:rPr>
                <w:sz w:val="20"/>
                <w:szCs w:val="20"/>
                <w:color w:val="auto"/>
              </w:rPr>
            </w:pPr>
            <w:r>
              <w:rPr>
                <w:rFonts w:ascii="Arial" w:cs="Arial" w:eastAsia="Arial" w:hAnsi="Arial"/>
                <w:sz w:val="22"/>
                <w:szCs w:val="22"/>
                <w:color w:val="auto"/>
                <w:w w:val="91"/>
              </w:rPr>
              <w:t>(State or other jurisdiction of incorporation or</w:t>
            </w:r>
          </w:p>
        </w:tc>
        <w:tc>
          <w:tcPr>
            <w:tcW w:w="340" w:type="dxa"/>
            <w:vAlign w:val="bottom"/>
          </w:tcPr>
          <w:p>
            <w:pPr>
              <w:spacing w:after="0"/>
              <w:rPr>
                <w:sz w:val="24"/>
                <w:szCs w:val="24"/>
                <w:color w:val="auto"/>
              </w:rPr>
            </w:pPr>
          </w:p>
        </w:tc>
        <w:tc>
          <w:tcPr>
            <w:tcW w:w="3220" w:type="dxa"/>
            <w:vAlign w:val="bottom"/>
          </w:tcPr>
          <w:p>
            <w:pPr>
              <w:jc w:val="center"/>
              <w:spacing w:after="0"/>
              <w:rPr>
                <w:sz w:val="20"/>
                <w:szCs w:val="20"/>
                <w:color w:val="auto"/>
              </w:rPr>
            </w:pPr>
            <w:r>
              <w:rPr>
                <w:rFonts w:ascii="Arial" w:cs="Arial" w:eastAsia="Arial" w:hAnsi="Arial"/>
                <w:sz w:val="22"/>
                <w:szCs w:val="22"/>
                <w:color w:val="auto"/>
                <w:w w:val="92"/>
              </w:rPr>
              <w:t>(I.R.S. Employer Identification</w:t>
            </w:r>
          </w:p>
        </w:tc>
      </w:tr>
      <w:tr>
        <w:trPr>
          <w:trHeight w:val="275"/>
        </w:trPr>
        <w:tc>
          <w:tcPr>
            <w:tcW w:w="4420" w:type="dxa"/>
            <w:vAlign w:val="bottom"/>
          </w:tcPr>
          <w:p>
            <w:pPr>
              <w:jc w:val="center"/>
              <w:spacing w:after="0"/>
              <w:rPr>
                <w:sz w:val="20"/>
                <w:szCs w:val="20"/>
                <w:color w:val="auto"/>
              </w:rPr>
            </w:pPr>
            <w:r>
              <w:rPr>
                <w:rFonts w:ascii="Arial" w:cs="Arial" w:eastAsia="Arial" w:hAnsi="Arial"/>
                <w:sz w:val="22"/>
                <w:szCs w:val="22"/>
                <w:color w:val="auto"/>
                <w:w w:val="91"/>
              </w:rPr>
              <w:t>organization)</w:t>
            </w:r>
          </w:p>
        </w:tc>
        <w:tc>
          <w:tcPr>
            <w:tcW w:w="340" w:type="dxa"/>
            <w:vAlign w:val="bottom"/>
          </w:tcPr>
          <w:p>
            <w:pPr>
              <w:spacing w:after="0"/>
              <w:rPr>
                <w:sz w:val="23"/>
                <w:szCs w:val="23"/>
                <w:color w:val="auto"/>
              </w:rPr>
            </w:pPr>
          </w:p>
        </w:tc>
        <w:tc>
          <w:tcPr>
            <w:tcW w:w="3220" w:type="dxa"/>
            <w:vAlign w:val="bottom"/>
          </w:tcPr>
          <w:p>
            <w:pPr>
              <w:jc w:val="center"/>
              <w:spacing w:after="0"/>
              <w:rPr>
                <w:sz w:val="20"/>
                <w:szCs w:val="20"/>
                <w:color w:val="auto"/>
              </w:rPr>
            </w:pPr>
            <w:r>
              <w:rPr>
                <w:rFonts w:ascii="Arial" w:cs="Arial" w:eastAsia="Arial" w:hAnsi="Arial"/>
                <w:sz w:val="22"/>
                <w:szCs w:val="22"/>
                <w:color w:val="auto"/>
                <w:w w:val="91"/>
              </w:rPr>
              <w:t>No.)</w:t>
            </w:r>
          </w:p>
        </w:tc>
      </w:tr>
    </w:tbl>
    <w:p>
      <w:pPr>
        <w:spacing w:after="0" w:line="200" w:lineRule="exact"/>
        <w:rPr>
          <w:sz w:val="24"/>
          <w:szCs w:val="24"/>
          <w:color w:val="auto"/>
        </w:rPr>
      </w:pPr>
    </w:p>
    <w:p>
      <w:pPr>
        <w:spacing w:after="0" w:line="201"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8326 Century Park Court, San Diego, California 92123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495300</wp:posOffset>
            </wp:positionH>
            <wp:positionV relativeFrom="paragraph">
              <wp:posOffset>67310</wp:posOffset>
            </wp:positionV>
            <wp:extent cx="5068570" cy="2571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068570" cy="257175"/>
                    </a:xfrm>
                    <a:prstGeom prst="rect">
                      <a:avLst/>
                    </a:prstGeom>
                    <a:noFill/>
                  </pic:spPr>
                </pic:pic>
              </a:graphicData>
            </a:graphic>
          </wp:anchor>
        </w:drawing>
      </w:r>
    </w:p>
    <w:p>
      <w:pPr>
        <w:spacing w:after="0" w:line="200" w:lineRule="exact"/>
        <w:rPr>
          <w:sz w:val="24"/>
          <w:szCs w:val="24"/>
          <w:color w:val="auto"/>
        </w:rPr>
      </w:pPr>
    </w:p>
    <w:p>
      <w:pPr>
        <w:spacing w:after="0" w:line="364"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(Address of principal executive offices)</w:t>
      </w:r>
    </w:p>
    <w:p>
      <w:pPr>
        <w:spacing w:after="0" w:line="8"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(Zip Code)</w:t>
      </w:r>
    </w:p>
    <w:p>
      <w:pPr>
        <w:spacing w:after="0" w:line="200" w:lineRule="exact"/>
        <w:rPr>
          <w:sz w:val="24"/>
          <w:szCs w:val="24"/>
          <w:color w:val="auto"/>
        </w:rPr>
      </w:pPr>
    </w:p>
    <w:p>
      <w:pPr>
        <w:spacing w:after="0" w:line="204"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(619) 696-2000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495300</wp:posOffset>
            </wp:positionH>
            <wp:positionV relativeFrom="paragraph">
              <wp:posOffset>67310</wp:posOffset>
            </wp:positionV>
            <wp:extent cx="5068570" cy="25717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068570" cy="257175"/>
                    </a:xfrm>
                    <a:prstGeom prst="rect">
                      <a:avLst/>
                    </a:prstGeom>
                    <a:noFill/>
                  </pic:spPr>
                </pic:pic>
              </a:graphicData>
            </a:graphic>
          </wp:anchor>
        </w:drawing>
      </w:r>
    </w:p>
    <w:p>
      <w:pPr>
        <w:spacing w:after="0" w:line="200" w:lineRule="exact"/>
        <w:rPr>
          <w:sz w:val="24"/>
          <w:szCs w:val="24"/>
          <w:color w:val="auto"/>
        </w:rPr>
      </w:pPr>
    </w:p>
    <w:p>
      <w:pPr>
        <w:spacing w:after="0" w:line="364" w:lineRule="exact"/>
        <w:rPr>
          <w:sz w:val="24"/>
          <w:szCs w:val="24"/>
          <w:color w:val="auto"/>
        </w:rPr>
      </w:pPr>
    </w:p>
    <w:p>
      <w:pPr>
        <w:ind w:left="2240"/>
        <w:spacing w:after="0"/>
        <w:rPr>
          <w:sz w:val="20"/>
          <w:szCs w:val="20"/>
          <w:color w:val="auto"/>
        </w:rPr>
      </w:pPr>
      <w:r>
        <w:rPr>
          <w:rFonts w:ascii="Arial" w:cs="Arial" w:eastAsia="Arial" w:hAnsi="Arial"/>
          <w:sz w:val="22"/>
          <w:szCs w:val="22"/>
          <w:color w:val="auto"/>
        </w:rPr>
        <w:t>(Registrant's telephone number, including area code)</w:t>
      </w:r>
    </w:p>
    <w:p>
      <w:pPr>
        <w:spacing w:after="0" w:line="179" w:lineRule="exact"/>
        <w:rPr>
          <w:sz w:val="24"/>
          <w:szCs w:val="24"/>
          <w:color w:val="auto"/>
        </w:rPr>
      </w:pPr>
    </w:p>
    <w:p>
      <w:pPr>
        <w:ind w:left="360"/>
        <w:spacing w:after="0"/>
        <w:rPr>
          <w:sz w:val="20"/>
          <w:szCs w:val="20"/>
          <w:color w:val="auto"/>
        </w:rPr>
      </w:pPr>
      <w:r>
        <w:rPr>
          <w:rFonts w:ascii="Arial" w:cs="Arial" w:eastAsia="Arial" w:hAnsi="Arial"/>
          <w:sz w:val="22"/>
          <w:szCs w:val="22"/>
          <w:color w:val="auto"/>
        </w:rPr>
        <w:t>SECURITIES REGISTERED PURSUANT TO SECTION 12(b) OF THE ACT:</w:t>
      </w:r>
    </w:p>
    <w:p>
      <w:pPr>
        <w:spacing w:after="0" w:line="169" w:lineRule="exact"/>
        <w:rPr>
          <w:sz w:val="24"/>
          <w:szCs w:val="24"/>
          <w:color w:val="auto"/>
        </w:rPr>
      </w:pPr>
    </w:p>
    <w:tbl>
      <w:tblPr>
        <w:tblLayout w:type="fixed"/>
        <w:tblInd w:w="780" w:type="dxa"/>
        <w:tblCellMar>
          <w:top w:w="0" w:type="dxa"/>
          <w:left w:w="0" w:type="dxa"/>
          <w:bottom w:w="0" w:type="dxa"/>
          <w:right w:w="0" w:type="dxa"/>
        </w:tblCellMar>
      </w:tblPr>
      <w:tr>
        <w:trPr>
          <w:trHeight w:val="253"/>
        </w:trPr>
        <w:tc>
          <w:tcPr>
            <w:tcW w:w="4360" w:type="dxa"/>
            <w:vAlign w:val="bottom"/>
          </w:tcPr>
          <w:p>
            <w:pPr>
              <w:spacing w:after="0"/>
              <w:rPr>
                <w:sz w:val="21"/>
                <w:szCs w:val="21"/>
                <w:color w:val="auto"/>
              </w:rPr>
            </w:pPr>
          </w:p>
        </w:tc>
        <w:tc>
          <w:tcPr>
            <w:tcW w:w="3620" w:type="dxa"/>
            <w:vAlign w:val="bottom"/>
          </w:tcPr>
          <w:p>
            <w:pPr>
              <w:jc w:val="center"/>
              <w:ind w:left="272"/>
              <w:spacing w:after="0"/>
              <w:rPr>
                <w:sz w:val="20"/>
                <w:szCs w:val="20"/>
                <w:color w:val="auto"/>
              </w:rPr>
            </w:pPr>
            <w:r>
              <w:rPr>
                <w:rFonts w:ascii="Arial" w:cs="Arial" w:eastAsia="Arial" w:hAnsi="Arial"/>
                <w:sz w:val="22"/>
                <w:szCs w:val="22"/>
                <w:color w:val="auto"/>
                <w:w w:val="88"/>
              </w:rPr>
              <w:t>Name of each exchange on which</w:t>
            </w:r>
          </w:p>
        </w:tc>
      </w:tr>
      <w:tr>
        <w:trPr>
          <w:trHeight w:val="275"/>
        </w:trPr>
        <w:tc>
          <w:tcPr>
            <w:tcW w:w="4360" w:type="dxa"/>
            <w:vAlign w:val="bottom"/>
          </w:tcPr>
          <w:p>
            <w:pPr>
              <w:ind w:left="1420"/>
              <w:spacing w:after="0"/>
              <w:rPr>
                <w:sz w:val="20"/>
                <w:szCs w:val="20"/>
                <w:color w:val="auto"/>
              </w:rPr>
            </w:pPr>
            <w:r>
              <w:rPr>
                <w:rFonts w:ascii="Arial" w:cs="Arial" w:eastAsia="Arial" w:hAnsi="Arial"/>
                <w:sz w:val="22"/>
                <w:szCs w:val="22"/>
                <w:color w:val="auto"/>
              </w:rPr>
              <w:t>Title of each class</w:t>
            </w:r>
          </w:p>
        </w:tc>
        <w:tc>
          <w:tcPr>
            <w:tcW w:w="3620" w:type="dxa"/>
            <w:vAlign w:val="bottom"/>
          </w:tcPr>
          <w:p>
            <w:pPr>
              <w:jc w:val="center"/>
              <w:ind w:left="292"/>
              <w:spacing w:after="0"/>
              <w:rPr>
                <w:sz w:val="20"/>
                <w:szCs w:val="20"/>
                <w:color w:val="auto"/>
              </w:rPr>
            </w:pPr>
            <w:r>
              <w:rPr>
                <w:rFonts w:ascii="Arial" w:cs="Arial" w:eastAsia="Arial" w:hAnsi="Arial"/>
                <w:sz w:val="22"/>
                <w:szCs w:val="22"/>
                <w:color w:val="auto"/>
                <w:w w:val="87"/>
              </w:rPr>
              <w:t>registered</w:t>
            </w:r>
          </w:p>
        </w:tc>
      </w:tr>
      <w:tr>
        <w:trPr>
          <w:trHeight w:val="85"/>
        </w:trPr>
        <w:tc>
          <w:tcPr>
            <w:tcW w:w="4360" w:type="dxa"/>
            <w:vAlign w:val="bottom"/>
          </w:tcPr>
          <w:p>
            <w:pPr>
              <w:spacing w:after="0"/>
              <w:rPr>
                <w:sz w:val="7"/>
                <w:szCs w:val="7"/>
                <w:color w:val="auto"/>
              </w:rPr>
            </w:pPr>
          </w:p>
        </w:tc>
        <w:tc>
          <w:tcPr>
            <w:tcW w:w="3620" w:type="dxa"/>
            <w:vAlign w:val="bottom"/>
          </w:tcPr>
          <w:p>
            <w:pPr>
              <w:spacing w:after="0"/>
              <w:rPr>
                <w:sz w:val="7"/>
                <w:szCs w:val="7"/>
                <w:color w:val="auto"/>
              </w:rPr>
            </w:pPr>
          </w:p>
        </w:tc>
      </w:tr>
      <w:tr>
        <w:trPr>
          <w:trHeight w:val="405"/>
        </w:trPr>
        <w:tc>
          <w:tcPr>
            <w:tcW w:w="4360" w:type="dxa"/>
            <w:vAlign w:val="bottom"/>
            <w:shd w:val="clear" w:color="auto" w:fill="000000"/>
          </w:tcPr>
          <w:p>
            <w:pPr>
              <w:spacing w:after="0"/>
              <w:rPr>
                <w:sz w:val="24"/>
                <w:szCs w:val="24"/>
                <w:color w:val="auto"/>
              </w:rPr>
            </w:pPr>
          </w:p>
        </w:tc>
        <w:tc>
          <w:tcPr>
            <w:tcW w:w="3620" w:type="dxa"/>
            <w:vAlign w:val="bottom"/>
            <w:shd w:val="clear" w:color="auto" w:fill="000000"/>
          </w:tcPr>
          <w:p>
            <w:pPr>
              <w:spacing w:after="0"/>
              <w:rPr>
                <w:sz w:val="24"/>
                <w:szCs w:val="24"/>
                <w:color w:val="auto"/>
              </w:rPr>
            </w:pPr>
          </w:p>
        </w:tc>
      </w:tr>
      <w:tr>
        <w:trPr>
          <w:trHeight w:val="316"/>
        </w:trPr>
        <w:tc>
          <w:tcPr>
            <w:tcW w:w="4360" w:type="dxa"/>
            <w:vAlign w:val="bottom"/>
          </w:tcPr>
          <w:p>
            <w:pPr>
              <w:ind w:left="80"/>
              <w:spacing w:after="0"/>
              <w:rPr>
                <w:sz w:val="20"/>
                <w:szCs w:val="20"/>
                <w:color w:val="auto"/>
              </w:rPr>
            </w:pPr>
            <w:r>
              <w:rPr>
                <w:rFonts w:ascii="Arial" w:cs="Arial" w:eastAsia="Arial" w:hAnsi="Arial"/>
                <w:sz w:val="22"/>
                <w:szCs w:val="22"/>
                <w:color w:val="auto"/>
              </w:rPr>
              <w:t>Preference Stock (Cumulative)</w:t>
            </w:r>
          </w:p>
        </w:tc>
        <w:tc>
          <w:tcPr>
            <w:tcW w:w="3620" w:type="dxa"/>
            <w:vAlign w:val="bottom"/>
          </w:tcPr>
          <w:p>
            <w:pPr>
              <w:jc w:val="center"/>
              <w:ind w:left="292"/>
              <w:spacing w:after="0"/>
              <w:rPr>
                <w:sz w:val="20"/>
                <w:szCs w:val="20"/>
                <w:color w:val="auto"/>
              </w:rPr>
            </w:pPr>
            <w:r>
              <w:rPr>
                <w:rFonts w:ascii="Arial" w:cs="Arial" w:eastAsia="Arial" w:hAnsi="Arial"/>
                <w:sz w:val="22"/>
                <w:szCs w:val="22"/>
                <w:color w:val="auto"/>
                <w:w w:val="92"/>
              </w:rPr>
              <w:t>American</w:t>
            </w:r>
          </w:p>
        </w:tc>
      </w:tr>
      <w:tr>
        <w:trPr>
          <w:trHeight w:val="243"/>
        </w:trPr>
        <w:tc>
          <w:tcPr>
            <w:tcW w:w="4360" w:type="dxa"/>
            <w:vAlign w:val="bottom"/>
          </w:tcPr>
          <w:p>
            <w:pPr>
              <w:ind w:left="560"/>
              <w:spacing w:after="0" w:line="243" w:lineRule="exact"/>
              <w:rPr>
                <w:sz w:val="20"/>
                <w:szCs w:val="20"/>
                <w:color w:val="auto"/>
              </w:rPr>
            </w:pPr>
            <w:r>
              <w:rPr>
                <w:rFonts w:ascii="Arial" w:cs="Arial" w:eastAsia="Arial" w:hAnsi="Arial"/>
                <w:sz w:val="22"/>
                <w:szCs w:val="22"/>
                <w:color w:val="auto"/>
              </w:rPr>
              <w:t>Without Par Value (except $1.70 and</w:t>
            </w:r>
          </w:p>
        </w:tc>
        <w:tc>
          <w:tcPr>
            <w:tcW w:w="3620" w:type="dxa"/>
            <w:vAlign w:val="bottom"/>
          </w:tcPr>
          <w:p>
            <w:pPr>
              <w:spacing w:after="0"/>
              <w:rPr>
                <w:sz w:val="21"/>
                <w:szCs w:val="21"/>
                <w:color w:val="auto"/>
              </w:rPr>
            </w:pPr>
          </w:p>
        </w:tc>
      </w:tr>
      <w:tr>
        <w:trPr>
          <w:trHeight w:val="243"/>
        </w:trPr>
        <w:tc>
          <w:tcPr>
            <w:tcW w:w="4360" w:type="dxa"/>
            <w:vAlign w:val="bottom"/>
          </w:tcPr>
          <w:p>
            <w:pPr>
              <w:ind w:left="900"/>
              <w:spacing w:after="0" w:line="243" w:lineRule="exact"/>
              <w:rPr>
                <w:sz w:val="20"/>
                <w:szCs w:val="20"/>
                <w:color w:val="auto"/>
              </w:rPr>
            </w:pPr>
            <w:r>
              <w:rPr>
                <w:rFonts w:ascii="Arial" w:cs="Arial" w:eastAsia="Arial" w:hAnsi="Arial"/>
                <w:sz w:val="22"/>
                <w:szCs w:val="22"/>
                <w:color w:val="auto"/>
              </w:rPr>
              <w:t>$1.7625 Series)</w:t>
            </w:r>
          </w:p>
        </w:tc>
        <w:tc>
          <w:tcPr>
            <w:tcW w:w="3620" w:type="dxa"/>
            <w:vAlign w:val="bottom"/>
          </w:tcPr>
          <w:p>
            <w:pPr>
              <w:spacing w:after="0"/>
              <w:rPr>
                <w:sz w:val="21"/>
                <w:szCs w:val="21"/>
                <w:color w:val="auto"/>
              </w:rPr>
            </w:pPr>
          </w:p>
        </w:tc>
      </w:tr>
      <w:tr>
        <w:trPr>
          <w:trHeight w:val="243"/>
        </w:trPr>
        <w:tc>
          <w:tcPr>
            <w:tcW w:w="4360" w:type="dxa"/>
            <w:vAlign w:val="bottom"/>
          </w:tcPr>
          <w:p>
            <w:pPr>
              <w:ind w:left="80"/>
              <w:spacing w:after="0" w:line="243" w:lineRule="exact"/>
              <w:rPr>
                <w:sz w:val="20"/>
                <w:szCs w:val="20"/>
                <w:color w:val="auto"/>
              </w:rPr>
            </w:pPr>
            <w:r>
              <w:rPr>
                <w:rFonts w:ascii="Arial" w:cs="Arial" w:eastAsia="Arial" w:hAnsi="Arial"/>
                <w:sz w:val="22"/>
                <w:szCs w:val="22"/>
                <w:color w:val="auto"/>
              </w:rPr>
              <w:t>Cumulative Preferred Stock, $20 Par Value</w:t>
            </w:r>
          </w:p>
        </w:tc>
        <w:tc>
          <w:tcPr>
            <w:tcW w:w="3620" w:type="dxa"/>
            <w:vAlign w:val="bottom"/>
          </w:tcPr>
          <w:p>
            <w:pPr>
              <w:jc w:val="center"/>
              <w:ind w:left="292"/>
              <w:spacing w:after="0" w:line="243" w:lineRule="exact"/>
              <w:rPr>
                <w:sz w:val="20"/>
                <w:szCs w:val="20"/>
                <w:color w:val="auto"/>
              </w:rPr>
            </w:pPr>
            <w:r>
              <w:rPr>
                <w:rFonts w:ascii="Arial" w:cs="Arial" w:eastAsia="Arial" w:hAnsi="Arial"/>
                <w:sz w:val="22"/>
                <w:szCs w:val="22"/>
                <w:color w:val="auto"/>
                <w:w w:val="92"/>
              </w:rPr>
              <w:t>American</w:t>
            </w:r>
          </w:p>
        </w:tc>
      </w:tr>
      <w:tr>
        <w:trPr>
          <w:trHeight w:val="275"/>
        </w:trPr>
        <w:tc>
          <w:tcPr>
            <w:tcW w:w="4360" w:type="dxa"/>
            <w:vAlign w:val="bottom"/>
          </w:tcPr>
          <w:p>
            <w:pPr>
              <w:ind w:left="580"/>
              <w:spacing w:after="0"/>
              <w:rPr>
                <w:sz w:val="20"/>
                <w:szCs w:val="20"/>
                <w:color w:val="auto"/>
              </w:rPr>
            </w:pPr>
            <w:r>
              <w:rPr>
                <w:rFonts w:ascii="Arial" w:cs="Arial" w:eastAsia="Arial" w:hAnsi="Arial"/>
                <w:sz w:val="22"/>
                <w:szCs w:val="22"/>
                <w:color w:val="auto"/>
              </w:rPr>
              <w:t>(except 4.60% Series)</w:t>
            </w:r>
          </w:p>
        </w:tc>
        <w:tc>
          <w:tcPr>
            <w:tcW w:w="3620" w:type="dxa"/>
            <w:vAlign w:val="bottom"/>
          </w:tcPr>
          <w:p>
            <w:pPr>
              <w:spacing w:after="0"/>
              <w:rPr>
                <w:sz w:val="23"/>
                <w:szCs w:val="23"/>
                <w:color w:val="auto"/>
              </w:rPr>
            </w:pPr>
          </w:p>
        </w:tc>
      </w:tr>
    </w:tbl>
    <w:p>
      <w:pPr>
        <w:spacing w:after="0" w:line="200" w:lineRule="exact"/>
        <w:rPr>
          <w:sz w:val="24"/>
          <w:szCs w:val="24"/>
          <w:color w:val="auto"/>
        </w:rPr>
      </w:pPr>
    </w:p>
    <w:p>
      <w:pPr>
        <w:sectPr>
          <w:pgSz w:w="11900" w:h="16865" w:orient="portrait"/>
          <w:cols w:equalWidth="0" w:num="1">
            <w:col w:w="9019"/>
          </w:cols>
          <w:pgMar w:left="1440" w:top="321" w:right="1440" w:bottom="0" w:gutter="0" w:footer="0" w:header="0"/>
        </w:sectPr>
      </w:pPr>
    </w:p>
    <w:p>
      <w:pPr>
        <w:spacing w:after="0" w:line="363" w:lineRule="exact"/>
        <w:rPr>
          <w:sz w:val="24"/>
          <w:szCs w:val="24"/>
          <w:color w:val="auto"/>
        </w:rPr>
      </w:pPr>
    </w:p>
    <w:p>
      <w:pPr>
        <w:ind w:left="7780"/>
        <w:spacing w:after="0"/>
        <w:rPr>
          <w:sz w:val="20"/>
          <w:szCs w:val="20"/>
          <w:color w:val="auto"/>
        </w:rPr>
      </w:pPr>
      <w:r>
        <w:rPr>
          <w:rFonts w:ascii="Arial" w:cs="Arial" w:eastAsia="Arial" w:hAnsi="Arial"/>
          <w:sz w:val="19"/>
          <w:szCs w:val="19"/>
          <w:color w:val="auto"/>
        </w:rPr>
        <w:t>None</w:t>
      </w:r>
    </w:p>
    <w:p>
      <w:pPr>
        <w:sectPr>
          <w:pgSz w:w="11900" w:h="16865" w:orient="portrait"/>
          <w:cols w:equalWidth="0" w:num="1">
            <w:col w:w="9019"/>
          </w:cols>
          <w:pgMar w:left="1440" w:top="321" w:right="1440" w:bottom="0" w:gutter="0" w:footer="0" w:header="0"/>
          <w:type w:val="continuous"/>
        </w:sectPr>
      </w:pPr>
    </w:p>
    <w:bookmarkStart w:id="1" w:name="page2"/>
    <w:bookmarkEnd w:id="1"/>
    <w:p>
      <w:pPr>
        <w:ind w:left="360" w:right="2219"/>
        <w:spacing w:after="0" w:line="251" w:lineRule="auto"/>
        <w:rPr>
          <w:sz w:val="20"/>
          <w:szCs w:val="20"/>
          <w:color w:val="auto"/>
        </w:rPr>
      </w:pPr>
      <w:r>
        <w:rPr>
          <w:rFonts w:ascii="Arial" w:cs="Arial" w:eastAsia="Arial" w:hAnsi="Arial"/>
          <w:sz w:val="22"/>
          <w:szCs w:val="22"/>
          <w:color w:val="auto"/>
        </w:rPr>
        <w:t>SECURITIES REGISTERED PURSUANT TO SECTION 12(g) OF THE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4620260</wp:posOffset>
            </wp:positionH>
            <wp:positionV relativeFrom="paragraph">
              <wp:posOffset>46990</wp:posOffset>
            </wp:positionV>
            <wp:extent cx="943610" cy="25717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943610" cy="2571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380" w:right="379"/>
        <w:spacing w:after="0" w:line="251" w:lineRule="auto"/>
        <w:rPr>
          <w:sz w:val="20"/>
          <w:szCs w:val="20"/>
          <w:color w:val="auto"/>
        </w:rPr>
      </w:pPr>
      <w:r>
        <w:rPr>
          <w:rFonts w:ascii="Arial" w:cs="Arial" w:eastAsia="Arial" w:hAnsi="Arial"/>
          <w:sz w:val="22"/>
          <w:szCs w:val="22"/>
          <w:color w:val="auto"/>
        </w:rPr>
        <w:t>Indicate by check mark if the registrant is a well-known seasoned issuer, as defined in Rule 405 of the Securities Act.</w:t>
      </w:r>
    </w:p>
    <w:p>
      <w:pPr>
        <w:spacing w:after="0" w:line="146" w:lineRule="exact"/>
        <w:rPr>
          <w:sz w:val="20"/>
          <w:szCs w:val="20"/>
          <w:color w:val="auto"/>
        </w:rPr>
      </w:pPr>
    </w:p>
    <w:p>
      <w:pPr>
        <w:ind w:left="4800"/>
        <w:spacing w:after="0"/>
        <w:tabs>
          <w:tab w:leader="none" w:pos="6900" w:val="left"/>
          <w:tab w:leader="none" w:pos="7940" w:val="left"/>
        </w:tabs>
        <w:rPr>
          <w:sz w:val="20"/>
          <w:szCs w:val="20"/>
          <w:color w:val="auto"/>
        </w:rPr>
      </w:pPr>
      <w:r>
        <w:rPr>
          <w:rFonts w:ascii="Arial" w:cs="Arial" w:eastAsia="Arial" w:hAnsi="Arial"/>
          <w:sz w:val="22"/>
          <w:szCs w:val="22"/>
          <w:color w:val="auto"/>
        </w:rPr>
        <w:t>Yes</w:t>
      </w:r>
      <w:r>
        <w:rPr>
          <w:sz w:val="20"/>
          <w:szCs w:val="20"/>
          <w:color w:val="auto"/>
        </w:rPr>
        <w:tab/>
      </w:r>
      <w:r>
        <w:rPr>
          <w:rFonts w:ascii="Arial" w:cs="Arial" w:eastAsia="Arial" w:hAnsi="Arial"/>
          <w:sz w:val="22"/>
          <w:szCs w:val="22"/>
          <w:color w:val="auto"/>
        </w:rPr>
        <w:t>No</w:t>
      </w:r>
      <w:r>
        <w:rPr>
          <w:sz w:val="20"/>
          <w:szCs w:val="20"/>
          <w:color w:val="auto"/>
        </w:rPr>
        <w:tab/>
      </w:r>
      <w:r>
        <w:rPr>
          <w:rFonts w:ascii="Arial" w:cs="Arial" w:eastAsia="Arial" w:hAnsi="Arial"/>
          <w:sz w:val="22"/>
          <w:szCs w:val="22"/>
          <w:color w:val="auto"/>
        </w:rPr>
        <w:t>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3359785</wp:posOffset>
            </wp:positionH>
            <wp:positionV relativeFrom="paragraph">
              <wp:posOffset>67310</wp:posOffset>
            </wp:positionV>
            <wp:extent cx="2195195" cy="25717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195195" cy="2571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380" w:right="499"/>
        <w:spacing w:after="0" w:line="251" w:lineRule="auto"/>
        <w:rPr>
          <w:sz w:val="20"/>
          <w:szCs w:val="20"/>
          <w:color w:val="auto"/>
        </w:rPr>
      </w:pPr>
      <w:r>
        <w:rPr>
          <w:rFonts w:ascii="Arial" w:cs="Arial" w:eastAsia="Arial" w:hAnsi="Arial"/>
          <w:sz w:val="22"/>
          <w:szCs w:val="22"/>
          <w:color w:val="auto"/>
        </w:rPr>
        <w:t>Indicate by check mark if the registrant is not required to file reports pursuant to Section 13 or Section 15(d) of the Act.</w:t>
      </w:r>
    </w:p>
    <w:p>
      <w:pPr>
        <w:spacing w:after="0" w:line="146" w:lineRule="exact"/>
        <w:rPr>
          <w:sz w:val="20"/>
          <w:szCs w:val="20"/>
          <w:color w:val="auto"/>
        </w:rPr>
      </w:pPr>
    </w:p>
    <w:p>
      <w:pPr>
        <w:ind w:left="4800"/>
        <w:spacing w:after="0"/>
        <w:tabs>
          <w:tab w:leader="none" w:pos="6900" w:val="left"/>
          <w:tab w:leader="none" w:pos="7940" w:val="left"/>
        </w:tabs>
        <w:rPr>
          <w:sz w:val="20"/>
          <w:szCs w:val="20"/>
          <w:color w:val="auto"/>
        </w:rPr>
      </w:pPr>
      <w:r>
        <w:rPr>
          <w:rFonts w:ascii="Arial" w:cs="Arial" w:eastAsia="Arial" w:hAnsi="Arial"/>
          <w:sz w:val="22"/>
          <w:szCs w:val="22"/>
          <w:color w:val="auto"/>
        </w:rPr>
        <w:t>Yes</w:t>
      </w:r>
      <w:r>
        <w:rPr>
          <w:sz w:val="20"/>
          <w:szCs w:val="20"/>
          <w:color w:val="auto"/>
        </w:rPr>
        <w:tab/>
      </w:r>
      <w:r>
        <w:rPr>
          <w:rFonts w:ascii="Arial" w:cs="Arial" w:eastAsia="Arial" w:hAnsi="Arial"/>
          <w:sz w:val="22"/>
          <w:szCs w:val="22"/>
          <w:color w:val="auto"/>
        </w:rPr>
        <w:t>No</w:t>
      </w:r>
      <w:r>
        <w:rPr>
          <w:sz w:val="20"/>
          <w:szCs w:val="20"/>
          <w:color w:val="auto"/>
        </w:rPr>
        <w:tab/>
      </w:r>
      <w:r>
        <w:rPr>
          <w:rFonts w:ascii="Arial" w:cs="Arial" w:eastAsia="Arial" w:hAnsi="Arial"/>
          <w:sz w:val="22"/>
          <w:szCs w:val="22"/>
          <w:color w:val="auto"/>
        </w:rPr>
        <w:t>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3359785</wp:posOffset>
            </wp:positionH>
            <wp:positionV relativeFrom="paragraph">
              <wp:posOffset>67310</wp:posOffset>
            </wp:positionV>
            <wp:extent cx="2195195" cy="25717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195195" cy="2571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300" w:right="479"/>
        <w:spacing w:after="0" w:line="252" w:lineRule="auto"/>
        <w:rPr>
          <w:sz w:val="20"/>
          <w:szCs w:val="20"/>
          <w:color w:val="auto"/>
        </w:rPr>
      </w:pPr>
      <w:r>
        <w:rPr>
          <w:rFonts w:ascii="Arial" w:cs="Arial" w:eastAsia="Arial" w:hAnsi="Arial"/>
          <w:sz w:val="21"/>
          <w:szCs w:val="21"/>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363" w:lineRule="exact"/>
        <w:rPr>
          <w:sz w:val="20"/>
          <w:szCs w:val="20"/>
          <w:color w:val="auto"/>
        </w:rPr>
      </w:pPr>
    </w:p>
    <w:p>
      <w:pPr>
        <w:ind w:left="4200"/>
        <w:spacing w:after="0"/>
        <w:tabs>
          <w:tab w:leader="none" w:pos="5940" w:val="left"/>
          <w:tab w:leader="none" w:pos="7140" w:val="left"/>
        </w:tabs>
        <w:rPr>
          <w:sz w:val="20"/>
          <w:szCs w:val="20"/>
          <w:color w:val="auto"/>
        </w:rPr>
      </w:pPr>
      <w:r>
        <w:rPr>
          <w:rFonts w:ascii="Arial" w:cs="Arial" w:eastAsia="Arial" w:hAnsi="Arial"/>
          <w:sz w:val="22"/>
          <w:szCs w:val="22"/>
          <w:color w:val="auto"/>
        </w:rPr>
        <w:t>Yes</w:t>
      </w:r>
      <w:r>
        <w:rPr>
          <w:sz w:val="20"/>
          <w:szCs w:val="20"/>
          <w:color w:val="auto"/>
        </w:rPr>
        <w:tab/>
      </w:r>
      <w:r>
        <w:rPr>
          <w:rFonts w:ascii="Arial" w:cs="Arial" w:eastAsia="Arial" w:hAnsi="Arial"/>
          <w:sz w:val="22"/>
          <w:szCs w:val="22"/>
          <w:color w:val="auto"/>
        </w:rPr>
        <w:t>X</w:t>
      </w:r>
      <w:r>
        <w:rPr>
          <w:sz w:val="20"/>
          <w:szCs w:val="20"/>
          <w:color w:val="auto"/>
        </w:rPr>
        <w:tab/>
      </w:r>
      <w:r>
        <w:rPr>
          <w:rFonts w:ascii="Arial" w:cs="Arial" w:eastAsia="Arial" w:hAnsi="Arial"/>
          <w:sz w:val="21"/>
          <w:szCs w:val="21"/>
          <w:color w:val="auto"/>
        </w:rPr>
        <w:t>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3488055</wp:posOffset>
            </wp:positionH>
            <wp:positionV relativeFrom="paragraph">
              <wp:posOffset>67310</wp:posOffset>
            </wp:positionV>
            <wp:extent cx="694690" cy="25717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4690" cy="257175"/>
                    </a:xfrm>
                    <a:prstGeom prst="rect">
                      <a:avLst/>
                    </a:prstGeom>
                    <a:noFill/>
                  </pic:spPr>
                </pic:pic>
              </a:graphicData>
            </a:graphic>
          </wp:anchor>
        </w:drawing>
        <w:drawing>
          <wp:anchor simplePos="0" relativeHeight="251657728" behindDoc="1" locked="0" layoutInCell="0" allowOverlap="1">
            <wp:simplePos x="0" y="0"/>
            <wp:positionH relativeFrom="column">
              <wp:posOffset>4817110</wp:posOffset>
            </wp:positionH>
            <wp:positionV relativeFrom="paragraph">
              <wp:posOffset>67310</wp:posOffset>
            </wp:positionV>
            <wp:extent cx="788670" cy="25717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88670" cy="2571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300" w:right="399"/>
        <w:spacing w:after="0" w:line="238" w:lineRule="auto"/>
        <w:rPr>
          <w:sz w:val="20"/>
          <w:szCs w:val="20"/>
          <w:color w:val="auto"/>
        </w:rPr>
      </w:pPr>
      <w:r>
        <w:rPr>
          <w:rFonts w:ascii="Arial" w:cs="Arial" w:eastAsia="Arial" w:hAnsi="Arial"/>
          <w:sz w:val="22"/>
          <w:szCs w:val="22"/>
          <w:color w:val="auto"/>
        </w:rPr>
        <w:t>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w:t>
      </w:r>
    </w:p>
    <w:p>
      <w:pPr>
        <w:spacing w:after="0" w:line="158" w:lineRule="exact"/>
        <w:rPr>
          <w:sz w:val="20"/>
          <w:szCs w:val="20"/>
          <w:color w:val="auto"/>
        </w:rPr>
      </w:pPr>
    </w:p>
    <w:p>
      <w:pPr>
        <w:ind w:left="8120"/>
        <w:spacing w:after="0"/>
        <w:rPr>
          <w:sz w:val="20"/>
          <w:szCs w:val="20"/>
          <w:color w:val="auto"/>
        </w:rPr>
      </w:pPr>
      <w:r>
        <w:rPr>
          <w:rFonts w:ascii="Arial" w:cs="Arial" w:eastAsia="Arial" w:hAnsi="Arial"/>
          <w:sz w:val="22"/>
          <w:szCs w:val="22"/>
          <w:color w:val="auto"/>
        </w:rPr>
        <w:t>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4817110</wp:posOffset>
            </wp:positionH>
            <wp:positionV relativeFrom="paragraph">
              <wp:posOffset>67310</wp:posOffset>
            </wp:positionV>
            <wp:extent cx="788670" cy="25717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88670" cy="2571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both"/>
        <w:ind w:left="300" w:right="319"/>
        <w:spacing w:after="0"/>
        <w:rPr>
          <w:sz w:val="20"/>
          <w:szCs w:val="20"/>
          <w:color w:val="auto"/>
        </w:rPr>
      </w:pPr>
      <w:r>
        <w:rPr>
          <w:rFonts w:ascii="Arial" w:cs="Arial" w:eastAsia="Arial" w:hAnsi="Arial"/>
          <w:sz w:val="22"/>
          <w:szCs w:val="22"/>
          <w:color w:val="auto"/>
        </w:rPr>
        <w:t>Indicate by check mark whether the registrant is a large accelerated filer, an accelerated filer, or a non-accelerated filer. See definition of "accelerated filer and large accelerated filer" in Rule 12b-2 of the Exchange Act. (Check one):</w:t>
      </w:r>
    </w:p>
    <w:p>
      <w:pPr>
        <w:sectPr>
          <w:pgSz w:w="11900" w:h="16838" w:orient="portrait"/>
          <w:cols w:equalWidth="0" w:num="1">
            <w:col w:w="9019"/>
          </w:cols>
          <w:pgMar w:left="1440" w:top="118" w:right="1440" w:bottom="0" w:gutter="0" w:footer="0" w:header="0"/>
        </w:sectPr>
      </w:pPr>
    </w:p>
    <w:p>
      <w:pPr>
        <w:spacing w:after="0" w:line="200" w:lineRule="exact"/>
        <w:rPr>
          <w:sz w:val="20"/>
          <w:szCs w:val="20"/>
          <w:color w:val="auto"/>
        </w:rPr>
      </w:pPr>
    </w:p>
    <w:p>
      <w:pPr>
        <w:spacing w:after="0" w:line="365" w:lineRule="exact"/>
        <w:rPr>
          <w:sz w:val="20"/>
          <w:szCs w:val="20"/>
          <w:color w:val="auto"/>
        </w:rPr>
      </w:pPr>
    </w:p>
    <w:p>
      <w:pPr>
        <w:ind w:left="300"/>
        <w:spacing w:after="0" w:line="274" w:lineRule="auto"/>
        <w:rPr>
          <w:sz w:val="20"/>
          <w:szCs w:val="20"/>
          <w:color w:val="auto"/>
        </w:rPr>
      </w:pPr>
      <w:r>
        <w:rPr>
          <w:rFonts w:ascii="Arial" w:cs="Arial" w:eastAsia="Arial" w:hAnsi="Arial"/>
          <w:sz w:val="21"/>
          <w:szCs w:val="21"/>
          <w:color w:val="auto"/>
        </w:rPr>
        <w:t>Large accelerated filer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22"/>
          <w:szCs w:val="22"/>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21"/>
          <w:szCs w:val="21"/>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Accelerated filer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22"/>
          <w:szCs w:val="22"/>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21"/>
          <w:szCs w:val="21"/>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Non-accelerated</w:t>
      </w:r>
    </w:p>
    <w:p>
      <w:pPr>
        <w:spacing w:after="0" w:line="4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filer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45" w:lineRule="exact"/>
        <w:rPr>
          <w:sz w:val="20"/>
          <w:szCs w:val="20"/>
          <w:color w:val="auto"/>
        </w:rPr>
      </w:pPr>
    </w:p>
    <w:p>
      <w:pPr>
        <w:jc w:val="center"/>
        <w:ind w:right="399"/>
        <w:spacing w:after="0"/>
        <w:rPr>
          <w:sz w:val="20"/>
          <w:szCs w:val="20"/>
          <w:color w:val="auto"/>
        </w:rPr>
      </w:pPr>
      <w:r>
        <w:rPr>
          <w:rFonts w:ascii="Arial" w:cs="Arial" w:eastAsia="Arial" w:hAnsi="Arial"/>
          <w:sz w:val="22"/>
          <w:szCs w:val="22"/>
          <w:color w:val="auto"/>
        </w:rPr>
        <w:t>[ X ]</w:t>
      </w:r>
    </w:p>
    <w:p>
      <w:pPr>
        <w:spacing w:after="0" w:line="498" w:lineRule="exact"/>
        <w:rPr>
          <w:sz w:val="20"/>
          <w:szCs w:val="20"/>
          <w:color w:val="auto"/>
        </w:rPr>
      </w:pPr>
    </w:p>
    <w:p>
      <w:pPr>
        <w:sectPr>
          <w:pgSz w:w="11900" w:h="16838" w:orient="portrait"/>
          <w:cols w:equalWidth="0" w:num="8">
            <w:col w:w="1820" w:space="460"/>
            <w:col w:w="80" w:space="280"/>
            <w:col w:w="60" w:space="660"/>
            <w:col w:w="1440" w:space="660"/>
            <w:col w:w="80" w:space="280"/>
            <w:col w:w="60" w:space="400"/>
            <w:col w:w="1420" w:space="420"/>
            <w:col w:w="899"/>
          </w:cols>
          <w:pgMar w:left="1440" w:top="118" w:right="1440" w:bottom="0" w:gutter="0" w:footer="0" w:header="0"/>
          <w:type w:val="continuous"/>
        </w:sectPr>
      </w:pPr>
    </w:p>
    <w:p>
      <w:pPr>
        <w:spacing w:after="0" w:line="200" w:lineRule="exact"/>
        <w:rPr>
          <w:sz w:val="20"/>
          <w:szCs w:val="20"/>
          <w:color w:val="auto"/>
        </w:rPr>
      </w:pPr>
    </w:p>
    <w:p>
      <w:pPr>
        <w:spacing w:after="0" w:line="372" w:lineRule="exact"/>
        <w:rPr>
          <w:sz w:val="20"/>
          <w:szCs w:val="20"/>
          <w:color w:val="auto"/>
        </w:rPr>
      </w:pPr>
    </w:p>
    <w:p>
      <w:pPr>
        <w:ind w:left="300" w:right="299"/>
        <w:spacing w:after="0" w:line="251" w:lineRule="auto"/>
        <w:rPr>
          <w:sz w:val="20"/>
          <w:szCs w:val="20"/>
          <w:color w:val="auto"/>
        </w:rPr>
      </w:pPr>
      <w:r>
        <w:rPr>
          <w:rFonts w:ascii="Arial" w:cs="Arial" w:eastAsia="Arial" w:hAnsi="Arial"/>
          <w:sz w:val="22"/>
          <w:szCs w:val="22"/>
          <w:color w:val="auto"/>
        </w:rPr>
        <w:t>Indicate by check mark whether the registrant is a shell company (as defined in Rule 12b-2 of the Exchange Act).</w:t>
      </w:r>
    </w:p>
    <w:p>
      <w:pPr>
        <w:spacing w:after="0" w:line="146" w:lineRule="exact"/>
        <w:rPr>
          <w:sz w:val="20"/>
          <w:szCs w:val="20"/>
          <w:color w:val="auto"/>
        </w:rPr>
      </w:pPr>
    </w:p>
    <w:p>
      <w:pPr>
        <w:ind w:left="4200"/>
        <w:spacing w:after="0"/>
        <w:tabs>
          <w:tab w:leader="none" w:pos="7140" w:val="left"/>
          <w:tab w:leader="none" w:pos="8100" w:val="left"/>
        </w:tabs>
        <w:rPr>
          <w:sz w:val="20"/>
          <w:szCs w:val="20"/>
          <w:color w:val="auto"/>
        </w:rPr>
      </w:pPr>
      <w:r>
        <w:rPr>
          <w:rFonts w:ascii="Arial" w:cs="Arial" w:eastAsia="Arial" w:hAnsi="Arial"/>
          <w:sz w:val="22"/>
          <w:szCs w:val="22"/>
          <w:color w:val="auto"/>
        </w:rPr>
        <w:t>Yes</w:t>
      </w:r>
      <w:r>
        <w:rPr>
          <w:sz w:val="20"/>
          <w:szCs w:val="20"/>
          <w:color w:val="auto"/>
        </w:rPr>
        <w:tab/>
      </w:r>
      <w:r>
        <w:rPr>
          <w:rFonts w:ascii="Arial" w:cs="Arial" w:eastAsia="Arial" w:hAnsi="Arial"/>
          <w:sz w:val="22"/>
          <w:szCs w:val="22"/>
          <w:color w:val="auto"/>
        </w:rPr>
        <w:t>No</w:t>
      </w:r>
      <w:r>
        <w:rPr>
          <w:sz w:val="20"/>
          <w:szCs w:val="20"/>
          <w:color w:val="auto"/>
        </w:rPr>
        <w:tab/>
      </w:r>
      <w:r>
        <w:rPr>
          <w:rFonts w:ascii="Arial" w:cs="Arial" w:eastAsia="Arial" w:hAnsi="Arial"/>
          <w:sz w:val="22"/>
          <w:szCs w:val="22"/>
          <w:color w:val="auto"/>
        </w:rPr>
        <w:t>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3488055</wp:posOffset>
            </wp:positionH>
            <wp:positionV relativeFrom="paragraph">
              <wp:posOffset>67310</wp:posOffset>
            </wp:positionV>
            <wp:extent cx="694690" cy="25717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94690" cy="257175"/>
                    </a:xfrm>
                    <a:prstGeom prst="rect">
                      <a:avLst/>
                    </a:prstGeom>
                    <a:noFill/>
                  </pic:spPr>
                </pic:pic>
              </a:graphicData>
            </a:graphic>
          </wp:anchor>
        </w:drawing>
        <w:drawing>
          <wp:anchor simplePos="0" relativeHeight="251657728" behindDoc="1" locked="0" layoutInCell="0" allowOverlap="1">
            <wp:simplePos x="0" y="0"/>
            <wp:positionH relativeFrom="column">
              <wp:posOffset>4817110</wp:posOffset>
            </wp:positionH>
            <wp:positionV relativeFrom="paragraph">
              <wp:posOffset>67310</wp:posOffset>
            </wp:positionV>
            <wp:extent cx="788670" cy="25717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88670" cy="2571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300"/>
        <w:spacing w:after="0"/>
        <w:rPr>
          <w:sz w:val="20"/>
          <w:szCs w:val="20"/>
          <w:color w:val="auto"/>
        </w:rPr>
      </w:pPr>
      <w:r>
        <w:rPr>
          <w:rFonts w:ascii="Arial" w:cs="Arial" w:eastAsia="Arial" w:hAnsi="Arial"/>
          <w:sz w:val="22"/>
          <w:szCs w:val="22"/>
          <w:color w:val="auto"/>
        </w:rPr>
        <w:t>Exhibit Index on page 82. Glossary on page 89.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300" w:right="419"/>
        <w:spacing w:after="0" w:line="251" w:lineRule="auto"/>
        <w:rPr>
          <w:sz w:val="20"/>
          <w:szCs w:val="20"/>
          <w:color w:val="auto"/>
        </w:rPr>
      </w:pPr>
      <w:r>
        <w:rPr>
          <w:rFonts w:ascii="Arial" w:cs="Arial" w:eastAsia="Arial" w:hAnsi="Arial"/>
          <w:sz w:val="22"/>
          <w:szCs w:val="22"/>
          <w:color w:val="auto"/>
        </w:rPr>
        <w:t>Aggregate market value of the voting stock held by non-affiliates of the registrant as of June 30, 2005 was $24.6 million.</w:t>
      </w:r>
    </w:p>
    <w:p>
      <w:pPr>
        <w:sectPr>
          <w:pgSz w:w="11900" w:h="16838" w:orient="portrait"/>
          <w:cols w:equalWidth="0" w:num="1">
            <w:col w:w="9019"/>
          </w:cols>
          <w:pgMar w:left="1440" w:top="118" w:right="1440" w:bottom="0" w:gutter="0" w:footer="0" w:header="0"/>
          <w:type w:val="continuous"/>
        </w:sectPr>
      </w:pPr>
    </w:p>
    <w:bookmarkStart w:id="2" w:name="page3"/>
    <w:bookmarkEnd w:id="2"/>
    <w:p>
      <w:pPr>
        <w:ind w:left="300" w:right="779"/>
        <w:spacing w:after="0" w:line="251" w:lineRule="auto"/>
        <w:rPr>
          <w:sz w:val="20"/>
          <w:szCs w:val="20"/>
          <w:color w:val="auto"/>
        </w:rPr>
      </w:pPr>
      <w:r>
        <w:rPr>
          <w:rFonts w:ascii="Arial" w:cs="Arial" w:eastAsia="Arial" w:hAnsi="Arial"/>
          <w:sz w:val="22"/>
          <w:szCs w:val="22"/>
          <w:color w:val="auto"/>
        </w:rPr>
        <w:t>Registrant's common stock outstanding as of January 31, 2006 was wholly owned by Enova Corporation.</w:t>
      </w:r>
    </w:p>
    <w:p>
      <w:pPr>
        <w:spacing w:after="0" w:line="200" w:lineRule="exact"/>
        <w:rPr>
          <w:sz w:val="20"/>
          <w:szCs w:val="20"/>
          <w:color w:val="auto"/>
        </w:rPr>
      </w:pPr>
    </w:p>
    <w:p>
      <w:pPr>
        <w:spacing w:after="0" w:line="378" w:lineRule="exact"/>
        <w:rPr>
          <w:sz w:val="20"/>
          <w:szCs w:val="20"/>
          <w:color w:val="auto"/>
        </w:rPr>
      </w:pPr>
    </w:p>
    <w:p>
      <w:pPr>
        <w:ind w:left="300"/>
        <w:spacing w:after="0"/>
        <w:rPr>
          <w:sz w:val="20"/>
          <w:szCs w:val="20"/>
          <w:color w:val="auto"/>
        </w:rPr>
      </w:pPr>
      <w:r>
        <w:rPr>
          <w:rFonts w:ascii="Arial" w:cs="Arial" w:eastAsia="Arial" w:hAnsi="Arial"/>
          <w:sz w:val="22"/>
          <w:szCs w:val="22"/>
          <w:color w:val="auto"/>
        </w:rPr>
        <w:t>DOCUMENTS INCORPORATED BY REFERENCE:</w:t>
      </w:r>
    </w:p>
    <w:p>
      <w:pPr>
        <w:spacing w:after="0" w:line="200" w:lineRule="exact"/>
        <w:rPr>
          <w:sz w:val="20"/>
          <w:szCs w:val="20"/>
          <w:color w:val="auto"/>
        </w:rPr>
      </w:pPr>
    </w:p>
    <w:p>
      <w:pPr>
        <w:spacing w:after="0" w:line="384" w:lineRule="exact"/>
        <w:rPr>
          <w:sz w:val="20"/>
          <w:szCs w:val="20"/>
          <w:color w:val="auto"/>
        </w:rPr>
      </w:pPr>
    </w:p>
    <w:p>
      <w:pPr>
        <w:ind w:left="300" w:right="319"/>
        <w:spacing w:after="0" w:line="251" w:lineRule="auto"/>
        <w:rPr>
          <w:sz w:val="20"/>
          <w:szCs w:val="20"/>
          <w:color w:val="auto"/>
        </w:rPr>
      </w:pPr>
      <w:r>
        <w:rPr>
          <w:rFonts w:ascii="Arial" w:cs="Arial" w:eastAsia="Arial" w:hAnsi="Arial"/>
          <w:sz w:val="22"/>
          <w:szCs w:val="22"/>
          <w:color w:val="auto"/>
        </w:rPr>
        <w:t>Portions of the Information Statement prepared for the May 2006 annual meeting of shareholders are incorporated by reference into Part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1011555</wp:posOffset>
            </wp:positionV>
            <wp:extent cx="72720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tbl>
      <w:tblPr>
        <w:tblLayout w:type="fixed"/>
        <w:tblInd w:w="720" w:type="dxa"/>
        <w:tblCellMar>
          <w:top w:w="0" w:type="dxa"/>
          <w:left w:w="0" w:type="dxa"/>
          <w:bottom w:w="0" w:type="dxa"/>
          <w:right w:w="0" w:type="dxa"/>
        </w:tblCellMar>
      </w:tblPr>
      <w:tr>
        <w:trPr>
          <w:trHeight w:val="281"/>
        </w:trPr>
        <w:tc>
          <w:tcPr>
            <w:tcW w:w="980" w:type="dxa"/>
            <w:vAlign w:val="bottom"/>
          </w:tcPr>
          <w:p>
            <w:pPr>
              <w:spacing w:after="0"/>
              <w:rPr>
                <w:sz w:val="24"/>
                <w:szCs w:val="24"/>
                <w:color w:val="auto"/>
              </w:rPr>
            </w:pPr>
          </w:p>
        </w:tc>
        <w:tc>
          <w:tcPr>
            <w:tcW w:w="5860" w:type="dxa"/>
            <w:vAlign w:val="bottom"/>
          </w:tcPr>
          <w:p>
            <w:pPr>
              <w:ind w:left="1240"/>
              <w:spacing w:after="0"/>
              <w:rPr>
                <w:sz w:val="20"/>
                <w:szCs w:val="20"/>
                <w:color w:val="auto"/>
              </w:rPr>
            </w:pPr>
            <w:r>
              <w:rPr>
                <w:rFonts w:ascii="Arial" w:cs="Arial" w:eastAsia="Arial" w:hAnsi="Arial"/>
                <w:sz w:val="22"/>
                <w:szCs w:val="22"/>
                <w:b w:val="1"/>
                <w:bCs w:val="1"/>
                <w:color w:val="auto"/>
              </w:rPr>
              <w:t>TABLE OF CONTENTS</w:t>
            </w:r>
          </w:p>
        </w:tc>
        <w:tc>
          <w:tcPr>
            <w:tcW w:w="860" w:type="dxa"/>
            <w:vAlign w:val="bottom"/>
          </w:tcPr>
          <w:p>
            <w:pPr>
              <w:ind w:left="200"/>
              <w:spacing w:after="0"/>
              <w:rPr>
                <w:sz w:val="20"/>
                <w:szCs w:val="20"/>
                <w:color w:val="auto"/>
              </w:rPr>
            </w:pPr>
            <w:r>
              <w:rPr>
                <w:rFonts w:ascii="Arial" w:cs="Arial" w:eastAsia="Arial" w:hAnsi="Arial"/>
                <w:sz w:val="22"/>
                <w:szCs w:val="22"/>
                <w:b w:val="1"/>
                <w:bCs w:val="1"/>
                <w:color w:val="auto"/>
              </w:rPr>
              <w:t>Page</w:t>
            </w:r>
          </w:p>
        </w:tc>
        <w:tc>
          <w:tcPr>
            <w:tcW w:w="0" w:type="dxa"/>
            <w:vAlign w:val="bottom"/>
          </w:tcPr>
          <w:p>
            <w:pPr>
              <w:spacing w:after="0"/>
              <w:rPr>
                <w:sz w:val="1"/>
                <w:szCs w:val="1"/>
                <w:color w:val="auto"/>
              </w:rPr>
            </w:pPr>
          </w:p>
        </w:tc>
      </w:tr>
      <w:tr>
        <w:trPr>
          <w:trHeight w:val="85"/>
        </w:trPr>
        <w:tc>
          <w:tcPr>
            <w:tcW w:w="980" w:type="dxa"/>
            <w:vAlign w:val="bottom"/>
            <w:vMerge w:val="restart"/>
          </w:tcPr>
          <w:p>
            <w:pPr>
              <w:spacing w:after="0"/>
              <w:rPr>
                <w:sz w:val="20"/>
                <w:szCs w:val="20"/>
                <w:color w:val="auto"/>
              </w:rPr>
            </w:pPr>
            <w:r>
              <w:rPr>
                <w:rFonts w:ascii="Arial" w:cs="Arial" w:eastAsia="Arial" w:hAnsi="Arial"/>
                <w:sz w:val="22"/>
                <w:szCs w:val="22"/>
                <w:b w:val="1"/>
                <w:bCs w:val="1"/>
                <w:color w:val="auto"/>
              </w:rPr>
              <w:t>PART I</w:t>
            </w:r>
          </w:p>
        </w:tc>
        <w:tc>
          <w:tcPr>
            <w:tcW w:w="5860" w:type="dxa"/>
            <w:vAlign w:val="bottom"/>
          </w:tcPr>
          <w:p>
            <w:pPr>
              <w:spacing w:after="0"/>
              <w:rPr>
                <w:sz w:val="7"/>
                <w:szCs w:val="7"/>
                <w:color w:val="auto"/>
              </w:rPr>
            </w:pPr>
          </w:p>
        </w:tc>
        <w:tc>
          <w:tcPr>
            <w:tcW w:w="8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05"/>
        </w:trPr>
        <w:tc>
          <w:tcPr>
            <w:tcW w:w="980" w:type="dxa"/>
            <w:vAlign w:val="bottom"/>
            <w:vMerge w:val="continue"/>
          </w:tcPr>
          <w:p>
            <w:pPr>
              <w:spacing w:after="0"/>
              <w:rPr>
                <w:sz w:val="24"/>
                <w:szCs w:val="24"/>
                <w:color w:val="auto"/>
              </w:rPr>
            </w:pPr>
          </w:p>
        </w:tc>
        <w:tc>
          <w:tcPr>
            <w:tcW w:w="5860" w:type="dxa"/>
            <w:vAlign w:val="bottom"/>
          </w:tcPr>
          <w:p>
            <w:pPr>
              <w:spacing w:after="0"/>
              <w:rPr>
                <w:sz w:val="24"/>
                <w:szCs w:val="24"/>
                <w:color w:val="auto"/>
              </w:rPr>
            </w:pPr>
          </w:p>
        </w:tc>
        <w:tc>
          <w:tcPr>
            <w:tcW w:w="860" w:type="dxa"/>
            <w:vAlign w:val="bottom"/>
            <w:shd w:val="clear" w:color="auto" w:fill="000000"/>
          </w:tcPr>
          <w:p>
            <w:pPr>
              <w:spacing w:after="0"/>
              <w:rPr>
                <w:sz w:val="24"/>
                <w:szCs w:val="24"/>
                <w:color w:val="auto"/>
              </w:rPr>
            </w:pPr>
          </w:p>
        </w:tc>
        <w:tc>
          <w:tcPr>
            <w:tcW w:w="0" w:type="dxa"/>
            <w:vAlign w:val="bottom"/>
          </w:tcPr>
          <w:p>
            <w:pPr>
              <w:spacing w:after="0"/>
              <w:rPr>
                <w:sz w:val="1"/>
                <w:szCs w:val="1"/>
                <w:color w:val="auto"/>
              </w:rPr>
            </w:pPr>
          </w:p>
        </w:tc>
      </w:tr>
      <w:tr>
        <w:trPr>
          <w:trHeight w:val="348"/>
        </w:trPr>
        <w:tc>
          <w:tcPr>
            <w:tcW w:w="980" w:type="dxa"/>
            <w:vAlign w:val="bottom"/>
            <w:vMerge w:val="continue"/>
          </w:tcPr>
          <w:p>
            <w:pPr>
              <w:spacing w:after="0"/>
              <w:rPr>
                <w:sz w:val="24"/>
                <w:szCs w:val="24"/>
                <w:color w:val="auto"/>
              </w:rPr>
            </w:pPr>
          </w:p>
        </w:tc>
        <w:tc>
          <w:tcPr>
            <w:tcW w:w="58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980" w:type="dxa"/>
            <w:vAlign w:val="bottom"/>
          </w:tcPr>
          <w:p>
            <w:pPr>
              <w:spacing w:after="0"/>
              <w:rPr>
                <w:sz w:val="20"/>
                <w:szCs w:val="20"/>
                <w:color w:val="auto"/>
              </w:rPr>
            </w:pPr>
            <w:r>
              <w:rPr>
                <w:rFonts w:ascii="Arial" w:cs="Arial" w:eastAsia="Arial" w:hAnsi="Arial"/>
                <w:sz w:val="22"/>
                <w:szCs w:val="22"/>
                <w:color w:val="auto"/>
              </w:rPr>
              <w:t>Item 1.</w:t>
            </w:r>
          </w:p>
        </w:tc>
        <w:tc>
          <w:tcPr>
            <w:tcW w:w="5860" w:type="dxa"/>
            <w:vAlign w:val="bottom"/>
          </w:tcPr>
          <w:p>
            <w:pPr>
              <w:ind w:left="120"/>
              <w:spacing w:after="0"/>
              <w:rPr>
                <w:sz w:val="20"/>
                <w:szCs w:val="20"/>
                <w:color w:val="auto"/>
              </w:rPr>
            </w:pPr>
            <w:r>
              <w:rPr>
                <w:rFonts w:ascii="Arial" w:cs="Arial" w:eastAsia="Arial" w:hAnsi="Arial"/>
                <w:sz w:val="22"/>
                <w:szCs w:val="22"/>
                <w:color w:val="auto"/>
              </w:rPr>
              <w:t>Business and Risk Factors</w:t>
            </w:r>
          </w:p>
        </w:tc>
        <w:tc>
          <w:tcPr>
            <w:tcW w:w="860" w:type="dxa"/>
            <w:vAlign w:val="bottom"/>
          </w:tcPr>
          <w:p>
            <w:pPr>
              <w:jc w:val="center"/>
              <w:spacing w:after="0"/>
              <w:rPr>
                <w:sz w:val="20"/>
                <w:szCs w:val="20"/>
                <w:color w:val="auto"/>
              </w:rPr>
            </w:pPr>
            <w:r>
              <w:rPr>
                <w:rFonts w:ascii="Arial" w:cs="Arial" w:eastAsia="Arial" w:hAnsi="Arial"/>
                <w:sz w:val="22"/>
                <w:szCs w:val="22"/>
                <w:color w:val="auto"/>
                <w:w w:val="81"/>
              </w:rPr>
              <w:t>4</w:t>
            </w:r>
          </w:p>
        </w:tc>
        <w:tc>
          <w:tcPr>
            <w:tcW w:w="0" w:type="dxa"/>
            <w:vAlign w:val="bottom"/>
          </w:tcPr>
          <w:p>
            <w:pPr>
              <w:spacing w:after="0"/>
              <w:rPr>
                <w:sz w:val="1"/>
                <w:szCs w:val="1"/>
                <w:color w:val="auto"/>
              </w:rPr>
            </w:pPr>
          </w:p>
        </w:tc>
      </w:tr>
      <w:tr>
        <w:trPr>
          <w:trHeight w:val="432"/>
        </w:trPr>
        <w:tc>
          <w:tcPr>
            <w:tcW w:w="980" w:type="dxa"/>
            <w:vAlign w:val="bottom"/>
          </w:tcPr>
          <w:p>
            <w:pPr>
              <w:spacing w:after="0"/>
              <w:rPr>
                <w:sz w:val="20"/>
                <w:szCs w:val="20"/>
                <w:color w:val="auto"/>
              </w:rPr>
            </w:pPr>
            <w:r>
              <w:rPr>
                <w:rFonts w:ascii="Arial" w:cs="Arial" w:eastAsia="Arial" w:hAnsi="Arial"/>
                <w:sz w:val="22"/>
                <w:szCs w:val="22"/>
                <w:color w:val="auto"/>
              </w:rPr>
              <w:t>Item 2.</w:t>
            </w:r>
          </w:p>
        </w:tc>
        <w:tc>
          <w:tcPr>
            <w:tcW w:w="5860" w:type="dxa"/>
            <w:vAlign w:val="bottom"/>
          </w:tcPr>
          <w:p>
            <w:pPr>
              <w:ind w:left="120"/>
              <w:spacing w:after="0"/>
              <w:rPr>
                <w:sz w:val="20"/>
                <w:szCs w:val="20"/>
                <w:color w:val="auto"/>
              </w:rPr>
            </w:pPr>
            <w:r>
              <w:rPr>
                <w:rFonts w:ascii="Arial" w:cs="Arial" w:eastAsia="Arial" w:hAnsi="Arial"/>
                <w:sz w:val="22"/>
                <w:szCs w:val="22"/>
                <w:color w:val="auto"/>
              </w:rPr>
              <w:t>Properties</w:t>
            </w:r>
          </w:p>
        </w:tc>
        <w:tc>
          <w:tcPr>
            <w:tcW w:w="860" w:type="dxa"/>
            <w:vAlign w:val="bottom"/>
          </w:tcPr>
          <w:p>
            <w:pPr>
              <w:jc w:val="center"/>
              <w:spacing w:after="0"/>
              <w:rPr>
                <w:sz w:val="20"/>
                <w:szCs w:val="20"/>
                <w:color w:val="auto"/>
              </w:rPr>
            </w:pPr>
            <w:r>
              <w:rPr>
                <w:rFonts w:ascii="Arial" w:cs="Arial" w:eastAsia="Arial" w:hAnsi="Arial"/>
                <w:sz w:val="22"/>
                <w:szCs w:val="22"/>
                <w:color w:val="auto"/>
                <w:w w:val="89"/>
              </w:rPr>
              <w:t>15</w:t>
            </w:r>
          </w:p>
        </w:tc>
        <w:tc>
          <w:tcPr>
            <w:tcW w:w="0" w:type="dxa"/>
            <w:vAlign w:val="bottom"/>
          </w:tcPr>
          <w:p>
            <w:pPr>
              <w:spacing w:after="0"/>
              <w:rPr>
                <w:sz w:val="1"/>
                <w:szCs w:val="1"/>
                <w:color w:val="auto"/>
              </w:rPr>
            </w:pPr>
          </w:p>
        </w:tc>
      </w:tr>
      <w:tr>
        <w:trPr>
          <w:trHeight w:val="432"/>
        </w:trPr>
        <w:tc>
          <w:tcPr>
            <w:tcW w:w="980" w:type="dxa"/>
            <w:vAlign w:val="bottom"/>
          </w:tcPr>
          <w:p>
            <w:pPr>
              <w:spacing w:after="0"/>
              <w:rPr>
                <w:sz w:val="20"/>
                <w:szCs w:val="20"/>
                <w:color w:val="auto"/>
              </w:rPr>
            </w:pPr>
            <w:r>
              <w:rPr>
                <w:rFonts w:ascii="Arial" w:cs="Arial" w:eastAsia="Arial" w:hAnsi="Arial"/>
                <w:sz w:val="22"/>
                <w:szCs w:val="22"/>
                <w:color w:val="auto"/>
              </w:rPr>
              <w:t>Item 3.</w:t>
            </w:r>
          </w:p>
        </w:tc>
        <w:tc>
          <w:tcPr>
            <w:tcW w:w="5860" w:type="dxa"/>
            <w:vAlign w:val="bottom"/>
          </w:tcPr>
          <w:p>
            <w:pPr>
              <w:ind w:left="120"/>
              <w:spacing w:after="0"/>
              <w:rPr>
                <w:sz w:val="20"/>
                <w:szCs w:val="20"/>
                <w:color w:val="auto"/>
              </w:rPr>
            </w:pPr>
            <w:r>
              <w:rPr>
                <w:rFonts w:ascii="Arial" w:cs="Arial" w:eastAsia="Arial" w:hAnsi="Arial"/>
                <w:sz w:val="22"/>
                <w:szCs w:val="22"/>
                <w:color w:val="auto"/>
              </w:rPr>
              <w:t>Legal Proceedings</w:t>
            </w:r>
          </w:p>
        </w:tc>
        <w:tc>
          <w:tcPr>
            <w:tcW w:w="860" w:type="dxa"/>
            <w:vAlign w:val="bottom"/>
          </w:tcPr>
          <w:p>
            <w:pPr>
              <w:jc w:val="center"/>
              <w:spacing w:after="0"/>
              <w:rPr>
                <w:sz w:val="20"/>
                <w:szCs w:val="20"/>
                <w:color w:val="auto"/>
              </w:rPr>
            </w:pPr>
            <w:r>
              <w:rPr>
                <w:rFonts w:ascii="Arial" w:cs="Arial" w:eastAsia="Arial" w:hAnsi="Arial"/>
                <w:sz w:val="22"/>
                <w:szCs w:val="22"/>
                <w:color w:val="auto"/>
                <w:w w:val="89"/>
              </w:rPr>
              <w:t>15</w:t>
            </w:r>
          </w:p>
        </w:tc>
        <w:tc>
          <w:tcPr>
            <w:tcW w:w="0" w:type="dxa"/>
            <w:vAlign w:val="bottom"/>
          </w:tcPr>
          <w:p>
            <w:pPr>
              <w:spacing w:after="0"/>
              <w:rPr>
                <w:sz w:val="1"/>
                <w:szCs w:val="1"/>
                <w:color w:val="auto"/>
              </w:rPr>
            </w:pPr>
          </w:p>
        </w:tc>
      </w:tr>
      <w:tr>
        <w:trPr>
          <w:trHeight w:val="432"/>
        </w:trPr>
        <w:tc>
          <w:tcPr>
            <w:tcW w:w="980" w:type="dxa"/>
            <w:vAlign w:val="bottom"/>
          </w:tcPr>
          <w:p>
            <w:pPr>
              <w:spacing w:after="0"/>
              <w:rPr>
                <w:sz w:val="20"/>
                <w:szCs w:val="20"/>
                <w:color w:val="auto"/>
              </w:rPr>
            </w:pPr>
            <w:r>
              <w:rPr>
                <w:rFonts w:ascii="Arial" w:cs="Arial" w:eastAsia="Arial" w:hAnsi="Arial"/>
                <w:sz w:val="22"/>
                <w:szCs w:val="22"/>
                <w:color w:val="auto"/>
              </w:rPr>
              <w:t>Item 4.</w:t>
            </w:r>
          </w:p>
        </w:tc>
        <w:tc>
          <w:tcPr>
            <w:tcW w:w="5860" w:type="dxa"/>
            <w:vAlign w:val="bottom"/>
          </w:tcPr>
          <w:p>
            <w:pPr>
              <w:ind w:left="120"/>
              <w:spacing w:after="0"/>
              <w:rPr>
                <w:sz w:val="20"/>
                <w:szCs w:val="20"/>
                <w:color w:val="auto"/>
              </w:rPr>
            </w:pPr>
            <w:r>
              <w:rPr>
                <w:rFonts w:ascii="Arial" w:cs="Arial" w:eastAsia="Arial" w:hAnsi="Arial"/>
                <w:sz w:val="22"/>
                <w:szCs w:val="22"/>
                <w:color w:val="auto"/>
              </w:rPr>
              <w:t>Submission of Matters to a Vote of Security Holders</w:t>
            </w:r>
          </w:p>
        </w:tc>
        <w:tc>
          <w:tcPr>
            <w:tcW w:w="860" w:type="dxa"/>
            <w:vAlign w:val="bottom"/>
          </w:tcPr>
          <w:p>
            <w:pPr>
              <w:jc w:val="center"/>
              <w:spacing w:after="0"/>
              <w:rPr>
                <w:sz w:val="20"/>
                <w:szCs w:val="20"/>
                <w:color w:val="auto"/>
              </w:rPr>
            </w:pPr>
            <w:r>
              <w:rPr>
                <w:rFonts w:ascii="Arial" w:cs="Arial" w:eastAsia="Arial" w:hAnsi="Arial"/>
                <w:sz w:val="22"/>
                <w:szCs w:val="22"/>
                <w:color w:val="auto"/>
                <w:w w:val="89"/>
              </w:rPr>
              <w:t>16</w:t>
            </w:r>
          </w:p>
        </w:tc>
        <w:tc>
          <w:tcPr>
            <w:tcW w:w="0" w:type="dxa"/>
            <w:vAlign w:val="bottom"/>
          </w:tcPr>
          <w:p>
            <w:pPr>
              <w:spacing w:after="0"/>
              <w:rPr>
                <w:sz w:val="1"/>
                <w:szCs w:val="1"/>
                <w:color w:val="auto"/>
              </w:rPr>
            </w:pPr>
          </w:p>
        </w:tc>
      </w:tr>
      <w:tr>
        <w:trPr>
          <w:trHeight w:val="864"/>
        </w:trPr>
        <w:tc>
          <w:tcPr>
            <w:tcW w:w="980" w:type="dxa"/>
            <w:vAlign w:val="bottom"/>
          </w:tcPr>
          <w:p>
            <w:pPr>
              <w:spacing w:after="0"/>
              <w:rPr>
                <w:sz w:val="20"/>
                <w:szCs w:val="20"/>
                <w:color w:val="auto"/>
              </w:rPr>
            </w:pPr>
            <w:r>
              <w:rPr>
                <w:rFonts w:ascii="Arial" w:cs="Arial" w:eastAsia="Arial" w:hAnsi="Arial"/>
                <w:sz w:val="22"/>
                <w:szCs w:val="22"/>
                <w:b w:val="1"/>
                <w:bCs w:val="1"/>
                <w:color w:val="auto"/>
              </w:rPr>
              <w:t>PART II</w:t>
            </w:r>
          </w:p>
        </w:tc>
        <w:tc>
          <w:tcPr>
            <w:tcW w:w="58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1"/>
        </w:trPr>
        <w:tc>
          <w:tcPr>
            <w:tcW w:w="980" w:type="dxa"/>
            <w:vAlign w:val="bottom"/>
          </w:tcPr>
          <w:p>
            <w:pPr>
              <w:spacing w:after="0"/>
              <w:rPr>
                <w:sz w:val="24"/>
                <w:szCs w:val="24"/>
                <w:color w:val="auto"/>
              </w:rPr>
            </w:pPr>
          </w:p>
        </w:tc>
        <w:tc>
          <w:tcPr>
            <w:tcW w:w="5860" w:type="dxa"/>
            <w:vAlign w:val="bottom"/>
          </w:tcPr>
          <w:p>
            <w:pPr>
              <w:ind w:left="120"/>
              <w:spacing w:after="0"/>
              <w:rPr>
                <w:sz w:val="20"/>
                <w:szCs w:val="20"/>
                <w:color w:val="auto"/>
              </w:rPr>
            </w:pPr>
            <w:r>
              <w:rPr>
                <w:rFonts w:ascii="Arial" w:cs="Arial" w:eastAsia="Arial" w:hAnsi="Arial"/>
                <w:sz w:val="22"/>
                <w:szCs w:val="22"/>
                <w:color w:val="auto"/>
              </w:rPr>
              <w:t>Market for Registrant's Common Equity and Related</w:t>
            </w: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5"/>
        </w:trPr>
        <w:tc>
          <w:tcPr>
            <w:tcW w:w="980" w:type="dxa"/>
            <w:vAlign w:val="bottom"/>
          </w:tcPr>
          <w:p>
            <w:pPr>
              <w:spacing w:after="0"/>
              <w:rPr>
                <w:sz w:val="20"/>
                <w:szCs w:val="20"/>
                <w:color w:val="auto"/>
              </w:rPr>
            </w:pPr>
            <w:r>
              <w:rPr>
                <w:rFonts w:ascii="Arial" w:cs="Arial" w:eastAsia="Arial" w:hAnsi="Arial"/>
                <w:sz w:val="22"/>
                <w:szCs w:val="22"/>
                <w:color w:val="auto"/>
              </w:rPr>
              <w:t>Item 5.</w:t>
            </w:r>
          </w:p>
        </w:tc>
        <w:tc>
          <w:tcPr>
            <w:tcW w:w="5860" w:type="dxa"/>
            <w:vAlign w:val="bottom"/>
          </w:tcPr>
          <w:p>
            <w:pPr>
              <w:ind w:left="120"/>
              <w:spacing w:after="0"/>
              <w:rPr>
                <w:sz w:val="20"/>
                <w:szCs w:val="20"/>
                <w:color w:val="auto"/>
              </w:rPr>
            </w:pPr>
            <w:r>
              <w:rPr>
                <w:rFonts w:ascii="Arial" w:cs="Arial" w:eastAsia="Arial" w:hAnsi="Arial"/>
                <w:sz w:val="22"/>
                <w:szCs w:val="22"/>
                <w:color w:val="auto"/>
              </w:rPr>
              <w:t>Stockholder Matters</w:t>
            </w:r>
          </w:p>
        </w:tc>
        <w:tc>
          <w:tcPr>
            <w:tcW w:w="860" w:type="dxa"/>
            <w:vAlign w:val="bottom"/>
          </w:tcPr>
          <w:p>
            <w:pPr>
              <w:jc w:val="center"/>
              <w:spacing w:after="0"/>
              <w:rPr>
                <w:sz w:val="20"/>
                <w:szCs w:val="20"/>
                <w:color w:val="auto"/>
              </w:rPr>
            </w:pPr>
            <w:r>
              <w:rPr>
                <w:rFonts w:ascii="Arial" w:cs="Arial" w:eastAsia="Arial" w:hAnsi="Arial"/>
                <w:sz w:val="22"/>
                <w:szCs w:val="22"/>
                <w:color w:val="auto"/>
                <w:w w:val="89"/>
              </w:rPr>
              <w:t>16</w:t>
            </w:r>
          </w:p>
        </w:tc>
        <w:tc>
          <w:tcPr>
            <w:tcW w:w="0" w:type="dxa"/>
            <w:vAlign w:val="bottom"/>
          </w:tcPr>
          <w:p>
            <w:pPr>
              <w:spacing w:after="0"/>
              <w:rPr>
                <w:sz w:val="1"/>
                <w:szCs w:val="1"/>
                <w:color w:val="auto"/>
              </w:rPr>
            </w:pPr>
          </w:p>
        </w:tc>
      </w:tr>
      <w:tr>
        <w:trPr>
          <w:trHeight w:val="432"/>
        </w:trPr>
        <w:tc>
          <w:tcPr>
            <w:tcW w:w="980" w:type="dxa"/>
            <w:vAlign w:val="bottom"/>
          </w:tcPr>
          <w:p>
            <w:pPr>
              <w:spacing w:after="0"/>
              <w:rPr>
                <w:sz w:val="20"/>
                <w:szCs w:val="20"/>
                <w:color w:val="auto"/>
              </w:rPr>
            </w:pPr>
            <w:r>
              <w:rPr>
                <w:rFonts w:ascii="Arial" w:cs="Arial" w:eastAsia="Arial" w:hAnsi="Arial"/>
                <w:sz w:val="22"/>
                <w:szCs w:val="22"/>
                <w:color w:val="auto"/>
              </w:rPr>
              <w:t>Item 6.</w:t>
            </w:r>
          </w:p>
        </w:tc>
        <w:tc>
          <w:tcPr>
            <w:tcW w:w="5860" w:type="dxa"/>
            <w:vAlign w:val="bottom"/>
          </w:tcPr>
          <w:p>
            <w:pPr>
              <w:ind w:left="120"/>
              <w:spacing w:after="0"/>
              <w:rPr>
                <w:sz w:val="20"/>
                <w:szCs w:val="20"/>
                <w:color w:val="auto"/>
              </w:rPr>
            </w:pPr>
            <w:r>
              <w:rPr>
                <w:rFonts w:ascii="Arial" w:cs="Arial" w:eastAsia="Arial" w:hAnsi="Arial"/>
                <w:sz w:val="22"/>
                <w:szCs w:val="22"/>
                <w:color w:val="auto"/>
              </w:rPr>
              <w:t>Selected Financial Data</w:t>
            </w:r>
          </w:p>
        </w:tc>
        <w:tc>
          <w:tcPr>
            <w:tcW w:w="860" w:type="dxa"/>
            <w:vAlign w:val="bottom"/>
          </w:tcPr>
          <w:p>
            <w:pPr>
              <w:jc w:val="center"/>
              <w:spacing w:after="0"/>
              <w:rPr>
                <w:sz w:val="20"/>
                <w:szCs w:val="20"/>
                <w:color w:val="auto"/>
              </w:rPr>
            </w:pPr>
            <w:r>
              <w:rPr>
                <w:rFonts w:ascii="Arial" w:cs="Arial" w:eastAsia="Arial" w:hAnsi="Arial"/>
                <w:sz w:val="22"/>
                <w:szCs w:val="22"/>
                <w:color w:val="auto"/>
                <w:w w:val="89"/>
              </w:rPr>
              <w:t>16</w:t>
            </w:r>
          </w:p>
        </w:tc>
        <w:tc>
          <w:tcPr>
            <w:tcW w:w="0" w:type="dxa"/>
            <w:vAlign w:val="bottom"/>
          </w:tcPr>
          <w:p>
            <w:pPr>
              <w:spacing w:after="0"/>
              <w:rPr>
                <w:sz w:val="1"/>
                <w:szCs w:val="1"/>
                <w:color w:val="auto"/>
              </w:rPr>
            </w:pPr>
          </w:p>
        </w:tc>
      </w:tr>
      <w:tr>
        <w:trPr>
          <w:trHeight w:val="401"/>
        </w:trPr>
        <w:tc>
          <w:tcPr>
            <w:tcW w:w="980" w:type="dxa"/>
            <w:vAlign w:val="bottom"/>
          </w:tcPr>
          <w:p>
            <w:pPr>
              <w:spacing w:after="0"/>
              <w:rPr>
                <w:sz w:val="24"/>
                <w:szCs w:val="24"/>
                <w:color w:val="auto"/>
              </w:rPr>
            </w:pPr>
          </w:p>
        </w:tc>
        <w:tc>
          <w:tcPr>
            <w:tcW w:w="5860" w:type="dxa"/>
            <w:vAlign w:val="bottom"/>
          </w:tcPr>
          <w:p>
            <w:pPr>
              <w:ind w:left="120"/>
              <w:spacing w:after="0"/>
              <w:rPr>
                <w:sz w:val="20"/>
                <w:szCs w:val="20"/>
                <w:color w:val="auto"/>
              </w:rPr>
            </w:pPr>
            <w:r>
              <w:rPr>
                <w:rFonts w:ascii="Arial" w:cs="Arial" w:eastAsia="Arial" w:hAnsi="Arial"/>
                <w:sz w:val="22"/>
                <w:szCs w:val="22"/>
                <w:color w:val="auto"/>
                <w:w w:val="94"/>
              </w:rPr>
              <w:t>Management's Discussion and Analysis of Financial Condition</w:t>
            </w: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5"/>
        </w:trPr>
        <w:tc>
          <w:tcPr>
            <w:tcW w:w="980" w:type="dxa"/>
            <w:vAlign w:val="bottom"/>
          </w:tcPr>
          <w:p>
            <w:pPr>
              <w:spacing w:after="0"/>
              <w:rPr>
                <w:sz w:val="20"/>
                <w:szCs w:val="20"/>
                <w:color w:val="auto"/>
              </w:rPr>
            </w:pPr>
            <w:r>
              <w:rPr>
                <w:rFonts w:ascii="Arial" w:cs="Arial" w:eastAsia="Arial" w:hAnsi="Arial"/>
                <w:sz w:val="22"/>
                <w:szCs w:val="22"/>
                <w:color w:val="auto"/>
              </w:rPr>
              <w:t>Item 7.</w:t>
            </w:r>
          </w:p>
        </w:tc>
        <w:tc>
          <w:tcPr>
            <w:tcW w:w="5860" w:type="dxa"/>
            <w:vAlign w:val="bottom"/>
          </w:tcPr>
          <w:p>
            <w:pPr>
              <w:ind w:left="120"/>
              <w:spacing w:after="0"/>
              <w:rPr>
                <w:sz w:val="20"/>
                <w:szCs w:val="20"/>
                <w:color w:val="auto"/>
              </w:rPr>
            </w:pPr>
            <w:r>
              <w:rPr>
                <w:rFonts w:ascii="Arial" w:cs="Arial" w:eastAsia="Arial" w:hAnsi="Arial"/>
                <w:sz w:val="22"/>
                <w:szCs w:val="22"/>
                <w:color w:val="auto"/>
              </w:rPr>
              <w:t>and Results of Operations</w:t>
            </w:r>
          </w:p>
        </w:tc>
        <w:tc>
          <w:tcPr>
            <w:tcW w:w="860" w:type="dxa"/>
            <w:vAlign w:val="bottom"/>
          </w:tcPr>
          <w:p>
            <w:pPr>
              <w:jc w:val="center"/>
              <w:spacing w:after="0"/>
              <w:rPr>
                <w:sz w:val="20"/>
                <w:szCs w:val="20"/>
                <w:color w:val="auto"/>
              </w:rPr>
            </w:pPr>
            <w:r>
              <w:rPr>
                <w:rFonts w:ascii="Arial" w:cs="Arial" w:eastAsia="Arial" w:hAnsi="Arial"/>
                <w:sz w:val="22"/>
                <w:szCs w:val="22"/>
                <w:color w:val="auto"/>
                <w:w w:val="89"/>
              </w:rPr>
              <w:t>17</w:t>
            </w:r>
          </w:p>
        </w:tc>
        <w:tc>
          <w:tcPr>
            <w:tcW w:w="0" w:type="dxa"/>
            <w:vAlign w:val="bottom"/>
          </w:tcPr>
          <w:p>
            <w:pPr>
              <w:spacing w:after="0"/>
              <w:rPr>
                <w:sz w:val="1"/>
                <w:szCs w:val="1"/>
                <w:color w:val="auto"/>
              </w:rPr>
            </w:pPr>
          </w:p>
        </w:tc>
      </w:tr>
      <w:tr>
        <w:trPr>
          <w:trHeight w:val="432"/>
        </w:trPr>
        <w:tc>
          <w:tcPr>
            <w:tcW w:w="980" w:type="dxa"/>
            <w:vAlign w:val="bottom"/>
          </w:tcPr>
          <w:p>
            <w:pPr>
              <w:spacing w:after="0"/>
              <w:rPr>
                <w:sz w:val="20"/>
                <w:szCs w:val="20"/>
                <w:color w:val="auto"/>
              </w:rPr>
            </w:pPr>
            <w:r>
              <w:rPr>
                <w:rFonts w:ascii="Arial" w:cs="Arial" w:eastAsia="Arial" w:hAnsi="Arial"/>
                <w:sz w:val="22"/>
                <w:szCs w:val="22"/>
                <w:color w:val="auto"/>
              </w:rPr>
              <w:t>Item 7A.</w:t>
            </w:r>
          </w:p>
        </w:tc>
        <w:tc>
          <w:tcPr>
            <w:tcW w:w="5860" w:type="dxa"/>
            <w:vAlign w:val="bottom"/>
          </w:tcPr>
          <w:p>
            <w:pPr>
              <w:ind w:left="120"/>
              <w:spacing w:after="0"/>
              <w:rPr>
                <w:sz w:val="20"/>
                <w:szCs w:val="20"/>
                <w:color w:val="auto"/>
              </w:rPr>
            </w:pPr>
            <w:r>
              <w:rPr>
                <w:rFonts w:ascii="Arial" w:cs="Arial" w:eastAsia="Arial" w:hAnsi="Arial"/>
                <w:sz w:val="22"/>
                <w:szCs w:val="22"/>
                <w:color w:val="auto"/>
                <w:w w:val="99"/>
              </w:rPr>
              <w:t>Quantitative and Qualitative Disclosures About Market Risk</w:t>
            </w:r>
          </w:p>
        </w:tc>
        <w:tc>
          <w:tcPr>
            <w:tcW w:w="860" w:type="dxa"/>
            <w:vAlign w:val="bottom"/>
          </w:tcPr>
          <w:p>
            <w:pPr>
              <w:jc w:val="center"/>
              <w:spacing w:after="0"/>
              <w:rPr>
                <w:sz w:val="20"/>
                <w:szCs w:val="20"/>
                <w:color w:val="auto"/>
              </w:rPr>
            </w:pPr>
            <w:r>
              <w:rPr>
                <w:rFonts w:ascii="Arial" w:cs="Arial" w:eastAsia="Arial" w:hAnsi="Arial"/>
                <w:sz w:val="22"/>
                <w:szCs w:val="22"/>
                <w:color w:val="auto"/>
                <w:w w:val="89"/>
              </w:rPr>
              <w:t>29</w:t>
            </w:r>
          </w:p>
        </w:tc>
        <w:tc>
          <w:tcPr>
            <w:tcW w:w="0" w:type="dxa"/>
            <w:vAlign w:val="bottom"/>
          </w:tcPr>
          <w:p>
            <w:pPr>
              <w:spacing w:after="0"/>
              <w:rPr>
                <w:sz w:val="1"/>
                <w:szCs w:val="1"/>
                <w:color w:val="auto"/>
              </w:rPr>
            </w:pPr>
          </w:p>
        </w:tc>
      </w:tr>
      <w:tr>
        <w:trPr>
          <w:trHeight w:val="432"/>
        </w:trPr>
        <w:tc>
          <w:tcPr>
            <w:tcW w:w="980" w:type="dxa"/>
            <w:vAlign w:val="bottom"/>
          </w:tcPr>
          <w:p>
            <w:pPr>
              <w:spacing w:after="0"/>
              <w:rPr>
                <w:sz w:val="20"/>
                <w:szCs w:val="20"/>
                <w:color w:val="auto"/>
              </w:rPr>
            </w:pPr>
            <w:r>
              <w:rPr>
                <w:rFonts w:ascii="Arial" w:cs="Arial" w:eastAsia="Arial" w:hAnsi="Arial"/>
                <w:sz w:val="22"/>
                <w:szCs w:val="22"/>
                <w:color w:val="auto"/>
              </w:rPr>
              <w:t>Item 8.</w:t>
            </w:r>
          </w:p>
        </w:tc>
        <w:tc>
          <w:tcPr>
            <w:tcW w:w="5860" w:type="dxa"/>
            <w:vAlign w:val="bottom"/>
          </w:tcPr>
          <w:p>
            <w:pPr>
              <w:ind w:left="120"/>
              <w:spacing w:after="0"/>
              <w:rPr>
                <w:sz w:val="20"/>
                <w:szCs w:val="20"/>
                <w:color w:val="auto"/>
              </w:rPr>
            </w:pPr>
            <w:r>
              <w:rPr>
                <w:rFonts w:ascii="Arial" w:cs="Arial" w:eastAsia="Arial" w:hAnsi="Arial"/>
                <w:sz w:val="22"/>
                <w:szCs w:val="22"/>
                <w:color w:val="auto"/>
              </w:rPr>
              <w:t>Financial Statements and Supplementary Data</w:t>
            </w:r>
          </w:p>
        </w:tc>
        <w:tc>
          <w:tcPr>
            <w:tcW w:w="860" w:type="dxa"/>
            <w:vAlign w:val="bottom"/>
          </w:tcPr>
          <w:p>
            <w:pPr>
              <w:jc w:val="center"/>
              <w:spacing w:after="0"/>
              <w:rPr>
                <w:sz w:val="20"/>
                <w:szCs w:val="20"/>
                <w:color w:val="auto"/>
              </w:rPr>
            </w:pPr>
            <w:r>
              <w:rPr>
                <w:rFonts w:ascii="Arial" w:cs="Arial" w:eastAsia="Arial" w:hAnsi="Arial"/>
                <w:sz w:val="22"/>
                <w:szCs w:val="22"/>
                <w:color w:val="auto"/>
                <w:w w:val="89"/>
              </w:rPr>
              <w:t>30</w:t>
            </w:r>
          </w:p>
        </w:tc>
        <w:tc>
          <w:tcPr>
            <w:tcW w:w="0" w:type="dxa"/>
            <w:vAlign w:val="bottom"/>
          </w:tcPr>
          <w:p>
            <w:pPr>
              <w:spacing w:after="0"/>
              <w:rPr>
                <w:sz w:val="1"/>
                <w:szCs w:val="1"/>
                <w:color w:val="auto"/>
              </w:rPr>
            </w:pPr>
          </w:p>
        </w:tc>
      </w:tr>
      <w:tr>
        <w:trPr>
          <w:trHeight w:val="401"/>
        </w:trPr>
        <w:tc>
          <w:tcPr>
            <w:tcW w:w="980" w:type="dxa"/>
            <w:vAlign w:val="bottom"/>
          </w:tcPr>
          <w:p>
            <w:pPr>
              <w:spacing w:after="0"/>
              <w:rPr>
                <w:sz w:val="24"/>
                <w:szCs w:val="24"/>
                <w:color w:val="auto"/>
              </w:rPr>
            </w:pPr>
          </w:p>
        </w:tc>
        <w:tc>
          <w:tcPr>
            <w:tcW w:w="5860" w:type="dxa"/>
            <w:vAlign w:val="bottom"/>
          </w:tcPr>
          <w:p>
            <w:pPr>
              <w:ind w:left="120"/>
              <w:spacing w:after="0"/>
              <w:rPr>
                <w:sz w:val="20"/>
                <w:szCs w:val="20"/>
                <w:color w:val="auto"/>
              </w:rPr>
            </w:pPr>
            <w:r>
              <w:rPr>
                <w:rFonts w:ascii="Arial" w:cs="Arial" w:eastAsia="Arial" w:hAnsi="Arial"/>
                <w:sz w:val="22"/>
                <w:szCs w:val="22"/>
                <w:color w:val="auto"/>
                <w:w w:val="91"/>
              </w:rPr>
              <w:t>Changes in and Disagreements with Accountants on Accounting</w:t>
            </w: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5"/>
        </w:trPr>
        <w:tc>
          <w:tcPr>
            <w:tcW w:w="980" w:type="dxa"/>
            <w:vAlign w:val="bottom"/>
          </w:tcPr>
          <w:p>
            <w:pPr>
              <w:spacing w:after="0"/>
              <w:rPr>
                <w:sz w:val="20"/>
                <w:szCs w:val="20"/>
                <w:color w:val="auto"/>
              </w:rPr>
            </w:pPr>
            <w:r>
              <w:rPr>
                <w:rFonts w:ascii="Arial" w:cs="Arial" w:eastAsia="Arial" w:hAnsi="Arial"/>
                <w:sz w:val="22"/>
                <w:szCs w:val="22"/>
                <w:color w:val="auto"/>
              </w:rPr>
              <w:t>Item 9.</w:t>
            </w:r>
          </w:p>
        </w:tc>
        <w:tc>
          <w:tcPr>
            <w:tcW w:w="5860" w:type="dxa"/>
            <w:vAlign w:val="bottom"/>
          </w:tcPr>
          <w:p>
            <w:pPr>
              <w:ind w:left="120"/>
              <w:spacing w:after="0"/>
              <w:rPr>
                <w:sz w:val="20"/>
                <w:szCs w:val="20"/>
                <w:color w:val="auto"/>
              </w:rPr>
            </w:pPr>
            <w:r>
              <w:rPr>
                <w:rFonts w:ascii="Arial" w:cs="Arial" w:eastAsia="Arial" w:hAnsi="Arial"/>
                <w:sz w:val="22"/>
                <w:szCs w:val="22"/>
                <w:color w:val="auto"/>
              </w:rPr>
              <w:t>and Financial Disclosures</w:t>
            </w:r>
          </w:p>
        </w:tc>
        <w:tc>
          <w:tcPr>
            <w:tcW w:w="860" w:type="dxa"/>
            <w:vAlign w:val="bottom"/>
          </w:tcPr>
          <w:p>
            <w:pPr>
              <w:jc w:val="center"/>
              <w:spacing w:after="0"/>
              <w:rPr>
                <w:sz w:val="20"/>
                <w:szCs w:val="20"/>
                <w:color w:val="auto"/>
              </w:rPr>
            </w:pPr>
            <w:r>
              <w:rPr>
                <w:rFonts w:ascii="Arial" w:cs="Arial" w:eastAsia="Arial" w:hAnsi="Arial"/>
                <w:sz w:val="22"/>
                <w:szCs w:val="22"/>
                <w:color w:val="auto"/>
                <w:w w:val="89"/>
              </w:rPr>
              <w:t>76</w:t>
            </w:r>
          </w:p>
        </w:tc>
        <w:tc>
          <w:tcPr>
            <w:tcW w:w="0" w:type="dxa"/>
            <w:vAlign w:val="bottom"/>
          </w:tcPr>
          <w:p>
            <w:pPr>
              <w:spacing w:after="0"/>
              <w:rPr>
                <w:sz w:val="1"/>
                <w:szCs w:val="1"/>
                <w:color w:val="auto"/>
              </w:rPr>
            </w:pPr>
          </w:p>
        </w:tc>
      </w:tr>
      <w:tr>
        <w:trPr>
          <w:trHeight w:val="432"/>
        </w:trPr>
        <w:tc>
          <w:tcPr>
            <w:tcW w:w="980" w:type="dxa"/>
            <w:vAlign w:val="bottom"/>
          </w:tcPr>
          <w:p>
            <w:pPr>
              <w:spacing w:after="0"/>
              <w:rPr>
                <w:sz w:val="20"/>
                <w:szCs w:val="20"/>
                <w:color w:val="auto"/>
              </w:rPr>
            </w:pPr>
            <w:r>
              <w:rPr>
                <w:rFonts w:ascii="Arial" w:cs="Arial" w:eastAsia="Arial" w:hAnsi="Arial"/>
                <w:sz w:val="22"/>
                <w:szCs w:val="22"/>
                <w:color w:val="auto"/>
              </w:rPr>
              <w:t>Item 9A.</w:t>
            </w:r>
          </w:p>
        </w:tc>
        <w:tc>
          <w:tcPr>
            <w:tcW w:w="5860" w:type="dxa"/>
            <w:vAlign w:val="bottom"/>
          </w:tcPr>
          <w:p>
            <w:pPr>
              <w:ind w:left="120"/>
              <w:spacing w:after="0"/>
              <w:rPr>
                <w:sz w:val="20"/>
                <w:szCs w:val="20"/>
                <w:color w:val="auto"/>
              </w:rPr>
            </w:pPr>
            <w:r>
              <w:rPr>
                <w:rFonts w:ascii="Arial" w:cs="Arial" w:eastAsia="Arial" w:hAnsi="Arial"/>
                <w:sz w:val="22"/>
                <w:szCs w:val="22"/>
                <w:color w:val="auto"/>
              </w:rPr>
              <w:t>Controls and Procedures</w:t>
            </w:r>
          </w:p>
        </w:tc>
        <w:tc>
          <w:tcPr>
            <w:tcW w:w="860" w:type="dxa"/>
            <w:vAlign w:val="bottom"/>
          </w:tcPr>
          <w:p>
            <w:pPr>
              <w:jc w:val="center"/>
              <w:spacing w:after="0"/>
              <w:rPr>
                <w:sz w:val="20"/>
                <w:szCs w:val="20"/>
                <w:color w:val="auto"/>
              </w:rPr>
            </w:pPr>
            <w:r>
              <w:rPr>
                <w:rFonts w:ascii="Arial" w:cs="Arial" w:eastAsia="Arial" w:hAnsi="Arial"/>
                <w:sz w:val="22"/>
                <w:szCs w:val="22"/>
                <w:color w:val="auto"/>
                <w:w w:val="89"/>
              </w:rPr>
              <w:t>76</w:t>
            </w:r>
          </w:p>
        </w:tc>
        <w:tc>
          <w:tcPr>
            <w:tcW w:w="0" w:type="dxa"/>
            <w:vAlign w:val="bottom"/>
          </w:tcPr>
          <w:p>
            <w:pPr>
              <w:spacing w:after="0"/>
              <w:rPr>
                <w:sz w:val="1"/>
                <w:szCs w:val="1"/>
                <w:color w:val="auto"/>
              </w:rPr>
            </w:pPr>
          </w:p>
        </w:tc>
      </w:tr>
      <w:tr>
        <w:trPr>
          <w:trHeight w:val="864"/>
        </w:trPr>
        <w:tc>
          <w:tcPr>
            <w:tcW w:w="980" w:type="dxa"/>
            <w:vAlign w:val="bottom"/>
          </w:tcPr>
          <w:p>
            <w:pPr>
              <w:spacing w:after="0"/>
              <w:rPr>
                <w:sz w:val="20"/>
                <w:szCs w:val="20"/>
                <w:color w:val="auto"/>
              </w:rPr>
            </w:pPr>
            <w:r>
              <w:rPr>
                <w:rFonts w:ascii="Arial" w:cs="Arial" w:eastAsia="Arial" w:hAnsi="Arial"/>
                <w:sz w:val="22"/>
                <w:szCs w:val="22"/>
                <w:b w:val="1"/>
                <w:bCs w:val="1"/>
                <w:color w:val="auto"/>
              </w:rPr>
              <w:t>PART III</w:t>
            </w:r>
          </w:p>
        </w:tc>
        <w:tc>
          <w:tcPr>
            <w:tcW w:w="58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980" w:type="dxa"/>
            <w:vAlign w:val="bottom"/>
          </w:tcPr>
          <w:p>
            <w:pPr>
              <w:spacing w:after="0"/>
              <w:rPr>
                <w:sz w:val="20"/>
                <w:szCs w:val="20"/>
                <w:color w:val="auto"/>
              </w:rPr>
            </w:pPr>
            <w:r>
              <w:rPr>
                <w:rFonts w:ascii="Arial" w:cs="Arial" w:eastAsia="Arial" w:hAnsi="Arial"/>
                <w:sz w:val="22"/>
                <w:szCs w:val="22"/>
                <w:color w:val="auto"/>
              </w:rPr>
              <w:t>Item 10.</w:t>
            </w:r>
          </w:p>
        </w:tc>
        <w:tc>
          <w:tcPr>
            <w:tcW w:w="5860" w:type="dxa"/>
            <w:vAlign w:val="bottom"/>
          </w:tcPr>
          <w:p>
            <w:pPr>
              <w:ind w:left="120"/>
              <w:spacing w:after="0"/>
              <w:rPr>
                <w:sz w:val="20"/>
                <w:szCs w:val="20"/>
                <w:color w:val="auto"/>
              </w:rPr>
            </w:pPr>
            <w:r>
              <w:rPr>
                <w:rFonts w:ascii="Arial" w:cs="Arial" w:eastAsia="Arial" w:hAnsi="Arial"/>
                <w:sz w:val="22"/>
                <w:szCs w:val="22"/>
                <w:color w:val="auto"/>
              </w:rPr>
              <w:t>Directors and Executive Officers of the Registrant</w:t>
            </w:r>
          </w:p>
        </w:tc>
        <w:tc>
          <w:tcPr>
            <w:tcW w:w="860" w:type="dxa"/>
            <w:vAlign w:val="bottom"/>
          </w:tcPr>
          <w:p>
            <w:pPr>
              <w:jc w:val="center"/>
              <w:spacing w:after="0"/>
              <w:rPr>
                <w:sz w:val="20"/>
                <w:szCs w:val="20"/>
                <w:color w:val="auto"/>
              </w:rPr>
            </w:pPr>
            <w:r>
              <w:rPr>
                <w:rFonts w:ascii="Arial" w:cs="Arial" w:eastAsia="Arial" w:hAnsi="Arial"/>
                <w:sz w:val="22"/>
                <w:szCs w:val="22"/>
                <w:color w:val="auto"/>
                <w:w w:val="89"/>
              </w:rPr>
              <w:t>77</w:t>
            </w:r>
          </w:p>
        </w:tc>
        <w:tc>
          <w:tcPr>
            <w:tcW w:w="0" w:type="dxa"/>
            <w:vAlign w:val="bottom"/>
          </w:tcPr>
          <w:p>
            <w:pPr>
              <w:spacing w:after="0"/>
              <w:rPr>
                <w:sz w:val="1"/>
                <w:szCs w:val="1"/>
                <w:color w:val="auto"/>
              </w:rPr>
            </w:pPr>
          </w:p>
        </w:tc>
      </w:tr>
      <w:tr>
        <w:trPr>
          <w:trHeight w:val="432"/>
        </w:trPr>
        <w:tc>
          <w:tcPr>
            <w:tcW w:w="980" w:type="dxa"/>
            <w:vAlign w:val="bottom"/>
          </w:tcPr>
          <w:p>
            <w:pPr>
              <w:spacing w:after="0"/>
              <w:rPr>
                <w:sz w:val="20"/>
                <w:szCs w:val="20"/>
                <w:color w:val="auto"/>
              </w:rPr>
            </w:pPr>
            <w:r>
              <w:rPr>
                <w:rFonts w:ascii="Arial" w:cs="Arial" w:eastAsia="Arial" w:hAnsi="Arial"/>
                <w:sz w:val="22"/>
                <w:szCs w:val="22"/>
                <w:color w:val="auto"/>
              </w:rPr>
              <w:t>Item 11.</w:t>
            </w:r>
          </w:p>
        </w:tc>
        <w:tc>
          <w:tcPr>
            <w:tcW w:w="5860" w:type="dxa"/>
            <w:vAlign w:val="bottom"/>
          </w:tcPr>
          <w:p>
            <w:pPr>
              <w:ind w:left="120"/>
              <w:spacing w:after="0"/>
              <w:rPr>
                <w:sz w:val="20"/>
                <w:szCs w:val="20"/>
                <w:color w:val="auto"/>
              </w:rPr>
            </w:pPr>
            <w:r>
              <w:rPr>
                <w:rFonts w:ascii="Arial" w:cs="Arial" w:eastAsia="Arial" w:hAnsi="Arial"/>
                <w:sz w:val="22"/>
                <w:szCs w:val="22"/>
                <w:color w:val="auto"/>
              </w:rPr>
              <w:t>Executive Compensation</w:t>
            </w:r>
          </w:p>
        </w:tc>
        <w:tc>
          <w:tcPr>
            <w:tcW w:w="860" w:type="dxa"/>
            <w:vAlign w:val="bottom"/>
          </w:tcPr>
          <w:p>
            <w:pPr>
              <w:jc w:val="center"/>
              <w:spacing w:after="0"/>
              <w:rPr>
                <w:sz w:val="20"/>
                <w:szCs w:val="20"/>
                <w:color w:val="auto"/>
              </w:rPr>
            </w:pPr>
            <w:r>
              <w:rPr>
                <w:rFonts w:ascii="Arial" w:cs="Arial" w:eastAsia="Arial" w:hAnsi="Arial"/>
                <w:sz w:val="22"/>
                <w:szCs w:val="22"/>
                <w:color w:val="auto"/>
                <w:w w:val="89"/>
              </w:rPr>
              <w:t>77</w:t>
            </w:r>
          </w:p>
        </w:tc>
        <w:tc>
          <w:tcPr>
            <w:tcW w:w="0" w:type="dxa"/>
            <w:vAlign w:val="bottom"/>
          </w:tcPr>
          <w:p>
            <w:pPr>
              <w:spacing w:after="0"/>
              <w:rPr>
                <w:sz w:val="1"/>
                <w:szCs w:val="1"/>
                <w:color w:val="auto"/>
              </w:rPr>
            </w:pPr>
          </w:p>
        </w:tc>
      </w:tr>
      <w:tr>
        <w:trPr>
          <w:trHeight w:val="401"/>
        </w:trPr>
        <w:tc>
          <w:tcPr>
            <w:tcW w:w="980" w:type="dxa"/>
            <w:vAlign w:val="bottom"/>
          </w:tcPr>
          <w:p>
            <w:pPr>
              <w:spacing w:after="0"/>
              <w:rPr>
                <w:sz w:val="24"/>
                <w:szCs w:val="24"/>
                <w:color w:val="auto"/>
              </w:rPr>
            </w:pPr>
          </w:p>
        </w:tc>
        <w:tc>
          <w:tcPr>
            <w:tcW w:w="5860" w:type="dxa"/>
            <w:vAlign w:val="bottom"/>
          </w:tcPr>
          <w:p>
            <w:pPr>
              <w:ind w:left="120"/>
              <w:spacing w:after="0"/>
              <w:rPr>
                <w:sz w:val="20"/>
                <w:szCs w:val="20"/>
                <w:color w:val="auto"/>
              </w:rPr>
            </w:pPr>
            <w:r>
              <w:rPr>
                <w:rFonts w:ascii="Arial" w:cs="Arial" w:eastAsia="Arial" w:hAnsi="Arial"/>
                <w:sz w:val="22"/>
                <w:szCs w:val="22"/>
                <w:color w:val="auto"/>
              </w:rPr>
              <w:t>Security Ownership of Certain Beneficial Owners and</w:t>
            </w: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5"/>
        </w:trPr>
        <w:tc>
          <w:tcPr>
            <w:tcW w:w="980" w:type="dxa"/>
            <w:vAlign w:val="bottom"/>
          </w:tcPr>
          <w:p>
            <w:pPr>
              <w:spacing w:after="0"/>
              <w:rPr>
                <w:sz w:val="20"/>
                <w:szCs w:val="20"/>
                <w:color w:val="auto"/>
              </w:rPr>
            </w:pPr>
            <w:r>
              <w:rPr>
                <w:rFonts w:ascii="Arial" w:cs="Arial" w:eastAsia="Arial" w:hAnsi="Arial"/>
                <w:sz w:val="22"/>
                <w:szCs w:val="22"/>
                <w:color w:val="auto"/>
              </w:rPr>
              <w:t>Item 12.</w:t>
            </w:r>
          </w:p>
        </w:tc>
        <w:tc>
          <w:tcPr>
            <w:tcW w:w="5860" w:type="dxa"/>
            <w:vAlign w:val="bottom"/>
          </w:tcPr>
          <w:p>
            <w:pPr>
              <w:ind w:left="120"/>
              <w:spacing w:after="0"/>
              <w:rPr>
                <w:sz w:val="20"/>
                <w:szCs w:val="20"/>
                <w:color w:val="auto"/>
              </w:rPr>
            </w:pPr>
            <w:r>
              <w:rPr>
                <w:rFonts w:ascii="Arial" w:cs="Arial" w:eastAsia="Arial" w:hAnsi="Arial"/>
                <w:sz w:val="22"/>
                <w:szCs w:val="22"/>
                <w:color w:val="auto"/>
              </w:rPr>
              <w:t>Management and Related Stockholder Matters</w:t>
            </w:r>
          </w:p>
        </w:tc>
        <w:tc>
          <w:tcPr>
            <w:tcW w:w="860" w:type="dxa"/>
            <w:vAlign w:val="bottom"/>
          </w:tcPr>
          <w:p>
            <w:pPr>
              <w:jc w:val="center"/>
              <w:spacing w:after="0"/>
              <w:rPr>
                <w:sz w:val="20"/>
                <w:szCs w:val="20"/>
                <w:color w:val="auto"/>
              </w:rPr>
            </w:pPr>
            <w:r>
              <w:rPr>
                <w:rFonts w:ascii="Arial" w:cs="Arial" w:eastAsia="Arial" w:hAnsi="Arial"/>
                <w:sz w:val="22"/>
                <w:szCs w:val="22"/>
                <w:color w:val="auto"/>
                <w:w w:val="89"/>
              </w:rPr>
              <w:t>77</w:t>
            </w:r>
          </w:p>
        </w:tc>
        <w:tc>
          <w:tcPr>
            <w:tcW w:w="0" w:type="dxa"/>
            <w:vAlign w:val="bottom"/>
          </w:tcPr>
          <w:p>
            <w:pPr>
              <w:spacing w:after="0"/>
              <w:rPr>
                <w:sz w:val="1"/>
                <w:szCs w:val="1"/>
                <w:color w:val="auto"/>
              </w:rPr>
            </w:pPr>
          </w:p>
        </w:tc>
      </w:tr>
      <w:tr>
        <w:trPr>
          <w:trHeight w:val="432"/>
        </w:trPr>
        <w:tc>
          <w:tcPr>
            <w:tcW w:w="980" w:type="dxa"/>
            <w:vAlign w:val="bottom"/>
          </w:tcPr>
          <w:p>
            <w:pPr>
              <w:spacing w:after="0"/>
              <w:rPr>
                <w:sz w:val="20"/>
                <w:szCs w:val="20"/>
                <w:color w:val="auto"/>
              </w:rPr>
            </w:pPr>
            <w:r>
              <w:rPr>
                <w:rFonts w:ascii="Arial" w:cs="Arial" w:eastAsia="Arial" w:hAnsi="Arial"/>
                <w:sz w:val="22"/>
                <w:szCs w:val="22"/>
                <w:color w:val="auto"/>
              </w:rPr>
              <w:t>Item 13.</w:t>
            </w:r>
          </w:p>
        </w:tc>
        <w:tc>
          <w:tcPr>
            <w:tcW w:w="5860" w:type="dxa"/>
            <w:vAlign w:val="bottom"/>
          </w:tcPr>
          <w:p>
            <w:pPr>
              <w:ind w:left="120"/>
              <w:spacing w:after="0"/>
              <w:rPr>
                <w:sz w:val="20"/>
                <w:szCs w:val="20"/>
                <w:color w:val="auto"/>
              </w:rPr>
            </w:pPr>
            <w:r>
              <w:rPr>
                <w:rFonts w:ascii="Arial" w:cs="Arial" w:eastAsia="Arial" w:hAnsi="Arial"/>
                <w:sz w:val="22"/>
                <w:szCs w:val="22"/>
                <w:color w:val="auto"/>
              </w:rPr>
              <w:t>Certain Relationships and Related Transactions</w:t>
            </w:r>
          </w:p>
        </w:tc>
        <w:tc>
          <w:tcPr>
            <w:tcW w:w="860" w:type="dxa"/>
            <w:vAlign w:val="bottom"/>
          </w:tcPr>
          <w:p>
            <w:pPr>
              <w:jc w:val="center"/>
              <w:spacing w:after="0"/>
              <w:rPr>
                <w:sz w:val="20"/>
                <w:szCs w:val="20"/>
                <w:color w:val="auto"/>
              </w:rPr>
            </w:pPr>
            <w:r>
              <w:rPr>
                <w:rFonts w:ascii="Arial" w:cs="Arial" w:eastAsia="Arial" w:hAnsi="Arial"/>
                <w:sz w:val="22"/>
                <w:szCs w:val="22"/>
                <w:color w:val="auto"/>
                <w:w w:val="89"/>
              </w:rPr>
              <w:t>77</w:t>
            </w:r>
          </w:p>
        </w:tc>
        <w:tc>
          <w:tcPr>
            <w:tcW w:w="0" w:type="dxa"/>
            <w:vAlign w:val="bottom"/>
          </w:tcPr>
          <w:p>
            <w:pPr>
              <w:spacing w:after="0"/>
              <w:rPr>
                <w:sz w:val="1"/>
                <w:szCs w:val="1"/>
                <w:color w:val="auto"/>
              </w:rPr>
            </w:pPr>
          </w:p>
        </w:tc>
      </w:tr>
      <w:tr>
        <w:trPr>
          <w:trHeight w:val="432"/>
        </w:trPr>
        <w:tc>
          <w:tcPr>
            <w:tcW w:w="980" w:type="dxa"/>
            <w:vAlign w:val="bottom"/>
          </w:tcPr>
          <w:p>
            <w:pPr>
              <w:spacing w:after="0"/>
              <w:rPr>
                <w:sz w:val="20"/>
                <w:szCs w:val="20"/>
                <w:color w:val="auto"/>
              </w:rPr>
            </w:pPr>
            <w:r>
              <w:rPr>
                <w:rFonts w:ascii="Arial" w:cs="Arial" w:eastAsia="Arial" w:hAnsi="Arial"/>
                <w:sz w:val="22"/>
                <w:szCs w:val="22"/>
                <w:color w:val="auto"/>
              </w:rPr>
              <w:t>Item 14.</w:t>
            </w:r>
          </w:p>
        </w:tc>
        <w:tc>
          <w:tcPr>
            <w:tcW w:w="5860" w:type="dxa"/>
            <w:vAlign w:val="bottom"/>
          </w:tcPr>
          <w:p>
            <w:pPr>
              <w:ind w:left="120"/>
              <w:spacing w:after="0"/>
              <w:rPr>
                <w:sz w:val="20"/>
                <w:szCs w:val="20"/>
                <w:color w:val="auto"/>
              </w:rPr>
            </w:pPr>
            <w:r>
              <w:rPr>
                <w:rFonts w:ascii="Arial" w:cs="Arial" w:eastAsia="Arial" w:hAnsi="Arial"/>
                <w:sz w:val="22"/>
                <w:szCs w:val="22"/>
                <w:color w:val="auto"/>
              </w:rPr>
              <w:t>Principal Accountant Fees and Services</w:t>
            </w:r>
          </w:p>
        </w:tc>
        <w:tc>
          <w:tcPr>
            <w:tcW w:w="860" w:type="dxa"/>
            <w:vAlign w:val="bottom"/>
          </w:tcPr>
          <w:p>
            <w:pPr>
              <w:jc w:val="center"/>
              <w:spacing w:after="0"/>
              <w:rPr>
                <w:sz w:val="20"/>
                <w:szCs w:val="20"/>
                <w:color w:val="auto"/>
              </w:rPr>
            </w:pPr>
            <w:r>
              <w:rPr>
                <w:rFonts w:ascii="Arial" w:cs="Arial" w:eastAsia="Arial" w:hAnsi="Arial"/>
                <w:sz w:val="22"/>
                <w:szCs w:val="22"/>
                <w:color w:val="auto"/>
                <w:w w:val="89"/>
              </w:rPr>
              <w:t>78</w:t>
            </w:r>
          </w:p>
        </w:tc>
        <w:tc>
          <w:tcPr>
            <w:tcW w:w="0" w:type="dxa"/>
            <w:vAlign w:val="bottom"/>
          </w:tcPr>
          <w:p>
            <w:pPr>
              <w:spacing w:after="0"/>
              <w:rPr>
                <w:sz w:val="1"/>
                <w:szCs w:val="1"/>
                <w:color w:val="auto"/>
              </w:rPr>
            </w:pPr>
          </w:p>
        </w:tc>
      </w:tr>
    </w:tbl>
    <w:p>
      <w:pPr>
        <w:sectPr>
          <w:pgSz w:w="11900" w:h="16838" w:orient="portrait"/>
          <w:cols w:equalWidth="0" w:num="1">
            <w:col w:w="9019"/>
          </w:cols>
          <w:pgMar w:left="1440" w:top="550" w:right="1440" w:bottom="161" w:gutter="0" w:footer="0" w:header="0"/>
        </w:sectPr>
      </w:pPr>
    </w:p>
    <w:bookmarkStart w:id="3" w:name="page4"/>
    <w:bookmarkEnd w:id="3"/>
    <w:p>
      <w:pPr>
        <w:spacing w:after="0" w:line="1" w:lineRule="exact"/>
        <w:rPr>
          <w:sz w:val="20"/>
          <w:szCs w:val="20"/>
          <w:color w:val="auto"/>
        </w:rPr>
      </w:pPr>
    </w:p>
    <w:tbl>
      <w:tblPr>
        <w:tblLayout w:type="fixed"/>
        <w:tblInd w:w="1920" w:type="dxa"/>
        <w:tblCellMar>
          <w:top w:w="0" w:type="dxa"/>
          <w:left w:w="0" w:type="dxa"/>
          <w:bottom w:w="0" w:type="dxa"/>
          <w:right w:w="0" w:type="dxa"/>
        </w:tblCellMar>
      </w:tblPr>
      <w:tr>
        <w:trPr>
          <w:trHeight w:val="281"/>
        </w:trPr>
        <w:tc>
          <w:tcPr>
            <w:tcW w:w="1000" w:type="dxa"/>
            <w:vAlign w:val="bottom"/>
          </w:tcPr>
          <w:p>
            <w:pPr>
              <w:spacing w:after="0"/>
              <w:rPr>
                <w:sz w:val="20"/>
                <w:szCs w:val="20"/>
                <w:color w:val="auto"/>
              </w:rPr>
            </w:pPr>
            <w:r>
              <w:rPr>
                <w:rFonts w:ascii="Arial" w:cs="Arial" w:eastAsia="Arial" w:hAnsi="Arial"/>
                <w:sz w:val="22"/>
                <w:szCs w:val="22"/>
                <w:b w:val="1"/>
                <w:bCs w:val="1"/>
                <w:color w:val="auto"/>
              </w:rPr>
              <w:t>PART IV</w:t>
            </w:r>
          </w:p>
        </w:tc>
        <w:tc>
          <w:tcPr>
            <w:tcW w:w="5920" w:type="dxa"/>
            <w:vAlign w:val="bottom"/>
          </w:tcPr>
          <w:p>
            <w:pPr>
              <w:spacing w:after="0"/>
              <w:rPr>
                <w:sz w:val="24"/>
                <w:szCs w:val="24"/>
                <w:color w:val="auto"/>
              </w:rPr>
            </w:pPr>
          </w:p>
        </w:tc>
        <w:tc>
          <w:tcPr>
            <w:tcW w:w="460" w:type="dxa"/>
            <w:vAlign w:val="bottom"/>
          </w:tcPr>
          <w:p>
            <w:pPr>
              <w:spacing w:after="0"/>
              <w:rPr>
                <w:sz w:val="24"/>
                <w:szCs w:val="24"/>
                <w:color w:val="auto"/>
              </w:rPr>
            </w:pPr>
          </w:p>
        </w:tc>
      </w:tr>
      <w:tr>
        <w:trPr>
          <w:trHeight w:val="401"/>
        </w:trPr>
        <w:tc>
          <w:tcPr>
            <w:tcW w:w="1000" w:type="dxa"/>
            <w:vAlign w:val="bottom"/>
          </w:tcPr>
          <w:p>
            <w:pPr>
              <w:spacing w:after="0"/>
              <w:rPr>
                <w:sz w:val="24"/>
                <w:szCs w:val="24"/>
                <w:color w:val="auto"/>
              </w:rPr>
            </w:pPr>
          </w:p>
        </w:tc>
        <w:tc>
          <w:tcPr>
            <w:tcW w:w="5920" w:type="dxa"/>
            <w:vAlign w:val="bottom"/>
          </w:tcPr>
          <w:p>
            <w:pPr>
              <w:ind w:left="100"/>
              <w:spacing w:after="0"/>
              <w:rPr>
                <w:sz w:val="20"/>
                <w:szCs w:val="20"/>
                <w:color w:val="auto"/>
              </w:rPr>
            </w:pPr>
            <w:r>
              <w:rPr>
                <w:rFonts w:ascii="Arial" w:cs="Arial" w:eastAsia="Arial" w:hAnsi="Arial"/>
                <w:sz w:val="22"/>
                <w:szCs w:val="22"/>
                <w:color w:val="auto"/>
                <w:w w:val="91"/>
              </w:rPr>
              <w:t>Exhibits, Financial Statement Schedules and Reports on Form 8-</w:t>
            </w:r>
          </w:p>
        </w:tc>
        <w:tc>
          <w:tcPr>
            <w:tcW w:w="460" w:type="dxa"/>
            <w:vAlign w:val="bottom"/>
          </w:tcPr>
          <w:p>
            <w:pPr>
              <w:spacing w:after="0"/>
              <w:rPr>
                <w:sz w:val="24"/>
                <w:szCs w:val="24"/>
                <w:color w:val="auto"/>
              </w:rPr>
            </w:pPr>
          </w:p>
        </w:tc>
      </w:tr>
      <w:tr>
        <w:trPr>
          <w:trHeight w:val="275"/>
        </w:trPr>
        <w:tc>
          <w:tcPr>
            <w:tcW w:w="1000" w:type="dxa"/>
            <w:vAlign w:val="bottom"/>
          </w:tcPr>
          <w:p>
            <w:pPr>
              <w:spacing w:after="0"/>
              <w:rPr>
                <w:sz w:val="20"/>
                <w:szCs w:val="20"/>
                <w:color w:val="auto"/>
              </w:rPr>
            </w:pPr>
            <w:r>
              <w:rPr>
                <w:rFonts w:ascii="Arial" w:cs="Arial" w:eastAsia="Arial" w:hAnsi="Arial"/>
                <w:sz w:val="22"/>
                <w:szCs w:val="22"/>
                <w:color w:val="auto"/>
              </w:rPr>
              <w:t>Item 15.</w:t>
            </w:r>
          </w:p>
        </w:tc>
        <w:tc>
          <w:tcPr>
            <w:tcW w:w="5920" w:type="dxa"/>
            <w:vAlign w:val="bottom"/>
          </w:tcPr>
          <w:p>
            <w:pPr>
              <w:ind w:left="100"/>
              <w:spacing w:after="0"/>
              <w:rPr>
                <w:sz w:val="20"/>
                <w:szCs w:val="20"/>
                <w:color w:val="auto"/>
              </w:rPr>
            </w:pPr>
            <w:r>
              <w:rPr>
                <w:rFonts w:ascii="Arial" w:cs="Arial" w:eastAsia="Arial" w:hAnsi="Arial"/>
                <w:sz w:val="22"/>
                <w:szCs w:val="22"/>
                <w:color w:val="auto"/>
              </w:rPr>
              <w:t>K</w:t>
            </w:r>
          </w:p>
        </w:tc>
        <w:tc>
          <w:tcPr>
            <w:tcW w:w="460" w:type="dxa"/>
            <w:vAlign w:val="bottom"/>
          </w:tcPr>
          <w:p>
            <w:pPr>
              <w:jc w:val="right"/>
              <w:spacing w:after="0"/>
              <w:rPr>
                <w:sz w:val="20"/>
                <w:szCs w:val="20"/>
                <w:color w:val="auto"/>
              </w:rPr>
            </w:pPr>
            <w:r>
              <w:rPr>
                <w:rFonts w:ascii="Arial" w:cs="Arial" w:eastAsia="Arial" w:hAnsi="Arial"/>
                <w:sz w:val="22"/>
                <w:szCs w:val="22"/>
                <w:color w:val="auto"/>
              </w:rPr>
              <w:t>78</w:t>
            </w:r>
          </w:p>
        </w:tc>
      </w:tr>
      <w:tr>
        <w:trPr>
          <w:trHeight w:val="864"/>
        </w:trPr>
        <w:tc>
          <w:tcPr>
            <w:tcW w:w="6920" w:type="dxa"/>
            <w:vAlign w:val="bottom"/>
            <w:gridSpan w:val="2"/>
          </w:tcPr>
          <w:p>
            <w:pPr>
              <w:spacing w:after="0"/>
              <w:rPr>
                <w:sz w:val="20"/>
                <w:szCs w:val="20"/>
                <w:color w:val="auto"/>
              </w:rPr>
            </w:pPr>
            <w:r>
              <w:rPr>
                <w:rFonts w:ascii="Arial" w:cs="Arial" w:eastAsia="Arial" w:hAnsi="Arial"/>
                <w:sz w:val="22"/>
                <w:szCs w:val="22"/>
                <w:color w:val="auto"/>
              </w:rPr>
              <w:t>Consent of Independent Registered Public Accounting Firm</w:t>
            </w:r>
          </w:p>
        </w:tc>
        <w:tc>
          <w:tcPr>
            <w:tcW w:w="460" w:type="dxa"/>
            <w:vAlign w:val="bottom"/>
          </w:tcPr>
          <w:p>
            <w:pPr>
              <w:jc w:val="right"/>
              <w:spacing w:after="0"/>
              <w:rPr>
                <w:sz w:val="20"/>
                <w:szCs w:val="20"/>
                <w:color w:val="auto"/>
              </w:rPr>
            </w:pPr>
            <w:r>
              <w:rPr>
                <w:rFonts w:ascii="Arial" w:cs="Arial" w:eastAsia="Arial" w:hAnsi="Arial"/>
                <w:sz w:val="22"/>
                <w:szCs w:val="22"/>
                <w:color w:val="auto"/>
              </w:rPr>
              <w:t>80</w:t>
            </w:r>
          </w:p>
        </w:tc>
      </w:tr>
      <w:tr>
        <w:trPr>
          <w:trHeight w:val="864"/>
        </w:trPr>
        <w:tc>
          <w:tcPr>
            <w:tcW w:w="1000" w:type="dxa"/>
            <w:vAlign w:val="bottom"/>
          </w:tcPr>
          <w:p>
            <w:pPr>
              <w:spacing w:after="0"/>
              <w:rPr>
                <w:sz w:val="20"/>
                <w:szCs w:val="20"/>
                <w:color w:val="auto"/>
              </w:rPr>
            </w:pPr>
            <w:r>
              <w:rPr>
                <w:rFonts w:ascii="Arial" w:cs="Arial" w:eastAsia="Arial" w:hAnsi="Arial"/>
                <w:sz w:val="22"/>
                <w:szCs w:val="22"/>
                <w:color w:val="auto"/>
                <w:w w:val="93"/>
              </w:rPr>
              <w:t>Signatures</w:t>
            </w:r>
          </w:p>
        </w:tc>
        <w:tc>
          <w:tcPr>
            <w:tcW w:w="592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22"/>
                <w:szCs w:val="22"/>
                <w:color w:val="auto"/>
              </w:rPr>
              <w:t>81</w:t>
            </w:r>
          </w:p>
        </w:tc>
      </w:tr>
      <w:tr>
        <w:trPr>
          <w:trHeight w:val="864"/>
        </w:trPr>
        <w:tc>
          <w:tcPr>
            <w:tcW w:w="6920" w:type="dxa"/>
            <w:vAlign w:val="bottom"/>
            <w:gridSpan w:val="2"/>
          </w:tcPr>
          <w:p>
            <w:pPr>
              <w:spacing w:after="0"/>
              <w:rPr>
                <w:sz w:val="20"/>
                <w:szCs w:val="20"/>
                <w:color w:val="auto"/>
              </w:rPr>
            </w:pPr>
            <w:r>
              <w:rPr>
                <w:rFonts w:ascii="Arial" w:cs="Arial" w:eastAsia="Arial" w:hAnsi="Arial"/>
                <w:sz w:val="22"/>
                <w:szCs w:val="22"/>
                <w:color w:val="auto"/>
              </w:rPr>
              <w:t>Exhibit Index</w:t>
            </w:r>
          </w:p>
        </w:tc>
        <w:tc>
          <w:tcPr>
            <w:tcW w:w="460" w:type="dxa"/>
            <w:vAlign w:val="bottom"/>
          </w:tcPr>
          <w:p>
            <w:pPr>
              <w:jc w:val="right"/>
              <w:spacing w:after="0"/>
              <w:rPr>
                <w:sz w:val="20"/>
                <w:szCs w:val="20"/>
                <w:color w:val="auto"/>
              </w:rPr>
            </w:pPr>
            <w:r>
              <w:rPr>
                <w:rFonts w:ascii="Arial" w:cs="Arial" w:eastAsia="Arial" w:hAnsi="Arial"/>
                <w:sz w:val="22"/>
                <w:szCs w:val="22"/>
                <w:color w:val="auto"/>
              </w:rPr>
              <w:t>82</w:t>
            </w:r>
          </w:p>
        </w:tc>
      </w:tr>
      <w:tr>
        <w:trPr>
          <w:trHeight w:val="864"/>
        </w:trPr>
        <w:tc>
          <w:tcPr>
            <w:tcW w:w="1000" w:type="dxa"/>
            <w:vAlign w:val="bottom"/>
          </w:tcPr>
          <w:p>
            <w:pPr>
              <w:spacing w:after="0"/>
              <w:rPr>
                <w:sz w:val="20"/>
                <w:szCs w:val="20"/>
                <w:color w:val="auto"/>
              </w:rPr>
            </w:pPr>
            <w:r>
              <w:rPr>
                <w:rFonts w:ascii="Arial" w:cs="Arial" w:eastAsia="Arial" w:hAnsi="Arial"/>
                <w:sz w:val="22"/>
                <w:szCs w:val="22"/>
                <w:color w:val="auto"/>
              </w:rPr>
              <w:t>Glossary</w:t>
            </w:r>
          </w:p>
        </w:tc>
        <w:tc>
          <w:tcPr>
            <w:tcW w:w="592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22"/>
                <w:szCs w:val="22"/>
                <w:color w:val="auto"/>
              </w:rPr>
              <w:t>89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675640</wp:posOffset>
            </wp:positionV>
            <wp:extent cx="72720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INFORMATION REGARDING FORWARD-LOOKING STATEMENTS</w:t>
      </w:r>
    </w:p>
    <w:p>
      <w:pPr>
        <w:spacing w:after="0" w:line="206" w:lineRule="exact"/>
        <w:rPr>
          <w:sz w:val="20"/>
          <w:szCs w:val="20"/>
          <w:color w:val="auto"/>
        </w:rPr>
      </w:pPr>
    </w:p>
    <w:p>
      <w:pPr>
        <w:ind w:right="40"/>
        <w:spacing w:after="0" w:line="282" w:lineRule="auto"/>
        <w:rPr>
          <w:sz w:val="20"/>
          <w:szCs w:val="20"/>
          <w:color w:val="auto"/>
        </w:rPr>
      </w:pPr>
      <w:r>
        <w:rPr>
          <w:rFonts w:ascii="Arial" w:cs="Arial" w:eastAsia="Arial" w:hAnsi="Arial"/>
          <w:sz w:val="19"/>
          <w:szCs w:val="19"/>
          <w:color w:val="auto"/>
        </w:rPr>
        <w:t>This Annual Report contains statements that are not historical fact and constitute forward-looking statements within the meaning of the Private Securities Litigation Reform Act of 1995. The words "estimates," "believes," "expects," "anticipates," "plans," "intends," "may," "could," "would" and "should" or similar expressions, or discussions of strategy or of plans are intended to identify forward-looking statements. Forward-looking statements are not guarantees of performance. They involve risks, uncertainties and assumptions. Future results may differ materially from those expressed in these forward-looking statements.</w:t>
      </w:r>
    </w:p>
    <w:p>
      <w:pPr>
        <w:spacing w:after="0" w:line="148" w:lineRule="exact"/>
        <w:rPr>
          <w:sz w:val="20"/>
          <w:szCs w:val="20"/>
          <w:color w:val="auto"/>
        </w:rPr>
      </w:pPr>
    </w:p>
    <w:p>
      <w:pPr>
        <w:spacing w:after="0" w:line="272" w:lineRule="auto"/>
        <w:rPr>
          <w:sz w:val="20"/>
          <w:szCs w:val="20"/>
          <w:color w:val="auto"/>
        </w:rPr>
      </w:pPr>
      <w:r>
        <w:rPr>
          <w:rFonts w:ascii="Arial" w:cs="Arial" w:eastAsia="Arial" w:hAnsi="Arial"/>
          <w:sz w:val="19"/>
          <w:szCs w:val="19"/>
          <w:color w:val="auto"/>
        </w:rPr>
        <w:t>Forward-looking statements are necessarily based upon various assumptions involving judgments with respect to the future and other risks, including, among others, local, regional and national economic, competitive, political, legislative and regulatory conditions and developments; actions by the California Public Utilities Commission, the California State Legislature, the California Department of Water Resources, and the Federal Energy Regulatory Commission and other regulatory bodies in the United States; capital markets conditions, inflation rates, interest rates and exchange rates; energy and trading markets, including the timing and extent of changes in commodity prices; the availability of natural gas; weather conditions and conservation efforts; war and terrorist attacks; business, regulatory, environmental and legal decisions and requirements; the status of deregulation of retail natural gas and electricity delivery; the timing and success of business development efforts; the resolution of litigati on; and other uncertainties, all of which are difficult to predict and many of which are beyond the control of the company. Readers are cautioned not to rely unduly on any forward-looking statements and are urged to review and consider carefully the risks, uncertainties and other factors which affect the company's business described in this report and other reports filed by the company from time to time with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326390</wp:posOffset>
            </wp:positionV>
            <wp:extent cx="72720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PART I</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 BUSINESS AND RISK FACTORS</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Description of Business</w:t>
      </w:r>
    </w:p>
    <w:p>
      <w:pPr>
        <w:spacing w:after="0" w:line="212" w:lineRule="exact"/>
        <w:rPr>
          <w:sz w:val="20"/>
          <w:szCs w:val="20"/>
          <w:color w:val="auto"/>
        </w:rPr>
      </w:pPr>
    </w:p>
    <w:p>
      <w:pPr>
        <w:ind w:right="760"/>
        <w:spacing w:after="0" w:line="251" w:lineRule="auto"/>
        <w:rPr>
          <w:sz w:val="20"/>
          <w:szCs w:val="20"/>
          <w:color w:val="auto"/>
        </w:rPr>
      </w:pPr>
      <w:r>
        <w:rPr>
          <w:rFonts w:ascii="Arial" w:cs="Arial" w:eastAsia="Arial" w:hAnsi="Arial"/>
          <w:sz w:val="22"/>
          <w:szCs w:val="22"/>
          <w:color w:val="auto"/>
        </w:rPr>
        <w:t>A description of San Diego Gas &amp; Electric Company (SDG&amp;E or the company) is given in "Management's Discussion and Analysis of Financial Condition and Results of Operations" herein.</w:t>
      </w:r>
    </w:p>
    <w:p>
      <w:pPr>
        <w:spacing w:after="0" w:line="173" w:lineRule="exact"/>
        <w:rPr>
          <w:sz w:val="20"/>
          <w:szCs w:val="20"/>
          <w:color w:val="auto"/>
        </w:rPr>
      </w:pPr>
    </w:p>
    <w:p>
      <w:pPr>
        <w:ind w:right="580"/>
        <w:spacing w:after="0" w:line="287" w:lineRule="auto"/>
        <w:rPr>
          <w:sz w:val="20"/>
          <w:szCs w:val="20"/>
          <w:color w:val="auto"/>
        </w:rPr>
      </w:pPr>
      <w:r>
        <w:rPr>
          <w:rFonts w:ascii="Arial" w:cs="Arial" w:eastAsia="Arial" w:hAnsi="Arial"/>
          <w:sz w:val="19"/>
          <w:szCs w:val="19"/>
          <w:color w:val="auto"/>
        </w:rPr>
        <w:t>SDG&amp;E's common stock is wholly owned by Enova Corporation, which is a wholly owned subsidiary of Sempra Energy, a California-based Fortune 500 holding company. The financial statements herein are the Consolidated Financial Statements of SDG&amp;E and its sole subsidiary, SDG&amp;E Funding LLC. Sempra Energy also indirectly owns the common stock of Southern California Gas Company (SoCalGas). SDG&amp;E and SoCalGas are collectively referred to herein as "the California Utilities."</w:t>
      </w:r>
    </w:p>
    <w:p>
      <w:pPr>
        <w:spacing w:after="0" w:line="13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Company Website</w:t>
      </w:r>
    </w:p>
    <w:p>
      <w:pPr>
        <w:spacing w:after="0" w:line="212" w:lineRule="exact"/>
        <w:rPr>
          <w:sz w:val="20"/>
          <w:szCs w:val="20"/>
          <w:color w:val="auto"/>
        </w:rPr>
      </w:pPr>
    </w:p>
    <w:p>
      <w:pPr>
        <w:ind w:right="260"/>
        <w:spacing w:after="0" w:line="328" w:lineRule="auto"/>
        <w:rPr>
          <w:sz w:val="20"/>
          <w:szCs w:val="20"/>
          <w:color w:val="auto"/>
        </w:rPr>
      </w:pPr>
      <w:r>
        <w:rPr>
          <w:rFonts w:ascii="Arial" w:cs="Arial" w:eastAsia="Arial" w:hAnsi="Arial"/>
          <w:sz w:val="19"/>
          <w:szCs w:val="19"/>
          <w:color w:val="auto"/>
        </w:rPr>
        <w:t>The company's website address is http://www.sdge.com/ and Sempra Energy's website address is http://www.sempra.com. The company makes available free of charge via a hyperlink on its website its annual report on Form 10-K, quarterly reports on Form</w:t>
      </w:r>
    </w:p>
    <w:p>
      <w:pPr>
        <w:sectPr>
          <w:pgSz w:w="11900" w:h="16838" w:orient="portrait"/>
          <w:cols w:equalWidth="0" w:num="1">
            <w:col w:w="11420"/>
          </w:cols>
          <w:pgMar w:left="240" w:top="126" w:right="239" w:bottom="0" w:gutter="0" w:footer="0" w:header="0"/>
        </w:sectPr>
      </w:pPr>
    </w:p>
    <w:bookmarkStart w:id="4" w:name="page5"/>
    <w:bookmarkEnd w:id="4"/>
    <w:p>
      <w:pPr>
        <w:ind w:right="300"/>
        <w:spacing w:after="0" w:line="251" w:lineRule="auto"/>
        <w:rPr>
          <w:sz w:val="20"/>
          <w:szCs w:val="20"/>
          <w:color w:val="auto"/>
        </w:rPr>
      </w:pPr>
      <w:r>
        <w:rPr>
          <w:rFonts w:ascii="Arial" w:cs="Arial" w:eastAsia="Arial" w:hAnsi="Arial"/>
          <w:sz w:val="22"/>
          <w:szCs w:val="22"/>
          <w:color w:val="auto"/>
        </w:rPr>
        <w:t>10-Q, current reports on Form 8-K, and any amendments to those reports as soon as reasonably practicable after such material is electronically filed with or furnished to the Securities and Exchange Commission.</w:t>
      </w:r>
    </w:p>
    <w:p>
      <w:pPr>
        <w:spacing w:after="0" w:line="16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Risk Factors</w:t>
      </w:r>
    </w:p>
    <w:p>
      <w:pPr>
        <w:spacing w:after="0" w:line="212" w:lineRule="exact"/>
        <w:rPr>
          <w:sz w:val="20"/>
          <w:szCs w:val="20"/>
          <w:color w:val="auto"/>
        </w:rPr>
      </w:pPr>
    </w:p>
    <w:p>
      <w:pPr>
        <w:spacing w:after="0" w:line="277" w:lineRule="auto"/>
        <w:rPr>
          <w:sz w:val="20"/>
          <w:szCs w:val="20"/>
          <w:color w:val="auto"/>
        </w:rPr>
      </w:pPr>
      <w:r>
        <w:rPr>
          <w:rFonts w:ascii="Arial" w:cs="Arial" w:eastAsia="Arial" w:hAnsi="Arial"/>
          <w:sz w:val="19"/>
          <w:szCs w:val="19"/>
          <w:i w:val="1"/>
          <w:iCs w:val="1"/>
          <w:color w:val="auto"/>
        </w:rPr>
        <w:t>The following risk factors and all other information contained in this report should be considered carefully when evaluating SDG&amp;E. These risk factors could affect the actual results of SDG&amp;E and cause such results to differ materially from those expressed in any forward-looking statements of, or made by or on behalf of, SDG&amp;E. Other risks and uncertainties, in addition to those that are described below, may also impair its business operations. If any of the following risks occurs, SDG&amp;E's business, cash flows, results of operations and financial condition could be seriously harmed. These risk factors should be read in conjunction with the other detailed information concerning SDG&amp;E set forth in the notes to Consolidated Financial Statements and in "Management's Discussion and Analysis of Financial Condition and Results of Operations" herein..</w:t>
      </w:r>
    </w:p>
    <w:p>
      <w:pPr>
        <w:spacing w:after="0" w:line="153" w:lineRule="exact"/>
        <w:rPr>
          <w:sz w:val="20"/>
          <w:szCs w:val="20"/>
          <w:color w:val="auto"/>
        </w:rPr>
      </w:pPr>
    </w:p>
    <w:p>
      <w:pPr>
        <w:ind w:right="80"/>
        <w:spacing w:after="0" w:line="251" w:lineRule="auto"/>
        <w:rPr>
          <w:sz w:val="20"/>
          <w:szCs w:val="20"/>
          <w:color w:val="auto"/>
        </w:rPr>
      </w:pPr>
      <w:r>
        <w:rPr>
          <w:rFonts w:ascii="Arial" w:cs="Arial" w:eastAsia="Arial" w:hAnsi="Arial"/>
          <w:sz w:val="22"/>
          <w:szCs w:val="22"/>
          <w:b w:val="1"/>
          <w:bCs w:val="1"/>
          <w:i w:val="1"/>
          <w:iCs w:val="1"/>
          <w:color w:val="auto"/>
        </w:rPr>
        <w:t>SDG&amp;E is subject to extensive regulation by state, federal and local legislation and regulatory authorities, which may adversely affect the operations, performance and growth of its business</w:t>
      </w:r>
    </w:p>
    <w:p>
      <w:pPr>
        <w:spacing w:after="0" w:line="173" w:lineRule="exact"/>
        <w:rPr>
          <w:sz w:val="20"/>
          <w:szCs w:val="20"/>
          <w:color w:val="auto"/>
        </w:rPr>
      </w:pPr>
    </w:p>
    <w:p>
      <w:pPr>
        <w:ind w:right="20"/>
        <w:spacing w:after="0" w:line="274" w:lineRule="auto"/>
        <w:rPr>
          <w:sz w:val="20"/>
          <w:szCs w:val="20"/>
          <w:color w:val="auto"/>
        </w:rPr>
      </w:pPr>
      <w:r>
        <w:rPr>
          <w:rFonts w:ascii="Arial" w:cs="Arial" w:eastAsia="Arial" w:hAnsi="Arial"/>
          <w:sz w:val="19"/>
          <w:szCs w:val="19"/>
          <w:color w:val="auto"/>
        </w:rPr>
        <w:t>The California Public Utilities Commission (CPUC), which consists of five commissioners appointed by the Governor of California for staggered six-year terms, regulates SDG&amp;E's rates (except electric transmission rates, which are regulated by the Federal Energy Regulatory Commission (FERC)) and conditions of service, sales of securities, rates of return, rates of depreciation, uniform systems of accounts, examination of records and long-term resource procurement. The CPUC conducts various reviews of utility performance (which may include reasonableness and prudency reviews) and affiliate relationships and conducts audits and investigations into various matters which may, from time to time, result in disallowances and penalties adversely affecting earnings and cash flows. Various proceedings involving the CPUC and relating to SDG&amp;E's rates, costs, incentive mechanisms, performance-based regulation and compliance with affiliate and holding company rules are discussed in the notes to Consolida ted Financial Statements and in "Management's Discussion and Analysis of Financial Condition and Results of Operations" herein.</w:t>
      </w:r>
    </w:p>
    <w:p>
      <w:pPr>
        <w:spacing w:after="0" w:line="159" w:lineRule="exact"/>
        <w:rPr>
          <w:sz w:val="20"/>
          <w:szCs w:val="20"/>
          <w:color w:val="auto"/>
        </w:rPr>
      </w:pPr>
    </w:p>
    <w:p>
      <w:pPr>
        <w:jc w:val="both"/>
        <w:ind w:right="240"/>
        <w:spacing w:after="0"/>
        <w:rPr>
          <w:sz w:val="20"/>
          <w:szCs w:val="20"/>
          <w:color w:val="auto"/>
        </w:rPr>
      </w:pPr>
      <w:r>
        <w:rPr>
          <w:rFonts w:ascii="Arial" w:cs="Arial" w:eastAsia="Arial" w:hAnsi="Arial"/>
          <w:sz w:val="22"/>
          <w:szCs w:val="22"/>
          <w:color w:val="auto"/>
        </w:rPr>
        <w:t>Periodically, SDG&amp;E's rates are approved by the CPUC based on forecasts of capital and operating costs. If the company's actual capital and operating costs were to exceed the amount included in its base rates approved by the CPUC, it would adversely affect earnings and cash flows.</w:t>
      </w:r>
    </w:p>
    <w:p>
      <w:pPr>
        <w:spacing w:after="0" w:line="186" w:lineRule="exact"/>
        <w:rPr>
          <w:sz w:val="20"/>
          <w:szCs w:val="20"/>
          <w:color w:val="auto"/>
        </w:rPr>
      </w:pPr>
    </w:p>
    <w:p>
      <w:pPr>
        <w:ind w:right="40"/>
        <w:spacing w:after="0" w:line="274" w:lineRule="auto"/>
        <w:rPr>
          <w:sz w:val="20"/>
          <w:szCs w:val="20"/>
          <w:color w:val="auto"/>
        </w:rPr>
      </w:pPr>
      <w:r>
        <w:rPr>
          <w:rFonts w:ascii="Arial" w:cs="Arial" w:eastAsia="Arial" w:hAnsi="Arial"/>
          <w:sz w:val="19"/>
          <w:szCs w:val="19"/>
          <w:color w:val="auto"/>
        </w:rPr>
        <w:t>To promote efficient operations and improved productivity and to move away from reasonableness reviews and disallowances, the CPUC adopted Performance-Based Regulation (PBR) for the California Utilities. Under PBR, regulators require future income potential to be tied to achieving or exceeding specific performance and operating income goals, rather than relying solely on expanding utility plant to increase earnings. The three areas that are eligible for PBR rewards are: operational incentives based on measurements of safety, reliability and customer satisfaction; energy efficiency rewards based on the effectiveness of the programs; and natural gas procurement rewards. Although SDG&amp;E has received PBR rewards in the past, there can be no assurance that it will receive rewards in the future, or that they would be of comparable amounts. Additionally, if the company fails to achieve certain minimum performance levels established under the PBR mechanisms, it may be assessed financial disallowances or penalt ies which could negatively affect earnings and cash flows.</w:t>
      </w:r>
    </w:p>
    <w:p>
      <w:pPr>
        <w:spacing w:after="0" w:line="159" w:lineRule="exact"/>
        <w:rPr>
          <w:sz w:val="20"/>
          <w:szCs w:val="20"/>
          <w:color w:val="auto"/>
        </w:rPr>
      </w:pPr>
    </w:p>
    <w:p>
      <w:pPr>
        <w:ind w:right="840"/>
        <w:spacing w:after="0" w:line="251" w:lineRule="auto"/>
        <w:rPr>
          <w:sz w:val="20"/>
          <w:szCs w:val="20"/>
          <w:color w:val="auto"/>
        </w:rPr>
      </w:pPr>
      <w:r>
        <w:rPr>
          <w:rFonts w:ascii="Arial" w:cs="Arial" w:eastAsia="Arial" w:hAnsi="Arial"/>
          <w:sz w:val="22"/>
          <w:szCs w:val="22"/>
          <w:color w:val="auto"/>
        </w:rPr>
        <w:t>The FERC regulates electric transmission rates, the transmission and wholesale sales of electricity in interstate commerce, transmission access and other similar matters involving SDG&amp;E.</w:t>
      </w:r>
    </w:p>
    <w:p>
      <w:pPr>
        <w:spacing w:after="0" w:line="173" w:lineRule="exact"/>
        <w:rPr>
          <w:sz w:val="20"/>
          <w:szCs w:val="20"/>
          <w:color w:val="auto"/>
        </w:rPr>
      </w:pPr>
    </w:p>
    <w:p>
      <w:pPr>
        <w:ind w:right="120"/>
        <w:spacing w:after="0" w:line="238" w:lineRule="auto"/>
        <w:rPr>
          <w:sz w:val="20"/>
          <w:szCs w:val="20"/>
          <w:color w:val="auto"/>
        </w:rPr>
      </w:pPr>
      <w:r>
        <w:rPr>
          <w:rFonts w:ascii="Arial" w:cs="Arial" w:eastAsia="Arial" w:hAnsi="Arial"/>
          <w:sz w:val="22"/>
          <w:szCs w:val="22"/>
          <w:color w:val="auto"/>
        </w:rPr>
        <w:t>The company may be adversely affected by new regulations, decisions, orders or interpretations of the CPUC, FERC or other regulatory bodies. New legislation, regulations, decisions, orders or interpretations could change how the company operates, could affect its ability to recover various costs through rates or adjustment mechanisms, or could require the company to incur additional expenses.</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SDG&amp;E may incur substantial costs and liabilities as a result of its ownership of nuclear facilities.</w:t>
      </w:r>
    </w:p>
    <w:p>
      <w:pPr>
        <w:spacing w:after="0" w:line="206" w:lineRule="exact"/>
        <w:rPr>
          <w:sz w:val="20"/>
          <w:szCs w:val="20"/>
          <w:color w:val="auto"/>
        </w:rPr>
      </w:pPr>
    </w:p>
    <w:p>
      <w:pPr>
        <w:spacing w:after="0" w:line="238" w:lineRule="auto"/>
        <w:rPr>
          <w:sz w:val="20"/>
          <w:szCs w:val="20"/>
          <w:color w:val="auto"/>
        </w:rPr>
      </w:pPr>
      <w:r>
        <w:rPr>
          <w:rFonts w:ascii="Arial" w:cs="Arial" w:eastAsia="Arial" w:hAnsi="Arial"/>
          <w:sz w:val="22"/>
          <w:szCs w:val="22"/>
          <w:color w:val="auto"/>
        </w:rPr>
        <w:t>SDG&amp;E owns a 20% interest in the San Onofre Nuclear Generating Station (SONGS), a 2,150 megawatt nuclear generating facility near San Clemente, California. The Nuclear Regulatory Commission (NRC) has broad authority under federal law to impose licensing and safety-related requirements for the operation of nuclear generation facilities. SDG&amp;E's ownership interest in SONGS subjects it to the risks of nuclear generation, which include:</w:t>
      </w:r>
    </w:p>
    <w:p>
      <w:pPr>
        <w:spacing w:after="0" w:line="185" w:lineRule="exact"/>
        <w:rPr>
          <w:sz w:val="20"/>
          <w:szCs w:val="20"/>
          <w:color w:val="auto"/>
        </w:rPr>
      </w:pPr>
    </w:p>
    <w:p>
      <w:pPr>
        <w:ind w:left="1080"/>
        <w:spacing w:after="0" w:line="239" w:lineRule="auto"/>
        <w:rPr>
          <w:sz w:val="20"/>
          <w:szCs w:val="20"/>
          <w:color w:val="auto"/>
        </w:rPr>
      </w:pPr>
      <w:r>
        <w:rPr>
          <w:rFonts w:ascii="Arial" w:cs="Arial" w:eastAsia="Arial" w:hAnsi="Arial"/>
          <w:sz w:val="22"/>
          <w:szCs w:val="22"/>
          <w:color w:val="auto"/>
        </w:rPr>
        <w:t>the potential harmful effects on the environment and human health resulting from the operation of nuclear facilities and the storage, handling and disposal of radioactive materials;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541020</wp:posOffset>
            </wp:positionH>
            <wp:positionV relativeFrom="paragraph">
              <wp:posOffset>-258445</wp:posOffset>
            </wp:positionV>
            <wp:extent cx="68580" cy="6858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1080" w:right="20"/>
        <w:spacing w:after="0" w:line="230" w:lineRule="auto"/>
        <w:rPr>
          <w:sz w:val="20"/>
          <w:szCs w:val="20"/>
          <w:color w:val="auto"/>
        </w:rPr>
      </w:pPr>
      <w:r>
        <w:rPr>
          <w:rFonts w:ascii="Arial" w:cs="Arial" w:eastAsia="Arial" w:hAnsi="Arial"/>
          <w:sz w:val="22"/>
          <w:szCs w:val="22"/>
          <w:color w:val="auto"/>
        </w:rPr>
        <w:t>limitations on the amounts and types of insurance commercially available to cover losses that might arise in connection with nuclear operations;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541020</wp:posOffset>
            </wp:positionH>
            <wp:positionV relativeFrom="paragraph">
              <wp:posOffset>-257810</wp:posOffset>
            </wp:positionV>
            <wp:extent cx="68580" cy="6858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1080" w:right="300"/>
        <w:spacing w:after="0" w:line="237" w:lineRule="auto"/>
        <w:rPr>
          <w:sz w:val="20"/>
          <w:szCs w:val="20"/>
          <w:color w:val="auto"/>
        </w:rPr>
      </w:pPr>
      <w:r>
        <w:rPr>
          <w:rFonts w:ascii="Arial" w:cs="Arial" w:eastAsia="Arial" w:hAnsi="Arial"/>
          <w:sz w:val="22"/>
          <w:szCs w:val="22"/>
          <w:color w:val="auto"/>
        </w:rPr>
        <w:t>uncertainties with respect to the technological and financial aspects of decommissioning nuclear plants at the end of their licensed lives.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541020</wp:posOffset>
            </wp:positionH>
            <wp:positionV relativeFrom="paragraph">
              <wp:posOffset>-267335</wp:posOffset>
            </wp:positionV>
            <wp:extent cx="68580" cy="6858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65" w:lineRule="exact"/>
        <w:rPr>
          <w:sz w:val="20"/>
          <w:szCs w:val="20"/>
          <w:color w:val="auto"/>
        </w:rPr>
      </w:pPr>
    </w:p>
    <w:p>
      <w:pPr>
        <w:ind w:right="800"/>
        <w:spacing w:after="0" w:line="251" w:lineRule="auto"/>
        <w:rPr>
          <w:sz w:val="20"/>
          <w:szCs w:val="20"/>
          <w:color w:val="auto"/>
        </w:rPr>
      </w:pPr>
      <w:r>
        <w:rPr>
          <w:rFonts w:ascii="Arial" w:cs="Arial" w:eastAsia="Arial" w:hAnsi="Arial"/>
          <w:sz w:val="22"/>
          <w:szCs w:val="22"/>
          <w:b w:val="1"/>
          <w:bCs w:val="1"/>
          <w:i w:val="1"/>
          <w:iCs w:val="1"/>
          <w:color w:val="auto"/>
        </w:rPr>
        <w:t>The California Utilities' future results of operations and financial condition may be materially adversely affected by the outcome of pending litigation against them.</w:t>
      </w:r>
    </w:p>
    <w:p>
      <w:pPr>
        <w:spacing w:after="0" w:line="173" w:lineRule="exact"/>
        <w:rPr>
          <w:sz w:val="20"/>
          <w:szCs w:val="20"/>
          <w:color w:val="auto"/>
        </w:rPr>
      </w:pPr>
    </w:p>
    <w:p>
      <w:pPr>
        <w:ind w:right="300"/>
        <w:spacing w:after="0" w:line="287" w:lineRule="auto"/>
        <w:rPr>
          <w:sz w:val="20"/>
          <w:szCs w:val="20"/>
          <w:color w:val="auto"/>
        </w:rPr>
      </w:pPr>
      <w:r>
        <w:rPr>
          <w:rFonts w:ascii="Arial" w:cs="Arial" w:eastAsia="Arial" w:hAnsi="Arial"/>
          <w:sz w:val="19"/>
          <w:szCs w:val="19"/>
          <w:color w:val="auto"/>
        </w:rPr>
        <w:t>The California energy crisis of 2000-2001 has generated numerous lawsuits, governmental investigations and regulatory proceedings involving many energy companies, including Sempra Energy and the California Utilities. In January 2006, Sempra Energy and the California Utilities reached agreement to settle several of these lawsuits including, subject to court and other approvals, the principal class action antitrust lawsuits in which they are defendants. The companies remain defendants in several</w:t>
      </w:r>
    </w:p>
    <w:p>
      <w:pPr>
        <w:sectPr>
          <w:pgSz w:w="11900" w:h="16838" w:orient="portrait"/>
          <w:cols w:equalWidth="0" w:num="1">
            <w:col w:w="11420"/>
          </w:cols>
          <w:pgMar w:left="240" w:top="118" w:right="239" w:bottom="0" w:gutter="0" w:footer="0" w:header="0"/>
        </w:sectPr>
      </w:pPr>
    </w:p>
    <w:bookmarkStart w:id="5" w:name="page6"/>
    <w:bookmarkEnd w:id="5"/>
    <w:p>
      <w:pPr>
        <w:ind w:right="180"/>
        <w:spacing w:after="0" w:line="247" w:lineRule="auto"/>
        <w:rPr>
          <w:sz w:val="20"/>
          <w:szCs w:val="20"/>
          <w:color w:val="auto"/>
        </w:rPr>
      </w:pPr>
      <w:r>
        <w:rPr>
          <w:rFonts w:ascii="Arial" w:cs="Arial" w:eastAsia="Arial" w:hAnsi="Arial"/>
          <w:sz w:val="21"/>
          <w:szCs w:val="21"/>
          <w:color w:val="auto"/>
        </w:rPr>
        <w:t>additional lawsuits arising out of the energy crisis, including lawsuits commenced in the fourth quarter of 2005 by the California Attorney General. The company is also responding to an ongoing CPUC proceeding related to the increase in natural gas prices at the California-Arizona border in 2000-2001. Sempra Energy and the California Utilities have expended and continue to expend substantial amounts defending these lawsuits and in connection with related investigations and regulatory proceedings. Sempra Ener gy and the California Utilities have established reserves for the agreed and unresolved issues. However, given the uncertainties involved in resolving litigation, Sempra Energy's and the California Utilities' results of operations and financial condition may be materially adversely affected.</w:t>
      </w:r>
    </w:p>
    <w:p>
      <w:pPr>
        <w:spacing w:after="0" w:line="179" w:lineRule="exact"/>
        <w:rPr>
          <w:sz w:val="20"/>
          <w:szCs w:val="20"/>
          <w:color w:val="auto"/>
        </w:rPr>
      </w:pPr>
    </w:p>
    <w:p>
      <w:pPr>
        <w:ind w:right="100"/>
        <w:spacing w:after="0" w:line="251" w:lineRule="auto"/>
        <w:rPr>
          <w:sz w:val="20"/>
          <w:szCs w:val="20"/>
          <w:color w:val="auto"/>
        </w:rPr>
      </w:pPr>
      <w:r>
        <w:rPr>
          <w:rFonts w:ascii="Arial" w:cs="Arial" w:eastAsia="Arial" w:hAnsi="Arial"/>
          <w:sz w:val="22"/>
          <w:szCs w:val="22"/>
          <w:color w:val="auto"/>
        </w:rPr>
        <w:t>These proceedings are discussed in the notes to Consolidated Financial Statements and in "Management's Discussion and Analysis of Financial Condition and Results of Operations" herein.</w:t>
      </w:r>
    </w:p>
    <w:p>
      <w:pPr>
        <w:spacing w:after="0" w:line="173" w:lineRule="exact"/>
        <w:rPr>
          <w:sz w:val="20"/>
          <w:szCs w:val="20"/>
          <w:color w:val="auto"/>
        </w:rPr>
      </w:pPr>
    </w:p>
    <w:p>
      <w:pPr>
        <w:ind w:right="120"/>
        <w:spacing w:after="0" w:line="251" w:lineRule="auto"/>
        <w:rPr>
          <w:sz w:val="20"/>
          <w:szCs w:val="20"/>
          <w:color w:val="auto"/>
        </w:rPr>
      </w:pPr>
      <w:r>
        <w:rPr>
          <w:rFonts w:ascii="Arial" w:cs="Arial" w:eastAsia="Arial" w:hAnsi="Arial"/>
          <w:sz w:val="22"/>
          <w:szCs w:val="22"/>
          <w:b w:val="1"/>
          <w:bCs w:val="1"/>
          <w:i w:val="1"/>
          <w:iCs w:val="1"/>
          <w:color w:val="auto"/>
        </w:rPr>
        <w:t>The company's cash flows, ability to pay dividends and ability to meet its debt obligations largely depend on the performance of its utility operations.</w:t>
      </w:r>
    </w:p>
    <w:p>
      <w:pPr>
        <w:spacing w:after="0" w:line="173" w:lineRule="exact"/>
        <w:rPr>
          <w:sz w:val="20"/>
          <w:szCs w:val="20"/>
          <w:color w:val="auto"/>
        </w:rPr>
      </w:pPr>
    </w:p>
    <w:p>
      <w:pPr>
        <w:ind w:right="180"/>
        <w:spacing w:after="0" w:line="274" w:lineRule="auto"/>
        <w:rPr>
          <w:sz w:val="20"/>
          <w:szCs w:val="20"/>
          <w:color w:val="auto"/>
        </w:rPr>
      </w:pPr>
      <w:r>
        <w:rPr>
          <w:rFonts w:ascii="Arial" w:cs="Arial" w:eastAsia="Arial" w:hAnsi="Arial"/>
          <w:sz w:val="21"/>
          <w:szCs w:val="21"/>
          <w:color w:val="auto"/>
        </w:rPr>
        <w:t>The company's utility operations are the major source of liquidity. The company's ability to pay dividends on its preferred stock is largely dependent on the sufficiency of utility earnings and cash flows in excess of operational needs.</w:t>
      </w:r>
    </w:p>
    <w:p>
      <w:pPr>
        <w:spacing w:after="0" w:line="151" w:lineRule="exact"/>
        <w:rPr>
          <w:sz w:val="20"/>
          <w:szCs w:val="20"/>
          <w:color w:val="auto"/>
        </w:rPr>
      </w:pPr>
    </w:p>
    <w:p>
      <w:pPr>
        <w:ind w:right="80"/>
        <w:spacing w:after="0" w:line="251" w:lineRule="auto"/>
        <w:rPr>
          <w:sz w:val="20"/>
          <w:szCs w:val="20"/>
          <w:color w:val="auto"/>
        </w:rPr>
      </w:pPr>
      <w:r>
        <w:rPr>
          <w:rFonts w:ascii="Arial" w:cs="Arial" w:eastAsia="Arial" w:hAnsi="Arial"/>
          <w:sz w:val="22"/>
          <w:szCs w:val="22"/>
          <w:b w:val="1"/>
          <w:bCs w:val="1"/>
          <w:i w:val="1"/>
          <w:iCs w:val="1"/>
          <w:color w:val="auto"/>
        </w:rPr>
        <w:t>Natural disasters, catastrophic accidents or acts of terrorism could materially adversely affect the company's business, earnings and cash flows.</w:t>
      </w:r>
    </w:p>
    <w:p>
      <w:pPr>
        <w:spacing w:after="0" w:line="173" w:lineRule="exact"/>
        <w:rPr>
          <w:sz w:val="20"/>
          <w:szCs w:val="20"/>
          <w:color w:val="auto"/>
        </w:rPr>
      </w:pPr>
    </w:p>
    <w:p>
      <w:pPr>
        <w:ind w:right="120"/>
        <w:spacing w:after="0" w:line="274" w:lineRule="auto"/>
        <w:rPr>
          <w:sz w:val="20"/>
          <w:szCs w:val="20"/>
          <w:color w:val="auto"/>
        </w:rPr>
      </w:pPr>
      <w:r>
        <w:rPr>
          <w:rFonts w:ascii="Arial" w:cs="Arial" w:eastAsia="Arial" w:hAnsi="Arial"/>
          <w:sz w:val="19"/>
          <w:szCs w:val="19"/>
          <w:color w:val="auto"/>
        </w:rPr>
        <w:t>Like other major industrial facilities, the company's electric transmission facilities and natural gas pipelines may be damaged by natural disasters, catastrophic accidents or acts of terrorism. Any such incidents could result in severe business disruptions, significant decreases in revenues or significant additional costs to the company, which could have a material adverse effect on the company's earnings and cash flows. Given the nature and location of these facilities, any such incidents also could cause fires, leaks, explosions, spills or other significant damage to natural resources or property belonging to third parties, or personal injuries, which could lead to significant claims against the company. Insurance coverage may become unavailable for certain of these risks and the insurance proceeds received for any loss of or damage to any of its facilities, or for any loss of or damage to natural resources or property or personal injuries caused by its operations, may be insufficient to cover the company's losses or liabilities without materially adversely affecting the company's financial condition, earnings and cash flows.</w:t>
      </w:r>
    </w:p>
    <w:p>
      <w:pPr>
        <w:spacing w:after="0" w:line="15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GOVERNMENT REGULATION</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California Utility Regulation</w:t>
      </w:r>
    </w:p>
    <w:p>
      <w:pPr>
        <w:spacing w:after="0" w:line="212" w:lineRule="exact"/>
        <w:rPr>
          <w:sz w:val="20"/>
          <w:szCs w:val="20"/>
          <w:color w:val="auto"/>
        </w:rPr>
      </w:pPr>
    </w:p>
    <w:p>
      <w:pPr>
        <w:ind w:right="60"/>
        <w:spacing w:after="0" w:line="279" w:lineRule="auto"/>
        <w:rPr>
          <w:sz w:val="20"/>
          <w:szCs w:val="20"/>
          <w:color w:val="auto"/>
        </w:rPr>
      </w:pPr>
      <w:r>
        <w:rPr>
          <w:rFonts w:ascii="Arial" w:cs="Arial" w:eastAsia="Arial" w:hAnsi="Arial"/>
          <w:sz w:val="19"/>
          <w:szCs w:val="19"/>
          <w:color w:val="auto"/>
        </w:rPr>
        <w:t>The CPUC, which consists of five commissioners appointed by the Governor of California for staggered six-year terms, regulates SDG&amp;E's rates and conditions of service, sales of securities, rate of return, rates of depreciation, uniform systems of accounts, examination of records, and long-term resource procurement. The CPUC conducts various reviews of utility performance and conducts investigations into various matters, such as deregulation, competition and the environment, to determine its future policies. The CPUC also regulates the relationship of the California Utilities with Sempra Energy and is currently investigating this relationship, as discussed further in Note 10 of the notes to Consolidated Financial Statements herein.</w:t>
      </w:r>
    </w:p>
    <w:p>
      <w:pPr>
        <w:spacing w:after="0" w:line="151" w:lineRule="exact"/>
        <w:rPr>
          <w:sz w:val="20"/>
          <w:szCs w:val="20"/>
          <w:color w:val="auto"/>
        </w:rPr>
      </w:pPr>
    </w:p>
    <w:p>
      <w:pPr>
        <w:ind w:right="140"/>
        <w:spacing w:after="0" w:line="236" w:lineRule="auto"/>
        <w:rPr>
          <w:sz w:val="20"/>
          <w:szCs w:val="20"/>
          <w:color w:val="auto"/>
        </w:rPr>
      </w:pPr>
      <w:r>
        <w:rPr>
          <w:rFonts w:ascii="Arial" w:cs="Arial" w:eastAsia="Arial" w:hAnsi="Arial"/>
          <w:sz w:val="22"/>
          <w:szCs w:val="22"/>
          <w:color w:val="auto"/>
        </w:rPr>
        <w:t>The California Energy Commission (CEC) has discretion over electric demand forecasts for the state and for specific service territories. Based upon these forecasts, the CEC determines the need for additional energy sources and for conservation programs. The CEC sponsors alternative-energy research and development projects, promotes energy conservation programs and maintains a state-wide plan of action in case of energy shortages. In addition, the CEC certifies power-plant sites and related facilities within California.</w:t>
      </w:r>
    </w:p>
    <w:p>
      <w:pPr>
        <w:spacing w:after="0" w:line="188" w:lineRule="exact"/>
        <w:rPr>
          <w:sz w:val="20"/>
          <w:szCs w:val="20"/>
          <w:color w:val="auto"/>
        </w:rPr>
      </w:pPr>
    </w:p>
    <w:p>
      <w:pPr>
        <w:ind w:right="80"/>
        <w:spacing w:after="0" w:line="258" w:lineRule="auto"/>
        <w:rPr>
          <w:sz w:val="20"/>
          <w:szCs w:val="20"/>
          <w:color w:val="auto"/>
        </w:rPr>
      </w:pPr>
      <w:r>
        <w:rPr>
          <w:rFonts w:ascii="Arial" w:cs="Arial" w:eastAsia="Arial" w:hAnsi="Arial"/>
          <w:sz w:val="21"/>
          <w:szCs w:val="21"/>
          <w:color w:val="auto"/>
        </w:rPr>
        <w:t>The CEC conducts a 20-year forecast of supply availability and prices for every market sector consuming natural gas in California. This forecast includes resource evaluation, pipeline capacity needs, natural gas demand and wellhead prices, and costs of transportation and distribution. This analysis is used to support long-term investment decisions.</w:t>
      </w:r>
    </w:p>
    <w:p>
      <w:pPr>
        <w:spacing w:after="0" w:line="16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United States Utility Regulation</w:t>
      </w:r>
    </w:p>
    <w:p>
      <w:pPr>
        <w:spacing w:after="0" w:line="212" w:lineRule="exact"/>
        <w:rPr>
          <w:sz w:val="20"/>
          <w:szCs w:val="20"/>
          <w:color w:val="auto"/>
        </w:rPr>
      </w:pPr>
    </w:p>
    <w:p>
      <w:pPr>
        <w:spacing w:after="0" w:line="236" w:lineRule="auto"/>
        <w:rPr>
          <w:sz w:val="20"/>
          <w:szCs w:val="20"/>
          <w:color w:val="auto"/>
        </w:rPr>
      </w:pPr>
      <w:r>
        <w:rPr>
          <w:rFonts w:ascii="Arial" w:cs="Arial" w:eastAsia="Arial" w:hAnsi="Arial"/>
          <w:sz w:val="22"/>
          <w:szCs w:val="22"/>
          <w:color w:val="auto"/>
        </w:rPr>
        <w:t>The FERC regulates the interstate sale and transportation of natural gas, the transmission and wholesale sales of electricity in interstate commerce, transmission access, the uniform systems of accounts, rates of depreciation and electric rates involving sales for resale. Both the FERC and the CPUC are currently investigating prices charged to the California investor-owned utilities (IOUs) by various suppliers of natural gas and electricity. Further discussion is provided in Notes 9, 10 and 11 of the notes to Consolidated Financial Statements herein.</w:t>
      </w:r>
    </w:p>
    <w:p>
      <w:pPr>
        <w:spacing w:after="0" w:line="188" w:lineRule="exact"/>
        <w:rPr>
          <w:sz w:val="20"/>
          <w:szCs w:val="20"/>
          <w:color w:val="auto"/>
        </w:rPr>
      </w:pPr>
    </w:p>
    <w:p>
      <w:pPr>
        <w:ind w:right="160"/>
        <w:spacing w:after="0" w:line="238" w:lineRule="auto"/>
        <w:rPr>
          <w:sz w:val="20"/>
          <w:szCs w:val="20"/>
          <w:color w:val="auto"/>
        </w:rPr>
      </w:pPr>
      <w:r>
        <w:rPr>
          <w:rFonts w:ascii="Arial" w:cs="Arial" w:eastAsia="Arial" w:hAnsi="Arial"/>
          <w:sz w:val="22"/>
          <w:szCs w:val="22"/>
          <w:color w:val="auto"/>
        </w:rPr>
        <w:t>The NRC oversees the licensing, construction and operation of nuclear facilities. NRC regulations require extensive review of the safety, radiological and environmental aspects of these facilities. Periodically, the NRC requires that newly developed data and techniques be used to re-analyze the design of a nuclear power plant and, as a result, requires plant modifications as a condition of continued operation in some cases.</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Local Regulation</w:t>
      </w:r>
    </w:p>
    <w:p>
      <w:pPr>
        <w:spacing w:after="0" w:line="212" w:lineRule="exact"/>
        <w:rPr>
          <w:sz w:val="20"/>
          <w:szCs w:val="20"/>
          <w:color w:val="auto"/>
        </w:rPr>
      </w:pPr>
    </w:p>
    <w:p>
      <w:pPr>
        <w:ind w:right="240"/>
        <w:spacing w:after="0" w:line="297" w:lineRule="auto"/>
        <w:rPr>
          <w:sz w:val="20"/>
          <w:szCs w:val="20"/>
          <w:color w:val="auto"/>
        </w:rPr>
      </w:pPr>
      <w:r>
        <w:rPr>
          <w:rFonts w:ascii="Arial" w:cs="Arial" w:eastAsia="Arial" w:hAnsi="Arial"/>
          <w:sz w:val="19"/>
          <w:szCs w:val="19"/>
          <w:color w:val="auto"/>
        </w:rPr>
        <w:t>SDG&amp;E has electric franchises with the two counties and the 26 cities in its electric service territory, and natural gas franchises with the one county and the 18 cities in its natural gas service territory. These franchises allow SDG&amp;E to locate, operate and maintain facilities for the transmission and distribution of electricity and/or natural gas in streets and other public places. Most of</w:t>
      </w:r>
    </w:p>
    <w:p>
      <w:pPr>
        <w:sectPr>
          <w:pgSz w:w="11900" w:h="16838" w:orient="portrait"/>
          <w:cols w:equalWidth="0" w:num="1">
            <w:col w:w="11420"/>
          </w:cols>
          <w:pgMar w:left="240" w:top="118" w:right="239" w:bottom="0" w:gutter="0" w:footer="0" w:header="0"/>
        </w:sectPr>
      </w:pPr>
    </w:p>
    <w:bookmarkStart w:id="6" w:name="page7"/>
    <w:bookmarkEnd w:id="6"/>
    <w:p>
      <w:pPr>
        <w:jc w:val="both"/>
        <w:ind w:right="260"/>
        <w:spacing w:after="0" w:line="241" w:lineRule="auto"/>
        <w:rPr>
          <w:sz w:val="20"/>
          <w:szCs w:val="20"/>
          <w:color w:val="auto"/>
        </w:rPr>
      </w:pPr>
      <w:r>
        <w:rPr>
          <w:rFonts w:ascii="Arial" w:cs="Arial" w:eastAsia="Arial" w:hAnsi="Arial"/>
          <w:sz w:val="22"/>
          <w:szCs w:val="22"/>
          <w:color w:val="auto"/>
        </w:rPr>
        <w:t>the franchises have indeterminate lives, except for the electric and natural gas franchises with the cities of Encinitas (2012), San Diego (2020), Coronado (2028) and Chula Vista (2035), and the natural gas franchises with the city of Escondido (2035) and the county of San Diego (2029).</w:t>
      </w:r>
    </w:p>
    <w:p>
      <w:pPr>
        <w:spacing w:after="0" w:line="17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Licenses and Permits</w:t>
      </w:r>
    </w:p>
    <w:p>
      <w:pPr>
        <w:spacing w:after="0" w:line="212" w:lineRule="exact"/>
        <w:rPr>
          <w:sz w:val="20"/>
          <w:szCs w:val="20"/>
          <w:color w:val="auto"/>
        </w:rPr>
      </w:pPr>
    </w:p>
    <w:p>
      <w:pPr>
        <w:ind w:right="160"/>
        <w:spacing w:after="0" w:line="274" w:lineRule="auto"/>
        <w:rPr>
          <w:sz w:val="20"/>
          <w:szCs w:val="20"/>
          <w:color w:val="auto"/>
        </w:rPr>
      </w:pPr>
      <w:r>
        <w:rPr>
          <w:rFonts w:ascii="Arial" w:cs="Arial" w:eastAsia="Arial" w:hAnsi="Arial"/>
          <w:sz w:val="21"/>
          <w:szCs w:val="21"/>
          <w:color w:val="auto"/>
        </w:rPr>
        <w:t>SDG&amp;E obtains numerous permits, authorizations and licenses in connection with the transmission and distribution of natural gas and electricity. They require periodic renewal, which results in continuing regulation by the granting agency.</w:t>
      </w:r>
    </w:p>
    <w:p>
      <w:pPr>
        <w:spacing w:after="0" w:line="151" w:lineRule="exact"/>
        <w:rPr>
          <w:sz w:val="20"/>
          <w:szCs w:val="20"/>
          <w:color w:val="auto"/>
        </w:rPr>
      </w:pPr>
    </w:p>
    <w:p>
      <w:pPr>
        <w:spacing w:after="0"/>
        <w:rPr>
          <w:sz w:val="20"/>
          <w:szCs w:val="20"/>
          <w:color w:val="auto"/>
        </w:rPr>
      </w:pPr>
      <w:r>
        <w:rPr>
          <w:rFonts w:ascii="Arial" w:cs="Arial" w:eastAsia="Arial" w:hAnsi="Arial"/>
          <w:sz w:val="22"/>
          <w:szCs w:val="22"/>
          <w:color w:val="auto"/>
        </w:rPr>
        <w:t>Other regulatory matters are described in Notes 9 and 10 of the notes to Consolidated Financial Statements herein.</w:t>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NATURAL GAS UTILITY OPERATIONS</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Resource Planning and Natural Gas Procurement and Transportation</w:t>
      </w:r>
    </w:p>
    <w:p>
      <w:pPr>
        <w:spacing w:after="0" w:line="212" w:lineRule="exact"/>
        <w:rPr>
          <w:sz w:val="20"/>
          <w:szCs w:val="20"/>
          <w:color w:val="auto"/>
        </w:rPr>
      </w:pPr>
    </w:p>
    <w:p>
      <w:pPr>
        <w:ind w:right="260"/>
        <w:spacing w:after="0" w:line="297" w:lineRule="auto"/>
        <w:rPr>
          <w:sz w:val="20"/>
          <w:szCs w:val="20"/>
          <w:color w:val="auto"/>
        </w:rPr>
      </w:pPr>
      <w:r>
        <w:rPr>
          <w:rFonts w:ascii="Arial" w:cs="Arial" w:eastAsia="Arial" w:hAnsi="Arial"/>
          <w:sz w:val="19"/>
          <w:szCs w:val="19"/>
          <w:color w:val="auto"/>
        </w:rPr>
        <w:t>The company is engaged in the purchase and distribution of natural gas. The company's resource planning, power procurement, contractual commitments and related regulatory matters are discussed below and in "Management's Discussion and Analysis of Financial Condition and Results of Operations" and in Notes 10 and 11 of the notes to Consolidated Financial Statements herein.</w:t>
      </w:r>
    </w:p>
    <w:p>
      <w:pPr>
        <w:spacing w:after="0" w:line="12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Customers</w:t>
      </w:r>
    </w:p>
    <w:p>
      <w:pPr>
        <w:spacing w:after="0" w:line="212" w:lineRule="exact"/>
        <w:rPr>
          <w:sz w:val="20"/>
          <w:szCs w:val="20"/>
          <w:color w:val="auto"/>
        </w:rPr>
      </w:pPr>
    </w:p>
    <w:p>
      <w:pPr>
        <w:jc w:val="both"/>
        <w:ind w:right="340"/>
        <w:spacing w:after="0"/>
        <w:rPr>
          <w:sz w:val="20"/>
          <w:szCs w:val="20"/>
          <w:color w:val="auto"/>
        </w:rPr>
      </w:pPr>
      <w:r>
        <w:rPr>
          <w:rFonts w:ascii="Arial" w:cs="Arial" w:eastAsia="Arial" w:hAnsi="Arial"/>
          <w:sz w:val="22"/>
          <w:szCs w:val="22"/>
          <w:color w:val="auto"/>
        </w:rPr>
        <w:t>For regulatory purposes, customers are separated into core and noncore customers. Core customers are primarily residential and small commercial and industrial customers, without alternative fuel capability. Noncore customers consist primarily of electric generation, large commercial and industrial customers.</w:t>
      </w:r>
    </w:p>
    <w:p>
      <w:pPr>
        <w:spacing w:after="0" w:line="186" w:lineRule="exact"/>
        <w:rPr>
          <w:sz w:val="20"/>
          <w:szCs w:val="20"/>
          <w:color w:val="auto"/>
        </w:rPr>
      </w:pPr>
    </w:p>
    <w:p>
      <w:pPr>
        <w:jc w:val="both"/>
        <w:ind w:right="100"/>
        <w:spacing w:after="0"/>
        <w:rPr>
          <w:sz w:val="20"/>
          <w:szCs w:val="20"/>
          <w:color w:val="auto"/>
        </w:rPr>
      </w:pPr>
      <w:r>
        <w:rPr>
          <w:rFonts w:ascii="Arial" w:cs="Arial" w:eastAsia="Arial" w:hAnsi="Arial"/>
          <w:sz w:val="22"/>
          <w:szCs w:val="22"/>
          <w:color w:val="auto"/>
        </w:rPr>
        <w:t>Most core customers purchase natural gas directly from the company. Core customers are permitted to aggregate their natural gas requirement and purchase directly from brokers or producers. The company continues to be obligated to purchase reliable supplies of natural gas to serve the requirements of core customers.</w:t>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Natural Gas Procurement and Transportation</w:t>
      </w:r>
    </w:p>
    <w:p>
      <w:pPr>
        <w:spacing w:after="0" w:line="212" w:lineRule="exact"/>
        <w:rPr>
          <w:sz w:val="20"/>
          <w:szCs w:val="20"/>
          <w:color w:val="auto"/>
        </w:rPr>
      </w:pPr>
    </w:p>
    <w:p>
      <w:pPr>
        <w:ind w:right="260"/>
        <w:spacing w:after="0"/>
        <w:rPr>
          <w:sz w:val="20"/>
          <w:szCs w:val="20"/>
          <w:color w:val="auto"/>
        </w:rPr>
      </w:pPr>
      <w:r>
        <w:rPr>
          <w:rFonts w:ascii="Arial" w:cs="Arial" w:eastAsia="Arial" w:hAnsi="Arial"/>
          <w:sz w:val="22"/>
          <w:szCs w:val="22"/>
          <w:color w:val="auto"/>
        </w:rPr>
        <w:t>Most of the natural gas purchased and delivered by the company is produced outside of California, primarily in the southwestern U.S. and Canada. The company purchases natural gas under short-term contracts, which are primarily based on monthly spot-market prices.</w:t>
      </w:r>
    </w:p>
    <w:p>
      <w:pPr>
        <w:spacing w:after="0" w:line="186" w:lineRule="exact"/>
        <w:rPr>
          <w:sz w:val="20"/>
          <w:szCs w:val="20"/>
          <w:color w:val="auto"/>
        </w:rPr>
      </w:pPr>
    </w:p>
    <w:p>
      <w:pPr>
        <w:ind w:right="20"/>
        <w:spacing w:after="0" w:line="245" w:lineRule="auto"/>
        <w:rPr>
          <w:sz w:val="20"/>
          <w:szCs w:val="20"/>
          <w:color w:val="auto"/>
        </w:rPr>
      </w:pPr>
      <w:r>
        <w:rPr>
          <w:rFonts w:ascii="Arial" w:cs="Arial" w:eastAsia="Arial" w:hAnsi="Arial"/>
          <w:sz w:val="21"/>
          <w:szCs w:val="21"/>
          <w:color w:val="auto"/>
        </w:rPr>
        <w:t>SDG&amp;E has long-term natural gas transportation contracts with various interstate pipelines that expire on various dates between 2006 and 2023. SDG&amp;E currently purchases natural gas on a spot basis from Canada, the Rocky Mountain area and the Southwestern U.S. to fill its long-term pipeline capacity and purchases additional spot-market supplies delivered directly to California for its remaining requirements. SDG&amp;E continues its ongoing assessment of its pipeline capacity portfolio, including the release of a portion of this capacity to third parties. In accordance with regulatory directives, SDG&amp;E has reconfigured its pipeline capacity portfolio as of November 2005 to secure firm transportation rights from a diverse mix of U.S. and Canadian supply sources for its projected core customer natural gas requirements. All of SDG&amp;E's natural gas is delivered through SoCalGas' pipelines under a long-term transportation agreement. In addition, under separate agreements expiring in March 2008 , SoCalGas provides SDG&amp;E up to nine billion cubic feet of storage capacity.</w:t>
      </w:r>
    </w:p>
    <w:p>
      <w:pPr>
        <w:spacing w:after="0" w:line="185" w:lineRule="exact"/>
        <w:rPr>
          <w:sz w:val="20"/>
          <w:szCs w:val="20"/>
          <w:color w:val="auto"/>
        </w:rPr>
      </w:pPr>
    </w:p>
    <w:p>
      <w:pPr>
        <w:ind w:right="60"/>
        <w:spacing w:after="0" w:line="238" w:lineRule="auto"/>
        <w:rPr>
          <w:sz w:val="20"/>
          <w:szCs w:val="20"/>
          <w:color w:val="auto"/>
        </w:rPr>
      </w:pPr>
      <w:r>
        <w:rPr>
          <w:rFonts w:ascii="Arial" w:cs="Arial" w:eastAsia="Arial" w:hAnsi="Arial"/>
          <w:sz w:val="22"/>
          <w:szCs w:val="22"/>
          <w:color w:val="auto"/>
        </w:rPr>
        <w:t>According to "Btu's Daily Gas Wire", the annual average spot price of natural gas at the California/Arizona border was $7.62 per million British thermal unit (mmbtu) in 2005 ($11.42 per mmbtu in December 2005), compared with $5.57 per mmbtu in 2004 and $5.13 per mmbtu in 2003. The company's weighted average cost (including transportation charges) per mmbtu of natural gas was $8.67 in 2005, $6.11 in 2004 and $5.14 in 2003.</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Demand for Natural Gas</w:t>
      </w:r>
    </w:p>
    <w:p>
      <w:pPr>
        <w:spacing w:after="0" w:line="212" w:lineRule="exact"/>
        <w:rPr>
          <w:sz w:val="20"/>
          <w:szCs w:val="20"/>
          <w:color w:val="auto"/>
        </w:rPr>
      </w:pPr>
    </w:p>
    <w:p>
      <w:pPr>
        <w:spacing w:after="0" w:line="272" w:lineRule="auto"/>
        <w:rPr>
          <w:sz w:val="20"/>
          <w:szCs w:val="20"/>
          <w:color w:val="auto"/>
        </w:rPr>
      </w:pPr>
      <w:r>
        <w:rPr>
          <w:rFonts w:ascii="Arial" w:cs="Arial" w:eastAsia="Arial" w:hAnsi="Arial"/>
          <w:sz w:val="19"/>
          <w:szCs w:val="19"/>
          <w:color w:val="auto"/>
        </w:rPr>
        <w:t>The company faces competition in the residential and commercial customer markets based on the customers' preferences for natural gas compared with other energy products. In the non-core industrial market, some customers are capable of using alternate fuels, which can affect the demand for natural gas. The company's ability to maintain its industrial market share is largely dependent on energy prices. The demand for natural gas by electric generators is influenced by a number of factors. In the short-term, natural gas use by electric generators is impacted by the availability of alternative sources of generation. The availability of hydroelectricity is highly dependent on precipitation in the western United States. In addition, natural gas use is impacted by the performance of other generation sources in the western United States, including nuclear and coal, and other natural gas facilities outside the service area. Natural gas use is also impacted by changes in end-use electricity demand. For example, nat ural gas use generally increases during summer heat waves. Over the long-term, natural gas used to generate electricity will be influenced by additional factors such as the location of new power plant construction and the development of renewable resources. More generation capacity currently is being constructed outside Southern California than within the California Utilities' service area. This new generation will likely displace the output of older, less efficient local generation, reducing the use of natural gas for local electric generation.</w:t>
      </w:r>
    </w:p>
    <w:p>
      <w:pPr>
        <w:spacing w:after="0" w:line="162" w:lineRule="exact"/>
        <w:rPr>
          <w:sz w:val="20"/>
          <w:szCs w:val="20"/>
          <w:color w:val="auto"/>
        </w:rPr>
      </w:pPr>
    </w:p>
    <w:p>
      <w:pPr>
        <w:jc w:val="both"/>
        <w:ind w:right="120"/>
        <w:spacing w:after="0" w:line="297" w:lineRule="auto"/>
        <w:rPr>
          <w:sz w:val="20"/>
          <w:szCs w:val="20"/>
          <w:color w:val="auto"/>
        </w:rPr>
      </w:pPr>
      <w:r>
        <w:rPr>
          <w:rFonts w:ascii="Arial" w:cs="Arial" w:eastAsia="Arial" w:hAnsi="Arial"/>
          <w:sz w:val="19"/>
          <w:szCs w:val="19"/>
          <w:color w:val="auto"/>
        </w:rPr>
        <w:t>Effective March 31, 1998, electric industry restructuring provided out-of-state producers the option to provide power to California utility customers. As a result, natural gas demand for electric generation within Southern California competes with electric power generated throughout the western United States. Although electric industry restructuring has no direct impact on the company's</w:t>
      </w:r>
    </w:p>
    <w:p>
      <w:pPr>
        <w:sectPr>
          <w:pgSz w:w="11900" w:h="16838" w:orient="portrait"/>
          <w:cols w:equalWidth="0" w:num="1">
            <w:col w:w="11400"/>
          </w:cols>
          <w:pgMar w:left="240" w:top="118" w:right="259" w:bottom="0" w:gutter="0" w:footer="0" w:header="0"/>
        </w:sectPr>
      </w:pPr>
    </w:p>
    <w:bookmarkStart w:id="7" w:name="page8"/>
    <w:bookmarkEnd w:id="7"/>
    <w:p>
      <w:pPr>
        <w:spacing w:after="0" w:line="62" w:lineRule="exact"/>
        <w:rPr>
          <w:sz w:val="20"/>
          <w:szCs w:val="20"/>
          <w:color w:val="auto"/>
        </w:rPr>
      </w:pPr>
    </w:p>
    <w:p>
      <w:pPr>
        <w:ind w:right="600"/>
        <w:spacing w:after="0" w:line="329" w:lineRule="auto"/>
        <w:rPr>
          <w:sz w:val="20"/>
          <w:szCs w:val="20"/>
          <w:color w:val="auto"/>
        </w:rPr>
      </w:pPr>
      <w:r>
        <w:rPr>
          <w:rFonts w:ascii="Arial" w:cs="Arial" w:eastAsia="Arial" w:hAnsi="Arial"/>
          <w:sz w:val="19"/>
          <w:szCs w:val="19"/>
          <w:color w:val="auto"/>
        </w:rPr>
        <w:t>natural gas operations, future volumes of natural gas transported for electric generating plant customers may be significantly affected to the extent that regulatory changes divert electric generation from the company's service area.</w:t>
      </w:r>
    </w:p>
    <w:p>
      <w:pPr>
        <w:spacing w:after="0" w:line="104" w:lineRule="exact"/>
        <w:rPr>
          <w:sz w:val="20"/>
          <w:szCs w:val="20"/>
          <w:color w:val="auto"/>
        </w:rPr>
      </w:pPr>
    </w:p>
    <w:p>
      <w:pPr>
        <w:ind w:right="80"/>
        <w:spacing w:after="0" w:line="235" w:lineRule="auto"/>
        <w:rPr>
          <w:sz w:val="20"/>
          <w:szCs w:val="20"/>
          <w:color w:val="auto"/>
        </w:rPr>
      </w:pPr>
      <w:r>
        <w:rPr>
          <w:rFonts w:ascii="Arial" w:cs="Arial" w:eastAsia="Arial" w:hAnsi="Arial"/>
          <w:sz w:val="22"/>
          <w:szCs w:val="22"/>
          <w:color w:val="auto"/>
        </w:rPr>
        <w:t>Growth in the natural gas markets is largely dependent upon the health and expansion of the Southern California economy and prices of other energy products. External factors such as weather, the price of electricity, electric deregulation, the use of hydroelectric power, development of renewable resources, development of new natural gas supply sources and general economic conditions can result in significant shifts in demand and market price. The company added 12,000 new customer meters in each of 2005 and 2004, representing growth rates of 1.5 percent in both years. The company expects that its growth rate for 2006 will approximate 2005's.</w:t>
      </w:r>
    </w:p>
    <w:p>
      <w:pPr>
        <w:spacing w:after="0" w:line="188" w:lineRule="exact"/>
        <w:rPr>
          <w:sz w:val="20"/>
          <w:szCs w:val="20"/>
          <w:color w:val="auto"/>
        </w:rPr>
      </w:pPr>
    </w:p>
    <w:p>
      <w:pPr>
        <w:ind w:right="180"/>
        <w:spacing w:after="0" w:line="297" w:lineRule="auto"/>
        <w:rPr>
          <w:sz w:val="20"/>
          <w:szCs w:val="20"/>
          <w:color w:val="auto"/>
        </w:rPr>
      </w:pPr>
      <w:r>
        <w:rPr>
          <w:rFonts w:ascii="Arial" w:cs="Arial" w:eastAsia="Arial" w:hAnsi="Arial"/>
          <w:sz w:val="19"/>
          <w:szCs w:val="19"/>
          <w:color w:val="auto"/>
        </w:rPr>
        <w:t>The natural gas distribution business is seasonal in nature and revenues generally are greater during the winter months. As is prevalent in the industry, the company injects natural gas into storage during the summer months (usually April through October) for withdrawal from storage during the winter months (usually November through March) when customer demand is higher.</w:t>
      </w:r>
    </w:p>
    <w:p>
      <w:pPr>
        <w:spacing w:after="0" w:line="12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ELECTRIC UTILITY OPERATIONS</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Customers</w:t>
      </w:r>
    </w:p>
    <w:p>
      <w:pPr>
        <w:spacing w:after="0" w:line="212" w:lineRule="exact"/>
        <w:rPr>
          <w:sz w:val="20"/>
          <w:szCs w:val="20"/>
          <w:color w:val="auto"/>
        </w:rPr>
      </w:pPr>
    </w:p>
    <w:p>
      <w:pPr>
        <w:ind w:right="180"/>
        <w:spacing w:after="0" w:line="238" w:lineRule="auto"/>
        <w:rPr>
          <w:sz w:val="20"/>
          <w:szCs w:val="20"/>
          <w:color w:val="auto"/>
        </w:rPr>
      </w:pPr>
      <w:r>
        <w:rPr>
          <w:rFonts w:ascii="Arial" w:cs="Arial" w:eastAsia="Arial" w:hAnsi="Arial"/>
          <w:sz w:val="22"/>
          <w:szCs w:val="22"/>
          <w:color w:val="auto"/>
        </w:rPr>
        <w:t>At December 31, 2005, the company had 1.3 million meters consisting of 1,188,000 residential, 141,000 commercial, 480 industrial, 1,990 street and highway lighting, and 6,700 direct access. The company's service area covers 4,100 square miles. The company added 20,000 new customer meters in 2005 and 22,000 in 2004, representing growth rates of 1.5% and 1.7%, respectively.</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Resource Planning and Power Procurement</w:t>
      </w:r>
    </w:p>
    <w:p>
      <w:pPr>
        <w:spacing w:after="0" w:line="212" w:lineRule="exact"/>
        <w:rPr>
          <w:sz w:val="20"/>
          <w:szCs w:val="20"/>
          <w:color w:val="auto"/>
        </w:rPr>
      </w:pPr>
    </w:p>
    <w:p>
      <w:pPr>
        <w:ind w:right="20"/>
        <w:spacing w:after="0"/>
        <w:rPr>
          <w:sz w:val="20"/>
          <w:szCs w:val="20"/>
          <w:color w:val="auto"/>
        </w:rPr>
      </w:pPr>
      <w:r>
        <w:rPr>
          <w:rFonts w:ascii="Arial" w:cs="Arial" w:eastAsia="Arial" w:hAnsi="Arial"/>
          <w:sz w:val="22"/>
          <w:szCs w:val="22"/>
          <w:color w:val="auto"/>
        </w:rPr>
        <w:t>SDG&amp;E's resource planning, power procurement and related regulatory matters are discussed below, in "Management's Discussion and Analysis of Financial Condition and Results of Operations" and in Notes 9, 10 and 11 of the notes to Consolidated Financial Statements herein.</w:t>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Electric Resources</w:t>
      </w:r>
    </w:p>
    <w:p>
      <w:pPr>
        <w:spacing w:after="0" w:line="212" w:lineRule="exact"/>
        <w:rPr>
          <w:sz w:val="20"/>
          <w:szCs w:val="20"/>
          <w:color w:val="auto"/>
        </w:rPr>
      </w:pPr>
    </w:p>
    <w:p>
      <w:pPr>
        <w:spacing w:after="0" w:line="328" w:lineRule="auto"/>
        <w:rPr>
          <w:sz w:val="20"/>
          <w:szCs w:val="20"/>
          <w:color w:val="auto"/>
        </w:rPr>
      </w:pPr>
      <w:r>
        <w:rPr>
          <w:rFonts w:ascii="Arial" w:cs="Arial" w:eastAsia="Arial" w:hAnsi="Arial"/>
          <w:sz w:val="19"/>
          <w:szCs w:val="19"/>
          <w:color w:val="auto"/>
        </w:rPr>
        <w:t>Based on CPUC-approved purchased-power contracts currently in place with SDG&amp;E's various suppliers and SDG&amp;E's 20-percent share of a generating plant, as of December 31, 2005, the supply of electric power available to SDG&amp;E is as follows:</w:t>
      </w:r>
    </w:p>
    <w:p>
      <w:pPr>
        <w:spacing w:after="0" w:line="213" w:lineRule="exact"/>
        <w:rPr>
          <w:sz w:val="20"/>
          <w:szCs w:val="20"/>
          <w:color w:val="auto"/>
        </w:rPr>
      </w:pPr>
    </w:p>
    <w:tbl>
      <w:tblPr>
        <w:tblLayout w:type="fixed"/>
        <w:tblInd w:w="1700" w:type="dxa"/>
        <w:tblCellMar>
          <w:top w:w="0" w:type="dxa"/>
          <w:left w:w="0" w:type="dxa"/>
          <w:bottom w:w="0" w:type="dxa"/>
          <w:right w:w="0" w:type="dxa"/>
        </w:tblCellMar>
      </w:tblPr>
      <w:tr>
        <w:trPr>
          <w:trHeight w:val="216"/>
        </w:trPr>
        <w:tc>
          <w:tcPr>
            <w:tcW w:w="35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700" w:type="dxa"/>
            <w:vAlign w:val="bottom"/>
          </w:tcPr>
          <w:p>
            <w:pPr>
              <w:ind w:left="200"/>
              <w:spacing w:after="0"/>
              <w:rPr>
                <w:sz w:val="20"/>
                <w:szCs w:val="20"/>
                <w:color w:val="auto"/>
              </w:rPr>
            </w:pPr>
            <w:r>
              <w:rPr>
                <w:rFonts w:ascii="Arial" w:cs="Arial" w:eastAsia="Arial" w:hAnsi="Arial"/>
                <w:sz w:val="18"/>
                <w:szCs w:val="18"/>
                <w:color w:val="auto"/>
              </w:rPr>
              <w:t>Expiration</w:t>
            </w:r>
          </w:p>
        </w:tc>
        <w:tc>
          <w:tcPr>
            <w:tcW w:w="1000" w:type="dxa"/>
            <w:vAlign w:val="bottom"/>
            <w:gridSpan w:val="2"/>
          </w:tcPr>
          <w:p>
            <w:pPr>
              <w:ind w:left="160"/>
              <w:spacing w:after="0"/>
              <w:rPr>
                <w:sz w:val="20"/>
                <w:szCs w:val="20"/>
                <w:color w:val="auto"/>
              </w:rPr>
            </w:pPr>
            <w:r>
              <w:rPr>
                <w:rFonts w:ascii="Arial" w:cs="Arial" w:eastAsia="Arial" w:hAnsi="Arial"/>
                <w:sz w:val="18"/>
                <w:szCs w:val="18"/>
                <w:color w:val="auto"/>
                <w:w w:val="94"/>
              </w:rPr>
              <w:t>Megawatts</w:t>
            </w:r>
          </w:p>
        </w:tc>
        <w:tc>
          <w:tcPr>
            <w:tcW w:w="0" w:type="dxa"/>
            <w:vAlign w:val="bottom"/>
          </w:tcPr>
          <w:p>
            <w:pPr>
              <w:spacing w:after="0"/>
              <w:rPr>
                <w:sz w:val="1"/>
                <w:szCs w:val="1"/>
                <w:color w:val="auto"/>
              </w:rPr>
            </w:pPr>
          </w:p>
        </w:tc>
      </w:tr>
      <w:tr>
        <w:trPr>
          <w:trHeight w:val="230"/>
        </w:trPr>
        <w:tc>
          <w:tcPr>
            <w:tcW w:w="3520" w:type="dxa"/>
            <w:vAlign w:val="bottom"/>
          </w:tcPr>
          <w:p>
            <w:pPr>
              <w:spacing w:after="0"/>
              <w:rPr>
                <w:sz w:val="20"/>
                <w:szCs w:val="20"/>
                <w:color w:val="auto"/>
              </w:rPr>
            </w:pPr>
            <w:r>
              <w:rPr>
                <w:rFonts w:ascii="Arial" w:cs="Arial" w:eastAsia="Arial" w:hAnsi="Arial"/>
                <w:sz w:val="18"/>
                <w:szCs w:val="18"/>
                <w:color w:val="auto"/>
              </w:rPr>
              <w:t>Supplier</w:t>
            </w:r>
          </w:p>
        </w:tc>
        <w:tc>
          <w:tcPr>
            <w:tcW w:w="1580" w:type="dxa"/>
            <w:vAlign w:val="bottom"/>
          </w:tcPr>
          <w:p>
            <w:pPr>
              <w:ind w:left="100"/>
              <w:spacing w:after="0"/>
              <w:rPr>
                <w:sz w:val="20"/>
                <w:szCs w:val="20"/>
                <w:color w:val="auto"/>
              </w:rPr>
            </w:pPr>
            <w:r>
              <w:rPr>
                <w:rFonts w:ascii="Arial" w:cs="Arial" w:eastAsia="Arial" w:hAnsi="Arial"/>
                <w:sz w:val="18"/>
                <w:szCs w:val="18"/>
                <w:color w:val="auto"/>
              </w:rPr>
              <w:t>Source</w:t>
            </w:r>
          </w:p>
        </w:tc>
        <w:tc>
          <w:tcPr>
            <w:tcW w:w="1700" w:type="dxa"/>
            <w:vAlign w:val="bottom"/>
          </w:tcPr>
          <w:p>
            <w:pPr>
              <w:ind w:left="200"/>
              <w:spacing w:after="0"/>
              <w:rPr>
                <w:sz w:val="20"/>
                <w:szCs w:val="20"/>
                <w:color w:val="auto"/>
              </w:rPr>
            </w:pPr>
            <w:r>
              <w:rPr>
                <w:rFonts w:ascii="Arial" w:cs="Arial" w:eastAsia="Arial" w:hAnsi="Arial"/>
                <w:sz w:val="18"/>
                <w:szCs w:val="18"/>
                <w:color w:val="auto"/>
              </w:rPr>
              <w:t>date</w:t>
            </w:r>
          </w:p>
        </w:tc>
        <w:tc>
          <w:tcPr>
            <w:tcW w:w="880" w:type="dxa"/>
            <w:vAlign w:val="bottom"/>
          </w:tcPr>
          <w:p>
            <w:pPr>
              <w:ind w:left="160"/>
              <w:spacing w:after="0"/>
              <w:rPr>
                <w:sz w:val="20"/>
                <w:szCs w:val="20"/>
                <w:color w:val="auto"/>
              </w:rPr>
            </w:pPr>
            <w:r>
              <w:rPr>
                <w:rFonts w:ascii="Arial" w:cs="Arial" w:eastAsia="Arial" w:hAnsi="Arial"/>
                <w:sz w:val="18"/>
                <w:szCs w:val="18"/>
                <w:color w:val="auto"/>
              </w:rPr>
              <w:t>(MW)</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1"/>
        </w:trPr>
        <w:tc>
          <w:tcPr>
            <w:tcW w:w="3520" w:type="dxa"/>
            <w:vAlign w:val="bottom"/>
            <w:shd w:val="clear" w:color="auto" w:fill="000000"/>
          </w:tcPr>
          <w:p>
            <w:pPr>
              <w:spacing w:after="0"/>
              <w:rPr>
                <w:sz w:val="21"/>
                <w:szCs w:val="21"/>
                <w:color w:val="auto"/>
              </w:rPr>
            </w:pPr>
          </w:p>
        </w:tc>
        <w:tc>
          <w:tcPr>
            <w:tcW w:w="1580" w:type="dxa"/>
            <w:vAlign w:val="bottom"/>
            <w:shd w:val="clear" w:color="auto" w:fill="000000"/>
          </w:tcPr>
          <w:p>
            <w:pPr>
              <w:spacing w:after="0"/>
              <w:rPr>
                <w:sz w:val="21"/>
                <w:szCs w:val="21"/>
                <w:color w:val="auto"/>
              </w:rPr>
            </w:pPr>
          </w:p>
        </w:tc>
        <w:tc>
          <w:tcPr>
            <w:tcW w:w="1700" w:type="dxa"/>
            <w:vAlign w:val="bottom"/>
            <w:shd w:val="clear" w:color="auto" w:fill="000000"/>
          </w:tcPr>
          <w:p>
            <w:pPr>
              <w:spacing w:after="0"/>
              <w:rPr>
                <w:sz w:val="21"/>
                <w:szCs w:val="21"/>
                <w:color w:val="auto"/>
              </w:rPr>
            </w:pPr>
          </w:p>
        </w:tc>
        <w:tc>
          <w:tcPr>
            <w:tcW w:w="880" w:type="dxa"/>
            <w:vAlign w:val="bottom"/>
            <w:shd w:val="clear" w:color="auto" w:fill="000000"/>
          </w:tcPr>
          <w:p>
            <w:pPr>
              <w:spacing w:after="0"/>
              <w:rPr>
                <w:sz w:val="21"/>
                <w:szCs w:val="21"/>
                <w:color w:val="auto"/>
              </w:rPr>
            </w:pPr>
          </w:p>
        </w:tc>
        <w:tc>
          <w:tcPr>
            <w:tcW w:w="120" w:type="dxa"/>
            <w:vAlign w:val="bottom"/>
            <w:shd w:val="clear" w:color="auto" w:fill="000000"/>
          </w:tcPr>
          <w:p>
            <w:pPr>
              <w:spacing w:after="0"/>
              <w:rPr>
                <w:sz w:val="21"/>
                <w:szCs w:val="21"/>
                <w:color w:val="auto"/>
              </w:rPr>
            </w:pPr>
          </w:p>
        </w:tc>
        <w:tc>
          <w:tcPr>
            <w:tcW w:w="0" w:type="dxa"/>
            <w:vAlign w:val="bottom"/>
          </w:tcPr>
          <w:p>
            <w:pPr>
              <w:spacing w:after="0"/>
              <w:rPr>
                <w:sz w:val="1"/>
                <w:szCs w:val="1"/>
                <w:color w:val="auto"/>
              </w:rPr>
            </w:pPr>
          </w:p>
        </w:tc>
      </w:tr>
      <w:tr>
        <w:trPr>
          <w:trHeight w:val="498"/>
        </w:trPr>
        <w:tc>
          <w:tcPr>
            <w:tcW w:w="3520" w:type="dxa"/>
            <w:vAlign w:val="bottom"/>
          </w:tcPr>
          <w:p>
            <w:pPr>
              <w:spacing w:after="0"/>
              <w:rPr>
                <w:sz w:val="20"/>
                <w:szCs w:val="20"/>
                <w:color w:val="auto"/>
              </w:rPr>
            </w:pPr>
            <w:r>
              <w:rPr>
                <w:rFonts w:ascii="Arial" w:cs="Arial" w:eastAsia="Arial" w:hAnsi="Arial"/>
                <w:sz w:val="18"/>
                <w:szCs w:val="18"/>
                <w:color w:val="auto"/>
              </w:rPr>
              <w:t>PURCHASED POWER CONTRACTS:</w:t>
            </w:r>
          </w:p>
        </w:tc>
        <w:tc>
          <w:tcPr>
            <w:tcW w:w="158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13"/>
        </w:trPr>
        <w:tc>
          <w:tcPr>
            <w:tcW w:w="3520" w:type="dxa"/>
            <w:vAlign w:val="bottom"/>
          </w:tcPr>
          <w:p>
            <w:pPr>
              <w:spacing w:after="0"/>
              <w:rPr>
                <w:sz w:val="20"/>
                <w:szCs w:val="20"/>
                <w:color w:val="auto"/>
              </w:rPr>
            </w:pPr>
            <w:r>
              <w:rPr>
                <w:rFonts w:ascii="Arial" w:cs="Arial" w:eastAsia="Arial" w:hAnsi="Arial"/>
                <w:sz w:val="18"/>
                <w:szCs w:val="18"/>
                <w:color w:val="auto"/>
              </w:rPr>
              <w:t>DWR ** -allocated contracts:</w:t>
            </w:r>
          </w:p>
        </w:tc>
        <w:tc>
          <w:tcPr>
            <w:tcW w:w="158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520" w:type="dxa"/>
            <w:vAlign w:val="bottom"/>
          </w:tcPr>
          <w:p>
            <w:pPr>
              <w:ind w:left="180"/>
              <w:spacing w:after="0"/>
              <w:rPr>
                <w:sz w:val="20"/>
                <w:szCs w:val="20"/>
                <w:color w:val="auto"/>
              </w:rPr>
            </w:pPr>
            <w:r>
              <w:rPr>
                <w:rFonts w:ascii="Arial" w:cs="Arial" w:eastAsia="Arial" w:hAnsi="Arial"/>
                <w:sz w:val="18"/>
                <w:szCs w:val="18"/>
                <w:color w:val="auto"/>
              </w:rPr>
              <w:t>Williams Energy Marketing &amp; Trading</w:t>
            </w:r>
          </w:p>
        </w:tc>
        <w:tc>
          <w:tcPr>
            <w:tcW w:w="1580" w:type="dxa"/>
            <w:vAlign w:val="bottom"/>
          </w:tcPr>
          <w:p>
            <w:pPr>
              <w:ind w:left="100"/>
              <w:spacing w:after="0"/>
              <w:rPr>
                <w:sz w:val="20"/>
                <w:szCs w:val="20"/>
                <w:color w:val="auto"/>
              </w:rPr>
            </w:pPr>
            <w:r>
              <w:rPr>
                <w:rFonts w:ascii="Arial" w:cs="Arial" w:eastAsia="Arial" w:hAnsi="Arial"/>
                <w:sz w:val="18"/>
                <w:szCs w:val="18"/>
                <w:color w:val="auto"/>
              </w:rPr>
              <w:t>Natural gas</w:t>
            </w:r>
          </w:p>
        </w:tc>
        <w:tc>
          <w:tcPr>
            <w:tcW w:w="1700" w:type="dxa"/>
            <w:vAlign w:val="bottom"/>
          </w:tcPr>
          <w:p>
            <w:pPr>
              <w:ind w:left="200"/>
              <w:spacing w:after="0"/>
              <w:rPr>
                <w:sz w:val="20"/>
                <w:szCs w:val="20"/>
                <w:color w:val="auto"/>
              </w:rPr>
            </w:pPr>
            <w:r>
              <w:rPr>
                <w:rFonts w:ascii="Arial" w:cs="Arial" w:eastAsia="Arial" w:hAnsi="Arial"/>
                <w:sz w:val="18"/>
                <w:szCs w:val="18"/>
                <w:color w:val="auto"/>
              </w:rPr>
              <w:t>2007 to 2010</w:t>
            </w:r>
          </w:p>
        </w:tc>
        <w:tc>
          <w:tcPr>
            <w:tcW w:w="880" w:type="dxa"/>
            <w:vAlign w:val="bottom"/>
          </w:tcPr>
          <w:p>
            <w:pPr>
              <w:jc w:val="right"/>
              <w:spacing w:after="0"/>
              <w:rPr>
                <w:sz w:val="20"/>
                <w:szCs w:val="20"/>
                <w:color w:val="auto"/>
              </w:rPr>
            </w:pPr>
            <w:r>
              <w:rPr>
                <w:rFonts w:ascii="Arial" w:cs="Arial" w:eastAsia="Arial" w:hAnsi="Arial"/>
                <w:sz w:val="18"/>
                <w:szCs w:val="18"/>
                <w:color w:val="auto"/>
              </w:rPr>
              <w:t>1,906</w:t>
            </w:r>
          </w:p>
        </w:tc>
        <w:tc>
          <w:tcPr>
            <w:tcW w:w="1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3520" w:type="dxa"/>
            <w:vAlign w:val="bottom"/>
          </w:tcPr>
          <w:p>
            <w:pPr>
              <w:ind w:left="180"/>
              <w:spacing w:after="0"/>
              <w:rPr>
                <w:sz w:val="20"/>
                <w:szCs w:val="20"/>
                <w:color w:val="auto"/>
              </w:rPr>
            </w:pPr>
            <w:r>
              <w:rPr>
                <w:rFonts w:ascii="Arial" w:cs="Arial" w:eastAsia="Arial" w:hAnsi="Arial"/>
                <w:sz w:val="18"/>
                <w:szCs w:val="18"/>
                <w:color w:val="auto"/>
              </w:rPr>
              <w:t>Sunrise Power Co. LLC</w:t>
            </w:r>
          </w:p>
        </w:tc>
        <w:tc>
          <w:tcPr>
            <w:tcW w:w="1580" w:type="dxa"/>
            <w:vAlign w:val="bottom"/>
          </w:tcPr>
          <w:p>
            <w:pPr>
              <w:ind w:left="100"/>
              <w:spacing w:after="0"/>
              <w:rPr>
                <w:sz w:val="20"/>
                <w:szCs w:val="20"/>
                <w:color w:val="auto"/>
              </w:rPr>
            </w:pPr>
            <w:r>
              <w:rPr>
                <w:rFonts w:ascii="Arial" w:cs="Arial" w:eastAsia="Arial" w:hAnsi="Arial"/>
                <w:sz w:val="18"/>
                <w:szCs w:val="18"/>
                <w:color w:val="auto"/>
              </w:rPr>
              <w:t>Natural gas</w:t>
            </w:r>
          </w:p>
        </w:tc>
        <w:tc>
          <w:tcPr>
            <w:tcW w:w="1700" w:type="dxa"/>
            <w:vAlign w:val="bottom"/>
          </w:tcPr>
          <w:p>
            <w:pPr>
              <w:ind w:left="200"/>
              <w:spacing w:after="0"/>
              <w:rPr>
                <w:sz w:val="20"/>
                <w:szCs w:val="20"/>
                <w:color w:val="auto"/>
              </w:rPr>
            </w:pPr>
            <w:r>
              <w:rPr>
                <w:rFonts w:ascii="Arial" w:cs="Arial" w:eastAsia="Arial" w:hAnsi="Arial"/>
                <w:sz w:val="18"/>
                <w:szCs w:val="18"/>
                <w:color w:val="auto"/>
              </w:rPr>
              <w:t>2012</w:t>
            </w:r>
          </w:p>
        </w:tc>
        <w:tc>
          <w:tcPr>
            <w:tcW w:w="880" w:type="dxa"/>
            <w:vAlign w:val="bottom"/>
          </w:tcPr>
          <w:p>
            <w:pPr>
              <w:jc w:val="right"/>
              <w:spacing w:after="0"/>
              <w:rPr>
                <w:sz w:val="20"/>
                <w:szCs w:val="20"/>
                <w:color w:val="auto"/>
              </w:rPr>
            </w:pPr>
            <w:r>
              <w:rPr>
                <w:rFonts w:ascii="Arial" w:cs="Arial" w:eastAsia="Arial" w:hAnsi="Arial"/>
                <w:sz w:val="18"/>
                <w:szCs w:val="18"/>
                <w:color w:val="auto"/>
              </w:rPr>
              <w:t>574</w:t>
            </w: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8"/>
        </w:trPr>
        <w:tc>
          <w:tcPr>
            <w:tcW w:w="3520" w:type="dxa"/>
            <w:vAlign w:val="bottom"/>
          </w:tcPr>
          <w:p>
            <w:pPr>
              <w:ind w:left="180"/>
              <w:spacing w:after="0"/>
              <w:rPr>
                <w:sz w:val="20"/>
                <w:szCs w:val="20"/>
                <w:color w:val="auto"/>
              </w:rPr>
            </w:pPr>
            <w:r>
              <w:rPr>
                <w:rFonts w:ascii="Arial" w:cs="Arial" w:eastAsia="Arial" w:hAnsi="Arial"/>
                <w:sz w:val="18"/>
                <w:szCs w:val="18"/>
                <w:color w:val="auto"/>
              </w:rPr>
              <w:t>Other</w:t>
            </w:r>
          </w:p>
        </w:tc>
        <w:tc>
          <w:tcPr>
            <w:tcW w:w="1580" w:type="dxa"/>
            <w:vAlign w:val="bottom"/>
          </w:tcPr>
          <w:p>
            <w:pPr>
              <w:ind w:left="100"/>
              <w:spacing w:after="0"/>
              <w:rPr>
                <w:sz w:val="20"/>
                <w:szCs w:val="20"/>
                <w:color w:val="auto"/>
              </w:rPr>
            </w:pPr>
            <w:r>
              <w:rPr>
                <w:rFonts w:ascii="Arial" w:cs="Arial" w:eastAsia="Arial" w:hAnsi="Arial"/>
                <w:sz w:val="18"/>
                <w:szCs w:val="18"/>
                <w:color w:val="auto"/>
              </w:rPr>
              <w:t>Natural gas / wind</w:t>
            </w:r>
          </w:p>
        </w:tc>
        <w:tc>
          <w:tcPr>
            <w:tcW w:w="1700" w:type="dxa"/>
            <w:vAlign w:val="bottom"/>
          </w:tcPr>
          <w:p>
            <w:pPr>
              <w:ind w:left="200"/>
              <w:spacing w:after="0"/>
              <w:rPr>
                <w:sz w:val="20"/>
                <w:szCs w:val="20"/>
                <w:color w:val="auto"/>
              </w:rPr>
            </w:pPr>
            <w:r>
              <w:rPr>
                <w:rFonts w:ascii="Arial" w:cs="Arial" w:eastAsia="Arial" w:hAnsi="Arial"/>
                <w:sz w:val="18"/>
                <w:szCs w:val="18"/>
                <w:color w:val="auto"/>
              </w:rPr>
              <w:t>2006 to 2013</w:t>
            </w:r>
          </w:p>
        </w:tc>
        <w:tc>
          <w:tcPr>
            <w:tcW w:w="880" w:type="dxa"/>
            <w:vAlign w:val="bottom"/>
          </w:tcPr>
          <w:p>
            <w:pPr>
              <w:jc w:val="right"/>
              <w:spacing w:after="0"/>
              <w:rPr>
                <w:sz w:val="20"/>
                <w:szCs w:val="20"/>
                <w:color w:val="auto"/>
              </w:rPr>
            </w:pPr>
            <w:r>
              <w:rPr>
                <w:rFonts w:ascii="Arial" w:cs="Arial" w:eastAsia="Arial" w:hAnsi="Arial"/>
                <w:sz w:val="18"/>
                <w:szCs w:val="18"/>
                <w:color w:val="auto"/>
              </w:rPr>
              <w:t>227</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1"/>
        </w:trPr>
        <w:tc>
          <w:tcPr>
            <w:tcW w:w="352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880" w:type="dxa"/>
            <w:vAlign w:val="bottom"/>
            <w:shd w:val="clear" w:color="auto" w:fill="000000"/>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3520" w:type="dxa"/>
            <w:vAlign w:val="bottom"/>
          </w:tcPr>
          <w:p>
            <w:pPr>
              <w:ind w:left="180"/>
              <w:spacing w:after="0"/>
              <w:rPr>
                <w:sz w:val="20"/>
                <w:szCs w:val="20"/>
                <w:color w:val="auto"/>
              </w:rPr>
            </w:pPr>
            <w:r>
              <w:rPr>
                <w:rFonts w:ascii="Arial" w:cs="Arial" w:eastAsia="Arial" w:hAnsi="Arial"/>
                <w:sz w:val="18"/>
                <w:szCs w:val="18"/>
                <w:color w:val="auto"/>
              </w:rPr>
              <w:t>Total</w:t>
            </w:r>
          </w:p>
        </w:tc>
        <w:tc>
          <w:tcPr>
            <w:tcW w:w="1580" w:type="dxa"/>
            <w:vAlign w:val="bottom"/>
          </w:tcPr>
          <w:p>
            <w:pPr>
              <w:spacing w:after="0"/>
              <w:rPr>
                <w:sz w:val="22"/>
                <w:szCs w:val="22"/>
                <w:color w:val="auto"/>
              </w:rPr>
            </w:pPr>
          </w:p>
        </w:tc>
        <w:tc>
          <w:tcPr>
            <w:tcW w:w="170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2,707</w:t>
            </w: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9"/>
        </w:trPr>
        <w:tc>
          <w:tcPr>
            <w:tcW w:w="3520" w:type="dxa"/>
            <w:vAlign w:val="bottom"/>
            <w:vMerge w:val="restart"/>
          </w:tcPr>
          <w:p>
            <w:pPr>
              <w:spacing w:after="0"/>
              <w:rPr>
                <w:sz w:val="20"/>
                <w:szCs w:val="20"/>
                <w:color w:val="auto"/>
              </w:rPr>
            </w:pPr>
            <w:r>
              <w:rPr>
                <w:rFonts w:ascii="Arial" w:cs="Arial" w:eastAsia="Arial" w:hAnsi="Arial"/>
                <w:sz w:val="18"/>
                <w:szCs w:val="18"/>
                <w:color w:val="auto"/>
                <w:w w:val="93"/>
              </w:rPr>
              <w:t>Other contracts with Qualifying Facilities (QFs):</w:t>
            </w:r>
          </w:p>
        </w:tc>
        <w:tc>
          <w:tcPr>
            <w:tcW w:w="1580" w:type="dxa"/>
            <w:vAlign w:val="bottom"/>
          </w:tcPr>
          <w:p>
            <w:pPr>
              <w:spacing w:after="0"/>
              <w:rPr>
                <w:sz w:val="22"/>
                <w:szCs w:val="22"/>
                <w:color w:val="auto"/>
              </w:rPr>
            </w:pPr>
          </w:p>
        </w:tc>
        <w:tc>
          <w:tcPr>
            <w:tcW w:w="1700" w:type="dxa"/>
            <w:vAlign w:val="bottom"/>
          </w:tcPr>
          <w:p>
            <w:pPr>
              <w:spacing w:after="0"/>
              <w:rPr>
                <w:sz w:val="22"/>
                <w:szCs w:val="22"/>
                <w:color w:val="auto"/>
              </w:rPr>
            </w:pPr>
          </w:p>
        </w:tc>
        <w:tc>
          <w:tcPr>
            <w:tcW w:w="880" w:type="dxa"/>
            <w:vAlign w:val="bottom"/>
            <w:shd w:val="clear" w:color="auto" w:fill="000000"/>
          </w:tcPr>
          <w:p>
            <w:pPr>
              <w:spacing w:after="0"/>
              <w:rPr>
                <w:sz w:val="22"/>
                <w:szCs w:val="22"/>
                <w:color w:val="auto"/>
              </w:rPr>
            </w:pP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5"/>
        </w:trPr>
        <w:tc>
          <w:tcPr>
            <w:tcW w:w="3520" w:type="dxa"/>
            <w:vAlign w:val="bottom"/>
            <w:vMerge w:val="continue"/>
          </w:tcPr>
          <w:p>
            <w:pPr>
              <w:spacing w:after="0"/>
              <w:rPr>
                <w:sz w:val="22"/>
                <w:szCs w:val="22"/>
                <w:color w:val="auto"/>
              </w:rPr>
            </w:pPr>
          </w:p>
        </w:tc>
        <w:tc>
          <w:tcPr>
            <w:tcW w:w="1580" w:type="dxa"/>
            <w:vAlign w:val="bottom"/>
          </w:tcPr>
          <w:p>
            <w:pPr>
              <w:spacing w:after="0"/>
              <w:rPr>
                <w:sz w:val="22"/>
                <w:szCs w:val="22"/>
                <w:color w:val="auto"/>
              </w:rPr>
            </w:pPr>
          </w:p>
        </w:tc>
        <w:tc>
          <w:tcPr>
            <w:tcW w:w="170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3520" w:type="dxa"/>
            <w:vAlign w:val="bottom"/>
          </w:tcPr>
          <w:p>
            <w:pPr>
              <w:ind w:left="180"/>
              <w:spacing w:after="0"/>
              <w:rPr>
                <w:sz w:val="20"/>
                <w:szCs w:val="20"/>
                <w:color w:val="auto"/>
              </w:rPr>
            </w:pPr>
            <w:r>
              <w:rPr>
                <w:rFonts w:ascii="Arial" w:cs="Arial" w:eastAsia="Arial" w:hAnsi="Arial"/>
                <w:sz w:val="18"/>
                <w:szCs w:val="18"/>
                <w:color w:val="auto"/>
              </w:rPr>
              <w:t>Applied Energy Inc.</w:t>
            </w:r>
          </w:p>
        </w:tc>
        <w:tc>
          <w:tcPr>
            <w:tcW w:w="1580" w:type="dxa"/>
            <w:vAlign w:val="bottom"/>
          </w:tcPr>
          <w:p>
            <w:pPr>
              <w:ind w:left="100"/>
              <w:spacing w:after="0"/>
              <w:rPr>
                <w:sz w:val="20"/>
                <w:szCs w:val="20"/>
                <w:color w:val="auto"/>
              </w:rPr>
            </w:pPr>
            <w:r>
              <w:rPr>
                <w:rFonts w:ascii="Arial" w:cs="Arial" w:eastAsia="Arial" w:hAnsi="Arial"/>
                <w:sz w:val="18"/>
                <w:szCs w:val="18"/>
                <w:color w:val="auto"/>
              </w:rPr>
              <w:t>Cogeneration</w:t>
            </w:r>
          </w:p>
        </w:tc>
        <w:tc>
          <w:tcPr>
            <w:tcW w:w="1700" w:type="dxa"/>
            <w:vAlign w:val="bottom"/>
          </w:tcPr>
          <w:p>
            <w:pPr>
              <w:ind w:left="200"/>
              <w:spacing w:after="0"/>
              <w:rPr>
                <w:sz w:val="20"/>
                <w:szCs w:val="20"/>
                <w:color w:val="auto"/>
              </w:rPr>
            </w:pPr>
            <w:r>
              <w:rPr>
                <w:rFonts w:ascii="Arial" w:cs="Arial" w:eastAsia="Arial" w:hAnsi="Arial"/>
                <w:sz w:val="18"/>
                <w:szCs w:val="18"/>
                <w:color w:val="auto"/>
              </w:rPr>
              <w:t>2019</w:t>
            </w:r>
          </w:p>
        </w:tc>
        <w:tc>
          <w:tcPr>
            <w:tcW w:w="880" w:type="dxa"/>
            <w:vAlign w:val="bottom"/>
          </w:tcPr>
          <w:p>
            <w:pPr>
              <w:jc w:val="right"/>
              <w:spacing w:after="0"/>
              <w:rPr>
                <w:sz w:val="20"/>
                <w:szCs w:val="20"/>
                <w:color w:val="auto"/>
              </w:rPr>
            </w:pPr>
            <w:r>
              <w:rPr>
                <w:rFonts w:ascii="Arial" w:cs="Arial" w:eastAsia="Arial" w:hAnsi="Arial"/>
                <w:sz w:val="18"/>
                <w:szCs w:val="18"/>
                <w:color w:val="auto"/>
              </w:rPr>
              <w:t>102</w:t>
            </w: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520" w:type="dxa"/>
            <w:vAlign w:val="bottom"/>
          </w:tcPr>
          <w:p>
            <w:pPr>
              <w:ind w:left="180"/>
              <w:spacing w:after="0"/>
              <w:rPr>
                <w:sz w:val="20"/>
                <w:szCs w:val="20"/>
                <w:color w:val="auto"/>
              </w:rPr>
            </w:pPr>
            <w:r>
              <w:rPr>
                <w:rFonts w:ascii="Arial" w:cs="Arial" w:eastAsia="Arial" w:hAnsi="Arial"/>
                <w:sz w:val="18"/>
                <w:szCs w:val="18"/>
                <w:color w:val="auto"/>
              </w:rPr>
              <w:t>Yuma Cogeneration</w:t>
            </w:r>
          </w:p>
        </w:tc>
        <w:tc>
          <w:tcPr>
            <w:tcW w:w="1580" w:type="dxa"/>
            <w:vAlign w:val="bottom"/>
          </w:tcPr>
          <w:p>
            <w:pPr>
              <w:ind w:left="100"/>
              <w:spacing w:after="0"/>
              <w:rPr>
                <w:sz w:val="20"/>
                <w:szCs w:val="20"/>
                <w:color w:val="auto"/>
              </w:rPr>
            </w:pPr>
            <w:r>
              <w:rPr>
                <w:rFonts w:ascii="Arial" w:cs="Arial" w:eastAsia="Arial" w:hAnsi="Arial"/>
                <w:sz w:val="18"/>
                <w:szCs w:val="18"/>
                <w:color w:val="auto"/>
              </w:rPr>
              <w:t>Cogeneration</w:t>
            </w:r>
          </w:p>
        </w:tc>
        <w:tc>
          <w:tcPr>
            <w:tcW w:w="1700" w:type="dxa"/>
            <w:vAlign w:val="bottom"/>
          </w:tcPr>
          <w:p>
            <w:pPr>
              <w:ind w:left="200"/>
              <w:spacing w:after="0"/>
              <w:rPr>
                <w:sz w:val="20"/>
                <w:szCs w:val="20"/>
                <w:color w:val="auto"/>
              </w:rPr>
            </w:pPr>
            <w:r>
              <w:rPr>
                <w:rFonts w:ascii="Arial" w:cs="Arial" w:eastAsia="Arial" w:hAnsi="Arial"/>
                <w:sz w:val="18"/>
                <w:szCs w:val="18"/>
                <w:color w:val="auto"/>
              </w:rPr>
              <w:t>2024</w:t>
            </w:r>
          </w:p>
        </w:tc>
        <w:tc>
          <w:tcPr>
            <w:tcW w:w="880" w:type="dxa"/>
            <w:vAlign w:val="bottom"/>
          </w:tcPr>
          <w:p>
            <w:pPr>
              <w:jc w:val="right"/>
              <w:spacing w:after="0"/>
              <w:rPr>
                <w:sz w:val="20"/>
                <w:szCs w:val="20"/>
                <w:color w:val="auto"/>
              </w:rPr>
            </w:pPr>
            <w:r>
              <w:rPr>
                <w:rFonts w:ascii="Arial" w:cs="Arial" w:eastAsia="Arial" w:hAnsi="Arial"/>
                <w:sz w:val="18"/>
                <w:szCs w:val="18"/>
                <w:color w:val="auto"/>
              </w:rPr>
              <w:t>50</w:t>
            </w: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520" w:type="dxa"/>
            <w:vAlign w:val="bottom"/>
          </w:tcPr>
          <w:p>
            <w:pPr>
              <w:ind w:left="180"/>
              <w:spacing w:after="0"/>
              <w:rPr>
                <w:sz w:val="20"/>
                <w:szCs w:val="20"/>
                <w:color w:val="auto"/>
              </w:rPr>
            </w:pPr>
            <w:r>
              <w:rPr>
                <w:rFonts w:ascii="Arial" w:cs="Arial" w:eastAsia="Arial" w:hAnsi="Arial"/>
                <w:sz w:val="18"/>
                <w:szCs w:val="18"/>
                <w:color w:val="auto"/>
              </w:rPr>
              <w:t>Goal Line Limited Partnership</w:t>
            </w:r>
          </w:p>
        </w:tc>
        <w:tc>
          <w:tcPr>
            <w:tcW w:w="1580" w:type="dxa"/>
            <w:vAlign w:val="bottom"/>
          </w:tcPr>
          <w:p>
            <w:pPr>
              <w:ind w:left="100"/>
              <w:spacing w:after="0"/>
              <w:rPr>
                <w:sz w:val="20"/>
                <w:szCs w:val="20"/>
                <w:color w:val="auto"/>
              </w:rPr>
            </w:pPr>
            <w:r>
              <w:rPr>
                <w:rFonts w:ascii="Arial" w:cs="Arial" w:eastAsia="Arial" w:hAnsi="Arial"/>
                <w:sz w:val="18"/>
                <w:szCs w:val="18"/>
                <w:color w:val="auto"/>
              </w:rPr>
              <w:t>Cogeneration</w:t>
            </w:r>
          </w:p>
        </w:tc>
        <w:tc>
          <w:tcPr>
            <w:tcW w:w="1700" w:type="dxa"/>
            <w:vAlign w:val="bottom"/>
          </w:tcPr>
          <w:p>
            <w:pPr>
              <w:ind w:left="200"/>
              <w:spacing w:after="0"/>
              <w:rPr>
                <w:sz w:val="20"/>
                <w:szCs w:val="20"/>
                <w:color w:val="auto"/>
              </w:rPr>
            </w:pPr>
            <w:r>
              <w:rPr>
                <w:rFonts w:ascii="Arial" w:cs="Arial" w:eastAsia="Arial" w:hAnsi="Arial"/>
                <w:sz w:val="18"/>
                <w:szCs w:val="18"/>
                <w:color w:val="auto"/>
              </w:rPr>
              <w:t>2025</w:t>
            </w:r>
          </w:p>
        </w:tc>
        <w:tc>
          <w:tcPr>
            <w:tcW w:w="880" w:type="dxa"/>
            <w:vAlign w:val="bottom"/>
          </w:tcPr>
          <w:p>
            <w:pPr>
              <w:jc w:val="right"/>
              <w:spacing w:after="0"/>
              <w:rPr>
                <w:sz w:val="20"/>
                <w:szCs w:val="20"/>
                <w:color w:val="auto"/>
              </w:rPr>
            </w:pPr>
            <w:r>
              <w:rPr>
                <w:rFonts w:ascii="Arial" w:cs="Arial" w:eastAsia="Arial" w:hAnsi="Arial"/>
                <w:sz w:val="18"/>
                <w:szCs w:val="18"/>
                <w:color w:val="auto"/>
              </w:rPr>
              <w:t>50</w:t>
            </w: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8"/>
        </w:trPr>
        <w:tc>
          <w:tcPr>
            <w:tcW w:w="3520" w:type="dxa"/>
            <w:vAlign w:val="bottom"/>
          </w:tcPr>
          <w:p>
            <w:pPr>
              <w:ind w:left="180"/>
              <w:spacing w:after="0"/>
              <w:rPr>
                <w:sz w:val="20"/>
                <w:szCs w:val="20"/>
                <w:color w:val="auto"/>
              </w:rPr>
            </w:pPr>
            <w:r>
              <w:rPr>
                <w:rFonts w:ascii="Arial" w:cs="Arial" w:eastAsia="Arial" w:hAnsi="Arial"/>
                <w:sz w:val="18"/>
                <w:szCs w:val="18"/>
                <w:color w:val="auto"/>
              </w:rPr>
              <w:t>Other (16 contracts)</w:t>
            </w:r>
          </w:p>
        </w:tc>
        <w:tc>
          <w:tcPr>
            <w:tcW w:w="1580" w:type="dxa"/>
            <w:vAlign w:val="bottom"/>
          </w:tcPr>
          <w:p>
            <w:pPr>
              <w:ind w:left="100"/>
              <w:spacing w:after="0"/>
              <w:rPr>
                <w:sz w:val="20"/>
                <w:szCs w:val="20"/>
                <w:color w:val="auto"/>
              </w:rPr>
            </w:pPr>
            <w:r>
              <w:rPr>
                <w:rFonts w:ascii="Arial" w:cs="Arial" w:eastAsia="Arial" w:hAnsi="Arial"/>
                <w:sz w:val="18"/>
                <w:szCs w:val="18"/>
                <w:color w:val="auto"/>
              </w:rPr>
              <w:t>Cogeneration</w:t>
            </w:r>
          </w:p>
        </w:tc>
        <w:tc>
          <w:tcPr>
            <w:tcW w:w="1700" w:type="dxa"/>
            <w:vAlign w:val="bottom"/>
          </w:tcPr>
          <w:p>
            <w:pPr>
              <w:ind w:left="200"/>
              <w:spacing w:after="0"/>
              <w:rPr>
                <w:sz w:val="20"/>
                <w:szCs w:val="20"/>
                <w:color w:val="auto"/>
              </w:rPr>
            </w:pPr>
            <w:r>
              <w:rPr>
                <w:rFonts w:ascii="Arial" w:cs="Arial" w:eastAsia="Arial" w:hAnsi="Arial"/>
                <w:sz w:val="18"/>
                <w:szCs w:val="18"/>
                <w:color w:val="auto"/>
                <w:w w:val="94"/>
              </w:rPr>
              <w:t>2009 and thereafter</w:t>
            </w:r>
          </w:p>
        </w:tc>
        <w:tc>
          <w:tcPr>
            <w:tcW w:w="880" w:type="dxa"/>
            <w:vAlign w:val="bottom"/>
          </w:tcPr>
          <w:p>
            <w:pPr>
              <w:jc w:val="right"/>
              <w:spacing w:after="0"/>
              <w:rPr>
                <w:sz w:val="20"/>
                <w:szCs w:val="20"/>
                <w:color w:val="auto"/>
              </w:rPr>
            </w:pPr>
            <w:r>
              <w:rPr>
                <w:rFonts w:ascii="Arial" w:cs="Arial" w:eastAsia="Arial" w:hAnsi="Arial"/>
                <w:sz w:val="18"/>
                <w:szCs w:val="18"/>
                <w:color w:val="auto"/>
              </w:rPr>
              <w:t>61</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1"/>
        </w:trPr>
        <w:tc>
          <w:tcPr>
            <w:tcW w:w="352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880" w:type="dxa"/>
            <w:vAlign w:val="bottom"/>
            <w:shd w:val="clear" w:color="auto" w:fill="000000"/>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3520" w:type="dxa"/>
            <w:vAlign w:val="bottom"/>
          </w:tcPr>
          <w:p>
            <w:pPr>
              <w:ind w:left="180"/>
              <w:spacing w:after="0"/>
              <w:rPr>
                <w:sz w:val="20"/>
                <w:szCs w:val="20"/>
                <w:color w:val="auto"/>
              </w:rPr>
            </w:pPr>
            <w:r>
              <w:rPr>
                <w:rFonts w:ascii="Arial" w:cs="Arial" w:eastAsia="Arial" w:hAnsi="Arial"/>
                <w:sz w:val="18"/>
                <w:szCs w:val="18"/>
                <w:color w:val="auto"/>
              </w:rPr>
              <w:t>Total</w:t>
            </w:r>
          </w:p>
        </w:tc>
        <w:tc>
          <w:tcPr>
            <w:tcW w:w="1580" w:type="dxa"/>
            <w:vAlign w:val="bottom"/>
          </w:tcPr>
          <w:p>
            <w:pPr>
              <w:spacing w:after="0"/>
              <w:rPr>
                <w:sz w:val="22"/>
                <w:szCs w:val="22"/>
                <w:color w:val="auto"/>
              </w:rPr>
            </w:pPr>
          </w:p>
        </w:tc>
        <w:tc>
          <w:tcPr>
            <w:tcW w:w="170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263</w:t>
            </w: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9"/>
        </w:trPr>
        <w:tc>
          <w:tcPr>
            <w:tcW w:w="3520" w:type="dxa"/>
            <w:vAlign w:val="bottom"/>
            <w:vMerge w:val="restart"/>
          </w:tcPr>
          <w:p>
            <w:pPr>
              <w:spacing w:after="0"/>
              <w:rPr>
                <w:sz w:val="20"/>
                <w:szCs w:val="20"/>
                <w:color w:val="auto"/>
              </w:rPr>
            </w:pPr>
            <w:r>
              <w:rPr>
                <w:rFonts w:ascii="Arial" w:cs="Arial" w:eastAsia="Arial" w:hAnsi="Arial"/>
                <w:sz w:val="18"/>
                <w:szCs w:val="18"/>
                <w:color w:val="auto"/>
              </w:rPr>
              <w:t>Other contracts with renewable sources:</w:t>
            </w:r>
          </w:p>
        </w:tc>
        <w:tc>
          <w:tcPr>
            <w:tcW w:w="1580" w:type="dxa"/>
            <w:vAlign w:val="bottom"/>
          </w:tcPr>
          <w:p>
            <w:pPr>
              <w:spacing w:after="0"/>
              <w:rPr>
                <w:sz w:val="22"/>
                <w:szCs w:val="22"/>
                <w:color w:val="auto"/>
              </w:rPr>
            </w:pPr>
          </w:p>
        </w:tc>
        <w:tc>
          <w:tcPr>
            <w:tcW w:w="1700" w:type="dxa"/>
            <w:vAlign w:val="bottom"/>
          </w:tcPr>
          <w:p>
            <w:pPr>
              <w:spacing w:after="0"/>
              <w:rPr>
                <w:sz w:val="22"/>
                <w:szCs w:val="22"/>
                <w:color w:val="auto"/>
              </w:rPr>
            </w:pPr>
          </w:p>
        </w:tc>
        <w:tc>
          <w:tcPr>
            <w:tcW w:w="880" w:type="dxa"/>
            <w:vAlign w:val="bottom"/>
            <w:shd w:val="clear" w:color="auto" w:fill="000000"/>
          </w:tcPr>
          <w:p>
            <w:pPr>
              <w:spacing w:after="0"/>
              <w:rPr>
                <w:sz w:val="22"/>
                <w:szCs w:val="22"/>
                <w:color w:val="auto"/>
              </w:rPr>
            </w:pP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5"/>
        </w:trPr>
        <w:tc>
          <w:tcPr>
            <w:tcW w:w="3520" w:type="dxa"/>
            <w:vAlign w:val="bottom"/>
            <w:vMerge w:val="continue"/>
          </w:tcPr>
          <w:p>
            <w:pPr>
              <w:spacing w:after="0"/>
              <w:rPr>
                <w:sz w:val="22"/>
                <w:szCs w:val="22"/>
                <w:color w:val="auto"/>
              </w:rPr>
            </w:pPr>
          </w:p>
        </w:tc>
        <w:tc>
          <w:tcPr>
            <w:tcW w:w="1580" w:type="dxa"/>
            <w:vAlign w:val="bottom"/>
          </w:tcPr>
          <w:p>
            <w:pPr>
              <w:spacing w:after="0"/>
              <w:rPr>
                <w:sz w:val="22"/>
                <w:szCs w:val="22"/>
                <w:color w:val="auto"/>
              </w:rPr>
            </w:pPr>
          </w:p>
        </w:tc>
        <w:tc>
          <w:tcPr>
            <w:tcW w:w="170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3520" w:type="dxa"/>
            <w:vAlign w:val="bottom"/>
          </w:tcPr>
          <w:p>
            <w:pPr>
              <w:ind w:left="180"/>
              <w:spacing w:after="0"/>
              <w:rPr>
                <w:sz w:val="20"/>
                <w:szCs w:val="20"/>
                <w:color w:val="auto"/>
              </w:rPr>
            </w:pPr>
            <w:r>
              <w:rPr>
                <w:rFonts w:ascii="Arial" w:cs="Arial" w:eastAsia="Arial" w:hAnsi="Arial"/>
                <w:sz w:val="18"/>
                <w:szCs w:val="18"/>
                <w:color w:val="auto"/>
              </w:rPr>
              <w:t>Oasis Power Partners</w:t>
            </w:r>
          </w:p>
        </w:tc>
        <w:tc>
          <w:tcPr>
            <w:tcW w:w="1580" w:type="dxa"/>
            <w:vAlign w:val="bottom"/>
          </w:tcPr>
          <w:p>
            <w:pPr>
              <w:ind w:left="100"/>
              <w:spacing w:after="0"/>
              <w:rPr>
                <w:sz w:val="20"/>
                <w:szCs w:val="20"/>
                <w:color w:val="auto"/>
              </w:rPr>
            </w:pPr>
            <w:r>
              <w:rPr>
                <w:rFonts w:ascii="Arial" w:cs="Arial" w:eastAsia="Arial" w:hAnsi="Arial"/>
                <w:sz w:val="18"/>
                <w:szCs w:val="18"/>
                <w:color w:val="auto"/>
              </w:rPr>
              <w:t>Wind</w:t>
            </w:r>
          </w:p>
        </w:tc>
        <w:tc>
          <w:tcPr>
            <w:tcW w:w="1700" w:type="dxa"/>
            <w:vAlign w:val="bottom"/>
          </w:tcPr>
          <w:p>
            <w:pPr>
              <w:ind w:left="200"/>
              <w:spacing w:after="0"/>
              <w:rPr>
                <w:sz w:val="20"/>
                <w:szCs w:val="20"/>
                <w:color w:val="auto"/>
              </w:rPr>
            </w:pPr>
            <w:r>
              <w:rPr>
                <w:rFonts w:ascii="Arial" w:cs="Arial" w:eastAsia="Arial" w:hAnsi="Arial"/>
                <w:sz w:val="18"/>
                <w:szCs w:val="18"/>
                <w:color w:val="auto"/>
              </w:rPr>
              <w:t>2019</w:t>
            </w:r>
          </w:p>
        </w:tc>
        <w:tc>
          <w:tcPr>
            <w:tcW w:w="880" w:type="dxa"/>
            <w:vAlign w:val="bottom"/>
          </w:tcPr>
          <w:p>
            <w:pPr>
              <w:jc w:val="right"/>
              <w:spacing w:after="0"/>
              <w:rPr>
                <w:sz w:val="20"/>
                <w:szCs w:val="20"/>
                <w:color w:val="auto"/>
              </w:rPr>
            </w:pPr>
            <w:r>
              <w:rPr>
                <w:rFonts w:ascii="Arial" w:cs="Arial" w:eastAsia="Arial" w:hAnsi="Arial"/>
                <w:sz w:val="18"/>
                <w:szCs w:val="18"/>
                <w:color w:val="auto"/>
              </w:rPr>
              <w:t>60</w:t>
            </w: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520" w:type="dxa"/>
            <w:vAlign w:val="bottom"/>
          </w:tcPr>
          <w:p>
            <w:pPr>
              <w:ind w:left="180"/>
              <w:spacing w:after="0"/>
              <w:rPr>
                <w:sz w:val="20"/>
                <w:szCs w:val="20"/>
                <w:color w:val="auto"/>
              </w:rPr>
            </w:pPr>
            <w:r>
              <w:rPr>
                <w:rFonts w:ascii="Arial" w:cs="Arial" w:eastAsia="Arial" w:hAnsi="Arial"/>
                <w:sz w:val="18"/>
                <w:szCs w:val="18"/>
                <w:color w:val="auto"/>
              </w:rPr>
              <w:t>AES Delano</w:t>
            </w:r>
          </w:p>
        </w:tc>
        <w:tc>
          <w:tcPr>
            <w:tcW w:w="1580" w:type="dxa"/>
            <w:vAlign w:val="bottom"/>
          </w:tcPr>
          <w:p>
            <w:pPr>
              <w:ind w:left="100"/>
              <w:spacing w:after="0"/>
              <w:rPr>
                <w:sz w:val="20"/>
                <w:szCs w:val="20"/>
                <w:color w:val="auto"/>
              </w:rPr>
            </w:pPr>
            <w:r>
              <w:rPr>
                <w:rFonts w:ascii="Arial" w:cs="Arial" w:eastAsia="Arial" w:hAnsi="Arial"/>
                <w:sz w:val="18"/>
                <w:szCs w:val="18"/>
                <w:color w:val="auto"/>
              </w:rPr>
              <w:t>Bio-mass</w:t>
            </w:r>
          </w:p>
        </w:tc>
        <w:tc>
          <w:tcPr>
            <w:tcW w:w="1700" w:type="dxa"/>
            <w:vAlign w:val="bottom"/>
          </w:tcPr>
          <w:p>
            <w:pPr>
              <w:ind w:left="200"/>
              <w:spacing w:after="0"/>
              <w:rPr>
                <w:sz w:val="20"/>
                <w:szCs w:val="20"/>
                <w:color w:val="auto"/>
              </w:rPr>
            </w:pPr>
            <w:r>
              <w:rPr>
                <w:rFonts w:ascii="Arial" w:cs="Arial" w:eastAsia="Arial" w:hAnsi="Arial"/>
                <w:sz w:val="18"/>
                <w:szCs w:val="18"/>
                <w:color w:val="auto"/>
              </w:rPr>
              <w:t>2007</w:t>
            </w:r>
          </w:p>
        </w:tc>
        <w:tc>
          <w:tcPr>
            <w:tcW w:w="880" w:type="dxa"/>
            <w:vAlign w:val="bottom"/>
          </w:tcPr>
          <w:p>
            <w:pPr>
              <w:jc w:val="right"/>
              <w:spacing w:after="0"/>
              <w:rPr>
                <w:sz w:val="20"/>
                <w:szCs w:val="20"/>
                <w:color w:val="auto"/>
              </w:rPr>
            </w:pPr>
            <w:r>
              <w:rPr>
                <w:rFonts w:ascii="Arial" w:cs="Arial" w:eastAsia="Arial" w:hAnsi="Arial"/>
                <w:sz w:val="18"/>
                <w:szCs w:val="18"/>
                <w:color w:val="auto"/>
              </w:rPr>
              <w:t>49</w:t>
            </w: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520" w:type="dxa"/>
            <w:vAlign w:val="bottom"/>
          </w:tcPr>
          <w:p>
            <w:pPr>
              <w:ind w:left="180"/>
              <w:spacing w:after="0"/>
              <w:rPr>
                <w:sz w:val="20"/>
                <w:szCs w:val="20"/>
                <w:color w:val="auto"/>
              </w:rPr>
            </w:pPr>
            <w:r>
              <w:rPr>
                <w:rFonts w:ascii="Arial" w:cs="Arial" w:eastAsia="Arial" w:hAnsi="Arial"/>
                <w:sz w:val="18"/>
                <w:szCs w:val="18"/>
                <w:color w:val="auto"/>
              </w:rPr>
              <w:t>PPM Energy</w:t>
            </w:r>
          </w:p>
        </w:tc>
        <w:tc>
          <w:tcPr>
            <w:tcW w:w="1580" w:type="dxa"/>
            <w:vAlign w:val="bottom"/>
          </w:tcPr>
          <w:p>
            <w:pPr>
              <w:ind w:left="100"/>
              <w:spacing w:after="0"/>
              <w:rPr>
                <w:sz w:val="20"/>
                <w:szCs w:val="20"/>
                <w:color w:val="auto"/>
              </w:rPr>
            </w:pPr>
            <w:r>
              <w:rPr>
                <w:rFonts w:ascii="Arial" w:cs="Arial" w:eastAsia="Arial" w:hAnsi="Arial"/>
                <w:sz w:val="18"/>
                <w:szCs w:val="18"/>
                <w:color w:val="auto"/>
              </w:rPr>
              <w:t>Wind</w:t>
            </w:r>
          </w:p>
        </w:tc>
        <w:tc>
          <w:tcPr>
            <w:tcW w:w="1700" w:type="dxa"/>
            <w:vAlign w:val="bottom"/>
          </w:tcPr>
          <w:p>
            <w:pPr>
              <w:ind w:left="200"/>
              <w:spacing w:after="0"/>
              <w:rPr>
                <w:sz w:val="20"/>
                <w:szCs w:val="20"/>
                <w:color w:val="auto"/>
              </w:rPr>
            </w:pPr>
            <w:r>
              <w:rPr>
                <w:rFonts w:ascii="Arial" w:cs="Arial" w:eastAsia="Arial" w:hAnsi="Arial"/>
                <w:sz w:val="18"/>
                <w:szCs w:val="18"/>
                <w:color w:val="auto"/>
              </w:rPr>
              <w:t>2018</w:t>
            </w:r>
          </w:p>
        </w:tc>
        <w:tc>
          <w:tcPr>
            <w:tcW w:w="880" w:type="dxa"/>
            <w:vAlign w:val="bottom"/>
          </w:tcPr>
          <w:p>
            <w:pPr>
              <w:jc w:val="right"/>
              <w:spacing w:after="0"/>
              <w:rPr>
                <w:sz w:val="20"/>
                <w:szCs w:val="20"/>
                <w:color w:val="auto"/>
              </w:rPr>
            </w:pPr>
            <w:r>
              <w:rPr>
                <w:rFonts w:ascii="Arial" w:cs="Arial" w:eastAsia="Arial" w:hAnsi="Arial"/>
                <w:sz w:val="18"/>
                <w:szCs w:val="18"/>
                <w:color w:val="auto"/>
              </w:rPr>
              <w:t>25</w:t>
            </w: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520" w:type="dxa"/>
            <w:vAlign w:val="bottom"/>
          </w:tcPr>
          <w:p>
            <w:pPr>
              <w:ind w:left="180"/>
              <w:spacing w:after="0"/>
              <w:rPr>
                <w:sz w:val="20"/>
                <w:szCs w:val="20"/>
                <w:color w:val="auto"/>
              </w:rPr>
            </w:pPr>
            <w:r>
              <w:rPr>
                <w:rFonts w:ascii="Arial" w:cs="Arial" w:eastAsia="Arial" w:hAnsi="Arial"/>
                <w:sz w:val="18"/>
                <w:szCs w:val="18"/>
                <w:color w:val="auto"/>
              </w:rPr>
              <w:t>WTE / FPL</w:t>
            </w:r>
          </w:p>
        </w:tc>
        <w:tc>
          <w:tcPr>
            <w:tcW w:w="1580" w:type="dxa"/>
            <w:vAlign w:val="bottom"/>
          </w:tcPr>
          <w:p>
            <w:pPr>
              <w:ind w:left="100"/>
              <w:spacing w:after="0"/>
              <w:rPr>
                <w:sz w:val="20"/>
                <w:szCs w:val="20"/>
                <w:color w:val="auto"/>
              </w:rPr>
            </w:pPr>
            <w:r>
              <w:rPr>
                <w:rFonts w:ascii="Arial" w:cs="Arial" w:eastAsia="Arial" w:hAnsi="Arial"/>
                <w:sz w:val="18"/>
                <w:szCs w:val="18"/>
                <w:color w:val="auto"/>
              </w:rPr>
              <w:t>Wind</w:t>
            </w:r>
          </w:p>
        </w:tc>
        <w:tc>
          <w:tcPr>
            <w:tcW w:w="1700" w:type="dxa"/>
            <w:vAlign w:val="bottom"/>
          </w:tcPr>
          <w:p>
            <w:pPr>
              <w:ind w:left="200"/>
              <w:spacing w:after="0"/>
              <w:rPr>
                <w:sz w:val="20"/>
                <w:szCs w:val="20"/>
                <w:color w:val="auto"/>
              </w:rPr>
            </w:pPr>
            <w:r>
              <w:rPr>
                <w:rFonts w:ascii="Arial" w:cs="Arial" w:eastAsia="Arial" w:hAnsi="Arial"/>
                <w:sz w:val="18"/>
                <w:szCs w:val="18"/>
                <w:color w:val="auto"/>
              </w:rPr>
              <w:t>2019</w:t>
            </w:r>
          </w:p>
        </w:tc>
        <w:tc>
          <w:tcPr>
            <w:tcW w:w="880" w:type="dxa"/>
            <w:vAlign w:val="bottom"/>
          </w:tcPr>
          <w:p>
            <w:pPr>
              <w:jc w:val="right"/>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8"/>
        </w:trPr>
        <w:tc>
          <w:tcPr>
            <w:tcW w:w="3520" w:type="dxa"/>
            <w:vAlign w:val="bottom"/>
          </w:tcPr>
          <w:p>
            <w:pPr>
              <w:ind w:left="180"/>
              <w:spacing w:after="0"/>
              <w:rPr>
                <w:sz w:val="20"/>
                <w:szCs w:val="20"/>
                <w:color w:val="auto"/>
              </w:rPr>
            </w:pPr>
            <w:r>
              <w:rPr>
                <w:rFonts w:ascii="Arial" w:cs="Arial" w:eastAsia="Arial" w:hAnsi="Arial"/>
                <w:sz w:val="18"/>
                <w:szCs w:val="18"/>
                <w:color w:val="auto"/>
              </w:rPr>
              <w:t>Other (6 contracts)</w:t>
            </w:r>
          </w:p>
        </w:tc>
        <w:tc>
          <w:tcPr>
            <w:tcW w:w="1580" w:type="dxa"/>
            <w:vAlign w:val="bottom"/>
          </w:tcPr>
          <w:p>
            <w:pPr>
              <w:ind w:left="100"/>
              <w:spacing w:after="0"/>
              <w:rPr>
                <w:sz w:val="20"/>
                <w:szCs w:val="20"/>
                <w:color w:val="auto"/>
              </w:rPr>
            </w:pPr>
            <w:r>
              <w:rPr>
                <w:rFonts w:ascii="Arial" w:cs="Arial" w:eastAsia="Arial" w:hAnsi="Arial"/>
                <w:sz w:val="18"/>
                <w:szCs w:val="18"/>
                <w:color w:val="auto"/>
              </w:rPr>
              <w:t>Bio-gas</w:t>
            </w:r>
          </w:p>
        </w:tc>
        <w:tc>
          <w:tcPr>
            <w:tcW w:w="1700" w:type="dxa"/>
            <w:vAlign w:val="bottom"/>
          </w:tcPr>
          <w:p>
            <w:pPr>
              <w:ind w:left="200"/>
              <w:spacing w:after="0"/>
              <w:rPr>
                <w:sz w:val="20"/>
                <w:szCs w:val="20"/>
                <w:color w:val="auto"/>
              </w:rPr>
            </w:pPr>
            <w:r>
              <w:rPr>
                <w:rFonts w:ascii="Arial" w:cs="Arial" w:eastAsia="Arial" w:hAnsi="Arial"/>
                <w:sz w:val="18"/>
                <w:szCs w:val="18"/>
                <w:color w:val="auto"/>
              </w:rPr>
              <w:t>2007-2014</w:t>
            </w:r>
          </w:p>
        </w:tc>
        <w:tc>
          <w:tcPr>
            <w:tcW w:w="880" w:type="dxa"/>
            <w:vAlign w:val="bottom"/>
          </w:tcPr>
          <w:p>
            <w:pPr>
              <w:jc w:val="right"/>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1"/>
        </w:trPr>
        <w:tc>
          <w:tcPr>
            <w:tcW w:w="352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880" w:type="dxa"/>
            <w:vAlign w:val="bottom"/>
            <w:shd w:val="clear" w:color="auto" w:fill="000000"/>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3520" w:type="dxa"/>
            <w:vAlign w:val="bottom"/>
          </w:tcPr>
          <w:p>
            <w:pPr>
              <w:ind w:left="180"/>
              <w:spacing w:after="0"/>
              <w:rPr>
                <w:sz w:val="20"/>
                <w:szCs w:val="20"/>
                <w:color w:val="auto"/>
              </w:rPr>
            </w:pPr>
            <w:r>
              <w:rPr>
                <w:rFonts w:ascii="Arial" w:cs="Arial" w:eastAsia="Arial" w:hAnsi="Arial"/>
                <w:sz w:val="18"/>
                <w:szCs w:val="18"/>
                <w:color w:val="auto"/>
              </w:rPr>
              <w:t>Total</w:t>
            </w:r>
          </w:p>
        </w:tc>
        <w:tc>
          <w:tcPr>
            <w:tcW w:w="1580" w:type="dxa"/>
            <w:vAlign w:val="bottom"/>
          </w:tcPr>
          <w:p>
            <w:pPr>
              <w:spacing w:after="0"/>
              <w:rPr>
                <w:sz w:val="22"/>
                <w:szCs w:val="22"/>
                <w:color w:val="auto"/>
              </w:rPr>
            </w:pPr>
          </w:p>
        </w:tc>
        <w:tc>
          <w:tcPr>
            <w:tcW w:w="170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175</w:t>
            </w: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9"/>
        </w:trPr>
        <w:tc>
          <w:tcPr>
            <w:tcW w:w="3520" w:type="dxa"/>
            <w:vAlign w:val="bottom"/>
            <w:vMerge w:val="restart"/>
          </w:tcPr>
          <w:p>
            <w:pPr>
              <w:spacing w:after="0"/>
              <w:rPr>
                <w:sz w:val="20"/>
                <w:szCs w:val="20"/>
                <w:color w:val="auto"/>
              </w:rPr>
            </w:pPr>
            <w:r>
              <w:rPr>
                <w:rFonts w:ascii="Arial" w:cs="Arial" w:eastAsia="Arial" w:hAnsi="Arial"/>
                <w:sz w:val="18"/>
                <w:szCs w:val="18"/>
                <w:color w:val="auto"/>
              </w:rPr>
              <w:t>Other long-term contracts:</w:t>
            </w:r>
          </w:p>
        </w:tc>
        <w:tc>
          <w:tcPr>
            <w:tcW w:w="1580" w:type="dxa"/>
            <w:vAlign w:val="bottom"/>
          </w:tcPr>
          <w:p>
            <w:pPr>
              <w:spacing w:after="0"/>
              <w:rPr>
                <w:sz w:val="22"/>
                <w:szCs w:val="22"/>
                <w:color w:val="auto"/>
              </w:rPr>
            </w:pPr>
          </w:p>
        </w:tc>
        <w:tc>
          <w:tcPr>
            <w:tcW w:w="1700" w:type="dxa"/>
            <w:vAlign w:val="bottom"/>
          </w:tcPr>
          <w:p>
            <w:pPr>
              <w:spacing w:after="0"/>
              <w:rPr>
                <w:sz w:val="22"/>
                <w:szCs w:val="22"/>
                <w:color w:val="auto"/>
              </w:rPr>
            </w:pPr>
          </w:p>
        </w:tc>
        <w:tc>
          <w:tcPr>
            <w:tcW w:w="880" w:type="dxa"/>
            <w:vAlign w:val="bottom"/>
            <w:shd w:val="clear" w:color="auto" w:fill="000000"/>
          </w:tcPr>
          <w:p>
            <w:pPr>
              <w:spacing w:after="0"/>
              <w:rPr>
                <w:sz w:val="22"/>
                <w:szCs w:val="22"/>
                <w:color w:val="auto"/>
              </w:rPr>
            </w:pP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5"/>
        </w:trPr>
        <w:tc>
          <w:tcPr>
            <w:tcW w:w="3520" w:type="dxa"/>
            <w:vAlign w:val="bottom"/>
            <w:vMerge w:val="continue"/>
          </w:tcPr>
          <w:p>
            <w:pPr>
              <w:spacing w:after="0"/>
              <w:rPr>
                <w:sz w:val="22"/>
                <w:szCs w:val="22"/>
                <w:color w:val="auto"/>
              </w:rPr>
            </w:pPr>
          </w:p>
        </w:tc>
        <w:tc>
          <w:tcPr>
            <w:tcW w:w="1580" w:type="dxa"/>
            <w:vAlign w:val="bottom"/>
          </w:tcPr>
          <w:p>
            <w:pPr>
              <w:spacing w:after="0"/>
              <w:rPr>
                <w:sz w:val="22"/>
                <w:szCs w:val="22"/>
                <w:color w:val="auto"/>
              </w:rPr>
            </w:pPr>
          </w:p>
        </w:tc>
        <w:tc>
          <w:tcPr>
            <w:tcW w:w="170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8"/>
        </w:trPr>
        <w:tc>
          <w:tcPr>
            <w:tcW w:w="3520" w:type="dxa"/>
            <w:vAlign w:val="bottom"/>
          </w:tcPr>
          <w:p>
            <w:pPr>
              <w:ind w:left="180"/>
              <w:spacing w:after="0"/>
              <w:rPr>
                <w:sz w:val="20"/>
                <w:szCs w:val="20"/>
                <w:color w:val="auto"/>
              </w:rPr>
            </w:pPr>
            <w:r>
              <w:rPr>
                <w:rFonts w:ascii="Arial" w:cs="Arial" w:eastAsia="Arial" w:hAnsi="Arial"/>
                <w:sz w:val="18"/>
                <w:szCs w:val="18"/>
                <w:color w:val="auto"/>
              </w:rPr>
              <w:t>Portland General Electric (PGE)</w:t>
            </w:r>
          </w:p>
        </w:tc>
        <w:tc>
          <w:tcPr>
            <w:tcW w:w="1580" w:type="dxa"/>
            <w:vAlign w:val="bottom"/>
          </w:tcPr>
          <w:p>
            <w:pPr>
              <w:ind w:left="100"/>
              <w:spacing w:after="0"/>
              <w:rPr>
                <w:sz w:val="20"/>
                <w:szCs w:val="20"/>
                <w:color w:val="auto"/>
              </w:rPr>
            </w:pPr>
            <w:r>
              <w:rPr>
                <w:rFonts w:ascii="Arial" w:cs="Arial" w:eastAsia="Arial" w:hAnsi="Arial"/>
                <w:sz w:val="18"/>
                <w:szCs w:val="18"/>
                <w:color w:val="auto"/>
              </w:rPr>
              <w:t>Coal</w:t>
            </w:r>
          </w:p>
        </w:tc>
        <w:tc>
          <w:tcPr>
            <w:tcW w:w="1700" w:type="dxa"/>
            <w:vAlign w:val="bottom"/>
          </w:tcPr>
          <w:p>
            <w:pPr>
              <w:ind w:left="200"/>
              <w:spacing w:after="0"/>
              <w:rPr>
                <w:sz w:val="20"/>
                <w:szCs w:val="20"/>
                <w:color w:val="auto"/>
              </w:rPr>
            </w:pPr>
            <w:r>
              <w:rPr>
                <w:rFonts w:ascii="Arial" w:cs="Arial" w:eastAsia="Arial" w:hAnsi="Arial"/>
                <w:sz w:val="18"/>
                <w:szCs w:val="18"/>
                <w:color w:val="auto"/>
              </w:rPr>
              <w:t>2013</w:t>
            </w:r>
          </w:p>
        </w:tc>
        <w:tc>
          <w:tcPr>
            <w:tcW w:w="880" w:type="dxa"/>
            <w:vAlign w:val="bottom"/>
          </w:tcPr>
          <w:p>
            <w:pPr>
              <w:jc w:val="right"/>
              <w:spacing w:after="0"/>
              <w:rPr>
                <w:sz w:val="20"/>
                <w:szCs w:val="20"/>
                <w:color w:val="auto"/>
              </w:rPr>
            </w:pPr>
            <w:r>
              <w:rPr>
                <w:rFonts w:ascii="Arial" w:cs="Arial" w:eastAsia="Arial" w:hAnsi="Arial"/>
                <w:sz w:val="18"/>
                <w:szCs w:val="18"/>
                <w:color w:val="auto"/>
              </w:rPr>
              <w:t>89</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2"/>
        </w:trPr>
        <w:tc>
          <w:tcPr>
            <w:tcW w:w="35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880" w:type="dxa"/>
            <w:vAlign w:val="bottom"/>
            <w:shd w:val="clear" w:color="auto" w:fill="000000"/>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ectPr>
          <w:pgSz w:w="11900" w:h="16900" w:orient="portrait"/>
          <w:cols w:equalWidth="0" w:num="1">
            <w:col w:w="11360"/>
          </w:cols>
          <w:pgMar w:left="240" w:top="118" w:right="299" w:bottom="0" w:gutter="0" w:footer="0" w:header="0"/>
        </w:sectPr>
      </w:pPr>
    </w:p>
    <w:bookmarkStart w:id="8" w:name="page9"/>
    <w:bookmarkEnd w:id="8"/>
    <w:p>
      <w:pPr>
        <w:spacing w:after="0" w:line="13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5551805</wp:posOffset>
            </wp:positionH>
            <wp:positionV relativeFrom="page">
              <wp:posOffset>88900</wp:posOffset>
            </wp:positionV>
            <wp:extent cx="55753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57530" cy="8890"/>
                    </a:xfrm>
                    <a:prstGeom prst="rect">
                      <a:avLst/>
                    </a:prstGeom>
                    <a:noFill/>
                  </pic:spPr>
                </pic:pic>
              </a:graphicData>
            </a:graphic>
          </wp:anchor>
        </w:drawing>
      </w:r>
    </w:p>
    <w:tbl>
      <w:tblPr>
        <w:tblLayout w:type="fixed"/>
        <w:tblInd w:w="1700" w:type="dxa"/>
        <w:tblCellMar>
          <w:top w:w="0" w:type="dxa"/>
          <w:left w:w="0" w:type="dxa"/>
          <w:bottom w:w="0" w:type="dxa"/>
          <w:right w:w="0" w:type="dxa"/>
        </w:tblCellMar>
      </w:tblPr>
      <w:tr>
        <w:trPr>
          <w:trHeight w:val="222"/>
        </w:trPr>
        <w:tc>
          <w:tcPr>
            <w:tcW w:w="6800" w:type="dxa"/>
            <w:vAlign w:val="bottom"/>
          </w:tcPr>
          <w:p>
            <w:pPr>
              <w:spacing w:after="0"/>
              <w:rPr>
                <w:sz w:val="20"/>
                <w:szCs w:val="20"/>
                <w:color w:val="auto"/>
              </w:rPr>
            </w:pPr>
            <w:r>
              <w:rPr>
                <w:rFonts w:ascii="Arial" w:cs="Arial" w:eastAsia="Arial" w:hAnsi="Arial"/>
                <w:sz w:val="18"/>
                <w:szCs w:val="18"/>
                <w:color w:val="auto"/>
              </w:rPr>
              <w:t>Total contracted</w:t>
            </w:r>
          </w:p>
        </w:tc>
        <w:tc>
          <w:tcPr>
            <w:tcW w:w="880" w:type="dxa"/>
            <w:vAlign w:val="bottom"/>
          </w:tcPr>
          <w:p>
            <w:pPr>
              <w:jc w:val="right"/>
              <w:spacing w:after="0"/>
              <w:rPr>
                <w:sz w:val="20"/>
                <w:szCs w:val="20"/>
                <w:color w:val="auto"/>
              </w:rPr>
            </w:pPr>
            <w:r>
              <w:rPr>
                <w:rFonts w:ascii="Arial" w:cs="Arial" w:eastAsia="Arial" w:hAnsi="Arial"/>
                <w:sz w:val="18"/>
                <w:szCs w:val="18"/>
                <w:color w:val="auto"/>
              </w:rPr>
              <w:t>3,234</w:t>
            </w:r>
          </w:p>
        </w:tc>
        <w:tc>
          <w:tcPr>
            <w:tcW w:w="0" w:type="dxa"/>
            <w:vAlign w:val="bottom"/>
          </w:tcPr>
          <w:p>
            <w:pPr>
              <w:spacing w:after="0"/>
              <w:rPr>
                <w:sz w:val="1"/>
                <w:szCs w:val="1"/>
                <w:color w:val="auto"/>
              </w:rPr>
            </w:pPr>
          </w:p>
        </w:tc>
      </w:tr>
      <w:tr>
        <w:trPr>
          <w:trHeight w:val="259"/>
        </w:trPr>
        <w:tc>
          <w:tcPr>
            <w:tcW w:w="6800" w:type="dxa"/>
            <w:vAlign w:val="bottom"/>
            <w:vMerge w:val="restart"/>
          </w:tcPr>
          <w:p>
            <w:pPr>
              <w:spacing w:after="0"/>
              <w:rPr>
                <w:sz w:val="20"/>
                <w:szCs w:val="20"/>
                <w:color w:val="auto"/>
              </w:rPr>
            </w:pPr>
            <w:r>
              <w:rPr>
                <w:rFonts w:ascii="Arial" w:cs="Arial" w:eastAsia="Arial" w:hAnsi="Arial"/>
                <w:sz w:val="18"/>
                <w:szCs w:val="18"/>
                <w:color w:val="auto"/>
              </w:rPr>
              <w:t>GENERATION:</w:t>
            </w:r>
          </w:p>
        </w:tc>
        <w:tc>
          <w:tcPr>
            <w:tcW w:w="880" w:type="dxa"/>
            <w:vAlign w:val="bottom"/>
            <w:shd w:val="clear" w:color="auto" w:fill="000000"/>
          </w:tcPr>
          <w:p>
            <w:pPr>
              <w:spacing w:after="0"/>
              <w:rPr>
                <w:sz w:val="22"/>
                <w:szCs w:val="22"/>
                <w:color w:val="auto"/>
              </w:rPr>
            </w:pPr>
          </w:p>
        </w:tc>
        <w:tc>
          <w:tcPr>
            <w:tcW w:w="0" w:type="dxa"/>
            <w:vAlign w:val="bottom"/>
          </w:tcPr>
          <w:p>
            <w:pPr>
              <w:spacing w:after="0"/>
              <w:rPr>
                <w:sz w:val="1"/>
                <w:szCs w:val="1"/>
                <w:color w:val="auto"/>
              </w:rPr>
            </w:pPr>
          </w:p>
        </w:tc>
      </w:tr>
      <w:tr>
        <w:trPr>
          <w:trHeight w:val="471"/>
        </w:trPr>
        <w:tc>
          <w:tcPr>
            <w:tcW w:w="6800" w:type="dxa"/>
            <w:vAlign w:val="bottom"/>
            <w:vMerge w:val="continue"/>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6800" w:type="dxa"/>
            <w:vAlign w:val="bottom"/>
          </w:tcPr>
          <w:p>
            <w:pPr>
              <w:ind w:left="180"/>
              <w:spacing w:after="0"/>
              <w:rPr>
                <w:sz w:val="20"/>
                <w:szCs w:val="20"/>
                <w:color w:val="auto"/>
              </w:rPr>
            </w:pPr>
            <w:r>
              <w:rPr>
                <w:rFonts w:ascii="Arial" w:cs="Arial" w:eastAsia="Arial" w:hAnsi="Arial"/>
                <w:sz w:val="18"/>
                <w:szCs w:val="18"/>
                <w:color w:val="auto"/>
              </w:rPr>
              <w:t>SONGS</w:t>
            </w:r>
          </w:p>
        </w:tc>
        <w:tc>
          <w:tcPr>
            <w:tcW w:w="880" w:type="dxa"/>
            <w:vAlign w:val="bottom"/>
          </w:tcPr>
          <w:p>
            <w:pPr>
              <w:jc w:val="right"/>
              <w:spacing w:after="0"/>
              <w:rPr>
                <w:sz w:val="20"/>
                <w:szCs w:val="20"/>
                <w:color w:val="auto"/>
              </w:rPr>
            </w:pPr>
            <w:r>
              <w:rPr>
                <w:rFonts w:ascii="Arial" w:cs="Arial" w:eastAsia="Arial" w:hAnsi="Arial"/>
                <w:sz w:val="18"/>
                <w:szCs w:val="18"/>
                <w:color w:val="auto"/>
              </w:rPr>
              <w:t>430</w:t>
            </w:r>
          </w:p>
        </w:tc>
        <w:tc>
          <w:tcPr>
            <w:tcW w:w="0" w:type="dxa"/>
            <w:vAlign w:val="bottom"/>
          </w:tcPr>
          <w:p>
            <w:pPr>
              <w:spacing w:after="0"/>
              <w:rPr>
                <w:sz w:val="1"/>
                <w:szCs w:val="1"/>
                <w:color w:val="auto"/>
              </w:rPr>
            </w:pPr>
          </w:p>
        </w:tc>
      </w:tr>
      <w:tr>
        <w:trPr>
          <w:trHeight w:val="243"/>
        </w:trPr>
        <w:tc>
          <w:tcPr>
            <w:tcW w:w="6800" w:type="dxa"/>
            <w:vAlign w:val="bottom"/>
          </w:tcPr>
          <w:p>
            <w:pPr>
              <w:ind w:left="180"/>
              <w:spacing w:after="0"/>
              <w:rPr>
                <w:sz w:val="20"/>
                <w:szCs w:val="20"/>
                <w:color w:val="auto"/>
              </w:rPr>
            </w:pPr>
            <w:r>
              <w:rPr>
                <w:rFonts w:ascii="Arial" w:cs="Arial" w:eastAsia="Arial" w:hAnsi="Arial"/>
                <w:sz w:val="18"/>
                <w:szCs w:val="18"/>
                <w:color w:val="auto"/>
              </w:rPr>
              <w:t>Miramar</w:t>
            </w:r>
          </w:p>
        </w:tc>
        <w:tc>
          <w:tcPr>
            <w:tcW w:w="880" w:type="dxa"/>
            <w:vAlign w:val="bottom"/>
          </w:tcPr>
          <w:p>
            <w:pPr>
              <w:jc w:val="right"/>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59"/>
        </w:trPr>
        <w:tc>
          <w:tcPr>
            <w:tcW w:w="6800" w:type="dxa"/>
            <w:vAlign w:val="bottom"/>
            <w:vMerge w:val="restart"/>
          </w:tcPr>
          <w:p>
            <w:pPr>
              <w:spacing w:after="0"/>
              <w:rPr>
                <w:sz w:val="20"/>
                <w:szCs w:val="20"/>
                <w:color w:val="auto"/>
              </w:rPr>
            </w:pPr>
            <w:r>
              <w:rPr>
                <w:rFonts w:ascii="Arial" w:cs="Arial" w:eastAsia="Arial" w:hAnsi="Arial"/>
                <w:sz w:val="18"/>
                <w:szCs w:val="18"/>
                <w:color w:val="auto"/>
              </w:rPr>
              <w:t>Total Generation</w:t>
            </w:r>
          </w:p>
        </w:tc>
        <w:tc>
          <w:tcPr>
            <w:tcW w:w="880" w:type="dxa"/>
            <w:vAlign w:val="bottom"/>
            <w:shd w:val="clear" w:color="auto" w:fill="000000"/>
          </w:tcPr>
          <w:p>
            <w:pPr>
              <w:spacing w:after="0"/>
              <w:rPr>
                <w:sz w:val="22"/>
                <w:szCs w:val="22"/>
                <w:color w:val="auto"/>
              </w:rPr>
            </w:pPr>
          </w:p>
        </w:tc>
        <w:tc>
          <w:tcPr>
            <w:tcW w:w="0" w:type="dxa"/>
            <w:vAlign w:val="bottom"/>
          </w:tcPr>
          <w:p>
            <w:pPr>
              <w:spacing w:after="0"/>
              <w:rPr>
                <w:sz w:val="1"/>
                <w:szCs w:val="1"/>
                <w:color w:val="auto"/>
              </w:rPr>
            </w:pPr>
          </w:p>
        </w:tc>
      </w:tr>
      <w:tr>
        <w:trPr>
          <w:trHeight w:val="228"/>
        </w:trPr>
        <w:tc>
          <w:tcPr>
            <w:tcW w:w="6800" w:type="dxa"/>
            <w:vAlign w:val="bottom"/>
            <w:vMerge w:val="continue"/>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477</w:t>
            </w:r>
          </w:p>
        </w:tc>
        <w:tc>
          <w:tcPr>
            <w:tcW w:w="0" w:type="dxa"/>
            <w:vAlign w:val="bottom"/>
          </w:tcPr>
          <w:p>
            <w:pPr>
              <w:spacing w:after="0"/>
              <w:rPr>
                <w:sz w:val="1"/>
                <w:szCs w:val="1"/>
                <w:color w:val="auto"/>
              </w:rPr>
            </w:pPr>
          </w:p>
        </w:tc>
      </w:tr>
      <w:tr>
        <w:trPr>
          <w:trHeight w:val="259"/>
        </w:trPr>
        <w:tc>
          <w:tcPr>
            <w:tcW w:w="6800" w:type="dxa"/>
            <w:vAlign w:val="bottom"/>
            <w:vMerge w:val="restart"/>
          </w:tcPr>
          <w:p>
            <w:pPr>
              <w:spacing w:after="0"/>
              <w:rPr>
                <w:sz w:val="20"/>
                <w:szCs w:val="20"/>
                <w:color w:val="auto"/>
              </w:rPr>
            </w:pPr>
            <w:r>
              <w:rPr>
                <w:rFonts w:ascii="Arial" w:cs="Arial" w:eastAsia="Arial" w:hAnsi="Arial"/>
                <w:sz w:val="18"/>
                <w:szCs w:val="18"/>
                <w:color w:val="auto"/>
              </w:rPr>
              <w:t>TOTAL CONTRACTED AND GENERATION</w:t>
            </w:r>
          </w:p>
        </w:tc>
        <w:tc>
          <w:tcPr>
            <w:tcW w:w="880" w:type="dxa"/>
            <w:vAlign w:val="bottom"/>
            <w:shd w:val="clear" w:color="auto" w:fill="000000"/>
          </w:tcPr>
          <w:p>
            <w:pPr>
              <w:spacing w:after="0"/>
              <w:rPr>
                <w:sz w:val="22"/>
                <w:szCs w:val="22"/>
                <w:color w:val="auto"/>
              </w:rPr>
            </w:pPr>
          </w:p>
        </w:tc>
        <w:tc>
          <w:tcPr>
            <w:tcW w:w="0" w:type="dxa"/>
            <w:vAlign w:val="bottom"/>
          </w:tcPr>
          <w:p>
            <w:pPr>
              <w:spacing w:after="0"/>
              <w:rPr>
                <w:sz w:val="1"/>
                <w:szCs w:val="1"/>
                <w:color w:val="auto"/>
              </w:rPr>
            </w:pPr>
          </w:p>
        </w:tc>
      </w:tr>
      <w:tr>
        <w:trPr>
          <w:trHeight w:val="235"/>
        </w:trPr>
        <w:tc>
          <w:tcPr>
            <w:tcW w:w="6800" w:type="dxa"/>
            <w:vAlign w:val="bottom"/>
            <w:vMerge w:val="continue"/>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3,711</w:t>
            </w:r>
          </w:p>
        </w:tc>
        <w:tc>
          <w:tcPr>
            <w:tcW w:w="0" w:type="dxa"/>
            <w:vAlign w:val="bottom"/>
          </w:tcPr>
          <w:p>
            <w:pPr>
              <w:spacing w:after="0"/>
              <w:rPr>
                <w:sz w:val="1"/>
                <w:szCs w:val="1"/>
                <w:color w:val="auto"/>
              </w:rPr>
            </w:pPr>
          </w:p>
        </w:tc>
      </w:tr>
      <w:tr>
        <w:trPr>
          <w:trHeight w:val="251"/>
        </w:trPr>
        <w:tc>
          <w:tcPr>
            <w:tcW w:w="6800" w:type="dxa"/>
            <w:vAlign w:val="bottom"/>
          </w:tcPr>
          <w:p>
            <w:pPr>
              <w:spacing w:after="0"/>
              <w:rPr>
                <w:sz w:val="21"/>
                <w:szCs w:val="21"/>
                <w:color w:val="auto"/>
              </w:rPr>
            </w:pPr>
          </w:p>
        </w:tc>
        <w:tc>
          <w:tcPr>
            <w:tcW w:w="880" w:type="dxa"/>
            <w:vAlign w:val="bottom"/>
            <w:shd w:val="clear" w:color="auto" w:fill="000000"/>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8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800" w:type="dxa"/>
            <w:vAlign w:val="bottom"/>
          </w:tcPr>
          <w:p>
            <w:pPr>
              <w:spacing w:after="0"/>
              <w:rPr>
                <w:sz w:val="21"/>
                <w:szCs w:val="21"/>
                <w:color w:val="auto"/>
              </w:rPr>
            </w:pPr>
          </w:p>
        </w:tc>
        <w:tc>
          <w:tcPr>
            <w:tcW w:w="880" w:type="dxa"/>
            <w:vAlign w:val="bottom"/>
            <w:shd w:val="clear" w:color="auto" w:fill="000000"/>
          </w:tcPr>
          <w:p>
            <w:pPr>
              <w:spacing w:after="0"/>
              <w:rPr>
                <w:sz w:val="21"/>
                <w:szCs w:val="21"/>
                <w:color w:val="auto"/>
              </w:rPr>
            </w:pPr>
          </w:p>
        </w:tc>
        <w:tc>
          <w:tcPr>
            <w:tcW w:w="0" w:type="dxa"/>
            <w:vAlign w:val="bottom"/>
          </w:tcPr>
          <w:p>
            <w:pPr>
              <w:spacing w:after="0"/>
              <w:rPr>
                <w:sz w:val="1"/>
                <w:szCs w:val="1"/>
                <w:color w:val="auto"/>
              </w:rPr>
            </w:pPr>
          </w:p>
        </w:tc>
      </w:tr>
    </w:tbl>
    <w:p>
      <w:pPr>
        <w:spacing w:after="0" w:line="208" w:lineRule="exact"/>
        <w:rPr>
          <w:sz w:val="20"/>
          <w:szCs w:val="20"/>
          <w:color w:val="auto"/>
        </w:rPr>
      </w:pPr>
    </w:p>
    <w:p>
      <w:pPr>
        <w:ind w:right="540" w:firstLine="8"/>
        <w:spacing w:after="0" w:line="254" w:lineRule="auto"/>
        <w:tabs>
          <w:tab w:leader="none" w:pos="132" w:val="left"/>
        </w:tabs>
        <w:numPr>
          <w:ilvl w:val="0"/>
          <w:numId w:val="1"/>
        </w:numPr>
        <w:rPr>
          <w:rFonts w:ascii="Arial" w:cs="Arial" w:eastAsia="Arial" w:hAnsi="Arial"/>
          <w:sz w:val="18"/>
          <w:szCs w:val="18"/>
          <w:color w:val="auto"/>
        </w:rPr>
      </w:pPr>
      <w:r>
        <w:rPr>
          <w:rFonts w:ascii="Arial" w:cs="Arial" w:eastAsia="Arial" w:hAnsi="Arial"/>
          <w:sz w:val="18"/>
          <w:szCs w:val="18"/>
          <w:color w:val="auto"/>
        </w:rPr>
        <w:t>Effective January 1, 2007, 1,200 megawatts were reallocated to Southern California Edison (Edison) by the CPUC, as described in Note 9 of the notes to Consolidated Financial Statements.</w:t>
      </w:r>
    </w:p>
    <w:p>
      <w:pPr>
        <w:spacing w:after="0"/>
        <w:rPr>
          <w:rFonts w:ascii="Arial" w:cs="Arial" w:eastAsia="Arial" w:hAnsi="Arial"/>
          <w:sz w:val="18"/>
          <w:szCs w:val="18"/>
          <w:color w:val="auto"/>
        </w:rPr>
      </w:pPr>
      <w:r>
        <w:rPr>
          <w:rFonts w:ascii="Arial" w:cs="Arial" w:eastAsia="Arial" w:hAnsi="Arial"/>
          <w:sz w:val="18"/>
          <w:szCs w:val="18"/>
          <w:color w:val="auto"/>
        </w:rPr>
        <w:t>** Department of Water Resources</w:t>
      </w:r>
    </w:p>
    <w:p>
      <w:pPr>
        <w:spacing w:after="0" w:line="206" w:lineRule="exact"/>
        <w:rPr>
          <w:sz w:val="20"/>
          <w:szCs w:val="20"/>
          <w:color w:val="auto"/>
        </w:rPr>
      </w:pPr>
    </w:p>
    <w:p>
      <w:pPr>
        <w:jc w:val="both"/>
        <w:ind w:right="80"/>
        <w:spacing w:after="0" w:line="238" w:lineRule="auto"/>
        <w:rPr>
          <w:sz w:val="20"/>
          <w:szCs w:val="20"/>
          <w:color w:val="auto"/>
        </w:rPr>
      </w:pPr>
      <w:r>
        <w:rPr>
          <w:rFonts w:ascii="Arial" w:cs="Arial" w:eastAsia="Arial" w:hAnsi="Arial"/>
          <w:sz w:val="22"/>
          <w:szCs w:val="22"/>
          <w:color w:val="auto"/>
        </w:rPr>
        <w:t>Under the contract with PGE, SDG&amp;E pays a capacity charge plus a charge based on the amount of energy received and/or PGE's non-fuel costs. Costs under the contracts with QFs are based on SDG&amp;E's avoided cost. Charges under the remaining contracts are for firm and as-available energy and are based on the amount of energy received. The prices under these contracts are at the market value at the time the contracts were negotiated.</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SONGS</w:t>
      </w:r>
    </w:p>
    <w:p>
      <w:pPr>
        <w:spacing w:after="0" w:line="212" w:lineRule="exact"/>
        <w:rPr>
          <w:sz w:val="20"/>
          <w:szCs w:val="20"/>
          <w:color w:val="auto"/>
        </w:rPr>
      </w:pPr>
    </w:p>
    <w:p>
      <w:pPr>
        <w:jc w:val="both"/>
        <w:ind w:right="720"/>
        <w:spacing w:after="0"/>
        <w:rPr>
          <w:sz w:val="20"/>
          <w:szCs w:val="20"/>
          <w:color w:val="auto"/>
        </w:rPr>
      </w:pPr>
      <w:r>
        <w:rPr>
          <w:rFonts w:ascii="Arial" w:cs="Arial" w:eastAsia="Arial" w:hAnsi="Arial"/>
          <w:sz w:val="22"/>
          <w:szCs w:val="22"/>
          <w:color w:val="auto"/>
        </w:rPr>
        <w:t>SDG&amp;E owns 20 percent of SONGS, which is located south of San Clemente, California. SONGS consists of three nuclear generating units. The cities of Riverside and Anaheim own a total of 5 percent of Units 2 and 3. Edison owns the remaining interests and is the operator of SONGS.</w:t>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color w:val="auto"/>
        </w:rPr>
        <w:t>Unit 1 was removed from service in November 1992 when the CPUC issued a decision to permanently shut it down.</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color w:val="auto"/>
        </w:rPr>
        <w:t>Decommissioning of Unit 1 is now in progress and its spent nuclear fuel is being stored on site.</w:t>
      </w:r>
    </w:p>
    <w:p>
      <w:pPr>
        <w:spacing w:after="0" w:line="188" w:lineRule="exact"/>
        <w:rPr>
          <w:sz w:val="20"/>
          <w:szCs w:val="20"/>
          <w:color w:val="auto"/>
        </w:rPr>
      </w:pPr>
    </w:p>
    <w:p>
      <w:pPr>
        <w:ind w:right="20"/>
        <w:spacing w:after="0" w:line="251" w:lineRule="auto"/>
        <w:rPr>
          <w:sz w:val="20"/>
          <w:szCs w:val="20"/>
          <w:color w:val="auto"/>
        </w:rPr>
      </w:pPr>
      <w:r>
        <w:rPr>
          <w:rFonts w:ascii="Arial" w:cs="Arial" w:eastAsia="Arial" w:hAnsi="Arial"/>
          <w:sz w:val="22"/>
          <w:szCs w:val="22"/>
          <w:color w:val="auto"/>
        </w:rPr>
        <w:t>Units 2 and 3 began commercial operation in August 1983 and April 1984, respectively. SDG&amp;E's share of the capacity is 214 MW of Unit 2 and 216 MW of Unit 3.</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color w:val="auto"/>
        </w:rPr>
        <w:t>SDG&amp;E had fully recovered its SONGS capital investment through December 31, 2003.</w:t>
      </w:r>
    </w:p>
    <w:p>
      <w:pPr>
        <w:spacing w:after="0" w:line="206" w:lineRule="exact"/>
        <w:rPr>
          <w:sz w:val="20"/>
          <w:szCs w:val="20"/>
          <w:color w:val="auto"/>
        </w:rPr>
      </w:pPr>
    </w:p>
    <w:p>
      <w:pPr>
        <w:jc w:val="both"/>
        <w:ind w:right="120"/>
        <w:spacing w:after="0"/>
        <w:rPr>
          <w:sz w:val="20"/>
          <w:szCs w:val="20"/>
          <w:color w:val="auto"/>
        </w:rPr>
      </w:pPr>
      <w:r>
        <w:rPr>
          <w:rFonts w:ascii="Arial" w:cs="Arial" w:eastAsia="Arial" w:hAnsi="Arial"/>
          <w:sz w:val="22"/>
          <w:szCs w:val="22"/>
          <w:color w:val="auto"/>
        </w:rPr>
        <w:t>Additional information concerning the SONGS units and nuclear decommissioning is provided below, in "Environmental Matters" herein, and in "Management's Discussion and Analysis of Financial Condition and Results of Operations" and in Notes 3, 9 and 11 of the notes to Consolidated Financial Statements herein.</w:t>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Nuclear Fuel Supply</w:t>
      </w:r>
    </w:p>
    <w:p>
      <w:pPr>
        <w:spacing w:after="0" w:line="212" w:lineRule="exact"/>
        <w:rPr>
          <w:sz w:val="20"/>
          <w:szCs w:val="20"/>
          <w:color w:val="auto"/>
        </w:rPr>
      </w:pPr>
    </w:p>
    <w:p>
      <w:pPr>
        <w:ind w:right="160"/>
        <w:spacing w:after="0" w:line="238" w:lineRule="auto"/>
        <w:rPr>
          <w:sz w:val="20"/>
          <w:szCs w:val="20"/>
          <w:color w:val="auto"/>
        </w:rPr>
      </w:pPr>
      <w:r>
        <w:rPr>
          <w:rFonts w:ascii="Arial" w:cs="Arial" w:eastAsia="Arial" w:hAnsi="Arial"/>
          <w:sz w:val="22"/>
          <w:szCs w:val="22"/>
          <w:color w:val="auto"/>
        </w:rPr>
        <w:t>The nuclear fuel supply cycle includes materials and services (uranium oxide, conversion of uranium oxide to uranium hexafluoride, uranium enrichment services, and fabrication of fuel assemblies) performed by others under various contracts which extend through 2008. The availability and the cost of the various components of the nuclear-fuel cycle for SDG&amp;E's nuclear facilities in subsequent years cannot be estimated at this time.</w:t>
      </w:r>
    </w:p>
    <w:p>
      <w:pPr>
        <w:spacing w:after="0" w:line="185" w:lineRule="exact"/>
        <w:rPr>
          <w:sz w:val="20"/>
          <w:szCs w:val="20"/>
          <w:color w:val="auto"/>
        </w:rPr>
      </w:pPr>
    </w:p>
    <w:p>
      <w:pPr>
        <w:spacing w:after="0" w:line="235" w:lineRule="auto"/>
        <w:rPr>
          <w:sz w:val="20"/>
          <w:szCs w:val="20"/>
          <w:color w:val="auto"/>
        </w:rPr>
      </w:pPr>
      <w:r>
        <w:rPr>
          <w:rFonts w:ascii="Arial" w:cs="Arial" w:eastAsia="Arial" w:hAnsi="Arial"/>
          <w:sz w:val="22"/>
          <w:szCs w:val="22"/>
          <w:color w:val="auto"/>
        </w:rPr>
        <w:t>Spent fuel from SONGS is being stored on site in the independent spent fuel storage installation, where storage capacity is expected to be adequate through 2022, the expiration date of the units' NRC operating license. Pursuant to the Nuclear Waste Policy Act of 1982, SDG&amp;E entered into a contract with the U.S. Department of Energy (DOE) for spent-fuel disposal. Under the agreement, the DOE is responsible for the ultimate disposal of spent fuel from SONGS. SDG&amp;E pays the DOE a disposal fee of $1.00 per megawatt-hour of net nuclear generation, or $3 million per year. The DOE projects that it will not begin accepting spent fuel until 2010 at the earliest.</w:t>
      </w:r>
    </w:p>
    <w:p>
      <w:pPr>
        <w:spacing w:after="0" w:line="188" w:lineRule="exact"/>
        <w:rPr>
          <w:sz w:val="20"/>
          <w:szCs w:val="20"/>
          <w:color w:val="auto"/>
        </w:rPr>
      </w:pPr>
    </w:p>
    <w:p>
      <w:pPr>
        <w:ind w:right="340"/>
        <w:spacing w:after="0" w:line="251" w:lineRule="auto"/>
        <w:rPr>
          <w:sz w:val="20"/>
          <w:szCs w:val="20"/>
          <w:color w:val="auto"/>
        </w:rPr>
      </w:pPr>
      <w:r>
        <w:rPr>
          <w:rFonts w:ascii="Arial" w:cs="Arial" w:eastAsia="Arial" w:hAnsi="Arial"/>
          <w:sz w:val="22"/>
          <w:szCs w:val="22"/>
          <w:color w:val="auto"/>
        </w:rPr>
        <w:t>Additional information concerning nuclear-fuel costs and the storage and movement of spent fuel is provided in Notes 9 and 11, respectively, of the notes to Consolidated Financial Statements herein.</w:t>
      </w:r>
    </w:p>
    <w:p>
      <w:pPr>
        <w:spacing w:after="0" w:line="16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Power Pools</w:t>
      </w:r>
    </w:p>
    <w:p>
      <w:pPr>
        <w:spacing w:after="0" w:line="212" w:lineRule="exact"/>
        <w:rPr>
          <w:sz w:val="20"/>
          <w:szCs w:val="20"/>
          <w:color w:val="auto"/>
        </w:rPr>
      </w:pPr>
    </w:p>
    <w:p>
      <w:pPr>
        <w:ind w:right="240"/>
        <w:spacing w:after="0" w:line="236" w:lineRule="auto"/>
        <w:rPr>
          <w:sz w:val="20"/>
          <w:szCs w:val="20"/>
          <w:color w:val="auto"/>
        </w:rPr>
      </w:pPr>
      <w:r>
        <w:rPr>
          <w:rFonts w:ascii="Arial" w:cs="Arial" w:eastAsia="Arial" w:hAnsi="Arial"/>
          <w:sz w:val="22"/>
          <w:szCs w:val="22"/>
          <w:color w:val="auto"/>
        </w:rPr>
        <w:t>SDG&amp;E is a participant in the Western Systems Power Pool, which includes an electric-power and transmission-rate agreement with utilities and power agencies located throughout the United States and Canada. More than 270 investor-owned and municipal utilities, state and federal power agencies, energy brokers, and power marketers share power and information in order to increase efficiency and competition in the bulk power market. Participants are able to make power transactions on standardized terms that have been pre-approved by the FERC.</w:t>
      </w:r>
    </w:p>
    <w:p>
      <w:pPr>
        <w:spacing w:after="0" w:line="18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Transmission Arrangements</w:t>
      </w:r>
    </w:p>
    <w:p>
      <w:pPr>
        <w:spacing w:after="0" w:line="212" w:lineRule="exact"/>
        <w:rPr>
          <w:sz w:val="20"/>
          <w:szCs w:val="20"/>
          <w:color w:val="auto"/>
        </w:rPr>
      </w:pPr>
    </w:p>
    <w:p>
      <w:pPr>
        <w:ind w:right="440"/>
        <w:spacing w:after="0" w:line="328" w:lineRule="auto"/>
        <w:rPr>
          <w:sz w:val="20"/>
          <w:szCs w:val="20"/>
          <w:color w:val="auto"/>
        </w:rPr>
      </w:pPr>
      <w:r>
        <w:rPr>
          <w:rFonts w:ascii="Arial" w:cs="Arial" w:eastAsia="Arial" w:hAnsi="Arial"/>
          <w:sz w:val="19"/>
          <w:szCs w:val="19"/>
          <w:color w:val="auto"/>
        </w:rPr>
        <w:t>The Pacific Intertie, consisting of AC and DC transmission lines, connects the Northwest with SDG&amp;E, Pacific Gas &amp; Electric (PG&amp;E), Edison and others under an agreement that expires in July 2007. SDG&amp;E's share of the Pacific Intertie is 266 MW.</w:t>
      </w:r>
    </w:p>
    <w:p>
      <w:pPr>
        <w:sectPr>
          <w:pgSz w:w="11900" w:h="16973" w:orient="portrait"/>
          <w:cols w:equalWidth="0" w:num="1">
            <w:col w:w="11420"/>
          </w:cols>
          <w:pgMar w:left="240" w:top="185" w:right="239" w:bottom="0" w:gutter="0" w:footer="0" w:header="0"/>
        </w:sectPr>
      </w:pPr>
    </w:p>
    <w:bookmarkStart w:id="9" w:name="page10"/>
    <w:bookmarkEnd w:id="9"/>
    <w:p>
      <w:pPr>
        <w:spacing w:after="0" w:line="53" w:lineRule="exact"/>
        <w:rPr>
          <w:sz w:val="20"/>
          <w:szCs w:val="20"/>
          <w:color w:val="auto"/>
        </w:rPr>
      </w:pPr>
    </w:p>
    <w:p>
      <w:pPr>
        <w:ind w:right="220"/>
        <w:spacing w:after="0" w:line="298" w:lineRule="auto"/>
        <w:rPr>
          <w:sz w:val="20"/>
          <w:szCs w:val="20"/>
          <w:color w:val="auto"/>
        </w:rPr>
      </w:pPr>
      <w:r>
        <w:rPr>
          <w:rFonts w:ascii="Arial" w:cs="Arial" w:eastAsia="Arial" w:hAnsi="Arial"/>
          <w:sz w:val="19"/>
          <w:szCs w:val="19"/>
          <w:color w:val="auto"/>
        </w:rPr>
        <w:t>Power originating from sources utilizing the Pacific Intertie, as well as power from other sources, can be imported into SDG&amp;E's system via the Edison-SDG&amp;E interconnection at the SONGS switchyard. Five 230-kilovolt transmission lines into SDG&amp;E's system from that interconnection comprise the "South of SONGS" path, which is normally rated at 2200 MW.</w:t>
      </w:r>
    </w:p>
    <w:p>
      <w:pPr>
        <w:spacing w:after="0" w:line="132" w:lineRule="exact"/>
        <w:rPr>
          <w:sz w:val="20"/>
          <w:szCs w:val="20"/>
          <w:color w:val="auto"/>
        </w:rPr>
      </w:pPr>
    </w:p>
    <w:p>
      <w:pPr>
        <w:spacing w:after="0"/>
        <w:rPr>
          <w:sz w:val="20"/>
          <w:szCs w:val="20"/>
          <w:color w:val="auto"/>
        </w:rPr>
      </w:pPr>
      <w:r>
        <w:rPr>
          <w:rFonts w:ascii="Arial" w:cs="Arial" w:eastAsia="Arial" w:hAnsi="Arial"/>
          <w:sz w:val="22"/>
          <w:szCs w:val="22"/>
          <w:color w:val="auto"/>
        </w:rPr>
        <w:t>SDG&amp;E's 500-kilovolt Southwest Powerlink transmission line, which is shared with Arizona Public Service Company and Imperial Irrigation District, extends from Palo Verde, Arizona to San Diego. SDG&amp;E's share of the line is 970 MW, although it can be less under certain system conditions.</w:t>
      </w:r>
    </w:p>
    <w:p>
      <w:pPr>
        <w:spacing w:after="0" w:line="186" w:lineRule="exact"/>
        <w:rPr>
          <w:sz w:val="20"/>
          <w:szCs w:val="20"/>
          <w:color w:val="auto"/>
        </w:rPr>
      </w:pPr>
    </w:p>
    <w:p>
      <w:pPr>
        <w:ind w:right="40"/>
        <w:spacing w:after="0" w:line="251" w:lineRule="auto"/>
        <w:rPr>
          <w:sz w:val="20"/>
          <w:szCs w:val="20"/>
          <w:color w:val="auto"/>
        </w:rPr>
      </w:pPr>
      <w:r>
        <w:rPr>
          <w:rFonts w:ascii="Arial" w:cs="Arial" w:eastAsia="Arial" w:hAnsi="Arial"/>
          <w:sz w:val="22"/>
          <w:szCs w:val="22"/>
          <w:color w:val="auto"/>
        </w:rPr>
        <w:t>Mexico's Baja California Norte system is connected to SDG&amp;E's system via two 230-kilovolt interconnections with firm capability of 408 MW in the north to south direction and 800 MW in the south to north direction.</w:t>
      </w:r>
    </w:p>
    <w:p>
      <w:pPr>
        <w:spacing w:after="0" w:line="173" w:lineRule="exact"/>
        <w:rPr>
          <w:sz w:val="20"/>
          <w:szCs w:val="20"/>
          <w:color w:val="auto"/>
        </w:rPr>
      </w:pPr>
    </w:p>
    <w:p>
      <w:pPr>
        <w:ind w:right="80"/>
        <w:spacing w:after="0" w:line="238" w:lineRule="auto"/>
        <w:rPr>
          <w:sz w:val="20"/>
          <w:szCs w:val="20"/>
          <w:color w:val="auto"/>
        </w:rPr>
      </w:pPr>
      <w:r>
        <w:rPr>
          <w:rFonts w:ascii="Arial" w:cs="Arial" w:eastAsia="Arial" w:hAnsi="Arial"/>
          <w:sz w:val="22"/>
          <w:szCs w:val="22"/>
          <w:color w:val="auto"/>
        </w:rPr>
        <w:t>SDG&amp;E is in the planning stages for the Sunrise Powerlink, a new 500-kilovolt transmission line between the existing Imperial Valley Substation and a new Central Substation to be located within the SDG&amp;E system. The proposed rating of the Sunrise Powerlink is 1,000 MW or higher. The project is subject to CPUC approval and is estimated to cost at least $1 billion. The planned in-service date is June 2010.</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Transmission Access</w:t>
      </w:r>
    </w:p>
    <w:p>
      <w:pPr>
        <w:spacing w:after="0" w:line="212" w:lineRule="exact"/>
        <w:rPr>
          <w:sz w:val="20"/>
          <w:szCs w:val="20"/>
          <w:color w:val="auto"/>
        </w:rPr>
      </w:pPr>
    </w:p>
    <w:p>
      <w:pPr>
        <w:spacing w:after="0" w:line="238" w:lineRule="auto"/>
        <w:rPr>
          <w:sz w:val="20"/>
          <w:szCs w:val="20"/>
          <w:color w:val="auto"/>
        </w:rPr>
      </w:pPr>
      <w:r>
        <w:rPr>
          <w:rFonts w:ascii="Arial" w:cs="Arial" w:eastAsia="Arial" w:hAnsi="Arial"/>
          <w:sz w:val="22"/>
          <w:szCs w:val="22"/>
          <w:color w:val="auto"/>
        </w:rPr>
        <w:t>The National Energy Policy Act governs procedures for others' requests for transmission service. The FERC approved the California IOUs' transfer of operation and control of their transmission facilities to the Independent System Operator (ISO) in 1998. Additional information regarding the FERC, ISO and transmission issues is provided in Note 10 of the notes to Consolidated Financial Statements herein.</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RATES AND REGULATION</w:t>
      </w:r>
    </w:p>
    <w:p>
      <w:pPr>
        <w:spacing w:after="0" w:line="212" w:lineRule="exact"/>
        <w:rPr>
          <w:sz w:val="20"/>
          <w:szCs w:val="20"/>
          <w:color w:val="auto"/>
        </w:rPr>
      </w:pPr>
    </w:p>
    <w:p>
      <w:pPr>
        <w:jc w:val="both"/>
        <w:ind w:right="120"/>
        <w:spacing w:after="0" w:line="328" w:lineRule="auto"/>
        <w:rPr>
          <w:sz w:val="20"/>
          <w:szCs w:val="20"/>
          <w:color w:val="auto"/>
        </w:rPr>
      </w:pPr>
      <w:r>
        <w:rPr>
          <w:rFonts w:ascii="Arial" w:cs="Arial" w:eastAsia="Arial" w:hAnsi="Arial"/>
          <w:sz w:val="19"/>
          <w:szCs w:val="19"/>
          <w:color w:val="auto"/>
        </w:rPr>
        <w:t>Information concerning rates and regulations applicable to the company is provided in "Management's Discussion and Analysis of Financial Condition and Results of Operations" and in Notes 1, 9 and 10 of the notes to Consolidated Financial Statements herein.</w:t>
      </w:r>
    </w:p>
    <w:p>
      <w:pPr>
        <w:spacing w:after="0" w:line="9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ENVIRONMENTAL MATTERS</w:t>
      </w:r>
    </w:p>
    <w:p>
      <w:pPr>
        <w:spacing w:after="0" w:line="212" w:lineRule="exact"/>
        <w:rPr>
          <w:sz w:val="20"/>
          <w:szCs w:val="20"/>
          <w:color w:val="auto"/>
        </w:rPr>
      </w:pPr>
    </w:p>
    <w:p>
      <w:pPr>
        <w:ind w:right="560"/>
        <w:spacing w:after="0" w:line="328" w:lineRule="auto"/>
        <w:rPr>
          <w:sz w:val="20"/>
          <w:szCs w:val="20"/>
          <w:color w:val="auto"/>
        </w:rPr>
      </w:pPr>
      <w:r>
        <w:rPr>
          <w:rFonts w:ascii="Arial" w:cs="Arial" w:eastAsia="Arial" w:hAnsi="Arial"/>
          <w:sz w:val="19"/>
          <w:szCs w:val="19"/>
          <w:color w:val="auto"/>
        </w:rPr>
        <w:t>Discussions about environmental issues affecting the company are included in Note 11 of the notes to Consolidated Financial Statements herein. The following additional information should be read in conjunction with those discussions.</w:t>
      </w:r>
    </w:p>
    <w:p>
      <w:pPr>
        <w:spacing w:after="0" w:line="9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Hazardous Substances</w:t>
      </w:r>
    </w:p>
    <w:p>
      <w:pPr>
        <w:spacing w:after="0" w:line="212" w:lineRule="exact"/>
        <w:rPr>
          <w:sz w:val="20"/>
          <w:szCs w:val="20"/>
          <w:color w:val="auto"/>
        </w:rPr>
      </w:pPr>
    </w:p>
    <w:p>
      <w:pPr>
        <w:ind w:right="120"/>
        <w:spacing w:after="0" w:line="236" w:lineRule="auto"/>
        <w:rPr>
          <w:sz w:val="20"/>
          <w:szCs w:val="20"/>
          <w:color w:val="auto"/>
        </w:rPr>
      </w:pPr>
      <w:r>
        <w:rPr>
          <w:rFonts w:ascii="Arial" w:cs="Arial" w:eastAsia="Arial" w:hAnsi="Arial"/>
          <w:sz w:val="22"/>
          <w:szCs w:val="22"/>
          <w:color w:val="auto"/>
        </w:rPr>
        <w:t>In 1994, the CPUC approved the Hazardous Waste Collaborative Memorandum account, allowing California's IOUs to recover their hazardous waste cleanup costs, including those related to Superfund sites or similar sites requiring cleanup. Recovery of 90 percent of hazardous waste cleanup costs and related third-party litigation costs, and 70 percent of the related insurance-litigation expenses is permitted. In addition, the company has the opportunity to retain a percentage of any insurance recoveries to offset the 10 percent of costs not recovered in rates.</w:t>
      </w:r>
    </w:p>
    <w:p>
      <w:pPr>
        <w:spacing w:after="0" w:line="188" w:lineRule="exact"/>
        <w:rPr>
          <w:sz w:val="20"/>
          <w:szCs w:val="20"/>
          <w:color w:val="auto"/>
        </w:rPr>
      </w:pPr>
    </w:p>
    <w:p>
      <w:pPr>
        <w:ind w:right="60"/>
        <w:spacing w:after="0" w:line="235" w:lineRule="auto"/>
        <w:rPr>
          <w:sz w:val="20"/>
          <w:szCs w:val="20"/>
          <w:color w:val="auto"/>
        </w:rPr>
      </w:pPr>
      <w:r>
        <w:rPr>
          <w:rFonts w:ascii="Arial" w:cs="Arial" w:eastAsia="Arial" w:hAnsi="Arial"/>
          <w:sz w:val="22"/>
          <w:szCs w:val="22"/>
          <w:color w:val="auto"/>
        </w:rPr>
        <w:t>At December 31, 2005, the company had accrued its estimated remaining investigation and remediation liability related to hazardous waste sites, including numerous locations that had been manufactured-gas plants, of $7.2 million, of which 90 percent is authorized to be recovered through the Hazardous Waste Collaborative mechanism. This estimated cost excludes remediation costs of $10.3 million associated with SDG&amp;E's former fossil-fuel power plants. The company believes that any costs not ultimately recovered through rates, insurance or other means will not have a material adverse effect on the company's consolidated results of operations or financial position.</w:t>
      </w:r>
    </w:p>
    <w:p>
      <w:pPr>
        <w:spacing w:after="0" w:line="188" w:lineRule="exact"/>
        <w:rPr>
          <w:sz w:val="20"/>
          <w:szCs w:val="20"/>
          <w:color w:val="auto"/>
        </w:rPr>
      </w:pPr>
    </w:p>
    <w:p>
      <w:pPr>
        <w:ind w:right="80"/>
        <w:spacing w:after="0" w:line="328" w:lineRule="auto"/>
        <w:rPr>
          <w:sz w:val="20"/>
          <w:szCs w:val="20"/>
          <w:color w:val="auto"/>
        </w:rPr>
      </w:pPr>
      <w:r>
        <w:rPr>
          <w:rFonts w:ascii="Arial" w:cs="Arial" w:eastAsia="Arial" w:hAnsi="Arial"/>
          <w:sz w:val="19"/>
          <w:szCs w:val="19"/>
          <w:color w:val="auto"/>
        </w:rPr>
        <w:t>Estimated liabilities for environmental remediation are recorded when amounts are probable and estimable. Amounts authorized to be recovered in rates under the Hazardous Waste Collaborative mechanism are recorded as a regulatory asset.</w:t>
      </w:r>
    </w:p>
    <w:p>
      <w:pPr>
        <w:spacing w:after="0" w:line="9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Electric and Magnetic Fields (EMFs)</w:t>
      </w:r>
    </w:p>
    <w:p>
      <w:pPr>
        <w:spacing w:after="0" w:line="212" w:lineRule="exact"/>
        <w:rPr>
          <w:sz w:val="20"/>
          <w:szCs w:val="20"/>
          <w:color w:val="auto"/>
        </w:rPr>
      </w:pPr>
    </w:p>
    <w:p>
      <w:pPr>
        <w:ind w:right="80"/>
        <w:spacing w:after="0" w:line="277" w:lineRule="auto"/>
        <w:rPr>
          <w:sz w:val="20"/>
          <w:szCs w:val="20"/>
          <w:color w:val="auto"/>
        </w:rPr>
      </w:pPr>
      <w:r>
        <w:rPr>
          <w:rFonts w:ascii="Arial" w:cs="Arial" w:eastAsia="Arial" w:hAnsi="Arial"/>
          <w:sz w:val="19"/>
          <w:szCs w:val="19"/>
          <w:color w:val="auto"/>
        </w:rPr>
        <w:t>Although scientists continue to research the possibility that exposure to EMFs causes adverse health effects, science has not demonstrated a cause-and-effect relationship between exposure to the type of EMFs emitted by power lines and other electrical facilities and adverse health effects. Some laboratory studies suggest that such exposure creates biological effects, but those effects have not been shown to be harmful. The studies that have most concerned the public are epidemiological studies, some of which have reported a weak correlation between childhood leukemia and the proximity of homes to certain power lines and equipment. Other epidemiological studies found no correlation between estimated exposure and any disease. Scientists cannot explain why some studies using estimates of past exposure report correlations between estimated EMF levels and disease, while others do not.</w:t>
      </w:r>
    </w:p>
    <w:p>
      <w:pPr>
        <w:spacing w:after="0" w:line="153" w:lineRule="exact"/>
        <w:rPr>
          <w:sz w:val="20"/>
          <w:szCs w:val="20"/>
          <w:color w:val="auto"/>
        </w:rPr>
      </w:pPr>
    </w:p>
    <w:p>
      <w:pPr>
        <w:jc w:val="both"/>
        <w:ind w:right="540"/>
        <w:spacing w:after="0" w:line="287" w:lineRule="auto"/>
        <w:rPr>
          <w:sz w:val="20"/>
          <w:szCs w:val="20"/>
          <w:color w:val="auto"/>
        </w:rPr>
      </w:pPr>
      <w:r>
        <w:rPr>
          <w:rFonts w:ascii="Arial" w:cs="Arial" w:eastAsia="Arial" w:hAnsi="Arial"/>
          <w:sz w:val="19"/>
          <w:szCs w:val="19"/>
          <w:color w:val="auto"/>
        </w:rPr>
        <w:t>To respond to public concerns, the CPUC previously directed California IOUs to adopt a low-cost EMF-reduction policy that requires reasonable design changes to achieve noticeable reduction of EMF levels that are anticipated from new projects. The CPUC has recently reviewed the resultant policy in an Order Instituting Ratemaking and found no new scientific research to support a change to the existing policy, finding existing policy of prudent avoidance to be sufficient and reasonable.</w:t>
      </w:r>
    </w:p>
    <w:p>
      <w:pPr>
        <w:spacing w:after="0" w:line="13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Air and Water Quality</w:t>
      </w:r>
    </w:p>
    <w:p>
      <w:pPr>
        <w:spacing w:after="0" w:line="212" w:lineRule="exact"/>
        <w:rPr>
          <w:sz w:val="20"/>
          <w:szCs w:val="20"/>
          <w:color w:val="auto"/>
        </w:rPr>
      </w:pPr>
    </w:p>
    <w:p>
      <w:pPr>
        <w:ind w:right="460"/>
        <w:spacing w:after="0" w:line="251" w:lineRule="auto"/>
        <w:rPr>
          <w:sz w:val="20"/>
          <w:szCs w:val="20"/>
          <w:color w:val="auto"/>
        </w:rPr>
      </w:pPr>
      <w:r>
        <w:rPr>
          <w:rFonts w:ascii="Arial" w:cs="Arial" w:eastAsia="Arial" w:hAnsi="Arial"/>
          <w:sz w:val="22"/>
          <w:szCs w:val="22"/>
          <w:color w:val="auto"/>
        </w:rPr>
        <w:t>The transmission and distribution of natural gas require the operation of compressor stations, which are subject to increasingly stringent air-quality standards. Costs to comply with these standards are recovered in rates.</w:t>
      </w:r>
    </w:p>
    <w:p>
      <w:pPr>
        <w:sectPr>
          <w:pgSz w:w="11900" w:h="16892" w:orient="portrait"/>
          <w:cols w:equalWidth="0" w:num="1">
            <w:col w:w="11400"/>
          </w:cols>
          <w:pgMar w:left="240" w:top="118" w:right="259" w:bottom="0" w:gutter="0" w:footer="0" w:header="0"/>
        </w:sectPr>
      </w:pPr>
    </w:p>
    <w:bookmarkStart w:id="10" w:name="page11"/>
    <w:bookmarkEnd w:id="10"/>
    <w:p>
      <w:pPr>
        <w:spacing w:after="0" w:line="287" w:lineRule="auto"/>
        <w:rPr>
          <w:sz w:val="20"/>
          <w:szCs w:val="20"/>
          <w:color w:val="auto"/>
        </w:rPr>
      </w:pPr>
      <w:r>
        <w:rPr>
          <w:rFonts w:ascii="Arial" w:cs="Arial" w:eastAsia="Arial" w:hAnsi="Arial"/>
          <w:sz w:val="19"/>
          <w:szCs w:val="19"/>
          <w:color w:val="auto"/>
        </w:rPr>
        <w:t>In connection with the issuance of operating permits, SDG&amp;E and the other owners of SONGS previously reached agreement with the California Coastal Commission to mitigate the environmental damage to the marine environment attributed to the cooling-water discharge from SONGS Units 2 and 3. SDG&amp;E's share of the cost is estimated to be $34 million, of which $16 million had been incurred at December 31, 2005. Rate recovery of 50% of the remaining costs is uncertain.</w:t>
      </w:r>
    </w:p>
    <w:p>
      <w:pPr>
        <w:spacing w:after="0" w:line="13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OTHER MATTERS</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Research, Development and Demonstration (RD&amp;D)</w:t>
      </w:r>
    </w:p>
    <w:p>
      <w:pPr>
        <w:spacing w:after="0" w:line="212" w:lineRule="exact"/>
        <w:rPr>
          <w:sz w:val="20"/>
          <w:szCs w:val="20"/>
          <w:color w:val="auto"/>
        </w:rPr>
      </w:pPr>
    </w:p>
    <w:p>
      <w:pPr>
        <w:ind w:right="100"/>
        <w:spacing w:after="0" w:line="238" w:lineRule="auto"/>
        <w:rPr>
          <w:sz w:val="20"/>
          <w:szCs w:val="20"/>
          <w:color w:val="auto"/>
        </w:rPr>
      </w:pPr>
      <w:r>
        <w:rPr>
          <w:rFonts w:ascii="Arial" w:cs="Arial" w:eastAsia="Arial" w:hAnsi="Arial"/>
          <w:sz w:val="22"/>
          <w:szCs w:val="22"/>
          <w:color w:val="auto"/>
        </w:rPr>
        <w:t>Effective January 2005, a surcharge was established by the CPUC for natural gas public interest RD&amp;D. The natural gas public interest research program is administered by the CEC. For 2005, the funding level is subject to a statewide cap of $12 million. The statewide cap increases to $15 million in 2006. For 2005, SDG&amp;E funding for the natural gas public purpose RD&amp;D program was $1 million.</w:t>
      </w:r>
    </w:p>
    <w:p>
      <w:pPr>
        <w:spacing w:after="0" w:line="185" w:lineRule="exact"/>
        <w:rPr>
          <w:sz w:val="20"/>
          <w:szCs w:val="20"/>
          <w:color w:val="auto"/>
        </w:rPr>
      </w:pPr>
    </w:p>
    <w:p>
      <w:pPr>
        <w:ind w:right="840"/>
        <w:spacing w:after="0" w:line="251" w:lineRule="auto"/>
        <w:rPr>
          <w:sz w:val="20"/>
          <w:szCs w:val="20"/>
          <w:color w:val="auto"/>
        </w:rPr>
      </w:pPr>
      <w:r>
        <w:rPr>
          <w:rFonts w:ascii="Arial" w:cs="Arial" w:eastAsia="Arial" w:hAnsi="Arial"/>
          <w:sz w:val="22"/>
          <w:szCs w:val="22"/>
          <w:color w:val="auto"/>
        </w:rPr>
        <w:t>SDG&amp;E continues to fund the California Public Interest Energy Research (PIER) Program for electric research. For 2005, SDG&amp;E's funding level was $6 million for the PIER program.</w:t>
      </w:r>
    </w:p>
    <w:p>
      <w:pPr>
        <w:spacing w:after="0" w:line="16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Employees of Registrant</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color w:val="auto"/>
        </w:rPr>
        <w:t>As of December 31, 2005, the company had 4,505 employees, compared to 4,405 at December 31, 2004.</w:t>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Labor Relations</w:t>
      </w:r>
    </w:p>
    <w:p>
      <w:pPr>
        <w:spacing w:after="0" w:line="212" w:lineRule="exact"/>
        <w:rPr>
          <w:sz w:val="20"/>
          <w:szCs w:val="20"/>
          <w:color w:val="auto"/>
        </w:rPr>
      </w:pPr>
    </w:p>
    <w:p>
      <w:pPr>
        <w:ind w:right="600"/>
        <w:spacing w:after="0" w:line="251" w:lineRule="auto"/>
        <w:rPr>
          <w:sz w:val="20"/>
          <w:szCs w:val="20"/>
          <w:color w:val="auto"/>
        </w:rPr>
      </w:pPr>
      <w:r>
        <w:rPr>
          <w:rFonts w:ascii="Arial" w:cs="Arial" w:eastAsia="Arial" w:hAnsi="Arial"/>
          <w:sz w:val="22"/>
          <w:szCs w:val="22"/>
          <w:color w:val="auto"/>
        </w:rPr>
        <w:t>Certain employees at SDG&amp;E are represented by the Local 465 International Brotherhood of Electrical Workers. The current contract is in effect through August 31, 2008.</w:t>
      </w:r>
    </w:p>
    <w:p>
      <w:pPr>
        <w:spacing w:after="0" w:line="16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2. PROPERTIES</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Electric Properties</w:t>
      </w:r>
    </w:p>
    <w:p>
      <w:pPr>
        <w:spacing w:after="0" w:line="212" w:lineRule="exact"/>
        <w:rPr>
          <w:sz w:val="20"/>
          <w:szCs w:val="20"/>
          <w:color w:val="auto"/>
        </w:rPr>
      </w:pPr>
    </w:p>
    <w:p>
      <w:pPr>
        <w:spacing w:after="0" w:line="287" w:lineRule="auto"/>
        <w:rPr>
          <w:sz w:val="20"/>
          <w:szCs w:val="20"/>
          <w:color w:val="auto"/>
        </w:rPr>
      </w:pPr>
      <w:r>
        <w:rPr>
          <w:rFonts w:ascii="Arial" w:cs="Arial" w:eastAsia="Arial" w:hAnsi="Arial"/>
          <w:sz w:val="19"/>
          <w:szCs w:val="19"/>
          <w:color w:val="auto"/>
        </w:rPr>
        <w:t>SDG&amp;E's interest in SONGS is described in "Electric Resources" herein. At December 31, 2005, SDG&amp;E's electric transmission and distribution facilities included substations, and overhead and underground lines. The electric facilities are located in San Diego, Imperial and Orange counties of California and in Arizona, and consist of 1,835 miles of transmission lines and 21,601 miles of distribution lines. Periodically, various areas of the service territory require expansion to accommodate customer growth.</w:t>
      </w:r>
    </w:p>
    <w:p>
      <w:pPr>
        <w:spacing w:after="0" w:line="143" w:lineRule="exact"/>
        <w:rPr>
          <w:sz w:val="20"/>
          <w:szCs w:val="20"/>
          <w:color w:val="auto"/>
        </w:rPr>
      </w:pPr>
    </w:p>
    <w:p>
      <w:pPr>
        <w:ind w:right="80"/>
        <w:spacing w:after="0" w:line="328" w:lineRule="auto"/>
        <w:rPr>
          <w:sz w:val="20"/>
          <w:szCs w:val="20"/>
          <w:color w:val="auto"/>
        </w:rPr>
      </w:pPr>
      <w:r>
        <w:rPr>
          <w:rFonts w:ascii="Arial" w:cs="Arial" w:eastAsia="Arial" w:hAnsi="Arial"/>
          <w:sz w:val="19"/>
          <w:szCs w:val="19"/>
          <w:color w:val="auto"/>
        </w:rPr>
        <w:t>In 2005, SDG&amp;E purchased a 45-MW electric generation facility located in San Diego, California. In 2006, SDG&amp;E will purchase the 550-MW Palomar power plant, located in Escondido, California, which is being constructed by Sempra Generation.</w:t>
      </w:r>
    </w:p>
    <w:p>
      <w:pPr>
        <w:spacing w:after="0" w:line="9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Natural Gas Properties</w:t>
      </w:r>
    </w:p>
    <w:p>
      <w:pPr>
        <w:spacing w:after="0" w:line="212" w:lineRule="exact"/>
        <w:rPr>
          <w:sz w:val="20"/>
          <w:szCs w:val="20"/>
          <w:color w:val="auto"/>
        </w:rPr>
      </w:pPr>
    </w:p>
    <w:p>
      <w:pPr>
        <w:ind w:right="160"/>
        <w:spacing w:after="0"/>
        <w:rPr>
          <w:sz w:val="20"/>
          <w:szCs w:val="20"/>
          <w:color w:val="auto"/>
        </w:rPr>
      </w:pPr>
      <w:r>
        <w:rPr>
          <w:rFonts w:ascii="Arial" w:cs="Arial" w:eastAsia="Arial" w:hAnsi="Arial"/>
          <w:sz w:val="22"/>
          <w:szCs w:val="22"/>
          <w:color w:val="auto"/>
        </w:rPr>
        <w:t>At December 31, 2005, SDG&amp;E's natural gas facilities, which are located in San Diego and Riverside counties of California, consisted of the Moreno and Rainbow compressor stations, 166 miles of high pressure transmission pipelines, 8,100 miles of high and low pressure distribution mains, and 6,197 miles of service lines.</w:t>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Other Properties</w:t>
      </w:r>
    </w:p>
    <w:p>
      <w:pPr>
        <w:spacing w:after="0" w:line="212" w:lineRule="exact"/>
        <w:rPr>
          <w:sz w:val="20"/>
          <w:szCs w:val="20"/>
          <w:color w:val="auto"/>
        </w:rPr>
      </w:pPr>
    </w:p>
    <w:p>
      <w:pPr>
        <w:ind w:right="60"/>
        <w:spacing w:after="0" w:line="251" w:lineRule="auto"/>
        <w:rPr>
          <w:sz w:val="20"/>
          <w:szCs w:val="20"/>
          <w:color w:val="auto"/>
        </w:rPr>
      </w:pPr>
      <w:r>
        <w:rPr>
          <w:rFonts w:ascii="Arial" w:cs="Arial" w:eastAsia="Arial" w:hAnsi="Arial"/>
          <w:sz w:val="22"/>
          <w:szCs w:val="22"/>
          <w:color w:val="auto"/>
        </w:rPr>
        <w:t>SDG&amp;E occupies an office complex in San Diego pursuant to an operating lease ending in 2007. The lease can be renewed for two five-year periods.</w:t>
      </w:r>
    </w:p>
    <w:p>
      <w:pPr>
        <w:spacing w:after="0" w:line="173" w:lineRule="exact"/>
        <w:rPr>
          <w:sz w:val="20"/>
          <w:szCs w:val="20"/>
          <w:color w:val="auto"/>
        </w:rPr>
      </w:pPr>
    </w:p>
    <w:p>
      <w:pPr>
        <w:ind w:right="100"/>
        <w:spacing w:after="0" w:line="251" w:lineRule="auto"/>
        <w:rPr>
          <w:sz w:val="20"/>
          <w:szCs w:val="20"/>
          <w:color w:val="auto"/>
        </w:rPr>
      </w:pPr>
      <w:r>
        <w:rPr>
          <w:rFonts w:ascii="Arial" w:cs="Arial" w:eastAsia="Arial" w:hAnsi="Arial"/>
          <w:sz w:val="22"/>
          <w:szCs w:val="22"/>
          <w:color w:val="auto"/>
        </w:rPr>
        <w:t>The company owns or leases other warehouses, offices, operating and maintenance centers, shops, service facilities and equipment necessary in the conduct of its business.</w:t>
      </w:r>
    </w:p>
    <w:p>
      <w:pPr>
        <w:spacing w:after="0" w:line="16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3. LEGAL PROCEEDINGS</w:t>
      </w:r>
    </w:p>
    <w:p>
      <w:pPr>
        <w:spacing w:after="0" w:line="212" w:lineRule="exact"/>
        <w:rPr>
          <w:sz w:val="20"/>
          <w:szCs w:val="20"/>
          <w:color w:val="auto"/>
        </w:rPr>
      </w:pPr>
    </w:p>
    <w:p>
      <w:pPr>
        <w:ind w:right="320"/>
        <w:spacing w:after="0"/>
        <w:rPr>
          <w:sz w:val="20"/>
          <w:szCs w:val="20"/>
          <w:color w:val="auto"/>
        </w:rPr>
      </w:pPr>
      <w:r>
        <w:rPr>
          <w:rFonts w:ascii="Arial" w:cs="Arial" w:eastAsia="Arial" w:hAnsi="Arial"/>
          <w:sz w:val="22"/>
          <w:szCs w:val="22"/>
          <w:color w:val="auto"/>
        </w:rPr>
        <w:t>Except for the matters described in Note 11 of the notes to Consolidated Financial Statements or referred to elsewhere in this Annual Report, neither the company nor its subsidiary is party to, nor is their property the subject of, any material pending legal proceedings.</w:t>
      </w:r>
    </w:p>
    <w:p>
      <w:pPr>
        <w:spacing w:after="0" w:line="186" w:lineRule="exact"/>
        <w:rPr>
          <w:sz w:val="20"/>
          <w:szCs w:val="20"/>
          <w:color w:val="auto"/>
        </w:rPr>
      </w:pPr>
    </w:p>
    <w:p>
      <w:pPr>
        <w:ind w:right="100"/>
        <w:spacing w:after="0" w:line="247" w:lineRule="auto"/>
        <w:rPr>
          <w:sz w:val="20"/>
          <w:szCs w:val="20"/>
          <w:color w:val="auto"/>
        </w:rPr>
      </w:pPr>
      <w:r>
        <w:rPr>
          <w:rFonts w:ascii="Arial" w:cs="Arial" w:eastAsia="Arial" w:hAnsi="Arial"/>
          <w:sz w:val="21"/>
          <w:szCs w:val="21"/>
          <w:color w:val="auto"/>
        </w:rPr>
        <w:t>Sempra Energy and SDG&amp;E are defendants in a lawsuit filed by the County of San Diego seeking civil penalties for alleged violations of environmental standards applicable to the abatement, handling and disposal of asbestos-containing materials during the demolition of a natural gas storage facility in 2001. In a federal criminal indictment, SDG&amp;E and two employees have also been charged with having violated these standards and with conspiracy and making false statements to governmental authorities in connection with these matters. Sempra Energy and SDG&amp;E believe that the maximum fines and penalties that could reasonably be assessed against them with respect to these matters would not exceed $750,000. The company believes that the claims and charges are without merit and is vigorously contesting them.</w:t>
      </w:r>
    </w:p>
    <w:p>
      <w:pPr>
        <w:spacing w:after="0" w:line="172" w:lineRule="exact"/>
        <w:rPr>
          <w:sz w:val="20"/>
          <w:szCs w:val="20"/>
          <w:color w:val="auto"/>
        </w:rPr>
      </w:pPr>
    </w:p>
    <w:p>
      <w:pPr>
        <w:ind w:right="3860"/>
        <w:spacing w:after="0" w:line="461" w:lineRule="auto"/>
        <w:rPr>
          <w:sz w:val="20"/>
          <w:szCs w:val="20"/>
          <w:color w:val="auto"/>
        </w:rPr>
      </w:pPr>
      <w:r>
        <w:rPr>
          <w:rFonts w:ascii="Arial" w:cs="Arial" w:eastAsia="Arial" w:hAnsi="Arial"/>
          <w:sz w:val="22"/>
          <w:szCs w:val="22"/>
          <w:b w:val="1"/>
          <w:bCs w:val="1"/>
          <w:color w:val="auto"/>
        </w:rPr>
        <w:t xml:space="preserve">ITEM 4. SUBMISSION OF MATTERS TO A VOTE OF SECURITY HOLDERS </w:t>
      </w:r>
      <w:r>
        <w:rPr>
          <w:rFonts w:ascii="Arial" w:cs="Arial" w:eastAsia="Arial" w:hAnsi="Arial"/>
          <w:sz w:val="22"/>
          <w:szCs w:val="22"/>
          <w:color w:val="auto"/>
        </w:rPr>
        <w:t>None</w:t>
      </w:r>
    </w:p>
    <w:p>
      <w:pPr>
        <w:sectPr>
          <w:pgSz w:w="11900" w:h="16838" w:orient="portrait"/>
          <w:cols w:equalWidth="0" w:num="1">
            <w:col w:w="11400"/>
          </w:cols>
          <w:pgMar w:left="240" w:top="118" w:right="259" w:bottom="0" w:gutter="0" w:footer="0" w:header="0"/>
        </w:sectPr>
      </w:pPr>
    </w:p>
    <w:bookmarkStart w:id="11" w:name="page12"/>
    <w:bookmarkEnd w:id="11"/>
    <w:p>
      <w:pPr>
        <w:ind w:left="5320"/>
        <w:spacing w:after="0"/>
        <w:rPr>
          <w:sz w:val="20"/>
          <w:szCs w:val="20"/>
          <w:color w:val="auto"/>
        </w:rPr>
      </w:pPr>
      <w:r>
        <w:rPr>
          <w:rFonts w:ascii="Arial" w:cs="Arial" w:eastAsia="Arial" w:hAnsi="Arial"/>
          <w:sz w:val="22"/>
          <w:szCs w:val="22"/>
          <w:b w:val="1"/>
          <w:bCs w:val="1"/>
          <w:color w:val="auto"/>
        </w:rPr>
        <w:t>PART II</w:t>
      </w: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5. MARKET FOR REGISTRANT'S COMMON EQUITY AND RELATED STOCKHOLDER MATTERS</w:t>
      </w:r>
    </w:p>
    <w:p>
      <w:pPr>
        <w:spacing w:after="0" w:line="212" w:lineRule="exact"/>
        <w:rPr>
          <w:sz w:val="20"/>
          <w:szCs w:val="20"/>
          <w:color w:val="auto"/>
        </w:rPr>
      </w:pPr>
    </w:p>
    <w:p>
      <w:pPr>
        <w:spacing w:after="0" w:line="258" w:lineRule="auto"/>
        <w:rPr>
          <w:sz w:val="20"/>
          <w:szCs w:val="20"/>
          <w:color w:val="auto"/>
        </w:rPr>
      </w:pPr>
      <w:r>
        <w:rPr>
          <w:rFonts w:ascii="Arial" w:cs="Arial" w:eastAsia="Arial" w:hAnsi="Arial"/>
          <w:sz w:val="21"/>
          <w:szCs w:val="21"/>
          <w:color w:val="auto"/>
        </w:rPr>
        <w:t>All of the issued and outstanding common stock of SDG&amp;E is owned by Enova Corporation, a wholly owned subsidiary of Sempra Energy. The information required by Item 5 concerning dividend declarations is included in the "Statements of Consolidated Changes in Shareholders' Equity" set forth in Item 8 of the 2005 Annual Report to Shareholders herein.</w:t>
      </w:r>
    </w:p>
    <w:p>
      <w:pPr>
        <w:spacing w:after="0" w:line="16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6. SELECTED FINANCIAL DATA</w:t>
      </w:r>
    </w:p>
    <w:p>
      <w:pPr>
        <w:spacing w:after="0" w:line="320" w:lineRule="exact"/>
        <w:rPr>
          <w:sz w:val="20"/>
          <w:szCs w:val="20"/>
          <w:color w:val="auto"/>
        </w:rPr>
      </w:pPr>
    </w:p>
    <w:tbl>
      <w:tblPr>
        <w:tblLayout w:type="fixed"/>
        <w:tblInd w:w="1100" w:type="dxa"/>
        <w:tblCellMar>
          <w:top w:w="0" w:type="dxa"/>
          <w:left w:w="0" w:type="dxa"/>
          <w:bottom w:w="0" w:type="dxa"/>
          <w:right w:w="0" w:type="dxa"/>
        </w:tblCellMar>
      </w:tblPr>
      <w:tr>
        <w:trPr>
          <w:trHeight w:val="216"/>
        </w:trPr>
        <w:tc>
          <w:tcPr>
            <w:tcW w:w="2800" w:type="dxa"/>
            <w:vAlign w:val="bottom"/>
            <w:gridSpan w:val="2"/>
          </w:tcPr>
          <w:p>
            <w:pPr>
              <w:ind w:left="80"/>
              <w:spacing w:after="0"/>
              <w:rPr>
                <w:sz w:val="20"/>
                <w:szCs w:val="20"/>
                <w:color w:val="auto"/>
              </w:rPr>
            </w:pPr>
            <w:r>
              <w:rPr>
                <w:rFonts w:ascii="Arial" w:cs="Arial" w:eastAsia="Arial" w:hAnsi="Arial"/>
                <w:sz w:val="18"/>
                <w:szCs w:val="18"/>
                <w:color w:val="auto"/>
                <w:w w:val="93"/>
              </w:rPr>
              <w:t>(Dollars in millions, except per share</w:t>
            </w:r>
          </w:p>
        </w:tc>
        <w:tc>
          <w:tcPr>
            <w:tcW w:w="8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520" w:type="dxa"/>
            <w:vAlign w:val="bottom"/>
          </w:tcPr>
          <w:p>
            <w:pPr>
              <w:ind w:left="80"/>
              <w:spacing w:after="0"/>
              <w:rPr>
                <w:sz w:val="20"/>
                <w:szCs w:val="20"/>
                <w:color w:val="auto"/>
              </w:rPr>
            </w:pPr>
            <w:r>
              <w:rPr>
                <w:rFonts w:ascii="Arial" w:cs="Arial" w:eastAsia="Arial" w:hAnsi="Arial"/>
                <w:sz w:val="18"/>
                <w:szCs w:val="18"/>
                <w:color w:val="auto"/>
              </w:rPr>
              <w:t>amounts)</w:t>
            </w:r>
          </w:p>
        </w:tc>
        <w:tc>
          <w:tcPr>
            <w:tcW w:w="2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660" w:type="dxa"/>
            <w:vAlign w:val="bottom"/>
            <w:gridSpan w:val="5"/>
          </w:tcPr>
          <w:p>
            <w:pPr>
              <w:jc w:val="right"/>
              <w:ind w:right="252"/>
              <w:spacing w:after="0"/>
              <w:rPr>
                <w:sz w:val="20"/>
                <w:szCs w:val="20"/>
                <w:color w:val="auto"/>
              </w:rPr>
            </w:pPr>
            <w:r>
              <w:rPr>
                <w:rFonts w:ascii="Arial" w:cs="Arial" w:eastAsia="Arial" w:hAnsi="Arial"/>
                <w:sz w:val="18"/>
                <w:szCs w:val="18"/>
                <w:color w:val="auto"/>
                <w:w w:val="92"/>
              </w:rPr>
              <w:t>At December 31, or for the years then ended</w:t>
            </w:r>
          </w:p>
        </w:tc>
        <w:tc>
          <w:tcPr>
            <w:tcW w:w="0" w:type="dxa"/>
            <w:vAlign w:val="bottom"/>
          </w:tcPr>
          <w:p>
            <w:pPr>
              <w:spacing w:after="0"/>
              <w:rPr>
                <w:sz w:val="1"/>
                <w:szCs w:val="1"/>
                <w:color w:val="auto"/>
              </w:rPr>
            </w:pPr>
          </w:p>
        </w:tc>
      </w:tr>
      <w:tr>
        <w:trPr>
          <w:trHeight w:val="97"/>
        </w:trPr>
        <w:tc>
          <w:tcPr>
            <w:tcW w:w="2520" w:type="dxa"/>
            <w:vAlign w:val="bottom"/>
          </w:tcPr>
          <w:p>
            <w:pPr>
              <w:spacing w:after="0"/>
              <w:rPr>
                <w:sz w:val="8"/>
                <w:szCs w:val="8"/>
                <w:color w:val="auto"/>
              </w:rPr>
            </w:pPr>
          </w:p>
        </w:tc>
        <w:tc>
          <w:tcPr>
            <w:tcW w:w="280" w:type="dxa"/>
            <w:vAlign w:val="bottom"/>
          </w:tcPr>
          <w:p>
            <w:pPr>
              <w:spacing w:after="0"/>
              <w:rPr>
                <w:sz w:val="8"/>
                <w:szCs w:val="8"/>
                <w:color w:val="auto"/>
              </w:rPr>
            </w:pPr>
          </w:p>
        </w:tc>
        <w:tc>
          <w:tcPr>
            <w:tcW w:w="840" w:type="dxa"/>
            <w:vAlign w:val="bottom"/>
          </w:tcPr>
          <w:p>
            <w:pPr>
              <w:spacing w:after="0"/>
              <w:rPr>
                <w:sz w:val="8"/>
                <w:szCs w:val="8"/>
                <w:color w:val="auto"/>
              </w:rPr>
            </w:pPr>
          </w:p>
        </w:tc>
        <w:tc>
          <w:tcPr>
            <w:tcW w:w="540" w:type="dxa"/>
            <w:vAlign w:val="bottom"/>
          </w:tcPr>
          <w:p>
            <w:pPr>
              <w:spacing w:after="0"/>
              <w:rPr>
                <w:sz w:val="8"/>
                <w:szCs w:val="8"/>
                <w:color w:val="auto"/>
              </w:rPr>
            </w:pPr>
          </w:p>
        </w:tc>
        <w:tc>
          <w:tcPr>
            <w:tcW w:w="840" w:type="dxa"/>
            <w:vAlign w:val="bottom"/>
          </w:tcPr>
          <w:p>
            <w:pPr>
              <w:spacing w:after="0"/>
              <w:rPr>
                <w:sz w:val="8"/>
                <w:szCs w:val="8"/>
                <w:color w:val="auto"/>
              </w:rPr>
            </w:pPr>
          </w:p>
        </w:tc>
        <w:tc>
          <w:tcPr>
            <w:tcW w:w="560" w:type="dxa"/>
            <w:vAlign w:val="bottom"/>
          </w:tcPr>
          <w:p>
            <w:pPr>
              <w:spacing w:after="0"/>
              <w:rPr>
                <w:sz w:val="8"/>
                <w:szCs w:val="8"/>
                <w:color w:val="auto"/>
              </w:rPr>
            </w:pPr>
          </w:p>
        </w:tc>
        <w:tc>
          <w:tcPr>
            <w:tcW w:w="860" w:type="dxa"/>
            <w:vAlign w:val="bottom"/>
          </w:tcPr>
          <w:p>
            <w:pPr>
              <w:spacing w:after="0"/>
              <w:rPr>
                <w:sz w:val="8"/>
                <w:szCs w:val="8"/>
                <w:color w:val="auto"/>
              </w:rPr>
            </w:pPr>
          </w:p>
        </w:tc>
        <w:tc>
          <w:tcPr>
            <w:tcW w:w="540" w:type="dxa"/>
            <w:vAlign w:val="bottom"/>
          </w:tcPr>
          <w:p>
            <w:pPr>
              <w:spacing w:after="0"/>
              <w:rPr>
                <w:sz w:val="8"/>
                <w:szCs w:val="8"/>
                <w:color w:val="auto"/>
              </w:rPr>
            </w:pPr>
          </w:p>
        </w:tc>
        <w:tc>
          <w:tcPr>
            <w:tcW w:w="860" w:type="dxa"/>
            <w:vAlign w:val="bottom"/>
          </w:tcPr>
          <w:p>
            <w:pPr>
              <w:spacing w:after="0"/>
              <w:rPr>
                <w:sz w:val="8"/>
                <w:szCs w:val="8"/>
                <w:color w:val="auto"/>
              </w:rPr>
            </w:pPr>
          </w:p>
        </w:tc>
        <w:tc>
          <w:tcPr>
            <w:tcW w:w="540" w:type="dxa"/>
            <w:vAlign w:val="bottom"/>
          </w:tcPr>
          <w:p>
            <w:pPr>
              <w:spacing w:after="0"/>
              <w:rPr>
                <w:sz w:val="8"/>
                <w:szCs w:val="8"/>
                <w:color w:val="auto"/>
              </w:rPr>
            </w:pPr>
          </w:p>
        </w:tc>
        <w:tc>
          <w:tcPr>
            <w:tcW w:w="8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05"/>
        </w:trPr>
        <w:tc>
          <w:tcPr>
            <w:tcW w:w="2520" w:type="dxa"/>
            <w:vAlign w:val="bottom"/>
            <w:shd w:val="clear" w:color="auto" w:fill="000000"/>
          </w:tcPr>
          <w:p>
            <w:pPr>
              <w:spacing w:after="0"/>
              <w:rPr>
                <w:sz w:val="24"/>
                <w:szCs w:val="24"/>
                <w:color w:val="auto"/>
              </w:rPr>
            </w:pPr>
          </w:p>
        </w:tc>
        <w:tc>
          <w:tcPr>
            <w:tcW w:w="280" w:type="dxa"/>
            <w:vAlign w:val="bottom"/>
            <w:shd w:val="clear" w:color="auto" w:fill="000000"/>
          </w:tcPr>
          <w:p>
            <w:pPr>
              <w:spacing w:after="0"/>
              <w:rPr>
                <w:sz w:val="24"/>
                <w:szCs w:val="24"/>
                <w:color w:val="auto"/>
              </w:rPr>
            </w:pPr>
          </w:p>
        </w:tc>
        <w:tc>
          <w:tcPr>
            <w:tcW w:w="840" w:type="dxa"/>
            <w:vAlign w:val="bottom"/>
            <w:shd w:val="clear" w:color="auto" w:fill="000000"/>
          </w:tcPr>
          <w:p>
            <w:pPr>
              <w:spacing w:after="0"/>
              <w:rPr>
                <w:sz w:val="24"/>
                <w:szCs w:val="24"/>
                <w:color w:val="auto"/>
              </w:rPr>
            </w:pPr>
          </w:p>
        </w:tc>
        <w:tc>
          <w:tcPr>
            <w:tcW w:w="540" w:type="dxa"/>
            <w:vAlign w:val="bottom"/>
            <w:shd w:val="clear" w:color="auto" w:fill="000000"/>
          </w:tcPr>
          <w:p>
            <w:pPr>
              <w:spacing w:after="0"/>
              <w:rPr>
                <w:sz w:val="24"/>
                <w:szCs w:val="24"/>
                <w:color w:val="auto"/>
              </w:rPr>
            </w:pPr>
          </w:p>
        </w:tc>
        <w:tc>
          <w:tcPr>
            <w:tcW w:w="840" w:type="dxa"/>
            <w:vAlign w:val="bottom"/>
            <w:shd w:val="clear" w:color="auto" w:fill="000000"/>
          </w:tcPr>
          <w:p>
            <w:pPr>
              <w:spacing w:after="0"/>
              <w:rPr>
                <w:sz w:val="24"/>
                <w:szCs w:val="24"/>
                <w:color w:val="auto"/>
              </w:rPr>
            </w:pPr>
          </w:p>
        </w:tc>
        <w:tc>
          <w:tcPr>
            <w:tcW w:w="560" w:type="dxa"/>
            <w:vAlign w:val="bottom"/>
            <w:shd w:val="clear" w:color="auto" w:fill="000000"/>
          </w:tcPr>
          <w:p>
            <w:pPr>
              <w:spacing w:after="0"/>
              <w:rPr>
                <w:sz w:val="24"/>
                <w:szCs w:val="24"/>
                <w:color w:val="auto"/>
              </w:rPr>
            </w:pPr>
          </w:p>
        </w:tc>
        <w:tc>
          <w:tcPr>
            <w:tcW w:w="860" w:type="dxa"/>
            <w:vAlign w:val="bottom"/>
            <w:shd w:val="clear" w:color="auto" w:fill="000000"/>
          </w:tcPr>
          <w:p>
            <w:pPr>
              <w:spacing w:after="0"/>
              <w:rPr>
                <w:sz w:val="24"/>
                <w:szCs w:val="24"/>
                <w:color w:val="auto"/>
              </w:rPr>
            </w:pPr>
          </w:p>
        </w:tc>
        <w:tc>
          <w:tcPr>
            <w:tcW w:w="540" w:type="dxa"/>
            <w:vAlign w:val="bottom"/>
            <w:shd w:val="clear" w:color="auto" w:fill="000000"/>
          </w:tcPr>
          <w:p>
            <w:pPr>
              <w:spacing w:after="0"/>
              <w:rPr>
                <w:sz w:val="24"/>
                <w:szCs w:val="24"/>
                <w:color w:val="auto"/>
              </w:rPr>
            </w:pPr>
          </w:p>
        </w:tc>
        <w:tc>
          <w:tcPr>
            <w:tcW w:w="860" w:type="dxa"/>
            <w:vAlign w:val="bottom"/>
            <w:shd w:val="clear" w:color="auto" w:fill="000000"/>
          </w:tcPr>
          <w:p>
            <w:pPr>
              <w:spacing w:after="0"/>
              <w:rPr>
                <w:sz w:val="24"/>
                <w:szCs w:val="24"/>
                <w:color w:val="auto"/>
              </w:rPr>
            </w:pPr>
          </w:p>
        </w:tc>
        <w:tc>
          <w:tcPr>
            <w:tcW w:w="540" w:type="dxa"/>
            <w:vAlign w:val="bottom"/>
            <w:shd w:val="clear" w:color="auto" w:fill="000000"/>
          </w:tcPr>
          <w:p>
            <w:pPr>
              <w:spacing w:after="0"/>
              <w:rPr>
                <w:sz w:val="24"/>
                <w:szCs w:val="24"/>
                <w:color w:val="auto"/>
              </w:rPr>
            </w:pPr>
          </w:p>
        </w:tc>
        <w:tc>
          <w:tcPr>
            <w:tcW w:w="860" w:type="dxa"/>
            <w:vAlign w:val="bottom"/>
            <w:shd w:val="clear" w:color="auto" w:fill="000000"/>
          </w:tcPr>
          <w:p>
            <w:pPr>
              <w:spacing w:after="0"/>
              <w:rPr>
                <w:sz w:val="24"/>
                <w:szCs w:val="24"/>
                <w:color w:val="auto"/>
              </w:rPr>
            </w:pPr>
          </w:p>
        </w:tc>
        <w:tc>
          <w:tcPr>
            <w:tcW w:w="0" w:type="dxa"/>
            <w:vAlign w:val="bottom"/>
          </w:tcPr>
          <w:p>
            <w:pPr>
              <w:spacing w:after="0"/>
              <w:rPr>
                <w:sz w:val="1"/>
                <w:szCs w:val="1"/>
                <w:color w:val="auto"/>
              </w:rPr>
            </w:pPr>
          </w:p>
        </w:tc>
      </w:tr>
      <w:tr>
        <w:trPr>
          <w:trHeight w:val="336"/>
        </w:trPr>
        <w:tc>
          <w:tcPr>
            <w:tcW w:w="2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jc w:val="right"/>
              <w:ind w:right="252"/>
              <w:spacing w:after="0"/>
              <w:rPr>
                <w:sz w:val="20"/>
                <w:szCs w:val="20"/>
                <w:color w:val="auto"/>
              </w:rPr>
            </w:pPr>
            <w:r>
              <w:rPr>
                <w:rFonts w:ascii="Arial" w:cs="Arial" w:eastAsia="Arial" w:hAnsi="Arial"/>
                <w:sz w:val="18"/>
                <w:szCs w:val="18"/>
                <w:color w:val="auto"/>
              </w:rPr>
              <w:t>2005</w:t>
            </w:r>
          </w:p>
        </w:tc>
        <w:tc>
          <w:tcPr>
            <w:tcW w:w="540" w:type="dxa"/>
            <w:vAlign w:val="bottom"/>
          </w:tcPr>
          <w:p>
            <w:pPr>
              <w:spacing w:after="0"/>
              <w:rPr>
                <w:sz w:val="24"/>
                <w:szCs w:val="24"/>
                <w:color w:val="auto"/>
              </w:rPr>
            </w:pPr>
          </w:p>
        </w:tc>
        <w:tc>
          <w:tcPr>
            <w:tcW w:w="840" w:type="dxa"/>
            <w:vAlign w:val="bottom"/>
          </w:tcPr>
          <w:p>
            <w:pPr>
              <w:jc w:val="right"/>
              <w:ind w:right="252"/>
              <w:spacing w:after="0"/>
              <w:rPr>
                <w:sz w:val="20"/>
                <w:szCs w:val="20"/>
                <w:color w:val="auto"/>
              </w:rPr>
            </w:pPr>
            <w:r>
              <w:rPr>
                <w:rFonts w:ascii="Arial" w:cs="Arial" w:eastAsia="Arial" w:hAnsi="Arial"/>
                <w:sz w:val="18"/>
                <w:szCs w:val="18"/>
                <w:color w:val="auto"/>
              </w:rPr>
              <w:t>2004</w:t>
            </w:r>
          </w:p>
        </w:tc>
        <w:tc>
          <w:tcPr>
            <w:tcW w:w="560" w:type="dxa"/>
            <w:vAlign w:val="bottom"/>
          </w:tcPr>
          <w:p>
            <w:pPr>
              <w:spacing w:after="0"/>
              <w:rPr>
                <w:sz w:val="24"/>
                <w:szCs w:val="24"/>
                <w:color w:val="auto"/>
              </w:rPr>
            </w:pPr>
          </w:p>
        </w:tc>
        <w:tc>
          <w:tcPr>
            <w:tcW w:w="860" w:type="dxa"/>
            <w:vAlign w:val="bottom"/>
          </w:tcPr>
          <w:p>
            <w:pPr>
              <w:jc w:val="right"/>
              <w:ind w:right="272"/>
              <w:spacing w:after="0"/>
              <w:rPr>
                <w:sz w:val="20"/>
                <w:szCs w:val="20"/>
                <w:color w:val="auto"/>
              </w:rPr>
            </w:pPr>
            <w:r>
              <w:rPr>
                <w:rFonts w:ascii="Arial" w:cs="Arial" w:eastAsia="Arial" w:hAnsi="Arial"/>
                <w:sz w:val="18"/>
                <w:szCs w:val="18"/>
                <w:color w:val="auto"/>
              </w:rPr>
              <w:t>2003</w:t>
            </w:r>
          </w:p>
        </w:tc>
        <w:tc>
          <w:tcPr>
            <w:tcW w:w="540" w:type="dxa"/>
            <w:vAlign w:val="bottom"/>
          </w:tcPr>
          <w:p>
            <w:pPr>
              <w:spacing w:after="0"/>
              <w:rPr>
                <w:sz w:val="24"/>
                <w:szCs w:val="24"/>
                <w:color w:val="auto"/>
              </w:rPr>
            </w:pPr>
          </w:p>
        </w:tc>
        <w:tc>
          <w:tcPr>
            <w:tcW w:w="860" w:type="dxa"/>
            <w:vAlign w:val="bottom"/>
          </w:tcPr>
          <w:p>
            <w:pPr>
              <w:jc w:val="right"/>
              <w:ind w:right="252"/>
              <w:spacing w:after="0"/>
              <w:rPr>
                <w:sz w:val="20"/>
                <w:szCs w:val="20"/>
                <w:color w:val="auto"/>
              </w:rPr>
            </w:pPr>
            <w:r>
              <w:rPr>
                <w:rFonts w:ascii="Arial" w:cs="Arial" w:eastAsia="Arial" w:hAnsi="Arial"/>
                <w:sz w:val="18"/>
                <w:szCs w:val="18"/>
                <w:color w:val="auto"/>
              </w:rPr>
              <w:t>2002</w:t>
            </w:r>
          </w:p>
        </w:tc>
        <w:tc>
          <w:tcPr>
            <w:tcW w:w="540" w:type="dxa"/>
            <w:vAlign w:val="bottom"/>
          </w:tcPr>
          <w:p>
            <w:pPr>
              <w:spacing w:after="0"/>
              <w:rPr>
                <w:sz w:val="24"/>
                <w:szCs w:val="24"/>
                <w:color w:val="auto"/>
              </w:rPr>
            </w:pPr>
          </w:p>
        </w:tc>
        <w:tc>
          <w:tcPr>
            <w:tcW w:w="860" w:type="dxa"/>
            <w:vAlign w:val="bottom"/>
          </w:tcPr>
          <w:p>
            <w:pPr>
              <w:jc w:val="right"/>
              <w:ind w:right="252"/>
              <w:spacing w:after="0"/>
              <w:rPr>
                <w:sz w:val="20"/>
                <w:szCs w:val="20"/>
                <w:color w:val="auto"/>
              </w:rPr>
            </w:pPr>
            <w:r>
              <w:rPr>
                <w:rFonts w:ascii="Arial" w:cs="Arial" w:eastAsia="Arial" w:hAnsi="Arial"/>
                <w:sz w:val="18"/>
                <w:szCs w:val="18"/>
                <w:color w:val="auto"/>
              </w:rPr>
              <w:t>2001</w:t>
            </w:r>
          </w:p>
        </w:tc>
        <w:tc>
          <w:tcPr>
            <w:tcW w:w="0" w:type="dxa"/>
            <w:vAlign w:val="bottom"/>
          </w:tcPr>
          <w:p>
            <w:pPr>
              <w:spacing w:after="0"/>
              <w:rPr>
                <w:sz w:val="1"/>
                <w:szCs w:val="1"/>
                <w:color w:val="auto"/>
              </w:rPr>
            </w:pPr>
          </w:p>
        </w:tc>
      </w:tr>
      <w:tr>
        <w:trPr>
          <w:trHeight w:val="97"/>
        </w:trPr>
        <w:tc>
          <w:tcPr>
            <w:tcW w:w="2520" w:type="dxa"/>
            <w:vAlign w:val="bottom"/>
            <w:vMerge w:val="restart"/>
          </w:tcPr>
          <w:p>
            <w:pPr>
              <w:ind w:left="80"/>
              <w:spacing w:after="0"/>
              <w:rPr>
                <w:sz w:val="20"/>
                <w:szCs w:val="20"/>
                <w:color w:val="auto"/>
              </w:rPr>
            </w:pPr>
            <w:r>
              <w:rPr>
                <w:rFonts w:ascii="Arial" w:cs="Arial" w:eastAsia="Arial" w:hAnsi="Arial"/>
                <w:sz w:val="18"/>
                <w:szCs w:val="18"/>
                <w:color w:val="auto"/>
              </w:rPr>
              <w:t>Income Statement Data:</w:t>
            </w:r>
          </w:p>
        </w:tc>
        <w:tc>
          <w:tcPr>
            <w:tcW w:w="280" w:type="dxa"/>
            <w:vAlign w:val="bottom"/>
          </w:tcPr>
          <w:p>
            <w:pPr>
              <w:spacing w:after="0"/>
              <w:rPr>
                <w:sz w:val="8"/>
                <w:szCs w:val="8"/>
                <w:color w:val="auto"/>
              </w:rPr>
            </w:pPr>
          </w:p>
        </w:tc>
        <w:tc>
          <w:tcPr>
            <w:tcW w:w="840" w:type="dxa"/>
            <w:vAlign w:val="bottom"/>
          </w:tcPr>
          <w:p>
            <w:pPr>
              <w:spacing w:after="0"/>
              <w:rPr>
                <w:sz w:val="8"/>
                <w:szCs w:val="8"/>
                <w:color w:val="auto"/>
              </w:rPr>
            </w:pPr>
          </w:p>
        </w:tc>
        <w:tc>
          <w:tcPr>
            <w:tcW w:w="540" w:type="dxa"/>
            <w:vAlign w:val="bottom"/>
          </w:tcPr>
          <w:p>
            <w:pPr>
              <w:spacing w:after="0"/>
              <w:rPr>
                <w:sz w:val="8"/>
                <w:szCs w:val="8"/>
                <w:color w:val="auto"/>
              </w:rPr>
            </w:pPr>
          </w:p>
        </w:tc>
        <w:tc>
          <w:tcPr>
            <w:tcW w:w="840" w:type="dxa"/>
            <w:vAlign w:val="bottom"/>
          </w:tcPr>
          <w:p>
            <w:pPr>
              <w:spacing w:after="0"/>
              <w:rPr>
                <w:sz w:val="8"/>
                <w:szCs w:val="8"/>
                <w:color w:val="auto"/>
              </w:rPr>
            </w:pPr>
          </w:p>
        </w:tc>
        <w:tc>
          <w:tcPr>
            <w:tcW w:w="560" w:type="dxa"/>
            <w:vAlign w:val="bottom"/>
          </w:tcPr>
          <w:p>
            <w:pPr>
              <w:spacing w:after="0"/>
              <w:rPr>
                <w:sz w:val="8"/>
                <w:szCs w:val="8"/>
                <w:color w:val="auto"/>
              </w:rPr>
            </w:pPr>
          </w:p>
        </w:tc>
        <w:tc>
          <w:tcPr>
            <w:tcW w:w="860" w:type="dxa"/>
            <w:vAlign w:val="bottom"/>
          </w:tcPr>
          <w:p>
            <w:pPr>
              <w:spacing w:after="0"/>
              <w:rPr>
                <w:sz w:val="8"/>
                <w:szCs w:val="8"/>
                <w:color w:val="auto"/>
              </w:rPr>
            </w:pPr>
          </w:p>
        </w:tc>
        <w:tc>
          <w:tcPr>
            <w:tcW w:w="540" w:type="dxa"/>
            <w:vAlign w:val="bottom"/>
          </w:tcPr>
          <w:p>
            <w:pPr>
              <w:spacing w:after="0"/>
              <w:rPr>
                <w:sz w:val="8"/>
                <w:szCs w:val="8"/>
                <w:color w:val="auto"/>
              </w:rPr>
            </w:pPr>
          </w:p>
        </w:tc>
        <w:tc>
          <w:tcPr>
            <w:tcW w:w="860" w:type="dxa"/>
            <w:vAlign w:val="bottom"/>
          </w:tcPr>
          <w:p>
            <w:pPr>
              <w:spacing w:after="0"/>
              <w:rPr>
                <w:sz w:val="8"/>
                <w:szCs w:val="8"/>
                <w:color w:val="auto"/>
              </w:rPr>
            </w:pPr>
          </w:p>
        </w:tc>
        <w:tc>
          <w:tcPr>
            <w:tcW w:w="540" w:type="dxa"/>
            <w:vAlign w:val="bottom"/>
          </w:tcPr>
          <w:p>
            <w:pPr>
              <w:spacing w:after="0"/>
              <w:rPr>
                <w:sz w:val="8"/>
                <w:szCs w:val="8"/>
                <w:color w:val="auto"/>
              </w:rPr>
            </w:pPr>
          </w:p>
        </w:tc>
        <w:tc>
          <w:tcPr>
            <w:tcW w:w="8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05"/>
        </w:trPr>
        <w:tc>
          <w:tcPr>
            <w:tcW w:w="2520" w:type="dxa"/>
            <w:vAlign w:val="bottom"/>
            <w:vMerge w:val="continue"/>
          </w:tcPr>
          <w:p>
            <w:pPr>
              <w:spacing w:after="0"/>
              <w:rPr>
                <w:sz w:val="24"/>
                <w:szCs w:val="24"/>
                <w:color w:val="auto"/>
              </w:rPr>
            </w:pPr>
          </w:p>
        </w:tc>
        <w:tc>
          <w:tcPr>
            <w:tcW w:w="280" w:type="dxa"/>
            <w:vAlign w:val="bottom"/>
            <w:shd w:val="clear" w:color="auto" w:fill="000000"/>
          </w:tcPr>
          <w:p>
            <w:pPr>
              <w:spacing w:after="0"/>
              <w:rPr>
                <w:sz w:val="24"/>
                <w:szCs w:val="24"/>
                <w:color w:val="auto"/>
              </w:rPr>
            </w:pPr>
          </w:p>
        </w:tc>
        <w:tc>
          <w:tcPr>
            <w:tcW w:w="840" w:type="dxa"/>
            <w:vAlign w:val="bottom"/>
            <w:shd w:val="clear" w:color="auto" w:fill="000000"/>
          </w:tcPr>
          <w:p>
            <w:pPr>
              <w:spacing w:after="0"/>
              <w:rPr>
                <w:sz w:val="24"/>
                <w:szCs w:val="24"/>
                <w:color w:val="auto"/>
              </w:rPr>
            </w:pPr>
          </w:p>
        </w:tc>
        <w:tc>
          <w:tcPr>
            <w:tcW w:w="540" w:type="dxa"/>
            <w:vAlign w:val="bottom"/>
            <w:shd w:val="clear" w:color="auto" w:fill="000000"/>
          </w:tcPr>
          <w:p>
            <w:pPr>
              <w:spacing w:after="0"/>
              <w:rPr>
                <w:sz w:val="24"/>
                <w:szCs w:val="24"/>
                <w:color w:val="auto"/>
              </w:rPr>
            </w:pPr>
          </w:p>
        </w:tc>
        <w:tc>
          <w:tcPr>
            <w:tcW w:w="840" w:type="dxa"/>
            <w:vAlign w:val="bottom"/>
            <w:shd w:val="clear" w:color="auto" w:fill="000000"/>
          </w:tcPr>
          <w:p>
            <w:pPr>
              <w:spacing w:after="0"/>
              <w:rPr>
                <w:sz w:val="24"/>
                <w:szCs w:val="24"/>
                <w:color w:val="auto"/>
              </w:rPr>
            </w:pPr>
          </w:p>
        </w:tc>
        <w:tc>
          <w:tcPr>
            <w:tcW w:w="560" w:type="dxa"/>
            <w:vAlign w:val="bottom"/>
            <w:shd w:val="clear" w:color="auto" w:fill="000000"/>
          </w:tcPr>
          <w:p>
            <w:pPr>
              <w:spacing w:after="0"/>
              <w:rPr>
                <w:sz w:val="24"/>
                <w:szCs w:val="24"/>
                <w:color w:val="auto"/>
              </w:rPr>
            </w:pPr>
          </w:p>
        </w:tc>
        <w:tc>
          <w:tcPr>
            <w:tcW w:w="860" w:type="dxa"/>
            <w:vAlign w:val="bottom"/>
            <w:shd w:val="clear" w:color="auto" w:fill="000000"/>
          </w:tcPr>
          <w:p>
            <w:pPr>
              <w:spacing w:after="0"/>
              <w:rPr>
                <w:sz w:val="24"/>
                <w:szCs w:val="24"/>
                <w:color w:val="auto"/>
              </w:rPr>
            </w:pPr>
          </w:p>
        </w:tc>
        <w:tc>
          <w:tcPr>
            <w:tcW w:w="540" w:type="dxa"/>
            <w:vAlign w:val="bottom"/>
            <w:shd w:val="clear" w:color="auto" w:fill="000000"/>
          </w:tcPr>
          <w:p>
            <w:pPr>
              <w:spacing w:after="0"/>
              <w:rPr>
                <w:sz w:val="24"/>
                <w:szCs w:val="24"/>
                <w:color w:val="auto"/>
              </w:rPr>
            </w:pPr>
          </w:p>
        </w:tc>
        <w:tc>
          <w:tcPr>
            <w:tcW w:w="860" w:type="dxa"/>
            <w:vAlign w:val="bottom"/>
            <w:shd w:val="clear" w:color="auto" w:fill="000000"/>
          </w:tcPr>
          <w:p>
            <w:pPr>
              <w:spacing w:after="0"/>
              <w:rPr>
                <w:sz w:val="24"/>
                <w:szCs w:val="24"/>
                <w:color w:val="auto"/>
              </w:rPr>
            </w:pPr>
          </w:p>
        </w:tc>
        <w:tc>
          <w:tcPr>
            <w:tcW w:w="540" w:type="dxa"/>
            <w:vAlign w:val="bottom"/>
            <w:shd w:val="clear" w:color="auto" w:fill="000000"/>
          </w:tcPr>
          <w:p>
            <w:pPr>
              <w:spacing w:after="0"/>
              <w:rPr>
                <w:sz w:val="24"/>
                <w:szCs w:val="24"/>
                <w:color w:val="auto"/>
              </w:rPr>
            </w:pPr>
          </w:p>
        </w:tc>
        <w:tc>
          <w:tcPr>
            <w:tcW w:w="860" w:type="dxa"/>
            <w:vAlign w:val="bottom"/>
            <w:shd w:val="clear" w:color="auto" w:fill="000000"/>
          </w:tcPr>
          <w:p>
            <w:pPr>
              <w:spacing w:after="0"/>
              <w:rPr>
                <w:sz w:val="24"/>
                <w:szCs w:val="24"/>
                <w:color w:val="auto"/>
              </w:rPr>
            </w:pPr>
          </w:p>
        </w:tc>
        <w:tc>
          <w:tcPr>
            <w:tcW w:w="0" w:type="dxa"/>
            <w:vAlign w:val="bottom"/>
          </w:tcPr>
          <w:p>
            <w:pPr>
              <w:spacing w:after="0"/>
              <w:rPr>
                <w:sz w:val="1"/>
                <w:szCs w:val="1"/>
                <w:color w:val="auto"/>
              </w:rPr>
            </w:pPr>
          </w:p>
        </w:tc>
      </w:tr>
      <w:tr>
        <w:trPr>
          <w:trHeight w:val="336"/>
        </w:trPr>
        <w:tc>
          <w:tcPr>
            <w:tcW w:w="252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520" w:type="dxa"/>
            <w:vAlign w:val="bottom"/>
          </w:tcPr>
          <w:p>
            <w:pPr>
              <w:ind w:left="340"/>
              <w:spacing w:after="0"/>
              <w:rPr>
                <w:sz w:val="20"/>
                <w:szCs w:val="20"/>
                <w:color w:val="auto"/>
              </w:rPr>
            </w:pPr>
            <w:r>
              <w:rPr>
                <w:rFonts w:ascii="Arial" w:cs="Arial" w:eastAsia="Arial" w:hAnsi="Arial"/>
                <w:sz w:val="18"/>
                <w:szCs w:val="18"/>
                <w:color w:val="auto"/>
              </w:rPr>
              <w:t>Operating revenues</w:t>
            </w:r>
          </w:p>
        </w:tc>
        <w:tc>
          <w:tcPr>
            <w:tcW w:w="2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252"/>
              <w:spacing w:after="0"/>
              <w:rPr>
                <w:sz w:val="20"/>
                <w:szCs w:val="20"/>
                <w:color w:val="auto"/>
              </w:rPr>
            </w:pPr>
            <w:r>
              <w:rPr>
                <w:rFonts w:ascii="Arial" w:cs="Arial" w:eastAsia="Arial" w:hAnsi="Arial"/>
                <w:sz w:val="18"/>
                <w:szCs w:val="18"/>
                <w:color w:val="auto"/>
              </w:rPr>
              <w:t>2,512</w:t>
            </w:r>
          </w:p>
        </w:tc>
        <w:tc>
          <w:tcPr>
            <w:tcW w:w="54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252"/>
              <w:spacing w:after="0"/>
              <w:rPr>
                <w:sz w:val="20"/>
                <w:szCs w:val="20"/>
                <w:color w:val="auto"/>
              </w:rPr>
            </w:pPr>
            <w:r>
              <w:rPr>
                <w:rFonts w:ascii="Arial" w:cs="Arial" w:eastAsia="Arial" w:hAnsi="Arial"/>
                <w:sz w:val="18"/>
                <w:szCs w:val="18"/>
                <w:color w:val="auto"/>
              </w:rPr>
              <w:t>2,274</w:t>
            </w:r>
          </w:p>
        </w:tc>
        <w:tc>
          <w:tcPr>
            <w:tcW w:w="56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272"/>
              <w:spacing w:after="0"/>
              <w:rPr>
                <w:sz w:val="20"/>
                <w:szCs w:val="20"/>
                <w:color w:val="auto"/>
              </w:rPr>
            </w:pPr>
            <w:r>
              <w:rPr>
                <w:rFonts w:ascii="Arial" w:cs="Arial" w:eastAsia="Arial" w:hAnsi="Arial"/>
                <w:sz w:val="18"/>
                <w:szCs w:val="18"/>
                <w:color w:val="auto"/>
              </w:rPr>
              <w:t>2,308</w:t>
            </w:r>
          </w:p>
        </w:tc>
        <w:tc>
          <w:tcPr>
            <w:tcW w:w="54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252"/>
              <w:spacing w:after="0"/>
              <w:rPr>
                <w:sz w:val="20"/>
                <w:szCs w:val="20"/>
                <w:color w:val="auto"/>
              </w:rPr>
            </w:pPr>
            <w:r>
              <w:rPr>
                <w:rFonts w:ascii="Arial" w:cs="Arial" w:eastAsia="Arial" w:hAnsi="Arial"/>
                <w:sz w:val="18"/>
                <w:szCs w:val="18"/>
                <w:color w:val="auto"/>
              </w:rPr>
              <w:t>1,725</w:t>
            </w:r>
          </w:p>
        </w:tc>
        <w:tc>
          <w:tcPr>
            <w:tcW w:w="54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252"/>
              <w:spacing w:after="0"/>
              <w:rPr>
                <w:sz w:val="20"/>
                <w:szCs w:val="20"/>
                <w:color w:val="auto"/>
              </w:rPr>
            </w:pPr>
            <w:r>
              <w:rPr>
                <w:rFonts w:ascii="Arial" w:cs="Arial" w:eastAsia="Arial" w:hAnsi="Arial"/>
                <w:sz w:val="18"/>
                <w:szCs w:val="18"/>
                <w:color w:val="auto"/>
              </w:rPr>
              <w:t>2,359</w:t>
            </w:r>
          </w:p>
        </w:tc>
        <w:tc>
          <w:tcPr>
            <w:tcW w:w="0" w:type="dxa"/>
            <w:vAlign w:val="bottom"/>
          </w:tcPr>
          <w:p>
            <w:pPr>
              <w:spacing w:after="0"/>
              <w:rPr>
                <w:sz w:val="1"/>
                <w:szCs w:val="1"/>
                <w:color w:val="auto"/>
              </w:rPr>
            </w:pPr>
          </w:p>
        </w:tc>
      </w:tr>
      <w:tr>
        <w:trPr>
          <w:trHeight w:val="432"/>
        </w:trPr>
        <w:tc>
          <w:tcPr>
            <w:tcW w:w="2520" w:type="dxa"/>
            <w:vAlign w:val="bottom"/>
          </w:tcPr>
          <w:p>
            <w:pPr>
              <w:ind w:left="340"/>
              <w:spacing w:after="0"/>
              <w:rPr>
                <w:sz w:val="20"/>
                <w:szCs w:val="20"/>
                <w:color w:val="auto"/>
              </w:rPr>
            </w:pPr>
            <w:r>
              <w:rPr>
                <w:rFonts w:ascii="Arial" w:cs="Arial" w:eastAsia="Arial" w:hAnsi="Arial"/>
                <w:sz w:val="18"/>
                <w:szCs w:val="18"/>
                <w:color w:val="auto"/>
              </w:rPr>
              <w:t>Operating income</w:t>
            </w:r>
          </w:p>
        </w:tc>
        <w:tc>
          <w:tcPr>
            <w:tcW w:w="2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252"/>
              <w:spacing w:after="0"/>
              <w:rPr>
                <w:sz w:val="20"/>
                <w:szCs w:val="20"/>
                <w:color w:val="auto"/>
              </w:rPr>
            </w:pPr>
            <w:r>
              <w:rPr>
                <w:rFonts w:ascii="Arial" w:cs="Arial" w:eastAsia="Arial" w:hAnsi="Arial"/>
                <w:sz w:val="18"/>
                <w:szCs w:val="18"/>
                <w:color w:val="auto"/>
              </w:rPr>
              <w:t>283</w:t>
            </w:r>
          </w:p>
        </w:tc>
        <w:tc>
          <w:tcPr>
            <w:tcW w:w="54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252"/>
              <w:spacing w:after="0"/>
              <w:rPr>
                <w:sz w:val="20"/>
                <w:szCs w:val="20"/>
                <w:color w:val="auto"/>
              </w:rPr>
            </w:pPr>
            <w:r>
              <w:rPr>
                <w:rFonts w:ascii="Arial" w:cs="Arial" w:eastAsia="Arial" w:hAnsi="Arial"/>
                <w:sz w:val="18"/>
                <w:szCs w:val="18"/>
                <w:color w:val="auto"/>
              </w:rPr>
              <w:t>256</w:t>
            </w:r>
          </w:p>
        </w:tc>
        <w:tc>
          <w:tcPr>
            <w:tcW w:w="56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272"/>
              <w:spacing w:after="0"/>
              <w:rPr>
                <w:sz w:val="20"/>
                <w:szCs w:val="20"/>
                <w:color w:val="auto"/>
              </w:rPr>
            </w:pPr>
            <w:r>
              <w:rPr>
                <w:rFonts w:ascii="Arial" w:cs="Arial" w:eastAsia="Arial" w:hAnsi="Arial"/>
                <w:sz w:val="18"/>
                <w:szCs w:val="18"/>
                <w:color w:val="auto"/>
              </w:rPr>
              <w:t>388</w:t>
            </w:r>
          </w:p>
        </w:tc>
        <w:tc>
          <w:tcPr>
            <w:tcW w:w="54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252"/>
              <w:spacing w:after="0"/>
              <w:rPr>
                <w:sz w:val="20"/>
                <w:szCs w:val="20"/>
                <w:color w:val="auto"/>
              </w:rPr>
            </w:pPr>
            <w:r>
              <w:rPr>
                <w:rFonts w:ascii="Arial" w:cs="Arial" w:eastAsia="Arial" w:hAnsi="Arial"/>
                <w:sz w:val="18"/>
                <w:szCs w:val="18"/>
                <w:color w:val="auto"/>
              </w:rPr>
              <w:t>256</w:t>
            </w:r>
          </w:p>
        </w:tc>
        <w:tc>
          <w:tcPr>
            <w:tcW w:w="54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252"/>
              <w:spacing w:after="0"/>
              <w:rPr>
                <w:sz w:val="20"/>
                <w:szCs w:val="20"/>
                <w:color w:val="auto"/>
              </w:rPr>
            </w:pPr>
            <w:r>
              <w:rPr>
                <w:rFonts w:ascii="Arial" w:cs="Arial" w:eastAsia="Arial" w:hAnsi="Arial"/>
                <w:sz w:val="18"/>
                <w:szCs w:val="18"/>
                <w:color w:val="auto"/>
              </w:rPr>
              <w:t>241</w:t>
            </w:r>
          </w:p>
        </w:tc>
        <w:tc>
          <w:tcPr>
            <w:tcW w:w="0" w:type="dxa"/>
            <w:vAlign w:val="bottom"/>
          </w:tcPr>
          <w:p>
            <w:pPr>
              <w:spacing w:after="0"/>
              <w:rPr>
                <w:sz w:val="1"/>
                <w:szCs w:val="1"/>
                <w:color w:val="auto"/>
              </w:rPr>
            </w:pPr>
          </w:p>
        </w:tc>
      </w:tr>
      <w:tr>
        <w:trPr>
          <w:trHeight w:val="399"/>
        </w:trPr>
        <w:tc>
          <w:tcPr>
            <w:tcW w:w="2520" w:type="dxa"/>
            <w:vAlign w:val="bottom"/>
          </w:tcPr>
          <w:p>
            <w:pPr>
              <w:ind w:left="340"/>
              <w:spacing w:after="0"/>
              <w:rPr>
                <w:sz w:val="20"/>
                <w:szCs w:val="20"/>
                <w:color w:val="auto"/>
              </w:rPr>
            </w:pPr>
            <w:r>
              <w:rPr>
                <w:rFonts w:ascii="Arial" w:cs="Arial" w:eastAsia="Arial" w:hAnsi="Arial"/>
                <w:sz w:val="18"/>
                <w:szCs w:val="18"/>
                <w:color w:val="auto"/>
              </w:rPr>
              <w:t>Dividends on preferred</w:t>
            </w: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2520" w:type="dxa"/>
            <w:vAlign w:val="bottom"/>
          </w:tcPr>
          <w:p>
            <w:pPr>
              <w:ind w:left="340"/>
              <w:spacing w:after="0"/>
              <w:rPr>
                <w:sz w:val="20"/>
                <w:szCs w:val="20"/>
                <w:color w:val="auto"/>
              </w:rPr>
            </w:pPr>
            <w:r>
              <w:rPr>
                <w:rFonts w:ascii="Arial" w:cs="Arial" w:eastAsia="Arial" w:hAnsi="Arial"/>
                <w:sz w:val="18"/>
                <w:szCs w:val="18"/>
                <w:color w:val="auto"/>
              </w:rPr>
              <w:t>stock</w:t>
            </w:r>
          </w:p>
        </w:tc>
        <w:tc>
          <w:tcPr>
            <w:tcW w:w="2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252"/>
              <w:spacing w:after="0"/>
              <w:rPr>
                <w:sz w:val="20"/>
                <w:szCs w:val="20"/>
                <w:color w:val="auto"/>
              </w:rPr>
            </w:pPr>
            <w:r>
              <w:rPr>
                <w:rFonts w:ascii="Arial" w:cs="Arial" w:eastAsia="Arial" w:hAnsi="Arial"/>
                <w:sz w:val="18"/>
                <w:szCs w:val="18"/>
                <w:color w:val="auto"/>
              </w:rPr>
              <w:t>5</w:t>
            </w:r>
          </w:p>
        </w:tc>
        <w:tc>
          <w:tcPr>
            <w:tcW w:w="54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252"/>
              <w:spacing w:after="0"/>
              <w:rPr>
                <w:sz w:val="20"/>
                <w:szCs w:val="20"/>
                <w:color w:val="auto"/>
              </w:rPr>
            </w:pPr>
            <w:r>
              <w:rPr>
                <w:rFonts w:ascii="Arial" w:cs="Arial" w:eastAsia="Arial" w:hAnsi="Arial"/>
                <w:sz w:val="18"/>
                <w:szCs w:val="18"/>
                <w:color w:val="auto"/>
              </w:rPr>
              <w:t>5</w:t>
            </w:r>
          </w:p>
        </w:tc>
        <w:tc>
          <w:tcPr>
            <w:tcW w:w="56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272"/>
              <w:spacing w:after="0"/>
              <w:rPr>
                <w:sz w:val="20"/>
                <w:szCs w:val="20"/>
                <w:color w:val="auto"/>
              </w:rPr>
            </w:pPr>
            <w:r>
              <w:rPr>
                <w:rFonts w:ascii="Arial" w:cs="Arial" w:eastAsia="Arial" w:hAnsi="Arial"/>
                <w:sz w:val="18"/>
                <w:szCs w:val="18"/>
                <w:color w:val="auto"/>
              </w:rPr>
              <w:t>6</w:t>
            </w:r>
          </w:p>
        </w:tc>
        <w:tc>
          <w:tcPr>
            <w:tcW w:w="54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252"/>
              <w:spacing w:after="0"/>
              <w:rPr>
                <w:sz w:val="20"/>
                <w:szCs w:val="20"/>
                <w:color w:val="auto"/>
              </w:rPr>
            </w:pPr>
            <w:r>
              <w:rPr>
                <w:rFonts w:ascii="Arial" w:cs="Arial" w:eastAsia="Arial" w:hAnsi="Arial"/>
                <w:sz w:val="18"/>
                <w:szCs w:val="18"/>
                <w:color w:val="auto"/>
              </w:rPr>
              <w:t>6</w:t>
            </w:r>
          </w:p>
        </w:tc>
        <w:tc>
          <w:tcPr>
            <w:tcW w:w="54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252"/>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399"/>
        </w:trPr>
        <w:tc>
          <w:tcPr>
            <w:tcW w:w="2520" w:type="dxa"/>
            <w:vAlign w:val="bottom"/>
          </w:tcPr>
          <w:p>
            <w:pPr>
              <w:ind w:left="340"/>
              <w:spacing w:after="0"/>
              <w:rPr>
                <w:sz w:val="20"/>
                <w:szCs w:val="20"/>
                <w:color w:val="auto"/>
              </w:rPr>
            </w:pPr>
            <w:r>
              <w:rPr>
                <w:rFonts w:ascii="Arial" w:cs="Arial" w:eastAsia="Arial" w:hAnsi="Arial"/>
                <w:sz w:val="18"/>
                <w:szCs w:val="18"/>
                <w:color w:val="auto"/>
              </w:rPr>
              <w:t>Earnings applicable to</w:t>
            </w: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2520" w:type="dxa"/>
            <w:vAlign w:val="bottom"/>
          </w:tcPr>
          <w:p>
            <w:pPr>
              <w:ind w:left="340"/>
              <w:spacing w:after="0"/>
              <w:rPr>
                <w:sz w:val="20"/>
                <w:szCs w:val="20"/>
                <w:color w:val="auto"/>
              </w:rPr>
            </w:pPr>
            <w:r>
              <w:rPr>
                <w:rFonts w:ascii="Arial" w:cs="Arial" w:eastAsia="Arial" w:hAnsi="Arial"/>
                <w:sz w:val="18"/>
                <w:szCs w:val="18"/>
                <w:color w:val="auto"/>
              </w:rPr>
              <w:t>common shares</w:t>
            </w:r>
          </w:p>
        </w:tc>
        <w:tc>
          <w:tcPr>
            <w:tcW w:w="2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252"/>
              <w:spacing w:after="0"/>
              <w:rPr>
                <w:sz w:val="20"/>
                <w:szCs w:val="20"/>
                <w:color w:val="auto"/>
              </w:rPr>
            </w:pPr>
            <w:r>
              <w:rPr>
                <w:rFonts w:ascii="Arial" w:cs="Arial" w:eastAsia="Arial" w:hAnsi="Arial"/>
                <w:sz w:val="18"/>
                <w:szCs w:val="18"/>
                <w:color w:val="auto"/>
              </w:rPr>
              <w:t>262</w:t>
            </w:r>
          </w:p>
        </w:tc>
        <w:tc>
          <w:tcPr>
            <w:tcW w:w="54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252"/>
              <w:spacing w:after="0"/>
              <w:rPr>
                <w:sz w:val="20"/>
                <w:szCs w:val="20"/>
                <w:color w:val="auto"/>
              </w:rPr>
            </w:pPr>
            <w:r>
              <w:rPr>
                <w:rFonts w:ascii="Arial" w:cs="Arial" w:eastAsia="Arial" w:hAnsi="Arial"/>
                <w:sz w:val="18"/>
                <w:szCs w:val="18"/>
                <w:color w:val="auto"/>
              </w:rPr>
              <w:t>208</w:t>
            </w:r>
          </w:p>
        </w:tc>
        <w:tc>
          <w:tcPr>
            <w:tcW w:w="56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272"/>
              <w:spacing w:after="0"/>
              <w:rPr>
                <w:sz w:val="20"/>
                <w:szCs w:val="20"/>
                <w:color w:val="auto"/>
              </w:rPr>
            </w:pPr>
            <w:r>
              <w:rPr>
                <w:rFonts w:ascii="Arial" w:cs="Arial" w:eastAsia="Arial" w:hAnsi="Arial"/>
                <w:sz w:val="18"/>
                <w:szCs w:val="18"/>
                <w:color w:val="auto"/>
              </w:rPr>
              <w:t>334</w:t>
            </w:r>
          </w:p>
        </w:tc>
        <w:tc>
          <w:tcPr>
            <w:tcW w:w="54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252"/>
              <w:spacing w:after="0"/>
              <w:rPr>
                <w:sz w:val="20"/>
                <w:szCs w:val="20"/>
                <w:color w:val="auto"/>
              </w:rPr>
            </w:pPr>
            <w:r>
              <w:rPr>
                <w:rFonts w:ascii="Arial" w:cs="Arial" w:eastAsia="Arial" w:hAnsi="Arial"/>
                <w:sz w:val="18"/>
                <w:szCs w:val="18"/>
                <w:color w:val="auto"/>
              </w:rPr>
              <w:t>203</w:t>
            </w:r>
          </w:p>
        </w:tc>
        <w:tc>
          <w:tcPr>
            <w:tcW w:w="54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252"/>
              <w:spacing w:after="0"/>
              <w:rPr>
                <w:sz w:val="20"/>
                <w:szCs w:val="20"/>
                <w:color w:val="auto"/>
              </w:rPr>
            </w:pPr>
            <w:r>
              <w:rPr>
                <w:rFonts w:ascii="Arial" w:cs="Arial" w:eastAsia="Arial" w:hAnsi="Arial"/>
                <w:sz w:val="18"/>
                <w:szCs w:val="18"/>
                <w:color w:val="auto"/>
              </w:rPr>
              <w:t>177</w:t>
            </w:r>
          </w:p>
        </w:tc>
        <w:tc>
          <w:tcPr>
            <w:tcW w:w="0" w:type="dxa"/>
            <w:vAlign w:val="bottom"/>
          </w:tcPr>
          <w:p>
            <w:pPr>
              <w:spacing w:after="0"/>
              <w:rPr>
                <w:sz w:val="1"/>
                <w:szCs w:val="1"/>
                <w:color w:val="auto"/>
              </w:rPr>
            </w:pPr>
          </w:p>
        </w:tc>
      </w:tr>
      <w:tr>
        <w:trPr>
          <w:trHeight w:val="864"/>
        </w:trPr>
        <w:tc>
          <w:tcPr>
            <w:tcW w:w="2520" w:type="dxa"/>
            <w:vAlign w:val="bottom"/>
          </w:tcPr>
          <w:p>
            <w:pPr>
              <w:ind w:left="80"/>
              <w:spacing w:after="0"/>
              <w:rPr>
                <w:sz w:val="20"/>
                <w:szCs w:val="20"/>
                <w:color w:val="auto"/>
              </w:rPr>
            </w:pPr>
            <w:r>
              <w:rPr>
                <w:rFonts w:ascii="Arial" w:cs="Arial" w:eastAsia="Arial" w:hAnsi="Arial"/>
                <w:sz w:val="18"/>
                <w:szCs w:val="18"/>
                <w:color w:val="auto"/>
              </w:rPr>
              <w:t>Balance Sheet Data:</w:t>
            </w: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520" w:type="dxa"/>
            <w:vAlign w:val="bottom"/>
          </w:tcPr>
          <w:p>
            <w:pPr>
              <w:ind w:left="340"/>
              <w:spacing w:after="0"/>
              <w:rPr>
                <w:sz w:val="20"/>
                <w:szCs w:val="20"/>
                <w:color w:val="auto"/>
              </w:rPr>
            </w:pPr>
            <w:r>
              <w:rPr>
                <w:rFonts w:ascii="Arial" w:cs="Arial" w:eastAsia="Arial" w:hAnsi="Arial"/>
                <w:sz w:val="18"/>
                <w:szCs w:val="18"/>
                <w:color w:val="auto"/>
              </w:rPr>
              <w:t>Total assets</w:t>
            </w:r>
          </w:p>
        </w:tc>
        <w:tc>
          <w:tcPr>
            <w:tcW w:w="2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252"/>
              <w:spacing w:after="0"/>
              <w:rPr>
                <w:sz w:val="20"/>
                <w:szCs w:val="20"/>
                <w:color w:val="auto"/>
              </w:rPr>
            </w:pPr>
            <w:r>
              <w:rPr>
                <w:rFonts w:ascii="Arial" w:cs="Arial" w:eastAsia="Arial" w:hAnsi="Arial"/>
                <w:sz w:val="18"/>
                <w:szCs w:val="18"/>
                <w:color w:val="auto"/>
              </w:rPr>
              <w:t>7,492</w:t>
            </w:r>
          </w:p>
        </w:tc>
        <w:tc>
          <w:tcPr>
            <w:tcW w:w="54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252"/>
              <w:spacing w:after="0"/>
              <w:rPr>
                <w:sz w:val="20"/>
                <w:szCs w:val="20"/>
                <w:color w:val="auto"/>
              </w:rPr>
            </w:pPr>
            <w:r>
              <w:rPr>
                <w:rFonts w:ascii="Arial" w:cs="Arial" w:eastAsia="Arial" w:hAnsi="Arial"/>
                <w:sz w:val="18"/>
                <w:szCs w:val="18"/>
                <w:color w:val="auto"/>
              </w:rPr>
              <w:t>6,834</w:t>
            </w:r>
          </w:p>
        </w:tc>
        <w:tc>
          <w:tcPr>
            <w:tcW w:w="56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272"/>
              <w:spacing w:after="0"/>
              <w:rPr>
                <w:sz w:val="20"/>
                <w:szCs w:val="20"/>
                <w:color w:val="auto"/>
              </w:rPr>
            </w:pPr>
            <w:r>
              <w:rPr>
                <w:rFonts w:ascii="Arial" w:cs="Arial" w:eastAsia="Arial" w:hAnsi="Arial"/>
                <w:sz w:val="18"/>
                <w:szCs w:val="18"/>
                <w:color w:val="auto"/>
              </w:rPr>
              <w:t>6,461</w:t>
            </w:r>
          </w:p>
        </w:tc>
        <w:tc>
          <w:tcPr>
            <w:tcW w:w="54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252"/>
              <w:spacing w:after="0"/>
              <w:rPr>
                <w:sz w:val="20"/>
                <w:szCs w:val="20"/>
                <w:color w:val="auto"/>
              </w:rPr>
            </w:pPr>
            <w:r>
              <w:rPr>
                <w:rFonts w:ascii="Arial" w:cs="Arial" w:eastAsia="Arial" w:hAnsi="Arial"/>
                <w:sz w:val="18"/>
                <w:szCs w:val="18"/>
                <w:color w:val="auto"/>
              </w:rPr>
              <w:t>6,285</w:t>
            </w:r>
          </w:p>
        </w:tc>
        <w:tc>
          <w:tcPr>
            <w:tcW w:w="54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252"/>
              <w:spacing w:after="0"/>
              <w:rPr>
                <w:sz w:val="20"/>
                <w:szCs w:val="20"/>
                <w:color w:val="auto"/>
              </w:rPr>
            </w:pPr>
            <w:r>
              <w:rPr>
                <w:rFonts w:ascii="Arial" w:cs="Arial" w:eastAsia="Arial" w:hAnsi="Arial"/>
                <w:sz w:val="18"/>
                <w:szCs w:val="18"/>
                <w:color w:val="auto"/>
              </w:rPr>
              <w:t>6,542</w:t>
            </w:r>
          </w:p>
        </w:tc>
        <w:tc>
          <w:tcPr>
            <w:tcW w:w="0" w:type="dxa"/>
            <w:vAlign w:val="bottom"/>
          </w:tcPr>
          <w:p>
            <w:pPr>
              <w:spacing w:after="0"/>
              <w:rPr>
                <w:sz w:val="1"/>
                <w:szCs w:val="1"/>
                <w:color w:val="auto"/>
              </w:rPr>
            </w:pPr>
          </w:p>
        </w:tc>
      </w:tr>
      <w:tr>
        <w:trPr>
          <w:trHeight w:val="432"/>
        </w:trPr>
        <w:tc>
          <w:tcPr>
            <w:tcW w:w="2520" w:type="dxa"/>
            <w:vAlign w:val="bottom"/>
          </w:tcPr>
          <w:p>
            <w:pPr>
              <w:ind w:left="340"/>
              <w:spacing w:after="0"/>
              <w:rPr>
                <w:sz w:val="20"/>
                <w:szCs w:val="20"/>
                <w:color w:val="auto"/>
              </w:rPr>
            </w:pPr>
            <w:r>
              <w:rPr>
                <w:rFonts w:ascii="Arial" w:cs="Arial" w:eastAsia="Arial" w:hAnsi="Arial"/>
                <w:sz w:val="18"/>
                <w:szCs w:val="18"/>
                <w:color w:val="auto"/>
              </w:rPr>
              <w:t>Long-term debt</w:t>
            </w:r>
          </w:p>
        </w:tc>
        <w:tc>
          <w:tcPr>
            <w:tcW w:w="2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252"/>
              <w:spacing w:after="0"/>
              <w:rPr>
                <w:sz w:val="20"/>
                <w:szCs w:val="20"/>
                <w:color w:val="auto"/>
              </w:rPr>
            </w:pPr>
            <w:r>
              <w:rPr>
                <w:rFonts w:ascii="Arial" w:cs="Arial" w:eastAsia="Arial" w:hAnsi="Arial"/>
                <w:sz w:val="18"/>
                <w:szCs w:val="18"/>
                <w:color w:val="auto"/>
              </w:rPr>
              <w:t>1,455</w:t>
            </w:r>
          </w:p>
        </w:tc>
        <w:tc>
          <w:tcPr>
            <w:tcW w:w="54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252"/>
              <w:spacing w:after="0"/>
              <w:rPr>
                <w:sz w:val="20"/>
                <w:szCs w:val="20"/>
                <w:color w:val="auto"/>
              </w:rPr>
            </w:pPr>
            <w:r>
              <w:rPr>
                <w:rFonts w:ascii="Arial" w:cs="Arial" w:eastAsia="Arial" w:hAnsi="Arial"/>
                <w:sz w:val="18"/>
                <w:szCs w:val="18"/>
                <w:color w:val="auto"/>
              </w:rPr>
              <w:t>1,022</w:t>
            </w:r>
          </w:p>
        </w:tc>
        <w:tc>
          <w:tcPr>
            <w:tcW w:w="56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272"/>
              <w:spacing w:after="0"/>
              <w:rPr>
                <w:sz w:val="20"/>
                <w:szCs w:val="20"/>
                <w:color w:val="auto"/>
              </w:rPr>
            </w:pPr>
            <w:r>
              <w:rPr>
                <w:rFonts w:ascii="Arial" w:cs="Arial" w:eastAsia="Arial" w:hAnsi="Arial"/>
                <w:sz w:val="18"/>
                <w:szCs w:val="18"/>
                <w:color w:val="auto"/>
              </w:rPr>
              <w:t>1,087</w:t>
            </w:r>
          </w:p>
        </w:tc>
        <w:tc>
          <w:tcPr>
            <w:tcW w:w="54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252"/>
              <w:spacing w:after="0"/>
              <w:rPr>
                <w:sz w:val="20"/>
                <w:szCs w:val="20"/>
                <w:color w:val="auto"/>
              </w:rPr>
            </w:pPr>
            <w:r>
              <w:rPr>
                <w:rFonts w:ascii="Arial" w:cs="Arial" w:eastAsia="Arial" w:hAnsi="Arial"/>
                <w:sz w:val="18"/>
                <w:szCs w:val="18"/>
                <w:color w:val="auto"/>
              </w:rPr>
              <w:t>1,153</w:t>
            </w:r>
          </w:p>
        </w:tc>
        <w:tc>
          <w:tcPr>
            <w:tcW w:w="54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252"/>
              <w:spacing w:after="0"/>
              <w:rPr>
                <w:sz w:val="20"/>
                <w:szCs w:val="20"/>
                <w:color w:val="auto"/>
              </w:rPr>
            </w:pPr>
            <w:r>
              <w:rPr>
                <w:rFonts w:ascii="Arial" w:cs="Arial" w:eastAsia="Arial" w:hAnsi="Arial"/>
                <w:sz w:val="18"/>
                <w:szCs w:val="18"/>
                <w:color w:val="auto"/>
              </w:rPr>
              <w:t>1,229</w:t>
            </w:r>
          </w:p>
        </w:tc>
        <w:tc>
          <w:tcPr>
            <w:tcW w:w="0" w:type="dxa"/>
            <w:vAlign w:val="bottom"/>
          </w:tcPr>
          <w:p>
            <w:pPr>
              <w:spacing w:after="0"/>
              <w:rPr>
                <w:sz w:val="1"/>
                <w:szCs w:val="1"/>
                <w:color w:val="auto"/>
              </w:rPr>
            </w:pPr>
          </w:p>
        </w:tc>
      </w:tr>
      <w:tr>
        <w:trPr>
          <w:trHeight w:val="432"/>
        </w:trPr>
        <w:tc>
          <w:tcPr>
            <w:tcW w:w="2520" w:type="dxa"/>
            <w:vAlign w:val="bottom"/>
          </w:tcPr>
          <w:p>
            <w:pPr>
              <w:ind w:left="340"/>
              <w:spacing w:after="0"/>
              <w:rPr>
                <w:sz w:val="20"/>
                <w:szCs w:val="20"/>
                <w:color w:val="auto"/>
              </w:rPr>
            </w:pPr>
            <w:r>
              <w:rPr>
                <w:rFonts w:ascii="Arial" w:cs="Arial" w:eastAsia="Arial" w:hAnsi="Arial"/>
                <w:sz w:val="18"/>
                <w:szCs w:val="18"/>
                <w:color w:val="auto"/>
              </w:rPr>
              <w:t>Short-term debt (a)</w:t>
            </w:r>
          </w:p>
        </w:tc>
        <w:tc>
          <w:tcPr>
            <w:tcW w:w="2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252"/>
              <w:spacing w:after="0"/>
              <w:rPr>
                <w:sz w:val="20"/>
                <w:szCs w:val="20"/>
                <w:color w:val="auto"/>
              </w:rPr>
            </w:pPr>
            <w:r>
              <w:rPr>
                <w:rFonts w:ascii="Arial" w:cs="Arial" w:eastAsia="Arial" w:hAnsi="Arial"/>
                <w:sz w:val="18"/>
                <w:szCs w:val="18"/>
                <w:color w:val="auto"/>
              </w:rPr>
              <w:t>66</w:t>
            </w:r>
          </w:p>
        </w:tc>
        <w:tc>
          <w:tcPr>
            <w:tcW w:w="54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252"/>
              <w:spacing w:after="0"/>
              <w:rPr>
                <w:sz w:val="20"/>
                <w:szCs w:val="20"/>
                <w:color w:val="auto"/>
              </w:rPr>
            </w:pPr>
            <w:r>
              <w:rPr>
                <w:rFonts w:ascii="Arial" w:cs="Arial" w:eastAsia="Arial" w:hAnsi="Arial"/>
                <w:sz w:val="18"/>
                <w:szCs w:val="18"/>
                <w:color w:val="auto"/>
              </w:rPr>
              <w:t>66</w:t>
            </w:r>
          </w:p>
        </w:tc>
        <w:tc>
          <w:tcPr>
            <w:tcW w:w="56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272"/>
              <w:spacing w:after="0"/>
              <w:rPr>
                <w:sz w:val="20"/>
                <w:szCs w:val="20"/>
                <w:color w:val="auto"/>
              </w:rPr>
            </w:pPr>
            <w:r>
              <w:rPr>
                <w:rFonts w:ascii="Arial" w:cs="Arial" w:eastAsia="Arial" w:hAnsi="Arial"/>
                <w:sz w:val="18"/>
                <w:szCs w:val="18"/>
                <w:color w:val="auto"/>
              </w:rPr>
              <w:t>66</w:t>
            </w:r>
          </w:p>
        </w:tc>
        <w:tc>
          <w:tcPr>
            <w:tcW w:w="54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252"/>
              <w:spacing w:after="0"/>
              <w:rPr>
                <w:sz w:val="20"/>
                <w:szCs w:val="20"/>
                <w:color w:val="auto"/>
              </w:rPr>
            </w:pPr>
            <w:r>
              <w:rPr>
                <w:rFonts w:ascii="Arial" w:cs="Arial" w:eastAsia="Arial" w:hAnsi="Arial"/>
                <w:sz w:val="18"/>
                <w:szCs w:val="18"/>
                <w:color w:val="auto"/>
              </w:rPr>
              <w:t>66</w:t>
            </w:r>
          </w:p>
        </w:tc>
        <w:tc>
          <w:tcPr>
            <w:tcW w:w="54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252"/>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399"/>
        </w:trPr>
        <w:tc>
          <w:tcPr>
            <w:tcW w:w="2520" w:type="dxa"/>
            <w:vAlign w:val="bottom"/>
          </w:tcPr>
          <w:p>
            <w:pPr>
              <w:ind w:left="340"/>
              <w:spacing w:after="0"/>
              <w:rPr>
                <w:sz w:val="20"/>
                <w:szCs w:val="20"/>
                <w:color w:val="auto"/>
              </w:rPr>
            </w:pPr>
            <w:r>
              <w:rPr>
                <w:rFonts w:ascii="Arial" w:cs="Arial" w:eastAsia="Arial" w:hAnsi="Arial"/>
                <w:sz w:val="18"/>
                <w:szCs w:val="18"/>
                <w:color w:val="auto"/>
              </w:rPr>
              <w:t>Preferred stock subject to</w:t>
            </w: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520" w:type="dxa"/>
            <w:vAlign w:val="bottom"/>
          </w:tcPr>
          <w:p>
            <w:pPr>
              <w:ind w:left="340"/>
              <w:spacing w:after="0"/>
              <w:rPr>
                <w:sz w:val="20"/>
                <w:szCs w:val="20"/>
                <w:color w:val="auto"/>
              </w:rPr>
            </w:pPr>
            <w:r>
              <w:rPr>
                <w:rFonts w:ascii="Arial" w:cs="Arial" w:eastAsia="Arial" w:hAnsi="Arial"/>
                <w:sz w:val="18"/>
                <w:szCs w:val="18"/>
                <w:color w:val="auto"/>
              </w:rPr>
              <w:t>mandatory redemption</w:t>
            </w: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520" w:type="dxa"/>
            <w:vAlign w:val="bottom"/>
          </w:tcPr>
          <w:p>
            <w:pPr>
              <w:ind w:left="340"/>
              <w:spacing w:after="0"/>
              <w:rPr>
                <w:sz w:val="20"/>
                <w:szCs w:val="20"/>
                <w:color w:val="auto"/>
              </w:rPr>
            </w:pPr>
            <w:r>
              <w:rPr>
                <w:rFonts w:ascii="Arial" w:cs="Arial" w:eastAsia="Arial" w:hAnsi="Arial"/>
                <w:sz w:val="18"/>
                <w:szCs w:val="18"/>
                <w:color w:val="auto"/>
              </w:rPr>
              <w:t>(b)</w:t>
            </w:r>
          </w:p>
        </w:tc>
        <w:tc>
          <w:tcPr>
            <w:tcW w:w="2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252"/>
              <w:spacing w:after="0"/>
              <w:rPr>
                <w:sz w:val="20"/>
                <w:szCs w:val="20"/>
                <w:color w:val="auto"/>
              </w:rPr>
            </w:pPr>
            <w:r>
              <w:rPr>
                <w:rFonts w:ascii="Arial" w:cs="Arial" w:eastAsia="Arial" w:hAnsi="Arial"/>
                <w:sz w:val="18"/>
                <w:szCs w:val="18"/>
                <w:color w:val="auto"/>
              </w:rPr>
              <w:t>--</w:t>
            </w:r>
          </w:p>
        </w:tc>
        <w:tc>
          <w:tcPr>
            <w:tcW w:w="54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252"/>
              <w:spacing w:after="0"/>
              <w:rPr>
                <w:sz w:val="20"/>
                <w:szCs w:val="20"/>
                <w:color w:val="auto"/>
              </w:rPr>
            </w:pPr>
            <w:r>
              <w:rPr>
                <w:rFonts w:ascii="Arial" w:cs="Arial" w:eastAsia="Arial" w:hAnsi="Arial"/>
                <w:sz w:val="18"/>
                <w:szCs w:val="18"/>
                <w:color w:val="auto"/>
              </w:rPr>
              <w:t>--</w:t>
            </w:r>
          </w:p>
        </w:tc>
        <w:tc>
          <w:tcPr>
            <w:tcW w:w="56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272"/>
              <w:spacing w:after="0"/>
              <w:rPr>
                <w:sz w:val="20"/>
                <w:szCs w:val="20"/>
                <w:color w:val="auto"/>
              </w:rPr>
            </w:pPr>
            <w:r>
              <w:rPr>
                <w:rFonts w:ascii="Arial" w:cs="Arial" w:eastAsia="Arial" w:hAnsi="Arial"/>
                <w:sz w:val="18"/>
                <w:szCs w:val="18"/>
                <w:color w:val="auto"/>
              </w:rPr>
              <w:t>--</w:t>
            </w:r>
          </w:p>
        </w:tc>
        <w:tc>
          <w:tcPr>
            <w:tcW w:w="54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252"/>
              <w:spacing w:after="0"/>
              <w:rPr>
                <w:sz w:val="20"/>
                <w:szCs w:val="20"/>
                <w:color w:val="auto"/>
              </w:rPr>
            </w:pPr>
            <w:r>
              <w:rPr>
                <w:rFonts w:ascii="Arial" w:cs="Arial" w:eastAsia="Arial" w:hAnsi="Arial"/>
                <w:sz w:val="18"/>
                <w:szCs w:val="18"/>
                <w:color w:val="auto"/>
              </w:rPr>
              <w:t>25</w:t>
            </w:r>
          </w:p>
        </w:tc>
        <w:tc>
          <w:tcPr>
            <w:tcW w:w="54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252"/>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432"/>
        </w:trPr>
        <w:tc>
          <w:tcPr>
            <w:tcW w:w="2520" w:type="dxa"/>
            <w:vAlign w:val="bottom"/>
          </w:tcPr>
          <w:p>
            <w:pPr>
              <w:ind w:left="340"/>
              <w:spacing w:after="0"/>
              <w:rPr>
                <w:sz w:val="20"/>
                <w:szCs w:val="20"/>
                <w:color w:val="auto"/>
              </w:rPr>
            </w:pPr>
            <w:r>
              <w:rPr>
                <w:rFonts w:ascii="Arial" w:cs="Arial" w:eastAsia="Arial" w:hAnsi="Arial"/>
                <w:sz w:val="18"/>
                <w:szCs w:val="18"/>
                <w:color w:val="auto"/>
              </w:rPr>
              <w:t>Shareholders' equity</w:t>
            </w:r>
          </w:p>
        </w:tc>
        <w:tc>
          <w:tcPr>
            <w:tcW w:w="2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252"/>
              <w:spacing w:after="0"/>
              <w:rPr>
                <w:sz w:val="20"/>
                <w:szCs w:val="20"/>
                <w:color w:val="auto"/>
              </w:rPr>
            </w:pPr>
            <w:r>
              <w:rPr>
                <w:rFonts w:ascii="Arial" w:cs="Arial" w:eastAsia="Arial" w:hAnsi="Arial"/>
                <w:sz w:val="18"/>
                <w:szCs w:val="18"/>
                <w:color w:val="auto"/>
              </w:rPr>
              <w:t>1,562</w:t>
            </w:r>
          </w:p>
        </w:tc>
        <w:tc>
          <w:tcPr>
            <w:tcW w:w="54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252"/>
              <w:spacing w:after="0"/>
              <w:rPr>
                <w:sz w:val="20"/>
                <w:szCs w:val="20"/>
                <w:color w:val="auto"/>
              </w:rPr>
            </w:pPr>
            <w:r>
              <w:rPr>
                <w:rFonts w:ascii="Arial" w:cs="Arial" w:eastAsia="Arial" w:hAnsi="Arial"/>
                <w:sz w:val="18"/>
                <w:szCs w:val="18"/>
                <w:color w:val="auto"/>
              </w:rPr>
              <w:t>1,376</w:t>
            </w:r>
          </w:p>
        </w:tc>
        <w:tc>
          <w:tcPr>
            <w:tcW w:w="56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272"/>
              <w:spacing w:after="0"/>
              <w:rPr>
                <w:sz w:val="20"/>
                <w:szCs w:val="20"/>
                <w:color w:val="auto"/>
              </w:rPr>
            </w:pPr>
            <w:r>
              <w:rPr>
                <w:rFonts w:ascii="Arial" w:cs="Arial" w:eastAsia="Arial" w:hAnsi="Arial"/>
                <w:sz w:val="18"/>
                <w:szCs w:val="18"/>
                <w:color w:val="auto"/>
              </w:rPr>
              <w:t>1,343</w:t>
            </w:r>
          </w:p>
        </w:tc>
        <w:tc>
          <w:tcPr>
            <w:tcW w:w="54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252"/>
              <w:spacing w:after="0"/>
              <w:rPr>
                <w:sz w:val="20"/>
                <w:szCs w:val="20"/>
                <w:color w:val="auto"/>
              </w:rPr>
            </w:pPr>
            <w:r>
              <w:rPr>
                <w:rFonts w:ascii="Arial" w:cs="Arial" w:eastAsia="Arial" w:hAnsi="Arial"/>
                <w:sz w:val="18"/>
                <w:szCs w:val="18"/>
                <w:color w:val="auto"/>
              </w:rPr>
              <w:t>1,223</w:t>
            </w:r>
          </w:p>
        </w:tc>
        <w:tc>
          <w:tcPr>
            <w:tcW w:w="54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252"/>
              <w:spacing w:after="0"/>
              <w:rPr>
                <w:sz w:val="20"/>
                <w:szCs w:val="20"/>
                <w:color w:val="auto"/>
              </w:rPr>
            </w:pPr>
            <w:r>
              <w:rPr>
                <w:rFonts w:ascii="Arial" w:cs="Arial" w:eastAsia="Arial" w:hAnsi="Arial"/>
                <w:sz w:val="18"/>
                <w:szCs w:val="18"/>
                <w:color w:val="auto"/>
              </w:rPr>
              <w:t>1,165</w:t>
            </w:r>
          </w:p>
        </w:tc>
        <w:tc>
          <w:tcPr>
            <w:tcW w:w="0" w:type="dxa"/>
            <w:vAlign w:val="bottom"/>
          </w:tcPr>
          <w:p>
            <w:pPr>
              <w:spacing w:after="0"/>
              <w:rPr>
                <w:sz w:val="1"/>
                <w:szCs w:val="1"/>
                <w:color w:val="auto"/>
              </w:rPr>
            </w:pPr>
          </w:p>
        </w:tc>
      </w:tr>
      <w:tr>
        <w:trPr>
          <w:trHeight w:val="97"/>
        </w:trPr>
        <w:tc>
          <w:tcPr>
            <w:tcW w:w="2520" w:type="dxa"/>
            <w:vAlign w:val="bottom"/>
          </w:tcPr>
          <w:p>
            <w:pPr>
              <w:spacing w:after="0"/>
              <w:rPr>
                <w:sz w:val="8"/>
                <w:szCs w:val="8"/>
                <w:color w:val="auto"/>
              </w:rPr>
            </w:pPr>
          </w:p>
        </w:tc>
        <w:tc>
          <w:tcPr>
            <w:tcW w:w="280" w:type="dxa"/>
            <w:vAlign w:val="bottom"/>
          </w:tcPr>
          <w:p>
            <w:pPr>
              <w:spacing w:after="0"/>
              <w:rPr>
                <w:sz w:val="8"/>
                <w:szCs w:val="8"/>
                <w:color w:val="auto"/>
              </w:rPr>
            </w:pPr>
          </w:p>
        </w:tc>
        <w:tc>
          <w:tcPr>
            <w:tcW w:w="840" w:type="dxa"/>
            <w:vAlign w:val="bottom"/>
          </w:tcPr>
          <w:p>
            <w:pPr>
              <w:spacing w:after="0"/>
              <w:rPr>
                <w:sz w:val="8"/>
                <w:szCs w:val="8"/>
                <w:color w:val="auto"/>
              </w:rPr>
            </w:pPr>
          </w:p>
        </w:tc>
        <w:tc>
          <w:tcPr>
            <w:tcW w:w="540" w:type="dxa"/>
            <w:vAlign w:val="bottom"/>
          </w:tcPr>
          <w:p>
            <w:pPr>
              <w:spacing w:after="0"/>
              <w:rPr>
                <w:sz w:val="8"/>
                <w:szCs w:val="8"/>
                <w:color w:val="auto"/>
              </w:rPr>
            </w:pPr>
          </w:p>
        </w:tc>
        <w:tc>
          <w:tcPr>
            <w:tcW w:w="840" w:type="dxa"/>
            <w:vAlign w:val="bottom"/>
          </w:tcPr>
          <w:p>
            <w:pPr>
              <w:spacing w:after="0"/>
              <w:rPr>
                <w:sz w:val="8"/>
                <w:szCs w:val="8"/>
                <w:color w:val="auto"/>
              </w:rPr>
            </w:pPr>
          </w:p>
        </w:tc>
        <w:tc>
          <w:tcPr>
            <w:tcW w:w="560" w:type="dxa"/>
            <w:vAlign w:val="bottom"/>
          </w:tcPr>
          <w:p>
            <w:pPr>
              <w:spacing w:after="0"/>
              <w:rPr>
                <w:sz w:val="8"/>
                <w:szCs w:val="8"/>
                <w:color w:val="auto"/>
              </w:rPr>
            </w:pPr>
          </w:p>
        </w:tc>
        <w:tc>
          <w:tcPr>
            <w:tcW w:w="860" w:type="dxa"/>
            <w:vAlign w:val="bottom"/>
          </w:tcPr>
          <w:p>
            <w:pPr>
              <w:spacing w:after="0"/>
              <w:rPr>
                <w:sz w:val="8"/>
                <w:szCs w:val="8"/>
                <w:color w:val="auto"/>
              </w:rPr>
            </w:pPr>
          </w:p>
        </w:tc>
        <w:tc>
          <w:tcPr>
            <w:tcW w:w="540" w:type="dxa"/>
            <w:vAlign w:val="bottom"/>
          </w:tcPr>
          <w:p>
            <w:pPr>
              <w:spacing w:after="0"/>
              <w:rPr>
                <w:sz w:val="8"/>
                <w:szCs w:val="8"/>
                <w:color w:val="auto"/>
              </w:rPr>
            </w:pPr>
          </w:p>
        </w:tc>
        <w:tc>
          <w:tcPr>
            <w:tcW w:w="860" w:type="dxa"/>
            <w:vAlign w:val="bottom"/>
          </w:tcPr>
          <w:p>
            <w:pPr>
              <w:spacing w:after="0"/>
              <w:rPr>
                <w:sz w:val="8"/>
                <w:szCs w:val="8"/>
                <w:color w:val="auto"/>
              </w:rPr>
            </w:pPr>
          </w:p>
        </w:tc>
        <w:tc>
          <w:tcPr>
            <w:tcW w:w="540" w:type="dxa"/>
            <w:vAlign w:val="bottom"/>
          </w:tcPr>
          <w:p>
            <w:pPr>
              <w:spacing w:after="0"/>
              <w:rPr>
                <w:sz w:val="8"/>
                <w:szCs w:val="8"/>
                <w:color w:val="auto"/>
              </w:rPr>
            </w:pPr>
          </w:p>
        </w:tc>
        <w:tc>
          <w:tcPr>
            <w:tcW w:w="8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05"/>
        </w:trPr>
        <w:tc>
          <w:tcPr>
            <w:tcW w:w="2520" w:type="dxa"/>
            <w:vAlign w:val="bottom"/>
            <w:shd w:val="clear" w:color="auto" w:fill="000000"/>
          </w:tcPr>
          <w:p>
            <w:pPr>
              <w:spacing w:after="0"/>
              <w:rPr>
                <w:sz w:val="24"/>
                <w:szCs w:val="24"/>
                <w:color w:val="auto"/>
              </w:rPr>
            </w:pPr>
          </w:p>
        </w:tc>
        <w:tc>
          <w:tcPr>
            <w:tcW w:w="280" w:type="dxa"/>
            <w:vAlign w:val="bottom"/>
            <w:shd w:val="clear" w:color="auto" w:fill="000000"/>
          </w:tcPr>
          <w:p>
            <w:pPr>
              <w:spacing w:after="0"/>
              <w:rPr>
                <w:sz w:val="24"/>
                <w:szCs w:val="24"/>
                <w:color w:val="auto"/>
              </w:rPr>
            </w:pPr>
          </w:p>
        </w:tc>
        <w:tc>
          <w:tcPr>
            <w:tcW w:w="840" w:type="dxa"/>
            <w:vAlign w:val="bottom"/>
            <w:shd w:val="clear" w:color="auto" w:fill="000000"/>
          </w:tcPr>
          <w:p>
            <w:pPr>
              <w:spacing w:after="0"/>
              <w:rPr>
                <w:sz w:val="24"/>
                <w:szCs w:val="24"/>
                <w:color w:val="auto"/>
              </w:rPr>
            </w:pPr>
          </w:p>
        </w:tc>
        <w:tc>
          <w:tcPr>
            <w:tcW w:w="540" w:type="dxa"/>
            <w:vAlign w:val="bottom"/>
            <w:shd w:val="clear" w:color="auto" w:fill="000000"/>
          </w:tcPr>
          <w:p>
            <w:pPr>
              <w:spacing w:after="0"/>
              <w:rPr>
                <w:sz w:val="24"/>
                <w:szCs w:val="24"/>
                <w:color w:val="auto"/>
              </w:rPr>
            </w:pPr>
          </w:p>
        </w:tc>
        <w:tc>
          <w:tcPr>
            <w:tcW w:w="840" w:type="dxa"/>
            <w:vAlign w:val="bottom"/>
            <w:shd w:val="clear" w:color="auto" w:fill="000000"/>
          </w:tcPr>
          <w:p>
            <w:pPr>
              <w:spacing w:after="0"/>
              <w:rPr>
                <w:sz w:val="24"/>
                <w:szCs w:val="24"/>
                <w:color w:val="auto"/>
              </w:rPr>
            </w:pPr>
          </w:p>
        </w:tc>
        <w:tc>
          <w:tcPr>
            <w:tcW w:w="560" w:type="dxa"/>
            <w:vAlign w:val="bottom"/>
            <w:shd w:val="clear" w:color="auto" w:fill="000000"/>
          </w:tcPr>
          <w:p>
            <w:pPr>
              <w:spacing w:after="0"/>
              <w:rPr>
                <w:sz w:val="24"/>
                <w:szCs w:val="24"/>
                <w:color w:val="auto"/>
              </w:rPr>
            </w:pPr>
          </w:p>
        </w:tc>
        <w:tc>
          <w:tcPr>
            <w:tcW w:w="860" w:type="dxa"/>
            <w:vAlign w:val="bottom"/>
            <w:shd w:val="clear" w:color="auto" w:fill="000000"/>
          </w:tcPr>
          <w:p>
            <w:pPr>
              <w:spacing w:after="0"/>
              <w:rPr>
                <w:sz w:val="24"/>
                <w:szCs w:val="24"/>
                <w:color w:val="auto"/>
              </w:rPr>
            </w:pPr>
          </w:p>
        </w:tc>
        <w:tc>
          <w:tcPr>
            <w:tcW w:w="540" w:type="dxa"/>
            <w:vAlign w:val="bottom"/>
            <w:shd w:val="clear" w:color="auto" w:fill="000000"/>
          </w:tcPr>
          <w:p>
            <w:pPr>
              <w:spacing w:after="0"/>
              <w:rPr>
                <w:sz w:val="24"/>
                <w:szCs w:val="24"/>
                <w:color w:val="auto"/>
              </w:rPr>
            </w:pPr>
          </w:p>
        </w:tc>
        <w:tc>
          <w:tcPr>
            <w:tcW w:w="860" w:type="dxa"/>
            <w:vAlign w:val="bottom"/>
            <w:shd w:val="clear" w:color="auto" w:fill="000000"/>
          </w:tcPr>
          <w:p>
            <w:pPr>
              <w:spacing w:after="0"/>
              <w:rPr>
                <w:sz w:val="24"/>
                <w:szCs w:val="24"/>
                <w:color w:val="auto"/>
              </w:rPr>
            </w:pPr>
          </w:p>
        </w:tc>
        <w:tc>
          <w:tcPr>
            <w:tcW w:w="540" w:type="dxa"/>
            <w:vAlign w:val="bottom"/>
            <w:shd w:val="clear" w:color="auto" w:fill="000000"/>
          </w:tcPr>
          <w:p>
            <w:pPr>
              <w:spacing w:after="0"/>
              <w:rPr>
                <w:sz w:val="24"/>
                <w:szCs w:val="24"/>
                <w:color w:val="auto"/>
              </w:rPr>
            </w:pPr>
          </w:p>
        </w:tc>
        <w:tc>
          <w:tcPr>
            <w:tcW w:w="860" w:type="dxa"/>
            <w:vAlign w:val="bottom"/>
            <w:shd w:val="clear" w:color="auto" w:fill="000000"/>
          </w:tcPr>
          <w:p>
            <w:pPr>
              <w:spacing w:after="0"/>
              <w:rPr>
                <w:sz w:val="24"/>
                <w:szCs w:val="24"/>
                <w:color w:val="auto"/>
              </w:rPr>
            </w:pPr>
          </w:p>
        </w:tc>
        <w:tc>
          <w:tcPr>
            <w:tcW w:w="0" w:type="dxa"/>
            <w:vAlign w:val="bottom"/>
          </w:tcPr>
          <w:p>
            <w:pPr>
              <w:spacing w:after="0"/>
              <w:rPr>
                <w:sz w:val="1"/>
                <w:szCs w:val="1"/>
                <w:color w:val="auto"/>
              </w:rPr>
            </w:pPr>
          </w:p>
        </w:tc>
      </w:tr>
    </w:tbl>
    <w:p>
      <w:pPr>
        <w:spacing w:after="0" w:line="86" w:lineRule="exact"/>
        <w:rPr>
          <w:sz w:val="20"/>
          <w:szCs w:val="20"/>
          <w:color w:val="auto"/>
        </w:rPr>
      </w:pPr>
    </w:p>
    <w:p>
      <w:pPr>
        <w:ind w:left="1680" w:hanging="247"/>
        <w:spacing w:after="0"/>
        <w:tabs>
          <w:tab w:leader="none" w:pos="1680" w:val="left"/>
        </w:tabs>
        <w:numPr>
          <w:ilvl w:val="0"/>
          <w:numId w:val="2"/>
        </w:numPr>
        <w:rPr>
          <w:rFonts w:ascii="Arial" w:cs="Arial" w:eastAsia="Arial" w:hAnsi="Arial"/>
          <w:sz w:val="18"/>
          <w:szCs w:val="18"/>
          <w:color w:val="auto"/>
        </w:rPr>
      </w:pPr>
      <w:r>
        <w:rPr>
          <w:rFonts w:ascii="Arial" w:cs="Arial" w:eastAsia="Arial" w:hAnsi="Arial"/>
          <w:sz w:val="18"/>
          <w:szCs w:val="18"/>
          <w:color w:val="auto"/>
        </w:rPr>
        <w:t>Includes long-term debt due within one year.</w:t>
      </w:r>
    </w:p>
    <w:p>
      <w:pPr>
        <w:spacing w:after="0" w:line="15" w:lineRule="exact"/>
        <w:rPr>
          <w:rFonts w:ascii="Arial" w:cs="Arial" w:eastAsia="Arial" w:hAnsi="Arial"/>
          <w:sz w:val="18"/>
          <w:szCs w:val="18"/>
          <w:color w:val="auto"/>
        </w:rPr>
      </w:pPr>
    </w:p>
    <w:p>
      <w:pPr>
        <w:ind w:left="1440" w:right="1200" w:hanging="7"/>
        <w:spacing w:after="0" w:line="255" w:lineRule="auto"/>
        <w:tabs>
          <w:tab w:leader="none" w:pos="1689" w:val="left"/>
        </w:tabs>
        <w:numPr>
          <w:ilvl w:val="0"/>
          <w:numId w:val="2"/>
        </w:numPr>
        <w:rPr>
          <w:rFonts w:ascii="Arial" w:cs="Arial" w:eastAsia="Arial" w:hAnsi="Arial"/>
          <w:sz w:val="18"/>
          <w:szCs w:val="18"/>
          <w:color w:val="auto"/>
        </w:rPr>
      </w:pPr>
      <w:r>
        <w:rPr>
          <w:rFonts w:ascii="Arial" w:cs="Arial" w:eastAsia="Arial" w:hAnsi="Arial"/>
          <w:sz w:val="18"/>
          <w:szCs w:val="18"/>
          <w:color w:val="auto"/>
        </w:rPr>
        <w:t>At December 31, 2005 and 2004, $16 million and $19 million, respectively, were included in Deferred Credits and Other Liabilities, and $3 million and $2 million, respectively, were included in Other Current Liabilities on the Consolidated Balance Sheets.</w:t>
      </w:r>
    </w:p>
    <w:p>
      <w:pPr>
        <w:spacing w:after="0" w:line="280" w:lineRule="exact"/>
        <w:rPr>
          <w:sz w:val="20"/>
          <w:szCs w:val="20"/>
          <w:color w:val="auto"/>
        </w:rPr>
      </w:pPr>
    </w:p>
    <w:p>
      <w:pPr>
        <w:spacing w:after="0"/>
        <w:rPr>
          <w:sz w:val="20"/>
          <w:szCs w:val="20"/>
          <w:color w:val="auto"/>
        </w:rPr>
      </w:pPr>
      <w:r>
        <w:rPr>
          <w:rFonts w:ascii="Arial" w:cs="Arial" w:eastAsia="Arial" w:hAnsi="Arial"/>
          <w:sz w:val="22"/>
          <w:szCs w:val="22"/>
          <w:color w:val="auto"/>
        </w:rPr>
        <w:t>Since SDG&amp;E is a wholly owned subsidiary of Enova Corporation, per share data is not provided.</w:t>
      </w:r>
    </w:p>
    <w:p>
      <w:pPr>
        <w:spacing w:after="0" w:line="233" w:lineRule="exact"/>
        <w:rPr>
          <w:sz w:val="20"/>
          <w:szCs w:val="20"/>
          <w:color w:val="auto"/>
        </w:rPr>
      </w:pPr>
    </w:p>
    <w:p>
      <w:pPr>
        <w:ind w:right="680"/>
        <w:spacing w:after="0" w:line="251" w:lineRule="auto"/>
        <w:rPr>
          <w:sz w:val="20"/>
          <w:szCs w:val="20"/>
          <w:color w:val="auto"/>
        </w:rPr>
      </w:pPr>
      <w:r>
        <w:rPr>
          <w:rFonts w:ascii="Arial" w:cs="Arial" w:eastAsia="Arial" w:hAnsi="Arial"/>
          <w:sz w:val="22"/>
          <w:szCs w:val="22"/>
          <w:color w:val="auto"/>
        </w:rPr>
        <w:t>This data should be read in conjunction with the Consolidated Financial Statements and the notes to Consolidated Financial Statements contained herein.</w:t>
      </w:r>
    </w:p>
    <w:p>
      <w:pPr>
        <w:spacing w:after="0" w:line="16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7.</w:t>
      </w:r>
    </w:p>
    <w:p>
      <w:pPr>
        <w:spacing w:after="0" w:line="206"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MANAGEMENT'S DISCUSSION AND ANALYSIS OF</w:t>
      </w:r>
    </w:p>
    <w:p>
      <w:pPr>
        <w:spacing w:after="0" w:line="14"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INTRODUCTION</w:t>
      </w:r>
    </w:p>
    <w:p>
      <w:pPr>
        <w:spacing w:after="0" w:line="212" w:lineRule="exact"/>
        <w:rPr>
          <w:sz w:val="20"/>
          <w:szCs w:val="20"/>
          <w:color w:val="auto"/>
        </w:rPr>
      </w:pPr>
    </w:p>
    <w:p>
      <w:pPr>
        <w:ind w:right="20"/>
        <w:spacing w:after="0" w:line="236" w:lineRule="auto"/>
        <w:rPr>
          <w:sz w:val="20"/>
          <w:szCs w:val="20"/>
          <w:color w:val="auto"/>
        </w:rPr>
      </w:pPr>
      <w:r>
        <w:rPr>
          <w:rFonts w:ascii="Arial" w:cs="Arial" w:eastAsia="Arial" w:hAnsi="Arial"/>
          <w:sz w:val="22"/>
          <w:szCs w:val="22"/>
          <w:color w:val="auto"/>
        </w:rPr>
        <w:t>This section of the 2005 Annual Report includes management's discussion and analysis of operating results from 2003 through 2005, and provides information about the capital resources, liquidity and financial performance of San Diego Gas &amp; Electric Company (SDG&amp;E or the company). ""This section also focuses on the major factors expected to influence future operating results and discusses investment and financing activities and plans. It should be read in conjunction with the Consolidated Financial Statements included in this Annual Report.</w:t>
      </w:r>
    </w:p>
    <w:p>
      <w:pPr>
        <w:sectPr>
          <w:pgSz w:w="11900" w:h="16838" w:orient="portrait"/>
          <w:cols w:equalWidth="0" w:num="1">
            <w:col w:w="11380"/>
          </w:cols>
          <w:pgMar w:left="240" w:top="111" w:right="279" w:bottom="0" w:gutter="0" w:footer="0" w:header="0"/>
        </w:sectPr>
      </w:pPr>
    </w:p>
    <w:bookmarkStart w:id="12" w:name="page13"/>
    <w:bookmarkEnd w:id="12"/>
    <w:p>
      <w:pPr>
        <w:spacing w:after="0" w:line="162" w:lineRule="exact"/>
        <w:rPr>
          <w:sz w:val="20"/>
          <w:szCs w:val="20"/>
          <w:color w:val="auto"/>
        </w:rPr>
      </w:pPr>
    </w:p>
    <w:p>
      <w:pPr>
        <w:ind w:right="80"/>
        <w:spacing w:after="0" w:line="274" w:lineRule="auto"/>
        <w:rPr>
          <w:sz w:val="20"/>
          <w:szCs w:val="20"/>
          <w:color w:val="auto"/>
        </w:rPr>
      </w:pPr>
      <w:r>
        <w:rPr>
          <w:rFonts w:ascii="Arial" w:cs="Arial" w:eastAsia="Arial" w:hAnsi="Arial"/>
          <w:sz w:val="19"/>
          <w:szCs w:val="19"/>
          <w:color w:val="auto"/>
        </w:rPr>
        <w:t>The company is an operating public utility engaged in the electric business, serving 3.4 million consumers, and in the natural gas business, serving 3.1 million consumers. It distributes electric energy, purchased from others or generated from its 20 percent interest in a nuclear facility, through 1.3 million electric meters in San Diego County and an adjacent portion of southern Orange County, California. It also purchases and distributes natural gas through 825,000 meters in San Diego County and transports electricity and natural gas for others. SDG&amp;E's service territory encompasses 4,100 square miles. SDG&amp;E's only subsidiary is SDG&amp;E Funding LLC, which was formed to facilitate the issuance of SDG&amp;E's rate reduction bonds described in Note 2 of the notes to Consolidated Financial Statements. SDG&amp;E is a substantially wholly owned indirect subsidiary of Sempra Energy. SDG&amp;E and its sister utility, Southern California Gas Company (SoCalGas), which distributes natural gas throughou t most of Southern California and a portion of central California, are collectively referred to herein as "the California Utilities."</w:t>
      </w:r>
    </w:p>
    <w:p>
      <w:pPr>
        <w:spacing w:after="0" w:line="15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RESULTS OF OPERATIONS</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color w:val="auto"/>
        </w:rPr>
        <w:t>The following table shows net income for each of the last five years.</w:t>
      </w:r>
    </w:p>
    <w:p>
      <w:pPr>
        <w:spacing w:after="0" w:line="301" w:lineRule="exact"/>
        <w:rPr>
          <w:sz w:val="20"/>
          <w:szCs w:val="20"/>
          <w:color w:val="auto"/>
        </w:rPr>
      </w:pPr>
    </w:p>
    <w:p>
      <w:pPr>
        <w:ind w:left="3220"/>
        <w:spacing w:after="0"/>
        <w:rPr>
          <w:sz w:val="20"/>
          <w:szCs w:val="20"/>
          <w:color w:val="auto"/>
        </w:rPr>
      </w:pPr>
      <w:r>
        <w:rPr>
          <w:rFonts w:ascii="Arial" w:cs="Arial" w:eastAsia="Arial" w:hAnsi="Arial"/>
          <w:sz w:val="22"/>
          <w:szCs w:val="22"/>
          <w:color w:val="auto"/>
        </w:rPr>
        <w:t>(Dollars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1986280</wp:posOffset>
            </wp:positionH>
            <wp:positionV relativeFrom="paragraph">
              <wp:posOffset>67310</wp:posOffset>
            </wp:positionV>
            <wp:extent cx="3284855" cy="25717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284855" cy="257175"/>
                    </a:xfrm>
                    <a:prstGeom prst="rect">
                      <a:avLst/>
                    </a:prstGeom>
                    <a:noFill/>
                  </pic:spPr>
                </pic:pic>
              </a:graphicData>
            </a:graphic>
          </wp:anchor>
        </w:drawing>
      </w:r>
    </w:p>
    <w:p>
      <w:pPr>
        <w:spacing w:after="0" w:line="200" w:lineRule="exact"/>
        <w:rPr>
          <w:sz w:val="20"/>
          <w:szCs w:val="20"/>
          <w:color w:val="auto"/>
        </w:rPr>
      </w:pPr>
    </w:p>
    <w:p>
      <w:pPr>
        <w:spacing w:after="0" w:line="364" w:lineRule="exact"/>
        <w:rPr>
          <w:sz w:val="20"/>
          <w:szCs w:val="20"/>
          <w:color w:val="auto"/>
        </w:rPr>
      </w:pPr>
    </w:p>
    <w:tbl>
      <w:tblPr>
        <w:tblLayout w:type="fixed"/>
        <w:tblInd w:w="3120" w:type="dxa"/>
        <w:tblCellMar>
          <w:top w:w="0" w:type="dxa"/>
          <w:left w:w="0" w:type="dxa"/>
          <w:bottom w:w="0" w:type="dxa"/>
          <w:right w:w="0" w:type="dxa"/>
        </w:tblCellMar>
      </w:tblPr>
      <w:tr>
        <w:trPr>
          <w:trHeight w:val="275"/>
        </w:trPr>
        <w:tc>
          <w:tcPr>
            <w:tcW w:w="2560" w:type="dxa"/>
            <w:vAlign w:val="bottom"/>
          </w:tcPr>
          <w:p>
            <w:pPr>
              <w:jc w:val="right"/>
              <w:ind w:right="1912"/>
              <w:spacing w:after="0"/>
              <w:rPr>
                <w:sz w:val="20"/>
                <w:szCs w:val="20"/>
                <w:color w:val="auto"/>
              </w:rPr>
            </w:pPr>
            <w:r>
              <w:rPr>
                <w:rFonts w:ascii="Arial" w:cs="Arial" w:eastAsia="Arial" w:hAnsi="Arial"/>
                <w:sz w:val="22"/>
                <w:szCs w:val="22"/>
                <w:color w:val="auto"/>
              </w:rPr>
              <w:t>2005</w:t>
            </w:r>
          </w:p>
        </w:tc>
        <w:tc>
          <w:tcPr>
            <w:tcW w:w="2620" w:type="dxa"/>
            <w:vAlign w:val="bottom"/>
          </w:tcPr>
          <w:p>
            <w:pPr>
              <w:jc w:val="right"/>
              <w:spacing w:after="0"/>
              <w:rPr>
                <w:sz w:val="20"/>
                <w:szCs w:val="20"/>
                <w:color w:val="auto"/>
              </w:rPr>
            </w:pPr>
            <w:r>
              <w:rPr>
                <w:rFonts w:ascii="Arial" w:cs="Arial" w:eastAsia="Arial" w:hAnsi="Arial"/>
                <w:sz w:val="22"/>
                <w:szCs w:val="22"/>
                <w:color w:val="auto"/>
              </w:rPr>
              <w:t>$ 267</w:t>
            </w:r>
          </w:p>
        </w:tc>
      </w:tr>
      <w:tr>
        <w:trPr>
          <w:trHeight w:val="432"/>
        </w:trPr>
        <w:tc>
          <w:tcPr>
            <w:tcW w:w="2560" w:type="dxa"/>
            <w:vAlign w:val="bottom"/>
          </w:tcPr>
          <w:p>
            <w:pPr>
              <w:jc w:val="right"/>
              <w:ind w:right="1912"/>
              <w:spacing w:after="0"/>
              <w:rPr>
                <w:sz w:val="20"/>
                <w:szCs w:val="20"/>
                <w:color w:val="auto"/>
              </w:rPr>
            </w:pPr>
            <w:r>
              <w:rPr>
                <w:rFonts w:ascii="Arial" w:cs="Arial" w:eastAsia="Arial" w:hAnsi="Arial"/>
                <w:sz w:val="22"/>
                <w:szCs w:val="22"/>
                <w:color w:val="auto"/>
              </w:rPr>
              <w:t>2004</w:t>
            </w:r>
          </w:p>
        </w:tc>
        <w:tc>
          <w:tcPr>
            <w:tcW w:w="2620" w:type="dxa"/>
            <w:vAlign w:val="bottom"/>
          </w:tcPr>
          <w:p>
            <w:pPr>
              <w:jc w:val="right"/>
              <w:spacing w:after="0"/>
              <w:rPr>
                <w:sz w:val="20"/>
                <w:szCs w:val="20"/>
                <w:color w:val="auto"/>
              </w:rPr>
            </w:pPr>
            <w:r>
              <w:rPr>
                <w:rFonts w:ascii="Arial" w:cs="Arial" w:eastAsia="Arial" w:hAnsi="Arial"/>
                <w:sz w:val="22"/>
                <w:szCs w:val="22"/>
                <w:color w:val="auto"/>
              </w:rPr>
              <w:t>$ 213</w:t>
            </w:r>
          </w:p>
        </w:tc>
      </w:tr>
      <w:tr>
        <w:trPr>
          <w:trHeight w:val="432"/>
        </w:trPr>
        <w:tc>
          <w:tcPr>
            <w:tcW w:w="2560" w:type="dxa"/>
            <w:vAlign w:val="bottom"/>
          </w:tcPr>
          <w:p>
            <w:pPr>
              <w:jc w:val="right"/>
              <w:ind w:right="1912"/>
              <w:spacing w:after="0"/>
              <w:rPr>
                <w:sz w:val="20"/>
                <w:szCs w:val="20"/>
                <w:color w:val="auto"/>
              </w:rPr>
            </w:pPr>
            <w:r>
              <w:rPr>
                <w:rFonts w:ascii="Arial" w:cs="Arial" w:eastAsia="Arial" w:hAnsi="Arial"/>
                <w:sz w:val="22"/>
                <w:szCs w:val="22"/>
                <w:color w:val="auto"/>
              </w:rPr>
              <w:t>2003</w:t>
            </w:r>
          </w:p>
        </w:tc>
        <w:tc>
          <w:tcPr>
            <w:tcW w:w="2620" w:type="dxa"/>
            <w:vAlign w:val="bottom"/>
          </w:tcPr>
          <w:p>
            <w:pPr>
              <w:jc w:val="right"/>
              <w:spacing w:after="0"/>
              <w:rPr>
                <w:sz w:val="20"/>
                <w:szCs w:val="20"/>
                <w:color w:val="auto"/>
              </w:rPr>
            </w:pPr>
            <w:r>
              <w:rPr>
                <w:rFonts w:ascii="Arial" w:cs="Arial" w:eastAsia="Arial" w:hAnsi="Arial"/>
                <w:sz w:val="22"/>
                <w:szCs w:val="22"/>
                <w:color w:val="auto"/>
              </w:rPr>
              <w:t>$ 340</w:t>
            </w:r>
          </w:p>
        </w:tc>
      </w:tr>
      <w:tr>
        <w:trPr>
          <w:trHeight w:val="432"/>
        </w:trPr>
        <w:tc>
          <w:tcPr>
            <w:tcW w:w="2560" w:type="dxa"/>
            <w:vAlign w:val="bottom"/>
          </w:tcPr>
          <w:p>
            <w:pPr>
              <w:jc w:val="right"/>
              <w:ind w:right="1912"/>
              <w:spacing w:after="0"/>
              <w:rPr>
                <w:sz w:val="20"/>
                <w:szCs w:val="20"/>
                <w:color w:val="auto"/>
              </w:rPr>
            </w:pPr>
            <w:r>
              <w:rPr>
                <w:rFonts w:ascii="Arial" w:cs="Arial" w:eastAsia="Arial" w:hAnsi="Arial"/>
                <w:sz w:val="22"/>
                <w:szCs w:val="22"/>
                <w:color w:val="auto"/>
              </w:rPr>
              <w:t>2002</w:t>
            </w:r>
          </w:p>
        </w:tc>
        <w:tc>
          <w:tcPr>
            <w:tcW w:w="2620" w:type="dxa"/>
            <w:vAlign w:val="bottom"/>
          </w:tcPr>
          <w:p>
            <w:pPr>
              <w:jc w:val="right"/>
              <w:spacing w:after="0"/>
              <w:rPr>
                <w:sz w:val="20"/>
                <w:szCs w:val="20"/>
                <w:color w:val="auto"/>
              </w:rPr>
            </w:pPr>
            <w:r>
              <w:rPr>
                <w:rFonts w:ascii="Arial" w:cs="Arial" w:eastAsia="Arial" w:hAnsi="Arial"/>
                <w:sz w:val="22"/>
                <w:szCs w:val="22"/>
                <w:color w:val="auto"/>
              </w:rPr>
              <w:t>$ 209</w:t>
            </w:r>
          </w:p>
        </w:tc>
      </w:tr>
      <w:tr>
        <w:trPr>
          <w:trHeight w:val="432"/>
        </w:trPr>
        <w:tc>
          <w:tcPr>
            <w:tcW w:w="2560" w:type="dxa"/>
            <w:vAlign w:val="bottom"/>
          </w:tcPr>
          <w:p>
            <w:pPr>
              <w:jc w:val="right"/>
              <w:ind w:right="1912"/>
              <w:spacing w:after="0"/>
              <w:rPr>
                <w:sz w:val="20"/>
                <w:szCs w:val="20"/>
                <w:color w:val="auto"/>
              </w:rPr>
            </w:pPr>
            <w:r>
              <w:rPr>
                <w:rFonts w:ascii="Arial" w:cs="Arial" w:eastAsia="Arial" w:hAnsi="Arial"/>
                <w:sz w:val="22"/>
                <w:szCs w:val="22"/>
                <w:color w:val="auto"/>
              </w:rPr>
              <w:t>2001</w:t>
            </w:r>
          </w:p>
        </w:tc>
        <w:tc>
          <w:tcPr>
            <w:tcW w:w="2620" w:type="dxa"/>
            <w:vAlign w:val="bottom"/>
          </w:tcPr>
          <w:p>
            <w:pPr>
              <w:jc w:val="right"/>
              <w:spacing w:after="0"/>
              <w:rPr>
                <w:sz w:val="20"/>
                <w:szCs w:val="20"/>
                <w:color w:val="auto"/>
              </w:rPr>
            </w:pPr>
            <w:r>
              <w:rPr>
                <w:rFonts w:ascii="Arial" w:cs="Arial" w:eastAsia="Arial" w:hAnsi="Arial"/>
                <w:sz w:val="22"/>
                <w:szCs w:val="22"/>
                <w:color w:val="auto"/>
              </w:rPr>
              <w:t>$ 183</w:t>
            </w:r>
          </w:p>
        </w:tc>
      </w:tr>
      <w:tr>
        <w:trPr>
          <w:trHeight w:val="85"/>
        </w:trPr>
        <w:tc>
          <w:tcPr>
            <w:tcW w:w="2560" w:type="dxa"/>
            <w:vAlign w:val="bottom"/>
          </w:tcPr>
          <w:p>
            <w:pPr>
              <w:spacing w:after="0"/>
              <w:rPr>
                <w:sz w:val="7"/>
                <w:szCs w:val="7"/>
                <w:color w:val="auto"/>
              </w:rPr>
            </w:pPr>
          </w:p>
        </w:tc>
        <w:tc>
          <w:tcPr>
            <w:tcW w:w="2620" w:type="dxa"/>
            <w:vAlign w:val="bottom"/>
          </w:tcPr>
          <w:p>
            <w:pPr>
              <w:spacing w:after="0"/>
              <w:rPr>
                <w:sz w:val="7"/>
                <w:szCs w:val="7"/>
                <w:color w:val="auto"/>
              </w:rPr>
            </w:pPr>
          </w:p>
        </w:tc>
      </w:tr>
      <w:tr>
        <w:trPr>
          <w:trHeight w:val="405"/>
        </w:trPr>
        <w:tc>
          <w:tcPr>
            <w:tcW w:w="2560" w:type="dxa"/>
            <w:vAlign w:val="bottom"/>
            <w:shd w:val="clear" w:color="auto" w:fill="000000"/>
          </w:tcPr>
          <w:p>
            <w:pPr>
              <w:spacing w:after="0"/>
              <w:rPr>
                <w:sz w:val="24"/>
                <w:szCs w:val="24"/>
                <w:color w:val="auto"/>
              </w:rPr>
            </w:pPr>
          </w:p>
        </w:tc>
        <w:tc>
          <w:tcPr>
            <w:tcW w:w="2620" w:type="dxa"/>
            <w:vAlign w:val="bottom"/>
            <w:shd w:val="clear" w:color="auto" w:fill="000000"/>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Comparison of Earnings</w:t>
      </w:r>
    </w:p>
    <w:p>
      <w:pPr>
        <w:spacing w:after="0" w:line="212" w:lineRule="exact"/>
        <w:rPr>
          <w:sz w:val="20"/>
          <w:szCs w:val="20"/>
          <w:color w:val="auto"/>
        </w:rPr>
      </w:pPr>
    </w:p>
    <w:p>
      <w:pPr>
        <w:jc w:val="both"/>
        <w:spacing w:after="0"/>
        <w:rPr>
          <w:sz w:val="20"/>
          <w:szCs w:val="20"/>
          <w:color w:val="auto"/>
        </w:rPr>
      </w:pPr>
      <w:r>
        <w:rPr>
          <w:rFonts w:ascii="Arial" w:cs="Arial" w:eastAsia="Arial" w:hAnsi="Arial"/>
          <w:sz w:val="22"/>
          <w:szCs w:val="22"/>
          <w:color w:val="auto"/>
        </w:rPr>
        <w:t>To assist the reader in understanding the trend of earnings, the following table summarizes the major unusual factors affecting net income and operating income in 2005, 2004 and 2003. The numbers in parentheses are the page numbers where each 2005 item is discussed therein.</w:t>
      </w:r>
    </w:p>
    <w:p>
      <w:pPr>
        <w:spacing w:after="0" w:line="305" w:lineRule="exact"/>
        <w:rPr>
          <w:sz w:val="20"/>
          <w:szCs w:val="20"/>
          <w:color w:val="auto"/>
        </w:rPr>
      </w:pPr>
    </w:p>
    <w:tbl>
      <w:tblPr>
        <w:tblLayout w:type="fixed"/>
        <w:tblInd w:w="1440" w:type="dxa"/>
        <w:tblCellMar>
          <w:top w:w="0" w:type="dxa"/>
          <w:left w:w="0" w:type="dxa"/>
          <w:bottom w:w="0" w:type="dxa"/>
          <w:right w:w="0" w:type="dxa"/>
        </w:tblCellMar>
      </w:tblPr>
      <w:tr>
        <w:trPr>
          <w:trHeight w:val="173"/>
        </w:trPr>
        <w:tc>
          <w:tcPr>
            <w:tcW w:w="22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0" w:type="dxa"/>
            <w:vAlign w:val="bottom"/>
            <w:gridSpan w:val="2"/>
          </w:tcPr>
          <w:p>
            <w:pPr>
              <w:ind w:left="140"/>
              <w:spacing w:after="0"/>
              <w:rPr>
                <w:sz w:val="20"/>
                <w:szCs w:val="20"/>
                <w:color w:val="auto"/>
              </w:rPr>
            </w:pPr>
            <w:r>
              <w:rPr>
                <w:rFonts w:ascii="Arial" w:cs="Arial" w:eastAsia="Arial" w:hAnsi="Arial"/>
                <w:sz w:val="14"/>
                <w:szCs w:val="14"/>
                <w:color w:val="auto"/>
              </w:rPr>
              <w:t>Net Income</w:t>
            </w:r>
          </w:p>
        </w:tc>
        <w:tc>
          <w:tcPr>
            <w:tcW w:w="3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140" w:type="dxa"/>
            <w:vAlign w:val="bottom"/>
            <w:gridSpan w:val="2"/>
          </w:tcPr>
          <w:p>
            <w:pPr>
              <w:jc w:val="right"/>
              <w:ind w:right="12"/>
              <w:spacing w:after="0"/>
              <w:rPr>
                <w:sz w:val="20"/>
                <w:szCs w:val="20"/>
                <w:color w:val="auto"/>
              </w:rPr>
            </w:pPr>
            <w:r>
              <w:rPr>
                <w:rFonts w:ascii="Arial" w:cs="Arial" w:eastAsia="Arial" w:hAnsi="Arial"/>
                <w:sz w:val="14"/>
                <w:szCs w:val="14"/>
                <w:color w:val="auto"/>
                <w:w w:val="93"/>
              </w:rPr>
              <w:t>Operating Income</w:t>
            </w:r>
          </w:p>
        </w:tc>
        <w:tc>
          <w:tcPr>
            <w:tcW w:w="320" w:type="dxa"/>
            <w:vAlign w:val="bottom"/>
          </w:tcPr>
          <w:p>
            <w:pPr>
              <w:spacing w:after="0"/>
              <w:rPr>
                <w:sz w:val="15"/>
                <w:szCs w:val="15"/>
                <w:color w:val="auto"/>
              </w:rPr>
            </w:pPr>
          </w:p>
        </w:tc>
        <w:tc>
          <w:tcPr>
            <w:tcW w:w="620" w:type="dxa"/>
            <w:vAlign w:val="bottom"/>
          </w:tcPr>
          <w:p>
            <w:pPr>
              <w:spacing w:after="0"/>
              <w:rPr>
                <w:sz w:val="15"/>
                <w:szCs w:val="15"/>
                <w:color w:val="auto"/>
              </w:rPr>
            </w:pPr>
          </w:p>
        </w:tc>
      </w:tr>
      <w:tr>
        <w:trPr>
          <w:trHeight w:val="243"/>
        </w:trPr>
        <w:tc>
          <w:tcPr>
            <w:tcW w:w="2240" w:type="dxa"/>
            <w:vAlign w:val="bottom"/>
          </w:tcPr>
          <w:p>
            <w:pPr>
              <w:spacing w:after="0"/>
              <w:rPr>
                <w:sz w:val="21"/>
                <w:szCs w:val="21"/>
                <w:color w:val="auto"/>
              </w:rPr>
            </w:pPr>
          </w:p>
        </w:tc>
        <w:tc>
          <w:tcPr>
            <w:tcW w:w="400" w:type="dxa"/>
            <w:vAlign w:val="bottom"/>
            <w:shd w:val="clear" w:color="auto" w:fill="000000"/>
          </w:tcPr>
          <w:p>
            <w:pPr>
              <w:spacing w:after="0"/>
              <w:rPr>
                <w:sz w:val="21"/>
                <w:szCs w:val="21"/>
                <w:color w:val="auto"/>
              </w:rPr>
            </w:pPr>
          </w:p>
        </w:tc>
        <w:tc>
          <w:tcPr>
            <w:tcW w:w="640" w:type="dxa"/>
            <w:vAlign w:val="bottom"/>
            <w:shd w:val="clear" w:color="auto" w:fill="000000"/>
          </w:tcPr>
          <w:p>
            <w:pPr>
              <w:spacing w:after="0"/>
              <w:rPr>
                <w:sz w:val="21"/>
                <w:szCs w:val="21"/>
                <w:color w:val="auto"/>
              </w:rPr>
            </w:pPr>
          </w:p>
        </w:tc>
        <w:tc>
          <w:tcPr>
            <w:tcW w:w="360" w:type="dxa"/>
            <w:vAlign w:val="bottom"/>
            <w:shd w:val="clear" w:color="auto" w:fill="000000"/>
          </w:tcPr>
          <w:p>
            <w:pPr>
              <w:spacing w:after="0"/>
              <w:rPr>
                <w:sz w:val="21"/>
                <w:szCs w:val="21"/>
                <w:color w:val="auto"/>
              </w:rPr>
            </w:pPr>
          </w:p>
        </w:tc>
        <w:tc>
          <w:tcPr>
            <w:tcW w:w="640" w:type="dxa"/>
            <w:vAlign w:val="bottom"/>
            <w:shd w:val="clear" w:color="auto" w:fill="000000"/>
          </w:tcPr>
          <w:p>
            <w:pPr>
              <w:spacing w:after="0"/>
              <w:rPr>
                <w:sz w:val="21"/>
                <w:szCs w:val="21"/>
                <w:color w:val="auto"/>
              </w:rPr>
            </w:pPr>
          </w:p>
        </w:tc>
        <w:tc>
          <w:tcPr>
            <w:tcW w:w="360" w:type="dxa"/>
            <w:vAlign w:val="bottom"/>
            <w:shd w:val="clear" w:color="auto" w:fill="000000"/>
          </w:tcPr>
          <w:p>
            <w:pPr>
              <w:spacing w:after="0"/>
              <w:rPr>
                <w:sz w:val="21"/>
                <w:szCs w:val="21"/>
                <w:color w:val="auto"/>
              </w:rPr>
            </w:pPr>
          </w:p>
        </w:tc>
        <w:tc>
          <w:tcPr>
            <w:tcW w:w="780" w:type="dxa"/>
            <w:vAlign w:val="bottom"/>
            <w:shd w:val="clear" w:color="auto" w:fill="000000"/>
          </w:tcPr>
          <w:p>
            <w:pPr>
              <w:spacing w:after="0"/>
              <w:rPr>
                <w:sz w:val="21"/>
                <w:szCs w:val="21"/>
                <w:color w:val="auto"/>
              </w:rPr>
            </w:pPr>
          </w:p>
        </w:tc>
        <w:tc>
          <w:tcPr>
            <w:tcW w:w="480" w:type="dxa"/>
            <w:vAlign w:val="bottom"/>
            <w:shd w:val="clear" w:color="auto" w:fill="000000"/>
          </w:tcPr>
          <w:p>
            <w:pPr>
              <w:spacing w:after="0"/>
              <w:rPr>
                <w:sz w:val="21"/>
                <w:szCs w:val="21"/>
                <w:color w:val="auto"/>
              </w:rPr>
            </w:pPr>
          </w:p>
        </w:tc>
        <w:tc>
          <w:tcPr>
            <w:tcW w:w="560" w:type="dxa"/>
            <w:vAlign w:val="bottom"/>
            <w:shd w:val="clear" w:color="auto" w:fill="000000"/>
          </w:tcPr>
          <w:p>
            <w:pPr>
              <w:spacing w:after="0"/>
              <w:rPr>
                <w:sz w:val="21"/>
                <w:szCs w:val="21"/>
                <w:color w:val="auto"/>
              </w:rPr>
            </w:pPr>
          </w:p>
        </w:tc>
        <w:tc>
          <w:tcPr>
            <w:tcW w:w="440" w:type="dxa"/>
            <w:vAlign w:val="bottom"/>
            <w:shd w:val="clear" w:color="auto" w:fill="000000"/>
          </w:tcPr>
          <w:p>
            <w:pPr>
              <w:spacing w:after="0"/>
              <w:rPr>
                <w:sz w:val="21"/>
                <w:szCs w:val="21"/>
                <w:color w:val="auto"/>
              </w:rPr>
            </w:pPr>
          </w:p>
        </w:tc>
        <w:tc>
          <w:tcPr>
            <w:tcW w:w="700" w:type="dxa"/>
            <w:vAlign w:val="bottom"/>
            <w:shd w:val="clear" w:color="auto" w:fill="000000"/>
          </w:tcPr>
          <w:p>
            <w:pPr>
              <w:spacing w:after="0"/>
              <w:rPr>
                <w:sz w:val="21"/>
                <w:szCs w:val="21"/>
                <w:color w:val="auto"/>
              </w:rPr>
            </w:pPr>
          </w:p>
        </w:tc>
        <w:tc>
          <w:tcPr>
            <w:tcW w:w="320" w:type="dxa"/>
            <w:vAlign w:val="bottom"/>
            <w:shd w:val="clear" w:color="auto" w:fill="000000"/>
          </w:tcPr>
          <w:p>
            <w:pPr>
              <w:spacing w:after="0"/>
              <w:rPr>
                <w:sz w:val="21"/>
                <w:szCs w:val="21"/>
                <w:color w:val="auto"/>
              </w:rPr>
            </w:pPr>
          </w:p>
        </w:tc>
        <w:tc>
          <w:tcPr>
            <w:tcW w:w="620" w:type="dxa"/>
            <w:vAlign w:val="bottom"/>
            <w:shd w:val="clear" w:color="auto" w:fill="000000"/>
          </w:tcPr>
          <w:p>
            <w:pPr>
              <w:spacing w:after="0"/>
              <w:rPr>
                <w:sz w:val="21"/>
                <w:szCs w:val="21"/>
                <w:color w:val="auto"/>
              </w:rPr>
            </w:pPr>
          </w:p>
        </w:tc>
      </w:tr>
      <w:tr>
        <w:trPr>
          <w:trHeight w:val="270"/>
        </w:trPr>
        <w:tc>
          <w:tcPr>
            <w:tcW w:w="2240" w:type="dxa"/>
            <w:vAlign w:val="bottom"/>
          </w:tcPr>
          <w:p>
            <w:pPr>
              <w:ind w:left="20"/>
              <w:spacing w:after="0"/>
              <w:rPr>
                <w:sz w:val="20"/>
                <w:szCs w:val="20"/>
                <w:color w:val="auto"/>
              </w:rPr>
            </w:pPr>
            <w:r>
              <w:rPr>
                <w:rFonts w:ascii="Arial" w:cs="Arial" w:eastAsia="Arial" w:hAnsi="Arial"/>
                <w:sz w:val="14"/>
                <w:szCs w:val="14"/>
                <w:color w:val="auto"/>
              </w:rPr>
              <w:t>(Dollars in millions)</w:t>
            </w:r>
          </w:p>
        </w:tc>
        <w:tc>
          <w:tcPr>
            <w:tcW w:w="400" w:type="dxa"/>
            <w:vAlign w:val="bottom"/>
          </w:tcPr>
          <w:p>
            <w:pPr>
              <w:spacing w:after="0"/>
              <w:rPr>
                <w:sz w:val="23"/>
                <w:szCs w:val="23"/>
                <w:color w:val="auto"/>
              </w:rPr>
            </w:pPr>
          </w:p>
        </w:tc>
        <w:tc>
          <w:tcPr>
            <w:tcW w:w="640" w:type="dxa"/>
            <w:vAlign w:val="bottom"/>
          </w:tcPr>
          <w:p>
            <w:pPr>
              <w:jc w:val="right"/>
              <w:ind w:right="152"/>
              <w:spacing w:after="0"/>
              <w:rPr>
                <w:sz w:val="20"/>
                <w:szCs w:val="20"/>
                <w:color w:val="auto"/>
              </w:rPr>
            </w:pPr>
            <w:r>
              <w:rPr>
                <w:rFonts w:ascii="Arial" w:cs="Arial" w:eastAsia="Arial" w:hAnsi="Arial"/>
                <w:sz w:val="14"/>
                <w:szCs w:val="14"/>
                <w:color w:val="auto"/>
              </w:rPr>
              <w:t>2005</w:t>
            </w:r>
          </w:p>
        </w:tc>
        <w:tc>
          <w:tcPr>
            <w:tcW w:w="360" w:type="dxa"/>
            <w:vAlign w:val="bottom"/>
          </w:tcPr>
          <w:p>
            <w:pPr>
              <w:spacing w:after="0"/>
              <w:rPr>
                <w:sz w:val="23"/>
                <w:szCs w:val="23"/>
                <w:color w:val="auto"/>
              </w:rPr>
            </w:pPr>
          </w:p>
        </w:tc>
        <w:tc>
          <w:tcPr>
            <w:tcW w:w="640" w:type="dxa"/>
            <w:vAlign w:val="bottom"/>
          </w:tcPr>
          <w:p>
            <w:pPr>
              <w:jc w:val="right"/>
              <w:ind w:right="152"/>
              <w:spacing w:after="0"/>
              <w:rPr>
                <w:sz w:val="20"/>
                <w:szCs w:val="20"/>
                <w:color w:val="auto"/>
              </w:rPr>
            </w:pPr>
            <w:r>
              <w:rPr>
                <w:rFonts w:ascii="Arial" w:cs="Arial" w:eastAsia="Arial" w:hAnsi="Arial"/>
                <w:sz w:val="14"/>
                <w:szCs w:val="14"/>
                <w:color w:val="auto"/>
              </w:rPr>
              <w:t>2004</w:t>
            </w:r>
          </w:p>
        </w:tc>
        <w:tc>
          <w:tcPr>
            <w:tcW w:w="360" w:type="dxa"/>
            <w:vAlign w:val="bottom"/>
          </w:tcPr>
          <w:p>
            <w:pPr>
              <w:spacing w:after="0"/>
              <w:rPr>
                <w:sz w:val="23"/>
                <w:szCs w:val="23"/>
                <w:color w:val="auto"/>
              </w:rPr>
            </w:pPr>
          </w:p>
        </w:tc>
        <w:tc>
          <w:tcPr>
            <w:tcW w:w="780" w:type="dxa"/>
            <w:vAlign w:val="bottom"/>
          </w:tcPr>
          <w:p>
            <w:pPr>
              <w:jc w:val="right"/>
              <w:ind w:right="292"/>
              <w:spacing w:after="0"/>
              <w:rPr>
                <w:sz w:val="20"/>
                <w:szCs w:val="20"/>
                <w:color w:val="auto"/>
              </w:rPr>
            </w:pPr>
            <w:r>
              <w:rPr>
                <w:rFonts w:ascii="Arial" w:cs="Arial" w:eastAsia="Arial" w:hAnsi="Arial"/>
                <w:sz w:val="14"/>
                <w:szCs w:val="14"/>
                <w:color w:val="auto"/>
              </w:rPr>
              <w:t>2003</w:t>
            </w:r>
          </w:p>
        </w:tc>
        <w:tc>
          <w:tcPr>
            <w:tcW w:w="480" w:type="dxa"/>
            <w:vAlign w:val="bottom"/>
          </w:tcPr>
          <w:p>
            <w:pPr>
              <w:spacing w:after="0"/>
              <w:rPr>
                <w:sz w:val="23"/>
                <w:szCs w:val="23"/>
                <w:color w:val="auto"/>
              </w:rPr>
            </w:pPr>
          </w:p>
        </w:tc>
        <w:tc>
          <w:tcPr>
            <w:tcW w:w="560" w:type="dxa"/>
            <w:vAlign w:val="bottom"/>
          </w:tcPr>
          <w:p>
            <w:pPr>
              <w:jc w:val="right"/>
              <w:ind w:right="72"/>
              <w:spacing w:after="0"/>
              <w:rPr>
                <w:sz w:val="20"/>
                <w:szCs w:val="20"/>
                <w:color w:val="auto"/>
              </w:rPr>
            </w:pPr>
            <w:r>
              <w:rPr>
                <w:rFonts w:ascii="Arial" w:cs="Arial" w:eastAsia="Arial" w:hAnsi="Arial"/>
                <w:sz w:val="14"/>
                <w:szCs w:val="14"/>
                <w:color w:val="auto"/>
              </w:rPr>
              <w:t>2005</w:t>
            </w:r>
          </w:p>
        </w:tc>
        <w:tc>
          <w:tcPr>
            <w:tcW w:w="440" w:type="dxa"/>
            <w:vAlign w:val="bottom"/>
          </w:tcPr>
          <w:p>
            <w:pPr>
              <w:spacing w:after="0"/>
              <w:rPr>
                <w:sz w:val="23"/>
                <w:szCs w:val="23"/>
                <w:color w:val="auto"/>
              </w:rPr>
            </w:pPr>
          </w:p>
        </w:tc>
        <w:tc>
          <w:tcPr>
            <w:tcW w:w="700" w:type="dxa"/>
            <w:vAlign w:val="bottom"/>
          </w:tcPr>
          <w:p>
            <w:pPr>
              <w:jc w:val="right"/>
              <w:ind w:right="212"/>
              <w:spacing w:after="0"/>
              <w:rPr>
                <w:sz w:val="20"/>
                <w:szCs w:val="20"/>
                <w:color w:val="auto"/>
              </w:rPr>
            </w:pPr>
            <w:r>
              <w:rPr>
                <w:rFonts w:ascii="Arial" w:cs="Arial" w:eastAsia="Arial" w:hAnsi="Arial"/>
                <w:sz w:val="14"/>
                <w:szCs w:val="14"/>
                <w:color w:val="auto"/>
              </w:rPr>
              <w:t>2004</w:t>
            </w:r>
          </w:p>
        </w:tc>
        <w:tc>
          <w:tcPr>
            <w:tcW w:w="320" w:type="dxa"/>
            <w:vAlign w:val="bottom"/>
          </w:tcPr>
          <w:p>
            <w:pPr>
              <w:spacing w:after="0"/>
              <w:rPr>
                <w:sz w:val="23"/>
                <w:szCs w:val="23"/>
                <w:color w:val="auto"/>
              </w:rPr>
            </w:pPr>
          </w:p>
        </w:tc>
        <w:tc>
          <w:tcPr>
            <w:tcW w:w="620" w:type="dxa"/>
            <w:vAlign w:val="bottom"/>
          </w:tcPr>
          <w:p>
            <w:pPr>
              <w:jc w:val="right"/>
              <w:ind w:right="132"/>
              <w:spacing w:after="0"/>
              <w:rPr>
                <w:sz w:val="20"/>
                <w:szCs w:val="20"/>
                <w:color w:val="auto"/>
              </w:rPr>
            </w:pPr>
            <w:r>
              <w:rPr>
                <w:rFonts w:ascii="Arial" w:cs="Arial" w:eastAsia="Arial" w:hAnsi="Arial"/>
                <w:sz w:val="14"/>
                <w:szCs w:val="14"/>
                <w:color w:val="auto"/>
              </w:rPr>
              <w:t>2003</w:t>
            </w:r>
          </w:p>
        </w:tc>
      </w:tr>
      <w:tr>
        <w:trPr>
          <w:trHeight w:val="243"/>
        </w:trPr>
        <w:tc>
          <w:tcPr>
            <w:tcW w:w="2240" w:type="dxa"/>
            <w:vAlign w:val="bottom"/>
            <w:shd w:val="clear" w:color="auto" w:fill="000000"/>
          </w:tcPr>
          <w:p>
            <w:pPr>
              <w:spacing w:after="0"/>
              <w:rPr>
                <w:sz w:val="21"/>
                <w:szCs w:val="21"/>
                <w:color w:val="auto"/>
              </w:rPr>
            </w:pPr>
          </w:p>
        </w:tc>
        <w:tc>
          <w:tcPr>
            <w:tcW w:w="400" w:type="dxa"/>
            <w:vAlign w:val="bottom"/>
            <w:shd w:val="clear" w:color="auto" w:fill="000000"/>
          </w:tcPr>
          <w:p>
            <w:pPr>
              <w:spacing w:after="0"/>
              <w:rPr>
                <w:sz w:val="21"/>
                <w:szCs w:val="21"/>
                <w:color w:val="auto"/>
              </w:rPr>
            </w:pPr>
          </w:p>
        </w:tc>
        <w:tc>
          <w:tcPr>
            <w:tcW w:w="640" w:type="dxa"/>
            <w:vAlign w:val="bottom"/>
            <w:shd w:val="clear" w:color="auto" w:fill="000000"/>
          </w:tcPr>
          <w:p>
            <w:pPr>
              <w:spacing w:after="0"/>
              <w:rPr>
                <w:sz w:val="21"/>
                <w:szCs w:val="21"/>
                <w:color w:val="auto"/>
              </w:rPr>
            </w:pPr>
          </w:p>
        </w:tc>
        <w:tc>
          <w:tcPr>
            <w:tcW w:w="360" w:type="dxa"/>
            <w:vAlign w:val="bottom"/>
            <w:shd w:val="clear" w:color="auto" w:fill="000000"/>
          </w:tcPr>
          <w:p>
            <w:pPr>
              <w:spacing w:after="0"/>
              <w:rPr>
                <w:sz w:val="21"/>
                <w:szCs w:val="21"/>
                <w:color w:val="auto"/>
              </w:rPr>
            </w:pPr>
          </w:p>
        </w:tc>
        <w:tc>
          <w:tcPr>
            <w:tcW w:w="640" w:type="dxa"/>
            <w:vAlign w:val="bottom"/>
            <w:shd w:val="clear" w:color="auto" w:fill="000000"/>
          </w:tcPr>
          <w:p>
            <w:pPr>
              <w:spacing w:after="0"/>
              <w:rPr>
                <w:sz w:val="21"/>
                <w:szCs w:val="21"/>
                <w:color w:val="auto"/>
              </w:rPr>
            </w:pPr>
          </w:p>
        </w:tc>
        <w:tc>
          <w:tcPr>
            <w:tcW w:w="360" w:type="dxa"/>
            <w:vAlign w:val="bottom"/>
            <w:shd w:val="clear" w:color="auto" w:fill="000000"/>
          </w:tcPr>
          <w:p>
            <w:pPr>
              <w:spacing w:after="0"/>
              <w:rPr>
                <w:sz w:val="21"/>
                <w:szCs w:val="21"/>
                <w:color w:val="auto"/>
              </w:rPr>
            </w:pPr>
          </w:p>
        </w:tc>
        <w:tc>
          <w:tcPr>
            <w:tcW w:w="780" w:type="dxa"/>
            <w:vAlign w:val="bottom"/>
            <w:shd w:val="clear" w:color="auto" w:fill="000000"/>
          </w:tcPr>
          <w:p>
            <w:pPr>
              <w:spacing w:after="0"/>
              <w:rPr>
                <w:sz w:val="21"/>
                <w:szCs w:val="21"/>
                <w:color w:val="auto"/>
              </w:rPr>
            </w:pPr>
          </w:p>
        </w:tc>
        <w:tc>
          <w:tcPr>
            <w:tcW w:w="480" w:type="dxa"/>
            <w:vAlign w:val="bottom"/>
            <w:shd w:val="clear" w:color="auto" w:fill="000000"/>
          </w:tcPr>
          <w:p>
            <w:pPr>
              <w:spacing w:after="0"/>
              <w:rPr>
                <w:sz w:val="21"/>
                <w:szCs w:val="21"/>
                <w:color w:val="auto"/>
              </w:rPr>
            </w:pPr>
          </w:p>
        </w:tc>
        <w:tc>
          <w:tcPr>
            <w:tcW w:w="560" w:type="dxa"/>
            <w:vAlign w:val="bottom"/>
            <w:shd w:val="clear" w:color="auto" w:fill="000000"/>
          </w:tcPr>
          <w:p>
            <w:pPr>
              <w:spacing w:after="0"/>
              <w:rPr>
                <w:sz w:val="21"/>
                <w:szCs w:val="21"/>
                <w:color w:val="auto"/>
              </w:rPr>
            </w:pPr>
          </w:p>
        </w:tc>
        <w:tc>
          <w:tcPr>
            <w:tcW w:w="440" w:type="dxa"/>
            <w:vAlign w:val="bottom"/>
            <w:shd w:val="clear" w:color="auto" w:fill="000000"/>
          </w:tcPr>
          <w:p>
            <w:pPr>
              <w:spacing w:after="0"/>
              <w:rPr>
                <w:sz w:val="21"/>
                <w:szCs w:val="21"/>
                <w:color w:val="auto"/>
              </w:rPr>
            </w:pPr>
          </w:p>
        </w:tc>
        <w:tc>
          <w:tcPr>
            <w:tcW w:w="700" w:type="dxa"/>
            <w:vAlign w:val="bottom"/>
            <w:shd w:val="clear" w:color="auto" w:fill="000000"/>
          </w:tcPr>
          <w:p>
            <w:pPr>
              <w:spacing w:after="0"/>
              <w:rPr>
                <w:sz w:val="21"/>
                <w:szCs w:val="21"/>
                <w:color w:val="auto"/>
              </w:rPr>
            </w:pPr>
          </w:p>
        </w:tc>
        <w:tc>
          <w:tcPr>
            <w:tcW w:w="320" w:type="dxa"/>
            <w:vAlign w:val="bottom"/>
            <w:shd w:val="clear" w:color="auto" w:fill="000000"/>
          </w:tcPr>
          <w:p>
            <w:pPr>
              <w:spacing w:after="0"/>
              <w:rPr>
                <w:sz w:val="21"/>
                <w:szCs w:val="21"/>
                <w:color w:val="auto"/>
              </w:rPr>
            </w:pPr>
          </w:p>
        </w:tc>
        <w:tc>
          <w:tcPr>
            <w:tcW w:w="620" w:type="dxa"/>
            <w:vAlign w:val="bottom"/>
            <w:shd w:val="clear" w:color="auto" w:fill="000000"/>
          </w:tcPr>
          <w:p>
            <w:pPr>
              <w:spacing w:after="0"/>
              <w:rPr>
                <w:sz w:val="21"/>
                <w:szCs w:val="21"/>
                <w:color w:val="auto"/>
              </w:rPr>
            </w:pPr>
          </w:p>
        </w:tc>
      </w:tr>
      <w:tr>
        <w:trPr>
          <w:trHeight w:val="270"/>
        </w:trPr>
        <w:tc>
          <w:tcPr>
            <w:tcW w:w="2240" w:type="dxa"/>
            <w:vAlign w:val="bottom"/>
          </w:tcPr>
          <w:p>
            <w:pPr>
              <w:ind w:left="20"/>
              <w:spacing w:after="0"/>
              <w:rPr>
                <w:sz w:val="20"/>
                <w:szCs w:val="20"/>
                <w:color w:val="auto"/>
              </w:rPr>
            </w:pPr>
            <w:r>
              <w:rPr>
                <w:rFonts w:ascii="Arial" w:cs="Arial" w:eastAsia="Arial" w:hAnsi="Arial"/>
                <w:sz w:val="14"/>
                <w:szCs w:val="14"/>
                <w:color w:val="auto"/>
              </w:rPr>
              <w:t>Reported amounts</w:t>
            </w:r>
          </w:p>
        </w:tc>
        <w:tc>
          <w:tcPr>
            <w:tcW w:w="400" w:type="dxa"/>
            <w:vAlign w:val="bottom"/>
          </w:tcPr>
          <w:p>
            <w:pPr>
              <w:jc w:val="right"/>
              <w:ind w:right="72"/>
              <w:spacing w:after="0"/>
              <w:rPr>
                <w:sz w:val="20"/>
                <w:szCs w:val="20"/>
                <w:color w:val="auto"/>
              </w:rPr>
            </w:pPr>
            <w:r>
              <w:rPr>
                <w:rFonts w:ascii="Arial" w:cs="Arial" w:eastAsia="Arial" w:hAnsi="Arial"/>
                <w:sz w:val="14"/>
                <w:szCs w:val="14"/>
                <w:color w:val="auto"/>
              </w:rPr>
              <w:t>$</w:t>
            </w:r>
          </w:p>
        </w:tc>
        <w:tc>
          <w:tcPr>
            <w:tcW w:w="640" w:type="dxa"/>
            <w:vAlign w:val="bottom"/>
          </w:tcPr>
          <w:p>
            <w:pPr>
              <w:jc w:val="right"/>
              <w:ind w:right="152"/>
              <w:spacing w:after="0"/>
              <w:rPr>
                <w:sz w:val="20"/>
                <w:szCs w:val="20"/>
                <w:color w:val="auto"/>
              </w:rPr>
            </w:pPr>
            <w:r>
              <w:rPr>
                <w:rFonts w:ascii="Arial" w:cs="Arial" w:eastAsia="Arial" w:hAnsi="Arial"/>
                <w:sz w:val="14"/>
                <w:szCs w:val="14"/>
                <w:color w:val="auto"/>
              </w:rPr>
              <w:t>267</w:t>
            </w:r>
          </w:p>
        </w:tc>
        <w:tc>
          <w:tcPr>
            <w:tcW w:w="360" w:type="dxa"/>
            <w:vAlign w:val="bottom"/>
          </w:tcPr>
          <w:p>
            <w:pPr>
              <w:ind w:left="160"/>
              <w:spacing w:after="0"/>
              <w:rPr>
                <w:sz w:val="20"/>
                <w:szCs w:val="20"/>
                <w:color w:val="auto"/>
              </w:rPr>
            </w:pPr>
            <w:r>
              <w:rPr>
                <w:rFonts w:ascii="Arial" w:cs="Arial" w:eastAsia="Arial" w:hAnsi="Arial"/>
                <w:sz w:val="14"/>
                <w:szCs w:val="14"/>
                <w:color w:val="auto"/>
              </w:rPr>
              <w:t>$</w:t>
            </w:r>
          </w:p>
        </w:tc>
        <w:tc>
          <w:tcPr>
            <w:tcW w:w="640" w:type="dxa"/>
            <w:vAlign w:val="bottom"/>
          </w:tcPr>
          <w:p>
            <w:pPr>
              <w:jc w:val="right"/>
              <w:ind w:right="152"/>
              <w:spacing w:after="0"/>
              <w:rPr>
                <w:sz w:val="20"/>
                <w:szCs w:val="20"/>
                <w:color w:val="auto"/>
              </w:rPr>
            </w:pPr>
            <w:r>
              <w:rPr>
                <w:rFonts w:ascii="Arial" w:cs="Arial" w:eastAsia="Arial" w:hAnsi="Arial"/>
                <w:sz w:val="14"/>
                <w:szCs w:val="14"/>
                <w:color w:val="auto"/>
              </w:rPr>
              <w:t>213</w:t>
            </w:r>
          </w:p>
        </w:tc>
        <w:tc>
          <w:tcPr>
            <w:tcW w:w="360" w:type="dxa"/>
            <w:vAlign w:val="bottom"/>
          </w:tcPr>
          <w:p>
            <w:pPr>
              <w:jc w:val="right"/>
              <w:ind w:right="72"/>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292"/>
              <w:spacing w:after="0"/>
              <w:rPr>
                <w:sz w:val="20"/>
                <w:szCs w:val="20"/>
                <w:color w:val="auto"/>
              </w:rPr>
            </w:pPr>
            <w:r>
              <w:rPr>
                <w:rFonts w:ascii="Arial" w:cs="Arial" w:eastAsia="Arial" w:hAnsi="Arial"/>
                <w:sz w:val="14"/>
                <w:szCs w:val="14"/>
                <w:color w:val="auto"/>
              </w:rPr>
              <w:t>340</w:t>
            </w:r>
          </w:p>
        </w:tc>
        <w:tc>
          <w:tcPr>
            <w:tcW w:w="480" w:type="dxa"/>
            <w:vAlign w:val="bottom"/>
          </w:tcPr>
          <w:p>
            <w:pPr>
              <w:jc w:val="right"/>
              <w:ind w:right="72"/>
              <w:spacing w:after="0"/>
              <w:rPr>
                <w:sz w:val="20"/>
                <w:szCs w:val="20"/>
                <w:color w:val="auto"/>
              </w:rPr>
            </w:pPr>
            <w:r>
              <w:rPr>
                <w:rFonts w:ascii="Arial" w:cs="Arial" w:eastAsia="Arial" w:hAnsi="Arial"/>
                <w:sz w:val="14"/>
                <w:szCs w:val="14"/>
                <w:color w:val="auto"/>
              </w:rPr>
              <w:t>$</w:t>
            </w:r>
          </w:p>
        </w:tc>
        <w:tc>
          <w:tcPr>
            <w:tcW w:w="560" w:type="dxa"/>
            <w:vAlign w:val="bottom"/>
          </w:tcPr>
          <w:p>
            <w:pPr>
              <w:jc w:val="right"/>
              <w:ind w:right="72"/>
              <w:spacing w:after="0"/>
              <w:rPr>
                <w:sz w:val="20"/>
                <w:szCs w:val="20"/>
                <w:color w:val="auto"/>
              </w:rPr>
            </w:pPr>
            <w:r>
              <w:rPr>
                <w:rFonts w:ascii="Arial" w:cs="Arial" w:eastAsia="Arial" w:hAnsi="Arial"/>
                <w:sz w:val="14"/>
                <w:szCs w:val="14"/>
                <w:color w:val="auto"/>
              </w:rPr>
              <w:t>283</w:t>
            </w:r>
          </w:p>
        </w:tc>
        <w:tc>
          <w:tcPr>
            <w:tcW w:w="440" w:type="dxa"/>
            <w:vAlign w:val="bottom"/>
          </w:tcPr>
          <w:p>
            <w:pPr>
              <w:jc w:val="right"/>
              <w:ind w:right="72"/>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212"/>
              <w:spacing w:after="0"/>
              <w:rPr>
                <w:sz w:val="20"/>
                <w:szCs w:val="20"/>
                <w:color w:val="auto"/>
              </w:rPr>
            </w:pPr>
            <w:r>
              <w:rPr>
                <w:rFonts w:ascii="Arial" w:cs="Arial" w:eastAsia="Arial" w:hAnsi="Arial"/>
                <w:sz w:val="14"/>
                <w:szCs w:val="14"/>
                <w:color w:val="auto"/>
              </w:rPr>
              <w:t>256</w:t>
            </w:r>
          </w:p>
        </w:tc>
        <w:tc>
          <w:tcPr>
            <w:tcW w:w="320" w:type="dxa"/>
            <w:vAlign w:val="bottom"/>
          </w:tcPr>
          <w:p>
            <w:pPr>
              <w:jc w:val="right"/>
              <w:ind w:right="92"/>
              <w:spacing w:after="0"/>
              <w:rPr>
                <w:sz w:val="20"/>
                <w:szCs w:val="20"/>
                <w:color w:val="auto"/>
              </w:rPr>
            </w:pPr>
            <w:r>
              <w:rPr>
                <w:rFonts w:ascii="Arial" w:cs="Arial" w:eastAsia="Arial" w:hAnsi="Arial"/>
                <w:sz w:val="14"/>
                <w:szCs w:val="14"/>
                <w:color w:val="auto"/>
              </w:rPr>
              <w:t>$</w:t>
            </w:r>
          </w:p>
        </w:tc>
        <w:tc>
          <w:tcPr>
            <w:tcW w:w="620" w:type="dxa"/>
            <w:vAlign w:val="bottom"/>
          </w:tcPr>
          <w:p>
            <w:pPr>
              <w:jc w:val="right"/>
              <w:ind w:right="132"/>
              <w:spacing w:after="0"/>
              <w:rPr>
                <w:sz w:val="20"/>
                <w:szCs w:val="20"/>
                <w:color w:val="auto"/>
              </w:rPr>
            </w:pPr>
            <w:r>
              <w:rPr>
                <w:rFonts w:ascii="Arial" w:cs="Arial" w:eastAsia="Arial" w:hAnsi="Arial"/>
                <w:sz w:val="14"/>
                <w:szCs w:val="14"/>
                <w:color w:val="auto"/>
              </w:rPr>
              <w:t>388</w:t>
            </w:r>
          </w:p>
        </w:tc>
      </w:tr>
      <w:tr>
        <w:trPr>
          <w:trHeight w:val="513"/>
        </w:trPr>
        <w:tc>
          <w:tcPr>
            <w:tcW w:w="2240" w:type="dxa"/>
            <w:vAlign w:val="bottom"/>
          </w:tcPr>
          <w:p>
            <w:pPr>
              <w:ind w:left="20"/>
              <w:spacing w:after="0"/>
              <w:rPr>
                <w:sz w:val="20"/>
                <w:szCs w:val="20"/>
                <w:color w:val="auto"/>
              </w:rPr>
            </w:pPr>
            <w:r>
              <w:rPr>
                <w:rFonts w:ascii="Arial" w:cs="Arial" w:eastAsia="Arial" w:hAnsi="Arial"/>
                <w:sz w:val="14"/>
                <w:szCs w:val="14"/>
                <w:i w:val="1"/>
                <w:iCs w:val="1"/>
                <w:color w:val="auto"/>
              </w:rPr>
              <w:t>Unusual items:</w:t>
            </w:r>
          </w:p>
        </w:tc>
        <w:tc>
          <w:tcPr>
            <w:tcW w:w="4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395"/>
        </w:trPr>
        <w:tc>
          <w:tcPr>
            <w:tcW w:w="2240" w:type="dxa"/>
            <w:vAlign w:val="bottom"/>
          </w:tcPr>
          <w:p>
            <w:pPr>
              <w:ind w:left="20"/>
              <w:spacing w:after="0"/>
              <w:rPr>
                <w:sz w:val="20"/>
                <w:szCs w:val="20"/>
                <w:color w:val="auto"/>
              </w:rPr>
            </w:pPr>
            <w:r>
              <w:rPr>
                <w:rFonts w:ascii="Arial" w:cs="Arial" w:eastAsia="Arial" w:hAnsi="Arial"/>
                <w:sz w:val="14"/>
                <w:szCs w:val="14"/>
                <w:color w:val="auto"/>
                <w:w w:val="97"/>
              </w:rPr>
              <w:t>Resolution of prior years' income tax</w:t>
            </w:r>
          </w:p>
        </w:tc>
        <w:tc>
          <w:tcPr>
            <w:tcW w:w="4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172"/>
        </w:trPr>
        <w:tc>
          <w:tcPr>
            <w:tcW w:w="2240" w:type="dxa"/>
            <w:vAlign w:val="bottom"/>
          </w:tcPr>
          <w:p>
            <w:pPr>
              <w:ind w:left="20"/>
              <w:spacing w:after="0"/>
              <w:rPr>
                <w:sz w:val="20"/>
                <w:szCs w:val="20"/>
                <w:color w:val="auto"/>
              </w:rPr>
            </w:pPr>
            <w:r>
              <w:rPr>
                <w:rFonts w:ascii="Arial" w:cs="Arial" w:eastAsia="Arial" w:hAnsi="Arial"/>
                <w:sz w:val="14"/>
                <w:szCs w:val="14"/>
                <w:color w:val="auto"/>
              </w:rPr>
              <w:t>issues (21)</w:t>
            </w:r>
          </w:p>
        </w:tc>
        <w:tc>
          <w:tcPr>
            <w:tcW w:w="400" w:type="dxa"/>
            <w:vAlign w:val="bottom"/>
          </w:tcPr>
          <w:p>
            <w:pPr>
              <w:spacing w:after="0"/>
              <w:rPr>
                <w:sz w:val="14"/>
                <w:szCs w:val="14"/>
                <w:color w:val="auto"/>
              </w:rPr>
            </w:pPr>
          </w:p>
        </w:tc>
        <w:tc>
          <w:tcPr>
            <w:tcW w:w="640" w:type="dxa"/>
            <w:vAlign w:val="bottom"/>
          </w:tcPr>
          <w:p>
            <w:pPr>
              <w:jc w:val="right"/>
              <w:ind w:right="92"/>
              <w:spacing w:after="0"/>
              <w:rPr>
                <w:sz w:val="20"/>
                <w:szCs w:val="20"/>
                <w:color w:val="auto"/>
              </w:rPr>
            </w:pPr>
            <w:r>
              <w:rPr>
                <w:rFonts w:ascii="Arial" w:cs="Arial" w:eastAsia="Arial" w:hAnsi="Arial"/>
                <w:sz w:val="14"/>
                <w:szCs w:val="14"/>
                <w:color w:val="auto"/>
              </w:rPr>
              <w:t>(60 )</w:t>
            </w:r>
          </w:p>
        </w:tc>
        <w:tc>
          <w:tcPr>
            <w:tcW w:w="360" w:type="dxa"/>
            <w:vAlign w:val="bottom"/>
          </w:tcPr>
          <w:p>
            <w:pPr>
              <w:spacing w:after="0"/>
              <w:rPr>
                <w:sz w:val="14"/>
                <w:szCs w:val="14"/>
                <w:color w:val="auto"/>
              </w:rPr>
            </w:pPr>
          </w:p>
        </w:tc>
        <w:tc>
          <w:tcPr>
            <w:tcW w:w="640" w:type="dxa"/>
            <w:vAlign w:val="bottom"/>
          </w:tcPr>
          <w:p>
            <w:pPr>
              <w:jc w:val="right"/>
              <w:ind w:right="92"/>
              <w:spacing w:after="0"/>
              <w:rPr>
                <w:sz w:val="20"/>
                <w:szCs w:val="20"/>
                <w:color w:val="auto"/>
              </w:rPr>
            </w:pPr>
            <w:r>
              <w:rPr>
                <w:rFonts w:ascii="Arial" w:cs="Arial" w:eastAsia="Arial" w:hAnsi="Arial"/>
                <w:sz w:val="14"/>
                <w:szCs w:val="14"/>
                <w:color w:val="auto"/>
              </w:rPr>
              <w:t>(12 )</w:t>
            </w:r>
          </w:p>
        </w:tc>
        <w:tc>
          <w:tcPr>
            <w:tcW w:w="360" w:type="dxa"/>
            <w:vAlign w:val="bottom"/>
          </w:tcPr>
          <w:p>
            <w:pPr>
              <w:spacing w:after="0"/>
              <w:rPr>
                <w:sz w:val="14"/>
                <w:szCs w:val="14"/>
                <w:color w:val="auto"/>
              </w:rPr>
            </w:pPr>
          </w:p>
        </w:tc>
        <w:tc>
          <w:tcPr>
            <w:tcW w:w="780" w:type="dxa"/>
            <w:vAlign w:val="bottom"/>
          </w:tcPr>
          <w:p>
            <w:pPr>
              <w:jc w:val="right"/>
              <w:ind w:right="232"/>
              <w:spacing w:after="0"/>
              <w:rPr>
                <w:sz w:val="20"/>
                <w:szCs w:val="20"/>
                <w:color w:val="auto"/>
              </w:rPr>
            </w:pPr>
            <w:r>
              <w:rPr>
                <w:rFonts w:ascii="Arial" w:cs="Arial" w:eastAsia="Arial" w:hAnsi="Arial"/>
                <w:sz w:val="14"/>
                <w:szCs w:val="14"/>
                <w:color w:val="auto"/>
              </w:rPr>
              <w:t>(79 )</w:t>
            </w:r>
          </w:p>
        </w:tc>
        <w:tc>
          <w:tcPr>
            <w:tcW w:w="48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(60 )</w:t>
            </w:r>
          </w:p>
        </w:tc>
        <w:tc>
          <w:tcPr>
            <w:tcW w:w="440" w:type="dxa"/>
            <w:vAlign w:val="bottom"/>
          </w:tcPr>
          <w:p>
            <w:pPr>
              <w:spacing w:after="0"/>
              <w:rPr>
                <w:sz w:val="14"/>
                <w:szCs w:val="14"/>
                <w:color w:val="auto"/>
              </w:rPr>
            </w:pPr>
          </w:p>
        </w:tc>
        <w:tc>
          <w:tcPr>
            <w:tcW w:w="700" w:type="dxa"/>
            <w:vAlign w:val="bottom"/>
          </w:tcPr>
          <w:p>
            <w:pPr>
              <w:jc w:val="right"/>
              <w:ind w:right="132"/>
              <w:spacing w:after="0"/>
              <w:rPr>
                <w:sz w:val="20"/>
                <w:szCs w:val="20"/>
                <w:color w:val="auto"/>
              </w:rPr>
            </w:pPr>
            <w:r>
              <w:rPr>
                <w:rFonts w:ascii="Arial" w:cs="Arial" w:eastAsia="Arial" w:hAnsi="Arial"/>
                <w:sz w:val="14"/>
                <w:szCs w:val="14"/>
                <w:color w:val="auto"/>
              </w:rPr>
              <w:t>(12 )</w:t>
            </w:r>
          </w:p>
        </w:tc>
        <w:tc>
          <w:tcPr>
            <w:tcW w:w="320" w:type="dxa"/>
            <w:vAlign w:val="bottom"/>
          </w:tcPr>
          <w:p>
            <w:pPr>
              <w:spacing w:after="0"/>
              <w:rPr>
                <w:sz w:val="14"/>
                <w:szCs w:val="14"/>
                <w:color w:val="auto"/>
              </w:rPr>
            </w:pPr>
          </w:p>
        </w:tc>
        <w:tc>
          <w:tcPr>
            <w:tcW w:w="620" w:type="dxa"/>
            <w:vAlign w:val="bottom"/>
          </w:tcPr>
          <w:p>
            <w:pPr>
              <w:jc w:val="right"/>
              <w:ind w:right="52"/>
              <w:spacing w:after="0"/>
              <w:rPr>
                <w:sz w:val="20"/>
                <w:szCs w:val="20"/>
                <w:color w:val="auto"/>
              </w:rPr>
            </w:pPr>
            <w:r>
              <w:rPr>
                <w:rFonts w:ascii="Arial" w:cs="Arial" w:eastAsia="Arial" w:hAnsi="Arial"/>
                <w:sz w:val="14"/>
                <w:szCs w:val="14"/>
                <w:color w:val="auto"/>
              </w:rPr>
              <w:t>(79 )</w:t>
            </w:r>
          </w:p>
        </w:tc>
      </w:tr>
      <w:tr>
        <w:trPr>
          <w:trHeight w:val="395"/>
        </w:trPr>
        <w:tc>
          <w:tcPr>
            <w:tcW w:w="2240" w:type="dxa"/>
            <w:vAlign w:val="bottom"/>
          </w:tcPr>
          <w:p>
            <w:pPr>
              <w:ind w:left="20"/>
              <w:spacing w:after="0"/>
              <w:rPr>
                <w:sz w:val="20"/>
                <w:szCs w:val="20"/>
                <w:color w:val="auto"/>
              </w:rPr>
            </w:pPr>
            <w:r>
              <w:rPr>
                <w:rFonts w:ascii="Arial" w:cs="Arial" w:eastAsia="Arial" w:hAnsi="Arial"/>
                <w:sz w:val="14"/>
                <w:szCs w:val="14"/>
                <w:color w:val="auto"/>
              </w:rPr>
              <w:t>Increase in California energy crisis</w:t>
            </w:r>
          </w:p>
        </w:tc>
        <w:tc>
          <w:tcPr>
            <w:tcW w:w="4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172"/>
        </w:trPr>
        <w:tc>
          <w:tcPr>
            <w:tcW w:w="2240" w:type="dxa"/>
            <w:vAlign w:val="bottom"/>
          </w:tcPr>
          <w:p>
            <w:pPr>
              <w:ind w:left="20"/>
              <w:spacing w:after="0"/>
              <w:rPr>
                <w:sz w:val="20"/>
                <w:szCs w:val="20"/>
                <w:color w:val="auto"/>
              </w:rPr>
            </w:pPr>
            <w:r>
              <w:rPr>
                <w:rFonts w:ascii="Arial" w:cs="Arial" w:eastAsia="Arial" w:hAnsi="Arial"/>
                <w:sz w:val="14"/>
                <w:szCs w:val="14"/>
                <w:color w:val="auto"/>
              </w:rPr>
              <w:t>litigation reserves (66)</w:t>
            </w:r>
          </w:p>
        </w:tc>
        <w:tc>
          <w:tcPr>
            <w:tcW w:w="400" w:type="dxa"/>
            <w:vAlign w:val="bottom"/>
          </w:tcPr>
          <w:p>
            <w:pPr>
              <w:spacing w:after="0"/>
              <w:rPr>
                <w:sz w:val="14"/>
                <w:szCs w:val="14"/>
                <w:color w:val="auto"/>
              </w:rPr>
            </w:pPr>
          </w:p>
        </w:tc>
        <w:tc>
          <w:tcPr>
            <w:tcW w:w="640" w:type="dxa"/>
            <w:vAlign w:val="bottom"/>
          </w:tcPr>
          <w:p>
            <w:pPr>
              <w:jc w:val="right"/>
              <w:ind w:right="152"/>
              <w:spacing w:after="0"/>
              <w:rPr>
                <w:sz w:val="20"/>
                <w:szCs w:val="20"/>
                <w:color w:val="auto"/>
              </w:rPr>
            </w:pPr>
            <w:r>
              <w:rPr>
                <w:rFonts w:ascii="Arial" w:cs="Arial" w:eastAsia="Arial" w:hAnsi="Arial"/>
                <w:sz w:val="14"/>
                <w:szCs w:val="14"/>
                <w:color w:val="auto"/>
              </w:rPr>
              <w:t>28</w:t>
            </w:r>
          </w:p>
        </w:tc>
        <w:tc>
          <w:tcPr>
            <w:tcW w:w="360" w:type="dxa"/>
            <w:vAlign w:val="bottom"/>
          </w:tcPr>
          <w:p>
            <w:pPr>
              <w:spacing w:after="0"/>
              <w:rPr>
                <w:sz w:val="14"/>
                <w:szCs w:val="14"/>
                <w:color w:val="auto"/>
              </w:rPr>
            </w:pPr>
          </w:p>
        </w:tc>
        <w:tc>
          <w:tcPr>
            <w:tcW w:w="640" w:type="dxa"/>
            <w:vAlign w:val="bottom"/>
          </w:tcPr>
          <w:p>
            <w:pPr>
              <w:jc w:val="right"/>
              <w:ind w:right="152"/>
              <w:spacing w:after="0"/>
              <w:rPr>
                <w:sz w:val="20"/>
                <w:szCs w:val="20"/>
                <w:color w:val="auto"/>
              </w:rPr>
            </w:pPr>
            <w:r>
              <w:rPr>
                <w:rFonts w:ascii="Arial" w:cs="Arial" w:eastAsia="Arial" w:hAnsi="Arial"/>
                <w:sz w:val="14"/>
                <w:szCs w:val="14"/>
                <w:color w:val="auto"/>
              </w:rPr>
              <w:t>11</w:t>
            </w:r>
          </w:p>
        </w:tc>
        <w:tc>
          <w:tcPr>
            <w:tcW w:w="360" w:type="dxa"/>
            <w:vAlign w:val="bottom"/>
          </w:tcPr>
          <w:p>
            <w:pPr>
              <w:spacing w:after="0"/>
              <w:rPr>
                <w:sz w:val="14"/>
                <w:szCs w:val="14"/>
                <w:color w:val="auto"/>
              </w:rPr>
            </w:pPr>
          </w:p>
        </w:tc>
        <w:tc>
          <w:tcPr>
            <w:tcW w:w="780" w:type="dxa"/>
            <w:vAlign w:val="bottom"/>
          </w:tcPr>
          <w:p>
            <w:pPr>
              <w:jc w:val="right"/>
              <w:ind w:right="292"/>
              <w:spacing w:after="0"/>
              <w:rPr>
                <w:sz w:val="20"/>
                <w:szCs w:val="20"/>
                <w:color w:val="auto"/>
              </w:rPr>
            </w:pPr>
            <w:r>
              <w:rPr>
                <w:rFonts w:ascii="Arial" w:cs="Arial" w:eastAsia="Arial" w:hAnsi="Arial"/>
                <w:sz w:val="14"/>
                <w:szCs w:val="14"/>
                <w:color w:val="auto"/>
              </w:rPr>
              <w:t>11</w:t>
            </w:r>
          </w:p>
        </w:tc>
        <w:tc>
          <w:tcPr>
            <w:tcW w:w="480" w:type="dxa"/>
            <w:vAlign w:val="bottom"/>
          </w:tcPr>
          <w:p>
            <w:pPr>
              <w:spacing w:after="0"/>
              <w:rPr>
                <w:sz w:val="14"/>
                <w:szCs w:val="14"/>
                <w:color w:val="auto"/>
              </w:rPr>
            </w:pPr>
          </w:p>
        </w:tc>
        <w:tc>
          <w:tcPr>
            <w:tcW w:w="560" w:type="dxa"/>
            <w:vAlign w:val="bottom"/>
          </w:tcPr>
          <w:p>
            <w:pPr>
              <w:jc w:val="right"/>
              <w:ind w:right="72"/>
              <w:spacing w:after="0"/>
              <w:rPr>
                <w:sz w:val="20"/>
                <w:szCs w:val="20"/>
                <w:color w:val="auto"/>
              </w:rPr>
            </w:pPr>
            <w:r>
              <w:rPr>
                <w:rFonts w:ascii="Arial" w:cs="Arial" w:eastAsia="Arial" w:hAnsi="Arial"/>
                <w:sz w:val="14"/>
                <w:szCs w:val="14"/>
                <w:color w:val="auto"/>
              </w:rPr>
              <w:t>28</w:t>
            </w:r>
          </w:p>
        </w:tc>
        <w:tc>
          <w:tcPr>
            <w:tcW w:w="440" w:type="dxa"/>
            <w:vAlign w:val="bottom"/>
          </w:tcPr>
          <w:p>
            <w:pPr>
              <w:spacing w:after="0"/>
              <w:rPr>
                <w:sz w:val="14"/>
                <w:szCs w:val="14"/>
                <w:color w:val="auto"/>
              </w:rPr>
            </w:pPr>
          </w:p>
        </w:tc>
        <w:tc>
          <w:tcPr>
            <w:tcW w:w="700" w:type="dxa"/>
            <w:vAlign w:val="bottom"/>
          </w:tcPr>
          <w:p>
            <w:pPr>
              <w:jc w:val="right"/>
              <w:ind w:right="212"/>
              <w:spacing w:after="0"/>
              <w:rPr>
                <w:sz w:val="20"/>
                <w:szCs w:val="20"/>
                <w:color w:val="auto"/>
              </w:rPr>
            </w:pPr>
            <w:r>
              <w:rPr>
                <w:rFonts w:ascii="Arial" w:cs="Arial" w:eastAsia="Arial" w:hAnsi="Arial"/>
                <w:sz w:val="14"/>
                <w:szCs w:val="14"/>
                <w:color w:val="auto"/>
              </w:rPr>
              <w:t>11</w:t>
            </w:r>
          </w:p>
        </w:tc>
        <w:tc>
          <w:tcPr>
            <w:tcW w:w="320" w:type="dxa"/>
            <w:vAlign w:val="bottom"/>
          </w:tcPr>
          <w:p>
            <w:pPr>
              <w:spacing w:after="0"/>
              <w:rPr>
                <w:sz w:val="14"/>
                <w:szCs w:val="14"/>
                <w:color w:val="auto"/>
              </w:rPr>
            </w:pPr>
          </w:p>
        </w:tc>
        <w:tc>
          <w:tcPr>
            <w:tcW w:w="620" w:type="dxa"/>
            <w:vAlign w:val="bottom"/>
          </w:tcPr>
          <w:p>
            <w:pPr>
              <w:jc w:val="right"/>
              <w:ind w:right="132"/>
              <w:spacing w:after="0"/>
              <w:rPr>
                <w:sz w:val="20"/>
                <w:szCs w:val="20"/>
                <w:color w:val="auto"/>
              </w:rPr>
            </w:pPr>
            <w:r>
              <w:rPr>
                <w:rFonts w:ascii="Arial" w:cs="Arial" w:eastAsia="Arial" w:hAnsi="Arial"/>
                <w:sz w:val="14"/>
                <w:szCs w:val="14"/>
                <w:color w:val="auto"/>
              </w:rPr>
              <w:t>11</w:t>
            </w:r>
          </w:p>
        </w:tc>
      </w:tr>
      <w:tr>
        <w:trPr>
          <w:trHeight w:val="395"/>
        </w:trPr>
        <w:tc>
          <w:tcPr>
            <w:tcW w:w="2240" w:type="dxa"/>
            <w:vAlign w:val="bottom"/>
          </w:tcPr>
          <w:p>
            <w:pPr>
              <w:ind w:left="20"/>
              <w:spacing w:after="0"/>
              <w:rPr>
                <w:sz w:val="20"/>
                <w:szCs w:val="20"/>
                <w:color w:val="auto"/>
              </w:rPr>
            </w:pPr>
            <w:r>
              <w:rPr>
                <w:rFonts w:ascii="Arial" w:cs="Arial" w:eastAsia="Arial" w:hAnsi="Arial"/>
                <w:sz w:val="14"/>
                <w:szCs w:val="14"/>
                <w:color w:val="auto"/>
              </w:rPr>
              <w:t>South Bay charitable contribution</w:t>
            </w:r>
          </w:p>
        </w:tc>
        <w:tc>
          <w:tcPr>
            <w:tcW w:w="4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172"/>
        </w:trPr>
        <w:tc>
          <w:tcPr>
            <w:tcW w:w="2240" w:type="dxa"/>
            <w:vAlign w:val="bottom"/>
          </w:tcPr>
          <w:p>
            <w:pPr>
              <w:ind w:left="20"/>
              <w:spacing w:after="0"/>
              <w:rPr>
                <w:sz w:val="20"/>
                <w:szCs w:val="20"/>
                <w:color w:val="auto"/>
              </w:rPr>
            </w:pPr>
            <w:r>
              <w:rPr>
                <w:rFonts w:ascii="Arial" w:cs="Arial" w:eastAsia="Arial" w:hAnsi="Arial"/>
                <w:sz w:val="14"/>
                <w:szCs w:val="14"/>
                <w:color w:val="auto"/>
              </w:rPr>
              <w:t>deduction (21)</w:t>
            </w:r>
          </w:p>
        </w:tc>
        <w:tc>
          <w:tcPr>
            <w:tcW w:w="400" w:type="dxa"/>
            <w:vAlign w:val="bottom"/>
          </w:tcPr>
          <w:p>
            <w:pPr>
              <w:spacing w:after="0"/>
              <w:rPr>
                <w:sz w:val="14"/>
                <w:szCs w:val="14"/>
                <w:color w:val="auto"/>
              </w:rPr>
            </w:pPr>
          </w:p>
        </w:tc>
        <w:tc>
          <w:tcPr>
            <w:tcW w:w="640" w:type="dxa"/>
            <w:vAlign w:val="bottom"/>
          </w:tcPr>
          <w:p>
            <w:pPr>
              <w:jc w:val="right"/>
              <w:ind w:right="92"/>
              <w:spacing w:after="0"/>
              <w:rPr>
                <w:sz w:val="20"/>
                <w:szCs w:val="20"/>
                <w:color w:val="auto"/>
              </w:rPr>
            </w:pPr>
            <w:r>
              <w:rPr>
                <w:rFonts w:ascii="Arial" w:cs="Arial" w:eastAsia="Arial" w:hAnsi="Arial"/>
                <w:sz w:val="14"/>
                <w:szCs w:val="14"/>
                <w:color w:val="auto"/>
              </w:rPr>
              <w:t>(23 )</w:t>
            </w:r>
          </w:p>
        </w:tc>
        <w:tc>
          <w:tcPr>
            <w:tcW w:w="360" w:type="dxa"/>
            <w:vAlign w:val="bottom"/>
          </w:tcPr>
          <w:p>
            <w:pPr>
              <w:spacing w:after="0"/>
              <w:rPr>
                <w:sz w:val="14"/>
                <w:szCs w:val="14"/>
                <w:color w:val="auto"/>
              </w:rPr>
            </w:pPr>
          </w:p>
        </w:tc>
        <w:tc>
          <w:tcPr>
            <w:tcW w:w="640" w:type="dxa"/>
            <w:vAlign w:val="bottom"/>
          </w:tcPr>
          <w:p>
            <w:pPr>
              <w:jc w:val="right"/>
              <w:ind w:right="152"/>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4"/>
                <w:szCs w:val="14"/>
                <w:color w:val="auto"/>
              </w:rPr>
            </w:pPr>
          </w:p>
        </w:tc>
        <w:tc>
          <w:tcPr>
            <w:tcW w:w="780" w:type="dxa"/>
            <w:vAlign w:val="bottom"/>
          </w:tcPr>
          <w:p>
            <w:pPr>
              <w:jc w:val="right"/>
              <w:ind w:right="292"/>
              <w:spacing w:after="0"/>
              <w:rPr>
                <w:sz w:val="20"/>
                <w:szCs w:val="20"/>
                <w:color w:val="auto"/>
              </w:rPr>
            </w:pPr>
            <w:r>
              <w:rPr>
                <w:rFonts w:ascii="Arial" w:cs="Arial" w:eastAsia="Arial" w:hAnsi="Arial"/>
                <w:sz w:val="14"/>
                <w:szCs w:val="14"/>
                <w:color w:val="auto"/>
              </w:rPr>
              <w:t>--</w:t>
            </w:r>
          </w:p>
        </w:tc>
        <w:tc>
          <w:tcPr>
            <w:tcW w:w="48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(21 )</w:t>
            </w:r>
          </w:p>
        </w:tc>
        <w:tc>
          <w:tcPr>
            <w:tcW w:w="440" w:type="dxa"/>
            <w:vAlign w:val="bottom"/>
          </w:tcPr>
          <w:p>
            <w:pPr>
              <w:spacing w:after="0"/>
              <w:rPr>
                <w:sz w:val="14"/>
                <w:szCs w:val="14"/>
                <w:color w:val="auto"/>
              </w:rPr>
            </w:pPr>
          </w:p>
        </w:tc>
        <w:tc>
          <w:tcPr>
            <w:tcW w:w="700" w:type="dxa"/>
            <w:vAlign w:val="bottom"/>
          </w:tcPr>
          <w:p>
            <w:pPr>
              <w:jc w:val="right"/>
              <w:ind w:right="212"/>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4"/>
                <w:szCs w:val="14"/>
                <w:color w:val="auto"/>
              </w:rPr>
            </w:pPr>
          </w:p>
        </w:tc>
        <w:tc>
          <w:tcPr>
            <w:tcW w:w="620" w:type="dxa"/>
            <w:vAlign w:val="bottom"/>
          </w:tcPr>
          <w:p>
            <w:pPr>
              <w:jc w:val="right"/>
              <w:ind w:right="132"/>
              <w:spacing w:after="0"/>
              <w:rPr>
                <w:sz w:val="20"/>
                <w:szCs w:val="20"/>
                <w:color w:val="auto"/>
              </w:rPr>
            </w:pPr>
            <w:r>
              <w:rPr>
                <w:rFonts w:ascii="Arial" w:cs="Arial" w:eastAsia="Arial" w:hAnsi="Arial"/>
                <w:sz w:val="14"/>
                <w:szCs w:val="14"/>
                <w:color w:val="auto"/>
              </w:rPr>
              <w:t>--</w:t>
            </w:r>
          </w:p>
        </w:tc>
      </w:tr>
      <w:tr>
        <w:trPr>
          <w:trHeight w:val="602"/>
        </w:trPr>
        <w:tc>
          <w:tcPr>
            <w:tcW w:w="2240" w:type="dxa"/>
            <w:vAlign w:val="bottom"/>
          </w:tcPr>
          <w:p>
            <w:pPr>
              <w:ind w:left="20"/>
              <w:spacing w:after="0"/>
              <w:rPr>
                <w:sz w:val="20"/>
                <w:szCs w:val="20"/>
                <w:color w:val="auto"/>
              </w:rPr>
            </w:pPr>
            <w:r>
              <w:rPr>
                <w:rFonts w:ascii="Arial" w:cs="Arial" w:eastAsia="Arial" w:hAnsi="Arial"/>
                <w:sz w:val="14"/>
                <w:szCs w:val="14"/>
                <w:color w:val="auto"/>
              </w:rPr>
              <w:t>DSM</w:t>
            </w:r>
            <w:r>
              <w:rPr>
                <w:rFonts w:ascii="Arial" w:cs="Arial" w:eastAsia="Arial" w:hAnsi="Arial"/>
                <w:sz w:val="22"/>
                <w:szCs w:val="22"/>
                <w:color w:val="auto"/>
                <w:vertAlign w:val="superscript"/>
              </w:rPr>
              <w:t>1</w:t>
            </w:r>
            <w:r>
              <w:rPr>
                <w:rFonts w:ascii="Arial" w:cs="Arial" w:eastAsia="Arial" w:hAnsi="Arial"/>
                <w:sz w:val="14"/>
                <w:szCs w:val="14"/>
                <w:color w:val="auto"/>
              </w:rPr>
              <w:t xml:space="preserve"> awards (62)</w:t>
            </w:r>
          </w:p>
        </w:tc>
        <w:tc>
          <w:tcPr>
            <w:tcW w:w="400" w:type="dxa"/>
            <w:vAlign w:val="bottom"/>
          </w:tcPr>
          <w:p>
            <w:pPr>
              <w:spacing w:after="0"/>
              <w:rPr>
                <w:sz w:val="24"/>
                <w:szCs w:val="24"/>
                <w:color w:val="auto"/>
              </w:rPr>
            </w:pPr>
          </w:p>
        </w:tc>
        <w:tc>
          <w:tcPr>
            <w:tcW w:w="640" w:type="dxa"/>
            <w:vAlign w:val="bottom"/>
          </w:tcPr>
          <w:p>
            <w:pPr>
              <w:jc w:val="right"/>
              <w:ind w:right="92"/>
              <w:spacing w:after="0"/>
              <w:rPr>
                <w:sz w:val="20"/>
                <w:szCs w:val="20"/>
                <w:color w:val="auto"/>
              </w:rPr>
            </w:pPr>
            <w:r>
              <w:rPr>
                <w:rFonts w:ascii="Arial" w:cs="Arial" w:eastAsia="Arial" w:hAnsi="Arial"/>
                <w:sz w:val="14"/>
                <w:szCs w:val="14"/>
                <w:color w:val="auto"/>
              </w:rPr>
              <w:t>(22 )</w:t>
            </w:r>
          </w:p>
        </w:tc>
        <w:tc>
          <w:tcPr>
            <w:tcW w:w="360" w:type="dxa"/>
            <w:vAlign w:val="bottom"/>
          </w:tcPr>
          <w:p>
            <w:pPr>
              <w:spacing w:after="0"/>
              <w:rPr>
                <w:sz w:val="24"/>
                <w:szCs w:val="24"/>
                <w:color w:val="auto"/>
              </w:rPr>
            </w:pPr>
          </w:p>
        </w:tc>
        <w:tc>
          <w:tcPr>
            <w:tcW w:w="640" w:type="dxa"/>
            <w:vAlign w:val="bottom"/>
          </w:tcPr>
          <w:p>
            <w:pPr>
              <w:jc w:val="right"/>
              <w:ind w:right="152"/>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24"/>
                <w:szCs w:val="24"/>
                <w:color w:val="auto"/>
              </w:rPr>
            </w:pPr>
          </w:p>
        </w:tc>
        <w:tc>
          <w:tcPr>
            <w:tcW w:w="780" w:type="dxa"/>
            <w:vAlign w:val="bottom"/>
          </w:tcPr>
          <w:p>
            <w:pPr>
              <w:jc w:val="right"/>
              <w:ind w:right="292"/>
              <w:spacing w:after="0"/>
              <w:rPr>
                <w:sz w:val="20"/>
                <w:szCs w:val="20"/>
                <w:color w:val="auto"/>
              </w:rPr>
            </w:pPr>
            <w:r>
              <w:rPr>
                <w:rFonts w:ascii="Arial" w:cs="Arial" w:eastAsia="Arial" w:hAnsi="Arial"/>
                <w:sz w:val="14"/>
                <w:szCs w:val="14"/>
                <w:color w:val="auto"/>
              </w:rPr>
              <w:t>--</w:t>
            </w:r>
          </w:p>
        </w:tc>
        <w:tc>
          <w:tcPr>
            <w:tcW w:w="48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(21 )</w:t>
            </w:r>
          </w:p>
        </w:tc>
        <w:tc>
          <w:tcPr>
            <w:tcW w:w="440" w:type="dxa"/>
            <w:vAlign w:val="bottom"/>
          </w:tcPr>
          <w:p>
            <w:pPr>
              <w:spacing w:after="0"/>
              <w:rPr>
                <w:sz w:val="24"/>
                <w:szCs w:val="24"/>
                <w:color w:val="auto"/>
              </w:rPr>
            </w:pPr>
          </w:p>
        </w:tc>
        <w:tc>
          <w:tcPr>
            <w:tcW w:w="700" w:type="dxa"/>
            <w:vAlign w:val="bottom"/>
          </w:tcPr>
          <w:p>
            <w:pPr>
              <w:jc w:val="right"/>
              <w:ind w:right="212"/>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4"/>
                <w:szCs w:val="24"/>
                <w:color w:val="auto"/>
              </w:rPr>
            </w:pPr>
          </w:p>
        </w:tc>
        <w:tc>
          <w:tcPr>
            <w:tcW w:w="620" w:type="dxa"/>
            <w:vAlign w:val="bottom"/>
          </w:tcPr>
          <w:p>
            <w:pPr>
              <w:jc w:val="right"/>
              <w:ind w:right="132"/>
              <w:spacing w:after="0"/>
              <w:rPr>
                <w:sz w:val="20"/>
                <w:szCs w:val="20"/>
                <w:color w:val="auto"/>
              </w:rPr>
            </w:pPr>
            <w:r>
              <w:rPr>
                <w:rFonts w:ascii="Arial" w:cs="Arial" w:eastAsia="Arial" w:hAnsi="Arial"/>
                <w:sz w:val="14"/>
                <w:szCs w:val="14"/>
                <w:color w:val="auto"/>
              </w:rPr>
              <w:t>--</w:t>
            </w:r>
          </w:p>
        </w:tc>
      </w:tr>
      <w:tr>
        <w:trPr>
          <w:trHeight w:val="425"/>
        </w:trPr>
        <w:tc>
          <w:tcPr>
            <w:tcW w:w="2240" w:type="dxa"/>
            <w:vAlign w:val="bottom"/>
          </w:tcPr>
          <w:p>
            <w:pPr>
              <w:ind w:left="20"/>
              <w:spacing w:after="0"/>
              <w:rPr>
                <w:sz w:val="20"/>
                <w:szCs w:val="20"/>
                <w:color w:val="auto"/>
              </w:rPr>
            </w:pPr>
            <w:r>
              <w:rPr>
                <w:rFonts w:ascii="Arial" w:cs="Arial" w:eastAsia="Arial" w:hAnsi="Arial"/>
                <w:sz w:val="14"/>
                <w:szCs w:val="14"/>
                <w:color w:val="auto"/>
              </w:rPr>
              <w:t>Other regulatory matters (66)</w:t>
            </w:r>
          </w:p>
        </w:tc>
        <w:tc>
          <w:tcPr>
            <w:tcW w:w="400" w:type="dxa"/>
            <w:vAlign w:val="bottom"/>
          </w:tcPr>
          <w:p>
            <w:pPr>
              <w:spacing w:after="0"/>
              <w:rPr>
                <w:sz w:val="24"/>
                <w:szCs w:val="24"/>
                <w:color w:val="auto"/>
              </w:rPr>
            </w:pPr>
          </w:p>
        </w:tc>
        <w:tc>
          <w:tcPr>
            <w:tcW w:w="640" w:type="dxa"/>
            <w:vAlign w:val="bottom"/>
          </w:tcPr>
          <w:p>
            <w:pPr>
              <w:jc w:val="right"/>
              <w:ind w:right="92"/>
              <w:spacing w:after="0"/>
              <w:rPr>
                <w:sz w:val="20"/>
                <w:szCs w:val="20"/>
                <w:color w:val="auto"/>
              </w:rPr>
            </w:pPr>
            <w:r>
              <w:rPr>
                <w:rFonts w:ascii="Arial" w:cs="Arial" w:eastAsia="Arial" w:hAnsi="Arial"/>
                <w:sz w:val="14"/>
                <w:szCs w:val="14"/>
                <w:color w:val="auto"/>
              </w:rPr>
              <w:t>(23 )</w:t>
            </w:r>
          </w:p>
        </w:tc>
        <w:tc>
          <w:tcPr>
            <w:tcW w:w="360" w:type="dxa"/>
            <w:vAlign w:val="bottom"/>
          </w:tcPr>
          <w:p>
            <w:pPr>
              <w:spacing w:after="0"/>
              <w:rPr>
                <w:sz w:val="24"/>
                <w:szCs w:val="24"/>
                <w:color w:val="auto"/>
              </w:rPr>
            </w:pPr>
          </w:p>
        </w:tc>
        <w:tc>
          <w:tcPr>
            <w:tcW w:w="640" w:type="dxa"/>
            <w:vAlign w:val="bottom"/>
          </w:tcPr>
          <w:p>
            <w:pPr>
              <w:jc w:val="right"/>
              <w:ind w:right="92"/>
              <w:spacing w:after="0"/>
              <w:rPr>
                <w:sz w:val="20"/>
                <w:szCs w:val="20"/>
                <w:color w:val="auto"/>
              </w:rPr>
            </w:pPr>
            <w:r>
              <w:rPr>
                <w:rFonts w:ascii="Arial" w:cs="Arial" w:eastAsia="Arial" w:hAnsi="Arial"/>
                <w:sz w:val="14"/>
                <w:szCs w:val="14"/>
                <w:color w:val="auto"/>
              </w:rPr>
              <w:t>(21 )</w:t>
            </w:r>
          </w:p>
        </w:tc>
        <w:tc>
          <w:tcPr>
            <w:tcW w:w="360" w:type="dxa"/>
            <w:vAlign w:val="bottom"/>
          </w:tcPr>
          <w:p>
            <w:pPr>
              <w:spacing w:after="0"/>
              <w:rPr>
                <w:sz w:val="24"/>
                <w:szCs w:val="24"/>
                <w:color w:val="auto"/>
              </w:rPr>
            </w:pPr>
          </w:p>
        </w:tc>
        <w:tc>
          <w:tcPr>
            <w:tcW w:w="780" w:type="dxa"/>
            <w:vAlign w:val="bottom"/>
          </w:tcPr>
          <w:p>
            <w:pPr>
              <w:jc w:val="right"/>
              <w:ind w:right="292"/>
              <w:spacing w:after="0"/>
              <w:rPr>
                <w:sz w:val="20"/>
                <w:szCs w:val="20"/>
                <w:color w:val="auto"/>
              </w:rPr>
            </w:pPr>
            <w:r>
              <w:rPr>
                <w:rFonts w:ascii="Arial" w:cs="Arial" w:eastAsia="Arial" w:hAnsi="Arial"/>
                <w:sz w:val="14"/>
                <w:szCs w:val="14"/>
                <w:color w:val="auto"/>
              </w:rPr>
              <w:t>--</w:t>
            </w:r>
          </w:p>
        </w:tc>
        <w:tc>
          <w:tcPr>
            <w:tcW w:w="48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(20 )</w:t>
            </w:r>
          </w:p>
        </w:tc>
        <w:tc>
          <w:tcPr>
            <w:tcW w:w="440" w:type="dxa"/>
            <w:vAlign w:val="bottom"/>
          </w:tcPr>
          <w:p>
            <w:pPr>
              <w:spacing w:after="0"/>
              <w:rPr>
                <w:sz w:val="24"/>
                <w:szCs w:val="24"/>
                <w:color w:val="auto"/>
              </w:rPr>
            </w:pPr>
          </w:p>
        </w:tc>
        <w:tc>
          <w:tcPr>
            <w:tcW w:w="700" w:type="dxa"/>
            <w:vAlign w:val="bottom"/>
          </w:tcPr>
          <w:p>
            <w:pPr>
              <w:jc w:val="right"/>
              <w:ind w:right="132"/>
              <w:spacing w:after="0"/>
              <w:rPr>
                <w:sz w:val="20"/>
                <w:szCs w:val="20"/>
                <w:color w:val="auto"/>
              </w:rPr>
            </w:pPr>
            <w:r>
              <w:rPr>
                <w:rFonts w:ascii="Arial" w:cs="Arial" w:eastAsia="Arial" w:hAnsi="Arial"/>
                <w:sz w:val="14"/>
                <w:szCs w:val="14"/>
                <w:color w:val="auto"/>
              </w:rPr>
              <w:t>(15 )</w:t>
            </w:r>
          </w:p>
        </w:tc>
        <w:tc>
          <w:tcPr>
            <w:tcW w:w="320" w:type="dxa"/>
            <w:vAlign w:val="bottom"/>
          </w:tcPr>
          <w:p>
            <w:pPr>
              <w:spacing w:after="0"/>
              <w:rPr>
                <w:sz w:val="24"/>
                <w:szCs w:val="24"/>
                <w:color w:val="auto"/>
              </w:rPr>
            </w:pPr>
          </w:p>
        </w:tc>
        <w:tc>
          <w:tcPr>
            <w:tcW w:w="620" w:type="dxa"/>
            <w:vAlign w:val="bottom"/>
          </w:tcPr>
          <w:p>
            <w:pPr>
              <w:jc w:val="right"/>
              <w:ind w:right="132"/>
              <w:spacing w:after="0"/>
              <w:rPr>
                <w:sz w:val="20"/>
                <w:szCs w:val="20"/>
                <w:color w:val="auto"/>
              </w:rPr>
            </w:pPr>
            <w:r>
              <w:rPr>
                <w:rFonts w:ascii="Arial" w:cs="Arial" w:eastAsia="Arial" w:hAnsi="Arial"/>
                <w:sz w:val="14"/>
                <w:szCs w:val="14"/>
                <w:color w:val="auto"/>
              </w:rPr>
              <w:t>--</w:t>
            </w:r>
          </w:p>
        </w:tc>
      </w:tr>
      <w:tr>
        <w:trPr>
          <w:trHeight w:val="513"/>
        </w:trPr>
        <w:tc>
          <w:tcPr>
            <w:tcW w:w="2240" w:type="dxa"/>
            <w:vAlign w:val="bottom"/>
          </w:tcPr>
          <w:p>
            <w:pPr>
              <w:ind w:left="20"/>
              <w:spacing w:after="0"/>
              <w:rPr>
                <w:sz w:val="20"/>
                <w:szCs w:val="20"/>
                <w:color w:val="auto"/>
              </w:rPr>
            </w:pPr>
            <w:r>
              <w:rPr>
                <w:rFonts w:ascii="Arial" w:cs="Arial" w:eastAsia="Arial" w:hAnsi="Arial"/>
                <w:sz w:val="14"/>
                <w:szCs w:val="14"/>
                <w:color w:val="auto"/>
              </w:rPr>
              <w:t>Power contract settlement</w:t>
            </w:r>
          </w:p>
        </w:tc>
        <w:tc>
          <w:tcPr>
            <w:tcW w:w="400" w:type="dxa"/>
            <w:vAlign w:val="bottom"/>
          </w:tcPr>
          <w:p>
            <w:pPr>
              <w:spacing w:after="0"/>
              <w:rPr>
                <w:sz w:val="24"/>
                <w:szCs w:val="24"/>
                <w:color w:val="auto"/>
              </w:rPr>
            </w:pPr>
          </w:p>
        </w:tc>
        <w:tc>
          <w:tcPr>
            <w:tcW w:w="640" w:type="dxa"/>
            <w:vAlign w:val="bottom"/>
          </w:tcPr>
          <w:p>
            <w:pPr>
              <w:jc w:val="right"/>
              <w:ind w:right="152"/>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24"/>
                <w:szCs w:val="24"/>
                <w:color w:val="auto"/>
              </w:rPr>
            </w:pPr>
          </w:p>
        </w:tc>
        <w:tc>
          <w:tcPr>
            <w:tcW w:w="640" w:type="dxa"/>
            <w:vAlign w:val="bottom"/>
          </w:tcPr>
          <w:p>
            <w:pPr>
              <w:jc w:val="right"/>
              <w:ind w:right="152"/>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24"/>
                <w:szCs w:val="24"/>
                <w:color w:val="auto"/>
              </w:rPr>
            </w:pPr>
          </w:p>
        </w:tc>
        <w:tc>
          <w:tcPr>
            <w:tcW w:w="780" w:type="dxa"/>
            <w:vAlign w:val="bottom"/>
          </w:tcPr>
          <w:p>
            <w:pPr>
              <w:jc w:val="right"/>
              <w:ind w:right="232"/>
              <w:spacing w:after="0"/>
              <w:rPr>
                <w:sz w:val="20"/>
                <w:szCs w:val="20"/>
                <w:color w:val="auto"/>
              </w:rPr>
            </w:pPr>
            <w:r>
              <w:rPr>
                <w:rFonts w:ascii="Arial" w:cs="Arial" w:eastAsia="Arial" w:hAnsi="Arial"/>
                <w:sz w:val="14"/>
                <w:szCs w:val="14"/>
                <w:color w:val="auto"/>
              </w:rPr>
              <w:t>(65 )</w:t>
            </w:r>
          </w:p>
        </w:tc>
        <w:tc>
          <w:tcPr>
            <w:tcW w:w="480" w:type="dxa"/>
            <w:vAlign w:val="bottom"/>
          </w:tcPr>
          <w:p>
            <w:pPr>
              <w:spacing w:after="0"/>
              <w:rPr>
                <w:sz w:val="24"/>
                <w:szCs w:val="24"/>
                <w:color w:val="auto"/>
              </w:rPr>
            </w:pPr>
          </w:p>
        </w:tc>
        <w:tc>
          <w:tcPr>
            <w:tcW w:w="560" w:type="dxa"/>
            <w:vAlign w:val="bottom"/>
          </w:tcPr>
          <w:p>
            <w:pPr>
              <w:jc w:val="right"/>
              <w:ind w:right="72"/>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24"/>
                <w:szCs w:val="24"/>
                <w:color w:val="auto"/>
              </w:rPr>
            </w:pPr>
          </w:p>
        </w:tc>
        <w:tc>
          <w:tcPr>
            <w:tcW w:w="700" w:type="dxa"/>
            <w:vAlign w:val="bottom"/>
          </w:tcPr>
          <w:p>
            <w:pPr>
              <w:jc w:val="right"/>
              <w:ind w:right="212"/>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4"/>
                <w:szCs w:val="24"/>
                <w:color w:val="auto"/>
              </w:rPr>
            </w:pPr>
          </w:p>
        </w:tc>
        <w:tc>
          <w:tcPr>
            <w:tcW w:w="620" w:type="dxa"/>
            <w:vAlign w:val="bottom"/>
          </w:tcPr>
          <w:p>
            <w:pPr>
              <w:jc w:val="right"/>
              <w:ind w:right="52"/>
              <w:spacing w:after="0"/>
              <w:rPr>
                <w:sz w:val="20"/>
                <w:szCs w:val="20"/>
                <w:color w:val="auto"/>
              </w:rPr>
            </w:pPr>
            <w:r>
              <w:rPr>
                <w:rFonts w:ascii="Arial" w:cs="Arial" w:eastAsia="Arial" w:hAnsi="Arial"/>
                <w:sz w:val="14"/>
                <w:szCs w:val="14"/>
                <w:color w:val="auto"/>
              </w:rPr>
              <w:t>(65 )</w:t>
            </w:r>
          </w:p>
        </w:tc>
      </w:tr>
      <w:tr>
        <w:trPr>
          <w:trHeight w:val="395"/>
        </w:trPr>
        <w:tc>
          <w:tcPr>
            <w:tcW w:w="2240" w:type="dxa"/>
            <w:vAlign w:val="bottom"/>
          </w:tcPr>
          <w:p>
            <w:pPr>
              <w:ind w:left="20"/>
              <w:spacing w:after="0"/>
              <w:rPr>
                <w:sz w:val="20"/>
                <w:szCs w:val="20"/>
                <w:color w:val="auto"/>
              </w:rPr>
            </w:pPr>
            <w:r>
              <w:rPr>
                <w:rFonts w:ascii="Arial" w:cs="Arial" w:eastAsia="Arial" w:hAnsi="Arial"/>
                <w:sz w:val="14"/>
                <w:szCs w:val="14"/>
                <w:color w:val="auto"/>
              </w:rPr>
              <w:t>SONGS2 incentive pricing (ended</w:t>
            </w:r>
          </w:p>
        </w:tc>
        <w:tc>
          <w:tcPr>
            <w:tcW w:w="4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173"/>
        </w:trPr>
        <w:tc>
          <w:tcPr>
            <w:tcW w:w="2240" w:type="dxa"/>
            <w:vAlign w:val="bottom"/>
          </w:tcPr>
          <w:p>
            <w:pPr>
              <w:ind w:left="20"/>
              <w:spacing w:after="0"/>
              <w:rPr>
                <w:sz w:val="20"/>
                <w:szCs w:val="20"/>
                <w:color w:val="auto"/>
              </w:rPr>
            </w:pPr>
            <w:r>
              <w:rPr>
                <w:rFonts w:ascii="Arial" w:cs="Arial" w:eastAsia="Arial" w:hAnsi="Arial"/>
                <w:sz w:val="14"/>
                <w:szCs w:val="14"/>
                <w:color w:val="auto"/>
              </w:rPr>
              <w:t>12/31/03)</w:t>
            </w:r>
          </w:p>
        </w:tc>
        <w:tc>
          <w:tcPr>
            <w:tcW w:w="400" w:type="dxa"/>
            <w:vAlign w:val="bottom"/>
          </w:tcPr>
          <w:p>
            <w:pPr>
              <w:spacing w:after="0"/>
              <w:rPr>
                <w:sz w:val="15"/>
                <w:szCs w:val="15"/>
                <w:color w:val="auto"/>
              </w:rPr>
            </w:pPr>
          </w:p>
        </w:tc>
        <w:tc>
          <w:tcPr>
            <w:tcW w:w="640" w:type="dxa"/>
            <w:vAlign w:val="bottom"/>
          </w:tcPr>
          <w:p>
            <w:pPr>
              <w:jc w:val="right"/>
              <w:ind w:right="152"/>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5"/>
                <w:szCs w:val="15"/>
                <w:color w:val="auto"/>
              </w:rPr>
            </w:pPr>
          </w:p>
        </w:tc>
        <w:tc>
          <w:tcPr>
            <w:tcW w:w="640" w:type="dxa"/>
            <w:vAlign w:val="bottom"/>
          </w:tcPr>
          <w:p>
            <w:pPr>
              <w:jc w:val="right"/>
              <w:ind w:right="152"/>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5"/>
                <w:szCs w:val="15"/>
                <w:color w:val="auto"/>
              </w:rPr>
            </w:pPr>
          </w:p>
        </w:tc>
        <w:tc>
          <w:tcPr>
            <w:tcW w:w="780" w:type="dxa"/>
            <w:vAlign w:val="bottom"/>
          </w:tcPr>
          <w:p>
            <w:pPr>
              <w:jc w:val="right"/>
              <w:ind w:right="232"/>
              <w:spacing w:after="0"/>
              <w:rPr>
                <w:sz w:val="20"/>
                <w:szCs w:val="20"/>
                <w:color w:val="auto"/>
              </w:rPr>
            </w:pPr>
            <w:r>
              <w:rPr>
                <w:rFonts w:ascii="Arial" w:cs="Arial" w:eastAsia="Arial" w:hAnsi="Arial"/>
                <w:sz w:val="14"/>
                <w:szCs w:val="14"/>
                <w:color w:val="auto"/>
              </w:rPr>
              <w:t>(53 )</w:t>
            </w:r>
          </w:p>
        </w:tc>
        <w:tc>
          <w:tcPr>
            <w:tcW w:w="480" w:type="dxa"/>
            <w:vAlign w:val="bottom"/>
          </w:tcPr>
          <w:p>
            <w:pPr>
              <w:spacing w:after="0"/>
              <w:rPr>
                <w:sz w:val="15"/>
                <w:szCs w:val="15"/>
                <w:color w:val="auto"/>
              </w:rPr>
            </w:pPr>
          </w:p>
        </w:tc>
        <w:tc>
          <w:tcPr>
            <w:tcW w:w="560" w:type="dxa"/>
            <w:vAlign w:val="bottom"/>
          </w:tcPr>
          <w:p>
            <w:pPr>
              <w:jc w:val="right"/>
              <w:ind w:right="72"/>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5"/>
                <w:szCs w:val="15"/>
                <w:color w:val="auto"/>
              </w:rPr>
            </w:pPr>
          </w:p>
        </w:tc>
        <w:tc>
          <w:tcPr>
            <w:tcW w:w="700" w:type="dxa"/>
            <w:vAlign w:val="bottom"/>
          </w:tcPr>
          <w:p>
            <w:pPr>
              <w:jc w:val="right"/>
              <w:ind w:right="212"/>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5"/>
                <w:szCs w:val="15"/>
                <w:color w:val="auto"/>
              </w:rPr>
            </w:pPr>
          </w:p>
        </w:tc>
        <w:tc>
          <w:tcPr>
            <w:tcW w:w="620" w:type="dxa"/>
            <w:vAlign w:val="bottom"/>
          </w:tcPr>
          <w:p>
            <w:pPr>
              <w:jc w:val="right"/>
              <w:ind w:right="52"/>
              <w:spacing w:after="0"/>
              <w:rPr>
                <w:sz w:val="20"/>
                <w:szCs w:val="20"/>
                <w:color w:val="auto"/>
              </w:rPr>
            </w:pPr>
            <w:r>
              <w:rPr>
                <w:rFonts w:ascii="Arial" w:cs="Arial" w:eastAsia="Arial" w:hAnsi="Arial"/>
                <w:sz w:val="14"/>
                <w:szCs w:val="14"/>
                <w:color w:val="auto"/>
              </w:rPr>
              <w:t>(53 )</w:t>
            </w:r>
          </w:p>
        </w:tc>
      </w:tr>
      <w:tr>
        <w:trPr>
          <w:trHeight w:val="243"/>
        </w:trPr>
        <w:tc>
          <w:tcPr>
            <w:tcW w:w="2240" w:type="dxa"/>
            <w:vAlign w:val="bottom"/>
          </w:tcPr>
          <w:p>
            <w:pPr>
              <w:spacing w:after="0"/>
              <w:rPr>
                <w:sz w:val="21"/>
                <w:szCs w:val="21"/>
                <w:color w:val="auto"/>
              </w:rPr>
            </w:pPr>
          </w:p>
        </w:tc>
        <w:tc>
          <w:tcPr>
            <w:tcW w:w="400" w:type="dxa"/>
            <w:vAlign w:val="bottom"/>
            <w:shd w:val="clear" w:color="auto" w:fill="000000"/>
          </w:tcPr>
          <w:p>
            <w:pPr>
              <w:spacing w:after="0"/>
              <w:rPr>
                <w:sz w:val="21"/>
                <w:szCs w:val="21"/>
                <w:color w:val="auto"/>
              </w:rPr>
            </w:pPr>
          </w:p>
        </w:tc>
        <w:tc>
          <w:tcPr>
            <w:tcW w:w="640" w:type="dxa"/>
            <w:vAlign w:val="bottom"/>
            <w:shd w:val="clear" w:color="auto" w:fill="000000"/>
          </w:tcPr>
          <w:p>
            <w:pPr>
              <w:spacing w:after="0"/>
              <w:rPr>
                <w:sz w:val="21"/>
                <w:szCs w:val="21"/>
                <w:color w:val="auto"/>
              </w:rPr>
            </w:pPr>
          </w:p>
        </w:tc>
        <w:tc>
          <w:tcPr>
            <w:tcW w:w="360" w:type="dxa"/>
            <w:vAlign w:val="bottom"/>
            <w:shd w:val="clear" w:color="auto" w:fill="000000"/>
          </w:tcPr>
          <w:p>
            <w:pPr>
              <w:spacing w:after="0"/>
              <w:rPr>
                <w:sz w:val="21"/>
                <w:szCs w:val="21"/>
                <w:color w:val="auto"/>
              </w:rPr>
            </w:pPr>
          </w:p>
        </w:tc>
        <w:tc>
          <w:tcPr>
            <w:tcW w:w="640" w:type="dxa"/>
            <w:vAlign w:val="bottom"/>
            <w:shd w:val="clear" w:color="auto" w:fill="000000"/>
          </w:tcPr>
          <w:p>
            <w:pPr>
              <w:spacing w:after="0"/>
              <w:rPr>
                <w:sz w:val="21"/>
                <w:szCs w:val="21"/>
                <w:color w:val="auto"/>
              </w:rPr>
            </w:pPr>
          </w:p>
        </w:tc>
        <w:tc>
          <w:tcPr>
            <w:tcW w:w="360" w:type="dxa"/>
            <w:vAlign w:val="bottom"/>
            <w:shd w:val="clear" w:color="auto" w:fill="000000"/>
          </w:tcPr>
          <w:p>
            <w:pPr>
              <w:spacing w:after="0"/>
              <w:rPr>
                <w:sz w:val="21"/>
                <w:szCs w:val="21"/>
                <w:color w:val="auto"/>
              </w:rPr>
            </w:pPr>
          </w:p>
        </w:tc>
        <w:tc>
          <w:tcPr>
            <w:tcW w:w="780" w:type="dxa"/>
            <w:vAlign w:val="bottom"/>
            <w:shd w:val="clear" w:color="auto" w:fill="000000"/>
          </w:tcPr>
          <w:p>
            <w:pPr>
              <w:spacing w:after="0"/>
              <w:rPr>
                <w:sz w:val="21"/>
                <w:szCs w:val="21"/>
                <w:color w:val="auto"/>
              </w:rPr>
            </w:pPr>
          </w:p>
        </w:tc>
        <w:tc>
          <w:tcPr>
            <w:tcW w:w="480" w:type="dxa"/>
            <w:vAlign w:val="bottom"/>
            <w:shd w:val="clear" w:color="auto" w:fill="000000"/>
          </w:tcPr>
          <w:p>
            <w:pPr>
              <w:spacing w:after="0"/>
              <w:rPr>
                <w:sz w:val="21"/>
                <w:szCs w:val="21"/>
                <w:color w:val="auto"/>
              </w:rPr>
            </w:pPr>
          </w:p>
        </w:tc>
        <w:tc>
          <w:tcPr>
            <w:tcW w:w="560" w:type="dxa"/>
            <w:vAlign w:val="bottom"/>
            <w:shd w:val="clear" w:color="auto" w:fill="000000"/>
          </w:tcPr>
          <w:p>
            <w:pPr>
              <w:spacing w:after="0"/>
              <w:rPr>
                <w:sz w:val="21"/>
                <w:szCs w:val="21"/>
                <w:color w:val="auto"/>
              </w:rPr>
            </w:pPr>
          </w:p>
        </w:tc>
        <w:tc>
          <w:tcPr>
            <w:tcW w:w="440" w:type="dxa"/>
            <w:vAlign w:val="bottom"/>
            <w:shd w:val="clear" w:color="auto" w:fill="000000"/>
          </w:tcPr>
          <w:p>
            <w:pPr>
              <w:spacing w:after="0"/>
              <w:rPr>
                <w:sz w:val="21"/>
                <w:szCs w:val="21"/>
                <w:color w:val="auto"/>
              </w:rPr>
            </w:pPr>
          </w:p>
        </w:tc>
        <w:tc>
          <w:tcPr>
            <w:tcW w:w="700" w:type="dxa"/>
            <w:vAlign w:val="bottom"/>
            <w:shd w:val="clear" w:color="auto" w:fill="000000"/>
          </w:tcPr>
          <w:p>
            <w:pPr>
              <w:spacing w:after="0"/>
              <w:rPr>
                <w:sz w:val="21"/>
                <w:szCs w:val="21"/>
                <w:color w:val="auto"/>
              </w:rPr>
            </w:pPr>
          </w:p>
        </w:tc>
        <w:tc>
          <w:tcPr>
            <w:tcW w:w="320" w:type="dxa"/>
            <w:vAlign w:val="bottom"/>
            <w:shd w:val="clear" w:color="auto" w:fill="000000"/>
          </w:tcPr>
          <w:p>
            <w:pPr>
              <w:spacing w:after="0"/>
              <w:rPr>
                <w:sz w:val="21"/>
                <w:szCs w:val="21"/>
                <w:color w:val="auto"/>
              </w:rPr>
            </w:pPr>
          </w:p>
        </w:tc>
        <w:tc>
          <w:tcPr>
            <w:tcW w:w="620" w:type="dxa"/>
            <w:vAlign w:val="bottom"/>
            <w:shd w:val="clear" w:color="auto" w:fill="000000"/>
          </w:tcPr>
          <w:p>
            <w:pPr>
              <w:spacing w:after="0"/>
              <w:rPr>
                <w:sz w:val="21"/>
                <w:szCs w:val="21"/>
                <w:color w:val="auto"/>
              </w:rPr>
            </w:pPr>
          </w:p>
        </w:tc>
      </w:tr>
      <w:tr>
        <w:trPr>
          <w:trHeight w:val="270"/>
        </w:trPr>
        <w:tc>
          <w:tcPr>
            <w:tcW w:w="2240" w:type="dxa"/>
            <w:vAlign w:val="bottom"/>
          </w:tcPr>
          <w:p>
            <w:pPr>
              <w:spacing w:after="0"/>
              <w:rPr>
                <w:sz w:val="23"/>
                <w:szCs w:val="23"/>
                <w:color w:val="auto"/>
              </w:rPr>
            </w:pPr>
          </w:p>
        </w:tc>
        <w:tc>
          <w:tcPr>
            <w:tcW w:w="400" w:type="dxa"/>
            <w:vAlign w:val="bottom"/>
          </w:tcPr>
          <w:p>
            <w:pPr>
              <w:jc w:val="right"/>
              <w:ind w:right="72"/>
              <w:spacing w:after="0"/>
              <w:rPr>
                <w:sz w:val="20"/>
                <w:szCs w:val="20"/>
                <w:color w:val="auto"/>
              </w:rPr>
            </w:pPr>
            <w:r>
              <w:rPr>
                <w:rFonts w:ascii="Arial" w:cs="Arial" w:eastAsia="Arial" w:hAnsi="Arial"/>
                <w:sz w:val="14"/>
                <w:szCs w:val="14"/>
                <w:color w:val="auto"/>
              </w:rPr>
              <w:t>$</w:t>
            </w:r>
          </w:p>
        </w:tc>
        <w:tc>
          <w:tcPr>
            <w:tcW w:w="640" w:type="dxa"/>
            <w:vAlign w:val="bottom"/>
          </w:tcPr>
          <w:p>
            <w:pPr>
              <w:jc w:val="right"/>
              <w:ind w:right="152"/>
              <w:spacing w:after="0"/>
              <w:rPr>
                <w:sz w:val="20"/>
                <w:szCs w:val="20"/>
                <w:color w:val="auto"/>
              </w:rPr>
            </w:pPr>
            <w:r>
              <w:rPr>
                <w:rFonts w:ascii="Arial" w:cs="Arial" w:eastAsia="Arial" w:hAnsi="Arial"/>
                <w:sz w:val="14"/>
                <w:szCs w:val="14"/>
                <w:color w:val="auto"/>
              </w:rPr>
              <w:t>167</w:t>
            </w:r>
          </w:p>
        </w:tc>
        <w:tc>
          <w:tcPr>
            <w:tcW w:w="360" w:type="dxa"/>
            <w:vAlign w:val="bottom"/>
          </w:tcPr>
          <w:p>
            <w:pPr>
              <w:ind w:left="160"/>
              <w:spacing w:after="0"/>
              <w:rPr>
                <w:sz w:val="20"/>
                <w:szCs w:val="20"/>
                <w:color w:val="auto"/>
              </w:rPr>
            </w:pPr>
            <w:r>
              <w:rPr>
                <w:rFonts w:ascii="Arial" w:cs="Arial" w:eastAsia="Arial" w:hAnsi="Arial"/>
                <w:sz w:val="14"/>
                <w:szCs w:val="14"/>
                <w:color w:val="auto"/>
              </w:rPr>
              <w:t>$</w:t>
            </w:r>
          </w:p>
        </w:tc>
        <w:tc>
          <w:tcPr>
            <w:tcW w:w="640" w:type="dxa"/>
            <w:vAlign w:val="bottom"/>
          </w:tcPr>
          <w:p>
            <w:pPr>
              <w:jc w:val="right"/>
              <w:ind w:right="152"/>
              <w:spacing w:after="0"/>
              <w:rPr>
                <w:sz w:val="20"/>
                <w:szCs w:val="20"/>
                <w:color w:val="auto"/>
              </w:rPr>
            </w:pPr>
            <w:r>
              <w:rPr>
                <w:rFonts w:ascii="Arial" w:cs="Arial" w:eastAsia="Arial" w:hAnsi="Arial"/>
                <w:sz w:val="14"/>
                <w:szCs w:val="14"/>
                <w:color w:val="auto"/>
              </w:rPr>
              <w:t>191</w:t>
            </w:r>
          </w:p>
        </w:tc>
        <w:tc>
          <w:tcPr>
            <w:tcW w:w="360" w:type="dxa"/>
            <w:vAlign w:val="bottom"/>
          </w:tcPr>
          <w:p>
            <w:pPr>
              <w:jc w:val="right"/>
              <w:ind w:right="72"/>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292"/>
              <w:spacing w:after="0"/>
              <w:rPr>
                <w:sz w:val="20"/>
                <w:szCs w:val="20"/>
                <w:color w:val="auto"/>
              </w:rPr>
            </w:pPr>
            <w:r>
              <w:rPr>
                <w:rFonts w:ascii="Arial" w:cs="Arial" w:eastAsia="Arial" w:hAnsi="Arial"/>
                <w:sz w:val="14"/>
                <w:szCs w:val="14"/>
                <w:color w:val="auto"/>
              </w:rPr>
              <w:t>154</w:t>
            </w:r>
          </w:p>
        </w:tc>
        <w:tc>
          <w:tcPr>
            <w:tcW w:w="480" w:type="dxa"/>
            <w:vAlign w:val="bottom"/>
          </w:tcPr>
          <w:p>
            <w:pPr>
              <w:jc w:val="right"/>
              <w:ind w:right="72"/>
              <w:spacing w:after="0"/>
              <w:rPr>
                <w:sz w:val="20"/>
                <w:szCs w:val="20"/>
                <w:color w:val="auto"/>
              </w:rPr>
            </w:pPr>
            <w:r>
              <w:rPr>
                <w:rFonts w:ascii="Arial" w:cs="Arial" w:eastAsia="Arial" w:hAnsi="Arial"/>
                <w:sz w:val="14"/>
                <w:szCs w:val="14"/>
                <w:color w:val="auto"/>
              </w:rPr>
              <w:t>$</w:t>
            </w:r>
          </w:p>
        </w:tc>
        <w:tc>
          <w:tcPr>
            <w:tcW w:w="560" w:type="dxa"/>
            <w:vAlign w:val="bottom"/>
          </w:tcPr>
          <w:p>
            <w:pPr>
              <w:jc w:val="right"/>
              <w:ind w:right="72"/>
              <w:spacing w:after="0"/>
              <w:rPr>
                <w:sz w:val="20"/>
                <w:szCs w:val="20"/>
                <w:color w:val="auto"/>
              </w:rPr>
            </w:pPr>
            <w:r>
              <w:rPr>
                <w:rFonts w:ascii="Arial" w:cs="Arial" w:eastAsia="Arial" w:hAnsi="Arial"/>
                <w:sz w:val="14"/>
                <w:szCs w:val="14"/>
                <w:color w:val="auto"/>
              </w:rPr>
              <w:t>189</w:t>
            </w:r>
          </w:p>
        </w:tc>
        <w:tc>
          <w:tcPr>
            <w:tcW w:w="440" w:type="dxa"/>
            <w:vAlign w:val="bottom"/>
          </w:tcPr>
          <w:p>
            <w:pPr>
              <w:jc w:val="right"/>
              <w:ind w:right="72"/>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212"/>
              <w:spacing w:after="0"/>
              <w:rPr>
                <w:sz w:val="20"/>
                <w:szCs w:val="20"/>
                <w:color w:val="auto"/>
              </w:rPr>
            </w:pPr>
            <w:r>
              <w:rPr>
                <w:rFonts w:ascii="Arial" w:cs="Arial" w:eastAsia="Arial" w:hAnsi="Arial"/>
                <w:sz w:val="14"/>
                <w:szCs w:val="14"/>
                <w:color w:val="auto"/>
              </w:rPr>
              <w:t>240</w:t>
            </w:r>
          </w:p>
        </w:tc>
        <w:tc>
          <w:tcPr>
            <w:tcW w:w="320" w:type="dxa"/>
            <w:vAlign w:val="bottom"/>
          </w:tcPr>
          <w:p>
            <w:pPr>
              <w:jc w:val="right"/>
              <w:ind w:right="92"/>
              <w:spacing w:after="0"/>
              <w:rPr>
                <w:sz w:val="20"/>
                <w:szCs w:val="20"/>
                <w:color w:val="auto"/>
              </w:rPr>
            </w:pPr>
            <w:r>
              <w:rPr>
                <w:rFonts w:ascii="Arial" w:cs="Arial" w:eastAsia="Arial" w:hAnsi="Arial"/>
                <w:sz w:val="14"/>
                <w:szCs w:val="14"/>
                <w:color w:val="auto"/>
              </w:rPr>
              <w:t>$</w:t>
            </w:r>
          </w:p>
        </w:tc>
        <w:tc>
          <w:tcPr>
            <w:tcW w:w="620" w:type="dxa"/>
            <w:vAlign w:val="bottom"/>
          </w:tcPr>
          <w:p>
            <w:pPr>
              <w:jc w:val="right"/>
              <w:ind w:right="132"/>
              <w:spacing w:after="0"/>
              <w:rPr>
                <w:sz w:val="20"/>
                <w:szCs w:val="20"/>
                <w:color w:val="auto"/>
              </w:rPr>
            </w:pPr>
            <w:r>
              <w:rPr>
                <w:rFonts w:ascii="Arial" w:cs="Arial" w:eastAsia="Arial" w:hAnsi="Arial"/>
                <w:sz w:val="14"/>
                <w:szCs w:val="14"/>
                <w:color w:val="auto"/>
              </w:rPr>
              <w:t>202</w:t>
            </w:r>
          </w:p>
        </w:tc>
      </w:tr>
      <w:tr>
        <w:trPr>
          <w:trHeight w:val="243"/>
        </w:trPr>
        <w:tc>
          <w:tcPr>
            <w:tcW w:w="2240" w:type="dxa"/>
            <w:vAlign w:val="bottom"/>
          </w:tcPr>
          <w:p>
            <w:pPr>
              <w:spacing w:after="0"/>
              <w:rPr>
                <w:sz w:val="21"/>
                <w:szCs w:val="21"/>
                <w:color w:val="auto"/>
              </w:rPr>
            </w:pPr>
          </w:p>
        </w:tc>
        <w:tc>
          <w:tcPr>
            <w:tcW w:w="400" w:type="dxa"/>
            <w:vAlign w:val="bottom"/>
            <w:shd w:val="clear" w:color="auto" w:fill="000000"/>
          </w:tcPr>
          <w:p>
            <w:pPr>
              <w:spacing w:after="0"/>
              <w:rPr>
                <w:sz w:val="21"/>
                <w:szCs w:val="21"/>
                <w:color w:val="auto"/>
              </w:rPr>
            </w:pPr>
          </w:p>
        </w:tc>
        <w:tc>
          <w:tcPr>
            <w:tcW w:w="640" w:type="dxa"/>
            <w:vAlign w:val="bottom"/>
            <w:shd w:val="clear" w:color="auto" w:fill="000000"/>
          </w:tcPr>
          <w:p>
            <w:pPr>
              <w:spacing w:after="0"/>
              <w:rPr>
                <w:sz w:val="21"/>
                <w:szCs w:val="21"/>
                <w:color w:val="auto"/>
              </w:rPr>
            </w:pPr>
          </w:p>
        </w:tc>
        <w:tc>
          <w:tcPr>
            <w:tcW w:w="360" w:type="dxa"/>
            <w:vAlign w:val="bottom"/>
            <w:shd w:val="clear" w:color="auto" w:fill="000000"/>
          </w:tcPr>
          <w:p>
            <w:pPr>
              <w:spacing w:after="0"/>
              <w:rPr>
                <w:sz w:val="21"/>
                <w:szCs w:val="21"/>
                <w:color w:val="auto"/>
              </w:rPr>
            </w:pPr>
          </w:p>
        </w:tc>
        <w:tc>
          <w:tcPr>
            <w:tcW w:w="640" w:type="dxa"/>
            <w:vAlign w:val="bottom"/>
            <w:shd w:val="clear" w:color="auto" w:fill="000000"/>
          </w:tcPr>
          <w:p>
            <w:pPr>
              <w:spacing w:after="0"/>
              <w:rPr>
                <w:sz w:val="21"/>
                <w:szCs w:val="21"/>
                <w:color w:val="auto"/>
              </w:rPr>
            </w:pPr>
          </w:p>
        </w:tc>
        <w:tc>
          <w:tcPr>
            <w:tcW w:w="360" w:type="dxa"/>
            <w:vAlign w:val="bottom"/>
            <w:shd w:val="clear" w:color="auto" w:fill="000000"/>
          </w:tcPr>
          <w:p>
            <w:pPr>
              <w:spacing w:after="0"/>
              <w:rPr>
                <w:sz w:val="21"/>
                <w:szCs w:val="21"/>
                <w:color w:val="auto"/>
              </w:rPr>
            </w:pPr>
          </w:p>
        </w:tc>
        <w:tc>
          <w:tcPr>
            <w:tcW w:w="780" w:type="dxa"/>
            <w:vAlign w:val="bottom"/>
            <w:shd w:val="clear" w:color="auto" w:fill="000000"/>
          </w:tcPr>
          <w:p>
            <w:pPr>
              <w:spacing w:after="0"/>
              <w:rPr>
                <w:sz w:val="21"/>
                <w:szCs w:val="21"/>
                <w:color w:val="auto"/>
              </w:rPr>
            </w:pPr>
          </w:p>
        </w:tc>
        <w:tc>
          <w:tcPr>
            <w:tcW w:w="480" w:type="dxa"/>
            <w:vAlign w:val="bottom"/>
            <w:shd w:val="clear" w:color="auto" w:fill="000000"/>
          </w:tcPr>
          <w:p>
            <w:pPr>
              <w:spacing w:after="0"/>
              <w:rPr>
                <w:sz w:val="21"/>
                <w:szCs w:val="21"/>
                <w:color w:val="auto"/>
              </w:rPr>
            </w:pPr>
          </w:p>
        </w:tc>
        <w:tc>
          <w:tcPr>
            <w:tcW w:w="560" w:type="dxa"/>
            <w:vAlign w:val="bottom"/>
            <w:shd w:val="clear" w:color="auto" w:fill="000000"/>
          </w:tcPr>
          <w:p>
            <w:pPr>
              <w:spacing w:after="0"/>
              <w:rPr>
                <w:sz w:val="21"/>
                <w:szCs w:val="21"/>
                <w:color w:val="auto"/>
              </w:rPr>
            </w:pPr>
          </w:p>
        </w:tc>
        <w:tc>
          <w:tcPr>
            <w:tcW w:w="440" w:type="dxa"/>
            <w:vAlign w:val="bottom"/>
            <w:shd w:val="clear" w:color="auto" w:fill="000000"/>
          </w:tcPr>
          <w:p>
            <w:pPr>
              <w:spacing w:after="0"/>
              <w:rPr>
                <w:sz w:val="21"/>
                <w:szCs w:val="21"/>
                <w:color w:val="auto"/>
              </w:rPr>
            </w:pPr>
          </w:p>
        </w:tc>
        <w:tc>
          <w:tcPr>
            <w:tcW w:w="700" w:type="dxa"/>
            <w:vAlign w:val="bottom"/>
            <w:shd w:val="clear" w:color="auto" w:fill="000000"/>
          </w:tcPr>
          <w:p>
            <w:pPr>
              <w:spacing w:after="0"/>
              <w:rPr>
                <w:sz w:val="21"/>
                <w:szCs w:val="21"/>
                <w:color w:val="auto"/>
              </w:rPr>
            </w:pPr>
          </w:p>
        </w:tc>
        <w:tc>
          <w:tcPr>
            <w:tcW w:w="320" w:type="dxa"/>
            <w:vAlign w:val="bottom"/>
            <w:shd w:val="clear" w:color="auto" w:fill="000000"/>
          </w:tcPr>
          <w:p>
            <w:pPr>
              <w:spacing w:after="0"/>
              <w:rPr>
                <w:sz w:val="21"/>
                <w:szCs w:val="21"/>
                <w:color w:val="auto"/>
              </w:rPr>
            </w:pPr>
          </w:p>
        </w:tc>
        <w:tc>
          <w:tcPr>
            <w:tcW w:w="620" w:type="dxa"/>
            <w:vAlign w:val="bottom"/>
            <w:shd w:val="clear" w:color="auto" w:fill="000000"/>
          </w:tcPr>
          <w:p>
            <w:pPr>
              <w:spacing w:after="0"/>
              <w:rPr>
                <w:sz w:val="21"/>
                <w:szCs w:val="21"/>
                <w:color w:val="auto"/>
              </w:rPr>
            </w:pPr>
          </w:p>
        </w:tc>
      </w:tr>
    </w:tbl>
    <w:p>
      <w:pPr>
        <w:spacing w:after="0" w:line="211" w:lineRule="exact"/>
        <w:rPr>
          <w:sz w:val="20"/>
          <w:szCs w:val="20"/>
          <w:color w:val="auto"/>
        </w:rPr>
      </w:pPr>
    </w:p>
    <w:p>
      <w:pPr>
        <w:ind w:left="140" w:hanging="132"/>
        <w:spacing w:after="0"/>
        <w:tabs>
          <w:tab w:leader="none" w:pos="140" w:val="left"/>
        </w:tabs>
        <w:numPr>
          <w:ilvl w:val="0"/>
          <w:numId w:val="3"/>
        </w:numPr>
        <w:rPr>
          <w:rFonts w:ascii="Arial" w:cs="Arial" w:eastAsia="Arial" w:hAnsi="Arial"/>
          <w:sz w:val="18"/>
          <w:szCs w:val="18"/>
          <w:color w:val="auto"/>
        </w:rPr>
      </w:pPr>
      <w:r>
        <w:rPr>
          <w:rFonts w:ascii="Arial" w:cs="Arial" w:eastAsia="Arial" w:hAnsi="Arial"/>
          <w:sz w:val="14"/>
          <w:szCs w:val="14"/>
          <w:color w:val="auto"/>
        </w:rPr>
        <w:t>Demand side management (DSM)</w:t>
      </w:r>
    </w:p>
    <w:p>
      <w:pPr>
        <w:ind w:left="120" w:hanging="112"/>
        <w:spacing w:after="0" w:line="197" w:lineRule="auto"/>
        <w:tabs>
          <w:tab w:leader="none" w:pos="120" w:val="left"/>
        </w:tabs>
        <w:numPr>
          <w:ilvl w:val="0"/>
          <w:numId w:val="4"/>
        </w:numPr>
        <w:rPr>
          <w:rFonts w:ascii="Arial" w:cs="Arial" w:eastAsia="Arial" w:hAnsi="Arial"/>
          <w:sz w:val="30"/>
          <w:szCs w:val="30"/>
          <w:color w:val="auto"/>
          <w:vertAlign w:val="superscript"/>
        </w:rPr>
      </w:pPr>
      <w:r>
        <w:rPr>
          <w:rFonts w:ascii="Arial" w:cs="Arial" w:eastAsia="Arial" w:hAnsi="Arial"/>
          <w:sz w:val="12"/>
          <w:szCs w:val="12"/>
          <w:color w:val="auto"/>
        </w:rPr>
        <w:t>San Onofre Nuclear Generating Station (SONGS)</w:t>
      </w:r>
    </w:p>
    <w:p>
      <w:pPr>
        <w:sectPr>
          <w:pgSz w:w="11900" w:h="17000" w:orient="portrait"/>
          <w:cols w:equalWidth="0" w:num="1">
            <w:col w:w="11240"/>
          </w:cols>
          <w:pgMar w:left="240" w:top="118" w:right="419" w:bottom="0" w:gutter="0" w:footer="0" w:header="0"/>
        </w:sectPr>
      </w:pPr>
    </w:p>
    <w:p>
      <w:pPr>
        <w:spacing w:after="0" w:line="182" w:lineRule="exact"/>
        <w:rPr>
          <w:sz w:val="20"/>
          <w:szCs w:val="20"/>
          <w:color w:val="auto"/>
        </w:rPr>
      </w:pPr>
    </w:p>
    <w:p>
      <w:pPr>
        <w:jc w:val="both"/>
        <w:ind w:right="80"/>
        <w:spacing w:after="0" w:line="328" w:lineRule="auto"/>
        <w:rPr>
          <w:sz w:val="20"/>
          <w:szCs w:val="20"/>
          <w:color w:val="auto"/>
        </w:rPr>
      </w:pPr>
      <w:r>
        <w:rPr>
          <w:rFonts w:ascii="Arial" w:cs="Arial" w:eastAsia="Arial" w:hAnsi="Arial"/>
          <w:sz w:val="19"/>
          <w:szCs w:val="19"/>
          <w:color w:val="auto"/>
        </w:rPr>
        <w:t>The company is subject to federal, state and local governmental agencies. The primary regulatory agency is the California Public Utilities Commission (CPUC), which regulates utility rates and operations. The Federal Energy Regulatory Commission (FERC)</w:t>
      </w:r>
    </w:p>
    <w:p>
      <w:pPr>
        <w:sectPr>
          <w:pgSz w:w="11900" w:h="17000" w:orient="portrait"/>
          <w:cols w:equalWidth="0" w:num="1">
            <w:col w:w="11240"/>
          </w:cols>
          <w:pgMar w:left="240" w:top="118" w:right="419" w:bottom="0" w:gutter="0" w:footer="0" w:header="0"/>
          <w:type w:val="continuous"/>
        </w:sectPr>
      </w:pPr>
    </w:p>
    <w:bookmarkStart w:id="13" w:name="page14"/>
    <w:bookmarkEnd w:id="13"/>
    <w:p>
      <w:pPr>
        <w:ind w:right="260"/>
        <w:spacing w:after="0" w:line="241" w:lineRule="auto"/>
        <w:rPr>
          <w:sz w:val="20"/>
          <w:szCs w:val="20"/>
          <w:color w:val="auto"/>
        </w:rPr>
      </w:pPr>
      <w:r>
        <w:rPr>
          <w:rFonts w:ascii="Arial" w:cs="Arial" w:eastAsia="Arial" w:hAnsi="Arial"/>
          <w:sz w:val="22"/>
          <w:szCs w:val="22"/>
          <w:color w:val="auto"/>
        </w:rPr>
        <w:t>regulates interstate transportation of natural gas and electricity and various related matters. The Nuclear Regulatory Commission regulates nuclear generating plants. Municipalities and other local authorities regulate the location of utility assets, including natural gas pipelines and electric lines.</w:t>
      </w:r>
    </w:p>
    <w:p>
      <w:pPr>
        <w:spacing w:after="0" w:line="184" w:lineRule="exact"/>
        <w:rPr>
          <w:sz w:val="20"/>
          <w:szCs w:val="20"/>
          <w:color w:val="auto"/>
        </w:rPr>
      </w:pPr>
    </w:p>
    <w:p>
      <w:pPr>
        <w:ind w:right="140"/>
        <w:spacing w:after="0" w:line="235" w:lineRule="auto"/>
        <w:rPr>
          <w:sz w:val="20"/>
          <w:szCs w:val="20"/>
          <w:color w:val="auto"/>
        </w:rPr>
      </w:pPr>
      <w:r>
        <w:rPr>
          <w:rFonts w:ascii="Arial" w:cs="Arial" w:eastAsia="Arial" w:hAnsi="Arial"/>
          <w:sz w:val="22"/>
          <w:szCs w:val="22"/>
          <w:b w:val="1"/>
          <w:bCs w:val="1"/>
          <w:i w:val="1"/>
          <w:iCs w:val="1"/>
          <w:color w:val="auto"/>
        </w:rPr>
        <w:t xml:space="preserve">Electric Revenue and Cost of Electric Fuel and Purchased Power. </w:t>
      </w:r>
      <w:r>
        <w:rPr>
          <w:rFonts w:ascii="Arial" w:cs="Arial" w:eastAsia="Arial" w:hAnsi="Arial"/>
          <w:sz w:val="22"/>
          <w:szCs w:val="22"/>
          <w:color w:val="auto"/>
        </w:rPr>
        <w:t>Electric revenues increased by $125 million (7%) to $1.8</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billion in 2005, and the cost of electric fuel and purchased power increased by $48 million (8%) to $624 million in 2005. The increase in revenue was due to $41 million of higher revenues for recoverable expenses, which are fully offset in other operating expenses, a DSM award settlement in 2005 of $28 million and $23 million related to the 2005 Internal Revenue Service (IRS) decision relating to the sale of SDG&amp;E's former South Bay power plant. In addition, revenues and costs increased $48 million due to higher purchased power costs.</w:t>
      </w:r>
    </w:p>
    <w:p>
      <w:pPr>
        <w:spacing w:after="0" w:line="188" w:lineRule="exact"/>
        <w:rPr>
          <w:sz w:val="20"/>
          <w:szCs w:val="20"/>
          <w:color w:val="auto"/>
        </w:rPr>
      </w:pPr>
    </w:p>
    <w:p>
      <w:pPr>
        <w:ind w:right="60"/>
        <w:spacing w:after="0" w:line="234" w:lineRule="auto"/>
        <w:rPr>
          <w:sz w:val="20"/>
          <w:szCs w:val="20"/>
          <w:color w:val="auto"/>
        </w:rPr>
      </w:pPr>
      <w:r>
        <w:rPr>
          <w:rFonts w:ascii="Arial" w:cs="Arial" w:eastAsia="Arial" w:hAnsi="Arial"/>
          <w:sz w:val="22"/>
          <w:szCs w:val="22"/>
          <w:color w:val="auto"/>
        </w:rPr>
        <w:t>Electric revenues decreased by $123 million (7%) to $1.7 billion in 2004 compared to 2003, and the cost of electric fuel and purchased power increased by $35 million (6%) to $576 million in 2004 compared to 2003. The decrease in revenues was due to the recognition of $116 million related to the approved settlement that allocated between SDG&amp;E's customers and shareholders the profits from certain intermediate-term purchase power contracts in the third quarter of 2003, and higher 2003 earnings of $25 million from Performance-Based Regulation (PBR) awards. Performance awards are discussed in Note 10 of the notes to Consolidated Financial Statements. In addition, electric revenues and costs increased $35 million due to higher electric commodity costs and volumes.</w:t>
      </w:r>
    </w:p>
    <w:p>
      <w:pPr>
        <w:spacing w:after="0" w:line="191" w:lineRule="exact"/>
        <w:rPr>
          <w:sz w:val="20"/>
          <w:szCs w:val="20"/>
          <w:color w:val="auto"/>
        </w:rPr>
      </w:pPr>
    </w:p>
    <w:p>
      <w:pPr>
        <w:ind w:right="280"/>
        <w:spacing w:after="0" w:line="249" w:lineRule="auto"/>
        <w:rPr>
          <w:sz w:val="20"/>
          <w:szCs w:val="20"/>
          <w:color w:val="auto"/>
        </w:rPr>
      </w:pPr>
      <w:r>
        <w:rPr>
          <w:rFonts w:ascii="Arial" w:cs="Arial" w:eastAsia="Arial" w:hAnsi="Arial"/>
          <w:sz w:val="21"/>
          <w:szCs w:val="21"/>
          <w:b w:val="1"/>
          <w:bCs w:val="1"/>
          <w:i w:val="1"/>
          <w:iCs w:val="1"/>
          <w:color w:val="auto"/>
        </w:rPr>
        <w:t xml:space="preserve">Natural Gas Revenue and Cost of Natural Gas. </w:t>
      </w:r>
      <w:r>
        <w:rPr>
          <w:rFonts w:ascii="Arial" w:cs="Arial" w:eastAsia="Arial" w:hAnsi="Arial"/>
          <w:sz w:val="21"/>
          <w:szCs w:val="21"/>
          <w:color w:val="auto"/>
        </w:rPr>
        <w:t>Natural gas revenues increased by $113 million (19%) to $709 million in 2005,</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and the cost of natural gas increased by $109 million (31%) to $456 million in 2005. The increases in 2005 were due to higher natural gas prices, which are passed on to customers, offset by a small decrease in volume. In addition, natural gas revenues increased due to $7 million in DSM awards in 2005. The company's weighted average cost per million British thermal units (mmbtu) of natural gas was $8.67 in 2005, $6.11 in 2004 and $5.14 in 2003.</w:t>
      </w:r>
    </w:p>
    <w:p>
      <w:pPr>
        <w:spacing w:after="0" w:line="179" w:lineRule="exact"/>
        <w:rPr>
          <w:sz w:val="20"/>
          <w:szCs w:val="20"/>
          <w:color w:val="auto"/>
        </w:rPr>
      </w:pPr>
    </w:p>
    <w:p>
      <w:pPr>
        <w:ind w:right="160"/>
        <w:spacing w:after="0" w:line="235" w:lineRule="auto"/>
        <w:rPr>
          <w:sz w:val="20"/>
          <w:szCs w:val="20"/>
          <w:color w:val="auto"/>
        </w:rPr>
      </w:pPr>
      <w:r>
        <w:rPr>
          <w:rFonts w:ascii="Arial" w:cs="Arial" w:eastAsia="Arial" w:hAnsi="Arial"/>
          <w:sz w:val="22"/>
          <w:szCs w:val="22"/>
          <w:color w:val="auto"/>
        </w:rPr>
        <w:t>Although the current regulatory framework provides that the cost of natural gas purchased for customers and the variations in that cost are passed through to the customers on a substantially concurrent basis, SDG&amp;E's natural gas procurement PBR mechanism provides an incentive mechanism by measuring SDG&amp;E's procurement of natural gas against a benchmark price comprised of monthly natural gas indices, resulting in shareholder rewards for costs achieved below the benchmark and shareholder penalties when costs exceed the benchmark. Further discussion is provided in Notes 1 and 10 of the notes to Consolidated Financial Statements.</w:t>
      </w:r>
    </w:p>
    <w:p>
      <w:pPr>
        <w:spacing w:after="0" w:line="188" w:lineRule="exact"/>
        <w:rPr>
          <w:sz w:val="20"/>
          <w:szCs w:val="20"/>
          <w:color w:val="auto"/>
        </w:rPr>
      </w:pPr>
    </w:p>
    <w:p>
      <w:pPr>
        <w:ind w:right="520"/>
        <w:spacing w:after="0"/>
        <w:rPr>
          <w:sz w:val="20"/>
          <w:szCs w:val="20"/>
          <w:color w:val="auto"/>
        </w:rPr>
      </w:pPr>
      <w:r>
        <w:rPr>
          <w:rFonts w:ascii="Arial" w:cs="Arial" w:eastAsia="Arial" w:hAnsi="Arial"/>
          <w:sz w:val="22"/>
          <w:szCs w:val="22"/>
          <w:color w:val="auto"/>
        </w:rPr>
        <w:t>Natural gas revenues increased by $89 million (18%) to $596 million in 2004 compared to 2003, and the cost of natural gas increased by $73 million (27%) to $347 million in 2004 compared to 2003. The increase in 2004 was primarily attributable to natural gas price increases.</w:t>
      </w:r>
    </w:p>
    <w:p>
      <w:pPr>
        <w:spacing w:after="0" w:line="186" w:lineRule="exact"/>
        <w:rPr>
          <w:sz w:val="20"/>
          <w:szCs w:val="20"/>
          <w:color w:val="auto"/>
        </w:rPr>
      </w:pPr>
    </w:p>
    <w:p>
      <w:pPr>
        <w:spacing w:after="0" w:line="251" w:lineRule="auto"/>
        <w:rPr>
          <w:sz w:val="20"/>
          <w:szCs w:val="20"/>
          <w:color w:val="auto"/>
        </w:rPr>
      </w:pPr>
      <w:r>
        <w:rPr>
          <w:rFonts w:ascii="Arial" w:cs="Arial" w:eastAsia="Arial" w:hAnsi="Arial"/>
          <w:sz w:val="22"/>
          <w:szCs w:val="22"/>
          <w:color w:val="auto"/>
        </w:rPr>
        <w:t>The tables below summarize the electric and natural gas volumes and revenues by customer class for the years ended December 31, 2005, 2004 and 2003.</w:t>
      </w:r>
    </w:p>
    <w:p>
      <w:pPr>
        <w:spacing w:after="0" w:line="173"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Electric Distribution and Transmission</w:t>
      </w:r>
    </w:p>
    <w:p>
      <w:pPr>
        <w:spacing w:after="0" w:line="8"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(Volumes in millions of kWhs, dollars in millions)</w:t>
      </w:r>
    </w:p>
    <w:p>
      <w:pPr>
        <w:spacing w:after="0" w:line="242" w:lineRule="exact"/>
        <w:rPr>
          <w:sz w:val="20"/>
          <w:szCs w:val="20"/>
          <w:color w:val="auto"/>
        </w:rPr>
      </w:pPr>
    </w:p>
    <w:tbl>
      <w:tblPr>
        <w:tblLayout w:type="fixed"/>
        <w:tblInd w:w="1280" w:type="dxa"/>
        <w:tblCellMar>
          <w:top w:w="0" w:type="dxa"/>
          <w:left w:w="0" w:type="dxa"/>
          <w:bottom w:w="0" w:type="dxa"/>
          <w:right w:w="0" w:type="dxa"/>
        </w:tblCellMar>
      </w:tblPr>
      <w:tr>
        <w:trPr>
          <w:trHeight w:val="230"/>
        </w:trPr>
        <w:tc>
          <w:tcPr>
            <w:tcW w:w="2180" w:type="dxa"/>
            <w:vAlign w:val="bottom"/>
          </w:tcPr>
          <w:p>
            <w:pPr>
              <w:spacing w:after="0"/>
              <w:rPr>
                <w:sz w:val="20"/>
                <w:szCs w:val="20"/>
                <w:color w:val="auto"/>
              </w:rPr>
            </w:pPr>
          </w:p>
        </w:tc>
        <w:tc>
          <w:tcPr>
            <w:tcW w:w="1680" w:type="dxa"/>
            <w:vAlign w:val="bottom"/>
          </w:tcPr>
          <w:p>
            <w:pPr>
              <w:jc w:val="right"/>
              <w:ind w:right="252"/>
              <w:spacing w:after="0"/>
              <w:rPr>
                <w:sz w:val="20"/>
                <w:szCs w:val="20"/>
                <w:color w:val="auto"/>
              </w:rPr>
            </w:pPr>
            <w:r>
              <w:rPr>
                <w:rFonts w:ascii="Arial" w:cs="Arial" w:eastAsia="Arial" w:hAnsi="Arial"/>
                <w:sz w:val="18"/>
                <w:szCs w:val="18"/>
                <w:color w:val="auto"/>
              </w:rPr>
              <w:t>2005</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2004</w:t>
            </w:r>
          </w:p>
        </w:tc>
        <w:tc>
          <w:tcPr>
            <w:tcW w:w="2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w w:val="84"/>
              </w:rPr>
              <w:t>2003</w:t>
            </w:r>
          </w:p>
        </w:tc>
        <w:tc>
          <w:tcPr>
            <w:tcW w:w="200" w:type="dxa"/>
            <w:vAlign w:val="bottom"/>
          </w:tcPr>
          <w:p>
            <w:pPr>
              <w:spacing w:after="0"/>
              <w:rPr>
                <w:sz w:val="20"/>
                <w:szCs w:val="20"/>
                <w:color w:val="auto"/>
              </w:rPr>
            </w:pPr>
          </w:p>
        </w:tc>
        <w:tc>
          <w:tcPr>
            <w:tcW w:w="680" w:type="dxa"/>
            <w:vAlign w:val="bottom"/>
          </w:tcPr>
          <w:p>
            <w:pPr>
              <w:spacing w:after="0"/>
              <w:rPr>
                <w:sz w:val="20"/>
                <w:szCs w:val="20"/>
                <w:color w:val="auto"/>
              </w:rPr>
            </w:pPr>
          </w:p>
        </w:tc>
      </w:tr>
      <w:tr>
        <w:trPr>
          <w:trHeight w:val="251"/>
        </w:trPr>
        <w:tc>
          <w:tcPr>
            <w:tcW w:w="2180" w:type="dxa"/>
            <w:vAlign w:val="bottom"/>
            <w:shd w:val="clear" w:color="auto" w:fill="000000"/>
          </w:tcPr>
          <w:p>
            <w:pPr>
              <w:spacing w:after="0"/>
              <w:rPr>
                <w:sz w:val="21"/>
                <w:szCs w:val="21"/>
                <w:color w:val="auto"/>
              </w:rPr>
            </w:pPr>
          </w:p>
        </w:tc>
        <w:tc>
          <w:tcPr>
            <w:tcW w:w="1680" w:type="dxa"/>
            <w:vAlign w:val="bottom"/>
            <w:shd w:val="clear" w:color="auto" w:fill="000000"/>
          </w:tcPr>
          <w:p>
            <w:pPr>
              <w:spacing w:after="0"/>
              <w:rPr>
                <w:sz w:val="21"/>
                <w:szCs w:val="21"/>
                <w:color w:val="auto"/>
              </w:rPr>
            </w:pPr>
          </w:p>
        </w:tc>
        <w:tc>
          <w:tcPr>
            <w:tcW w:w="640" w:type="dxa"/>
            <w:vAlign w:val="bottom"/>
            <w:gridSpan w:val="2"/>
            <w:shd w:val="clear" w:color="auto" w:fill="000000"/>
          </w:tcPr>
          <w:p>
            <w:pPr>
              <w:spacing w:after="0"/>
              <w:rPr>
                <w:sz w:val="21"/>
                <w:szCs w:val="21"/>
                <w:color w:val="auto"/>
              </w:rPr>
            </w:pPr>
          </w:p>
        </w:tc>
        <w:tc>
          <w:tcPr>
            <w:tcW w:w="1320" w:type="dxa"/>
            <w:vAlign w:val="bottom"/>
            <w:shd w:val="clear" w:color="auto" w:fill="000000"/>
          </w:tcPr>
          <w:p>
            <w:pPr>
              <w:spacing w:after="0"/>
              <w:rPr>
                <w:sz w:val="21"/>
                <w:szCs w:val="21"/>
                <w:color w:val="auto"/>
              </w:rPr>
            </w:pPr>
          </w:p>
        </w:tc>
        <w:tc>
          <w:tcPr>
            <w:tcW w:w="780" w:type="dxa"/>
            <w:vAlign w:val="bottom"/>
            <w:gridSpan w:val="2"/>
            <w:shd w:val="clear" w:color="auto" w:fill="000000"/>
          </w:tcPr>
          <w:p>
            <w:pPr>
              <w:spacing w:after="0"/>
              <w:rPr>
                <w:sz w:val="21"/>
                <w:szCs w:val="21"/>
                <w:color w:val="auto"/>
              </w:rPr>
            </w:pPr>
          </w:p>
        </w:tc>
        <w:tc>
          <w:tcPr>
            <w:tcW w:w="960" w:type="dxa"/>
            <w:vAlign w:val="bottom"/>
            <w:shd w:val="clear" w:color="auto" w:fill="000000"/>
          </w:tcPr>
          <w:p>
            <w:pPr>
              <w:spacing w:after="0"/>
              <w:rPr>
                <w:sz w:val="21"/>
                <w:szCs w:val="21"/>
                <w:color w:val="auto"/>
              </w:rPr>
            </w:pPr>
          </w:p>
        </w:tc>
        <w:tc>
          <w:tcPr>
            <w:tcW w:w="440" w:type="dxa"/>
            <w:vAlign w:val="bottom"/>
            <w:shd w:val="clear" w:color="auto" w:fill="000000"/>
          </w:tcPr>
          <w:p>
            <w:pPr>
              <w:spacing w:after="0"/>
              <w:rPr>
                <w:sz w:val="21"/>
                <w:szCs w:val="21"/>
                <w:color w:val="auto"/>
              </w:rPr>
            </w:pPr>
          </w:p>
        </w:tc>
        <w:tc>
          <w:tcPr>
            <w:tcW w:w="200" w:type="dxa"/>
            <w:vAlign w:val="bottom"/>
            <w:shd w:val="clear" w:color="auto" w:fill="000000"/>
          </w:tcPr>
          <w:p>
            <w:pPr>
              <w:spacing w:after="0"/>
              <w:rPr>
                <w:sz w:val="21"/>
                <w:szCs w:val="21"/>
                <w:color w:val="auto"/>
              </w:rPr>
            </w:pPr>
          </w:p>
        </w:tc>
        <w:tc>
          <w:tcPr>
            <w:tcW w:w="680" w:type="dxa"/>
            <w:vAlign w:val="bottom"/>
            <w:shd w:val="clear" w:color="auto" w:fill="000000"/>
          </w:tcPr>
          <w:p>
            <w:pPr>
              <w:spacing w:after="0"/>
              <w:rPr>
                <w:sz w:val="21"/>
                <w:szCs w:val="21"/>
                <w:color w:val="auto"/>
              </w:rPr>
            </w:pPr>
          </w:p>
        </w:tc>
      </w:tr>
      <w:tr>
        <w:trPr>
          <w:trHeight w:val="262"/>
        </w:trPr>
        <w:tc>
          <w:tcPr>
            <w:tcW w:w="2180" w:type="dxa"/>
            <w:vAlign w:val="bottom"/>
          </w:tcPr>
          <w:p>
            <w:pPr>
              <w:spacing w:after="0"/>
              <w:rPr>
                <w:sz w:val="22"/>
                <w:szCs w:val="22"/>
                <w:color w:val="auto"/>
              </w:rPr>
            </w:pPr>
          </w:p>
        </w:tc>
        <w:tc>
          <w:tcPr>
            <w:tcW w:w="1680" w:type="dxa"/>
            <w:vAlign w:val="bottom"/>
          </w:tcPr>
          <w:p>
            <w:pPr>
              <w:jc w:val="right"/>
              <w:ind w:right="552"/>
              <w:spacing w:after="0"/>
              <w:rPr>
                <w:sz w:val="20"/>
                <w:szCs w:val="20"/>
                <w:color w:val="auto"/>
              </w:rPr>
            </w:pPr>
            <w:r>
              <w:rPr>
                <w:rFonts w:ascii="Arial" w:cs="Arial" w:eastAsia="Arial" w:hAnsi="Arial"/>
                <w:sz w:val="18"/>
                <w:szCs w:val="18"/>
                <w:color w:val="auto"/>
              </w:rPr>
              <w:t>Volumes</w:t>
            </w:r>
          </w:p>
        </w:tc>
        <w:tc>
          <w:tcPr>
            <w:tcW w:w="640" w:type="dxa"/>
            <w:vAlign w:val="bottom"/>
            <w:gridSpan w:val="2"/>
          </w:tcPr>
          <w:p>
            <w:pPr>
              <w:ind w:left="20"/>
              <w:spacing w:after="0"/>
              <w:rPr>
                <w:sz w:val="20"/>
                <w:szCs w:val="20"/>
                <w:color w:val="auto"/>
              </w:rPr>
            </w:pPr>
            <w:r>
              <w:rPr>
                <w:rFonts w:ascii="Arial" w:cs="Arial" w:eastAsia="Arial" w:hAnsi="Arial"/>
                <w:sz w:val="18"/>
                <w:szCs w:val="18"/>
                <w:color w:val="auto"/>
                <w:w w:val="83"/>
              </w:rPr>
              <w:t>Revenue</w:t>
            </w:r>
          </w:p>
        </w:tc>
        <w:tc>
          <w:tcPr>
            <w:tcW w:w="1320" w:type="dxa"/>
            <w:vAlign w:val="bottom"/>
          </w:tcPr>
          <w:p>
            <w:pPr>
              <w:jc w:val="right"/>
              <w:ind w:right="272"/>
              <w:spacing w:after="0"/>
              <w:rPr>
                <w:sz w:val="20"/>
                <w:szCs w:val="20"/>
                <w:color w:val="auto"/>
              </w:rPr>
            </w:pPr>
            <w:r>
              <w:rPr>
                <w:rFonts w:ascii="Arial" w:cs="Arial" w:eastAsia="Arial" w:hAnsi="Arial"/>
                <w:sz w:val="18"/>
                <w:szCs w:val="18"/>
                <w:color w:val="auto"/>
              </w:rPr>
              <w:t>Volumes</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Revenue</w:t>
            </w:r>
          </w:p>
        </w:tc>
        <w:tc>
          <w:tcPr>
            <w:tcW w:w="960" w:type="dxa"/>
            <w:vAlign w:val="bottom"/>
          </w:tcPr>
          <w:p>
            <w:pPr>
              <w:jc w:val="right"/>
              <w:spacing w:after="0"/>
              <w:rPr>
                <w:sz w:val="20"/>
                <w:szCs w:val="20"/>
                <w:color w:val="auto"/>
              </w:rPr>
            </w:pPr>
            <w:r>
              <w:rPr>
                <w:rFonts w:ascii="Arial" w:cs="Arial" w:eastAsia="Arial" w:hAnsi="Arial"/>
                <w:sz w:val="18"/>
                <w:szCs w:val="18"/>
                <w:color w:val="auto"/>
              </w:rPr>
              <w:t>Volumes</w:t>
            </w:r>
          </w:p>
        </w:tc>
        <w:tc>
          <w:tcPr>
            <w:tcW w:w="4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88"/>
              </w:rPr>
              <w:t>Revenue</w:t>
            </w:r>
          </w:p>
        </w:tc>
      </w:tr>
      <w:tr>
        <w:trPr>
          <w:trHeight w:val="251"/>
        </w:trPr>
        <w:tc>
          <w:tcPr>
            <w:tcW w:w="2180" w:type="dxa"/>
            <w:vAlign w:val="bottom"/>
            <w:shd w:val="clear" w:color="auto" w:fill="000000"/>
          </w:tcPr>
          <w:p>
            <w:pPr>
              <w:spacing w:after="0"/>
              <w:rPr>
                <w:sz w:val="21"/>
                <w:szCs w:val="21"/>
                <w:color w:val="auto"/>
              </w:rPr>
            </w:pPr>
          </w:p>
        </w:tc>
        <w:tc>
          <w:tcPr>
            <w:tcW w:w="1680" w:type="dxa"/>
            <w:vAlign w:val="bottom"/>
            <w:shd w:val="clear" w:color="auto" w:fill="000000"/>
          </w:tcPr>
          <w:p>
            <w:pPr>
              <w:spacing w:after="0"/>
              <w:rPr>
                <w:sz w:val="21"/>
                <w:szCs w:val="21"/>
                <w:color w:val="auto"/>
              </w:rPr>
            </w:pPr>
          </w:p>
        </w:tc>
        <w:tc>
          <w:tcPr>
            <w:tcW w:w="180" w:type="dxa"/>
            <w:vAlign w:val="bottom"/>
            <w:shd w:val="clear" w:color="auto" w:fill="000000"/>
          </w:tcPr>
          <w:p>
            <w:pPr>
              <w:spacing w:after="0"/>
              <w:rPr>
                <w:sz w:val="21"/>
                <w:szCs w:val="21"/>
                <w:color w:val="auto"/>
              </w:rPr>
            </w:pPr>
          </w:p>
        </w:tc>
        <w:tc>
          <w:tcPr>
            <w:tcW w:w="460" w:type="dxa"/>
            <w:vAlign w:val="bottom"/>
            <w:shd w:val="clear" w:color="auto" w:fill="000000"/>
          </w:tcPr>
          <w:p>
            <w:pPr>
              <w:spacing w:after="0"/>
              <w:rPr>
                <w:sz w:val="21"/>
                <w:szCs w:val="21"/>
                <w:color w:val="auto"/>
              </w:rPr>
            </w:pPr>
          </w:p>
        </w:tc>
        <w:tc>
          <w:tcPr>
            <w:tcW w:w="1320" w:type="dxa"/>
            <w:vAlign w:val="bottom"/>
            <w:shd w:val="clear" w:color="auto" w:fill="000000"/>
          </w:tcPr>
          <w:p>
            <w:pPr>
              <w:spacing w:after="0"/>
              <w:rPr>
                <w:sz w:val="21"/>
                <w:szCs w:val="21"/>
                <w:color w:val="auto"/>
              </w:rPr>
            </w:pPr>
          </w:p>
        </w:tc>
        <w:tc>
          <w:tcPr>
            <w:tcW w:w="260" w:type="dxa"/>
            <w:vAlign w:val="bottom"/>
            <w:shd w:val="clear" w:color="auto" w:fill="000000"/>
          </w:tcPr>
          <w:p>
            <w:pPr>
              <w:spacing w:after="0"/>
              <w:rPr>
                <w:sz w:val="21"/>
                <w:szCs w:val="21"/>
                <w:color w:val="auto"/>
              </w:rPr>
            </w:pPr>
          </w:p>
        </w:tc>
        <w:tc>
          <w:tcPr>
            <w:tcW w:w="520" w:type="dxa"/>
            <w:vAlign w:val="bottom"/>
            <w:shd w:val="clear" w:color="auto" w:fill="000000"/>
          </w:tcPr>
          <w:p>
            <w:pPr>
              <w:spacing w:after="0"/>
              <w:rPr>
                <w:sz w:val="21"/>
                <w:szCs w:val="21"/>
                <w:color w:val="auto"/>
              </w:rPr>
            </w:pPr>
          </w:p>
        </w:tc>
        <w:tc>
          <w:tcPr>
            <w:tcW w:w="960" w:type="dxa"/>
            <w:vAlign w:val="bottom"/>
            <w:shd w:val="clear" w:color="auto" w:fill="000000"/>
          </w:tcPr>
          <w:p>
            <w:pPr>
              <w:spacing w:after="0"/>
              <w:rPr>
                <w:sz w:val="21"/>
                <w:szCs w:val="21"/>
                <w:color w:val="auto"/>
              </w:rPr>
            </w:pPr>
          </w:p>
        </w:tc>
        <w:tc>
          <w:tcPr>
            <w:tcW w:w="440" w:type="dxa"/>
            <w:vAlign w:val="bottom"/>
            <w:shd w:val="clear" w:color="auto" w:fill="000000"/>
          </w:tcPr>
          <w:p>
            <w:pPr>
              <w:spacing w:after="0"/>
              <w:rPr>
                <w:sz w:val="21"/>
                <w:szCs w:val="21"/>
                <w:color w:val="auto"/>
              </w:rPr>
            </w:pPr>
          </w:p>
        </w:tc>
        <w:tc>
          <w:tcPr>
            <w:tcW w:w="200" w:type="dxa"/>
            <w:vAlign w:val="bottom"/>
            <w:shd w:val="clear" w:color="auto" w:fill="000000"/>
          </w:tcPr>
          <w:p>
            <w:pPr>
              <w:spacing w:after="0"/>
              <w:rPr>
                <w:sz w:val="21"/>
                <w:szCs w:val="21"/>
                <w:color w:val="auto"/>
              </w:rPr>
            </w:pPr>
          </w:p>
        </w:tc>
        <w:tc>
          <w:tcPr>
            <w:tcW w:w="680" w:type="dxa"/>
            <w:vAlign w:val="bottom"/>
            <w:shd w:val="clear" w:color="auto" w:fill="000000"/>
          </w:tcPr>
          <w:p>
            <w:pPr>
              <w:spacing w:after="0"/>
              <w:rPr>
                <w:sz w:val="21"/>
                <w:szCs w:val="21"/>
                <w:color w:val="auto"/>
              </w:rPr>
            </w:pPr>
          </w:p>
        </w:tc>
      </w:tr>
      <w:tr>
        <w:trPr>
          <w:trHeight w:val="255"/>
        </w:trPr>
        <w:tc>
          <w:tcPr>
            <w:tcW w:w="2180" w:type="dxa"/>
            <w:vAlign w:val="bottom"/>
          </w:tcPr>
          <w:p>
            <w:pPr>
              <w:ind w:left="20"/>
              <w:spacing w:after="0"/>
              <w:rPr>
                <w:sz w:val="20"/>
                <w:szCs w:val="20"/>
                <w:color w:val="auto"/>
              </w:rPr>
            </w:pPr>
            <w:r>
              <w:rPr>
                <w:rFonts w:ascii="Arial" w:cs="Arial" w:eastAsia="Arial" w:hAnsi="Arial"/>
                <w:sz w:val="18"/>
                <w:szCs w:val="18"/>
                <w:color w:val="auto"/>
              </w:rPr>
              <w:t>Residential</w:t>
            </w:r>
          </w:p>
        </w:tc>
        <w:tc>
          <w:tcPr>
            <w:tcW w:w="1680" w:type="dxa"/>
            <w:vAlign w:val="bottom"/>
          </w:tcPr>
          <w:p>
            <w:pPr>
              <w:jc w:val="right"/>
              <w:ind w:right="552"/>
              <w:spacing w:after="0"/>
              <w:rPr>
                <w:sz w:val="20"/>
                <w:szCs w:val="20"/>
                <w:color w:val="auto"/>
              </w:rPr>
            </w:pPr>
            <w:r>
              <w:rPr>
                <w:rFonts w:ascii="Arial" w:cs="Arial" w:eastAsia="Arial" w:hAnsi="Arial"/>
                <w:sz w:val="18"/>
                <w:szCs w:val="18"/>
                <w:color w:val="auto"/>
              </w:rPr>
              <w:t>7,075</w:t>
            </w:r>
          </w:p>
        </w:tc>
        <w:tc>
          <w:tcPr>
            <w:tcW w:w="180" w:type="dxa"/>
            <w:vAlign w:val="bottom"/>
          </w:tcPr>
          <w:p>
            <w:pPr>
              <w:ind w:left="20"/>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738</w:t>
            </w:r>
          </w:p>
        </w:tc>
        <w:tc>
          <w:tcPr>
            <w:tcW w:w="1320" w:type="dxa"/>
            <w:vAlign w:val="bottom"/>
          </w:tcPr>
          <w:p>
            <w:pPr>
              <w:jc w:val="right"/>
              <w:ind w:right="272"/>
              <w:spacing w:after="0"/>
              <w:rPr>
                <w:sz w:val="20"/>
                <w:szCs w:val="20"/>
                <w:color w:val="auto"/>
              </w:rPr>
            </w:pPr>
            <w:r>
              <w:rPr>
                <w:rFonts w:ascii="Arial" w:cs="Arial" w:eastAsia="Arial" w:hAnsi="Arial"/>
                <w:sz w:val="18"/>
                <w:szCs w:val="18"/>
                <w:color w:val="auto"/>
              </w:rPr>
              <w:t>7,038</w:t>
            </w:r>
          </w:p>
        </w:tc>
        <w:tc>
          <w:tcPr>
            <w:tcW w:w="2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692</w:t>
            </w:r>
          </w:p>
        </w:tc>
        <w:tc>
          <w:tcPr>
            <w:tcW w:w="960" w:type="dxa"/>
            <w:vAlign w:val="bottom"/>
          </w:tcPr>
          <w:p>
            <w:pPr>
              <w:jc w:val="right"/>
              <w:spacing w:after="0"/>
              <w:rPr>
                <w:sz w:val="20"/>
                <w:szCs w:val="20"/>
                <w:color w:val="auto"/>
              </w:rPr>
            </w:pPr>
            <w:r>
              <w:rPr>
                <w:rFonts w:ascii="Arial" w:cs="Arial" w:eastAsia="Arial" w:hAnsi="Arial"/>
                <w:sz w:val="18"/>
                <w:szCs w:val="18"/>
                <w:color w:val="auto"/>
              </w:rPr>
              <w:t>6,702</w:t>
            </w: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731</w:t>
            </w:r>
          </w:p>
        </w:tc>
      </w:tr>
      <w:tr>
        <w:trPr>
          <w:trHeight w:val="270"/>
        </w:trPr>
        <w:tc>
          <w:tcPr>
            <w:tcW w:w="2180" w:type="dxa"/>
            <w:vAlign w:val="bottom"/>
          </w:tcPr>
          <w:p>
            <w:pPr>
              <w:ind w:left="20"/>
              <w:spacing w:after="0"/>
              <w:rPr>
                <w:sz w:val="20"/>
                <w:szCs w:val="20"/>
                <w:color w:val="auto"/>
              </w:rPr>
            </w:pPr>
            <w:r>
              <w:rPr>
                <w:rFonts w:ascii="Arial" w:cs="Arial" w:eastAsia="Arial" w:hAnsi="Arial"/>
                <w:sz w:val="18"/>
                <w:szCs w:val="18"/>
                <w:color w:val="auto"/>
              </w:rPr>
              <w:t>Commercial</w:t>
            </w:r>
          </w:p>
        </w:tc>
        <w:tc>
          <w:tcPr>
            <w:tcW w:w="1680" w:type="dxa"/>
            <w:vAlign w:val="bottom"/>
          </w:tcPr>
          <w:p>
            <w:pPr>
              <w:jc w:val="right"/>
              <w:ind w:right="552"/>
              <w:spacing w:after="0"/>
              <w:rPr>
                <w:sz w:val="20"/>
                <w:szCs w:val="20"/>
                <w:color w:val="auto"/>
              </w:rPr>
            </w:pPr>
            <w:r>
              <w:rPr>
                <w:rFonts w:ascii="Arial" w:cs="Arial" w:eastAsia="Arial" w:hAnsi="Arial"/>
                <w:sz w:val="18"/>
                <w:szCs w:val="18"/>
                <w:color w:val="auto"/>
              </w:rPr>
              <w:t>6,674</w:t>
            </w:r>
          </w:p>
        </w:tc>
        <w:tc>
          <w:tcPr>
            <w:tcW w:w="180" w:type="dxa"/>
            <w:vAlign w:val="bottom"/>
          </w:tcPr>
          <w:p>
            <w:pPr>
              <w:spacing w:after="0"/>
              <w:rPr>
                <w:sz w:val="23"/>
                <w:szCs w:val="23"/>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654</w:t>
            </w:r>
          </w:p>
        </w:tc>
        <w:tc>
          <w:tcPr>
            <w:tcW w:w="1320" w:type="dxa"/>
            <w:vAlign w:val="bottom"/>
          </w:tcPr>
          <w:p>
            <w:pPr>
              <w:jc w:val="right"/>
              <w:ind w:right="272"/>
              <w:spacing w:after="0"/>
              <w:rPr>
                <w:sz w:val="20"/>
                <w:szCs w:val="20"/>
                <w:color w:val="auto"/>
              </w:rPr>
            </w:pPr>
            <w:r>
              <w:rPr>
                <w:rFonts w:ascii="Arial" w:cs="Arial" w:eastAsia="Arial" w:hAnsi="Arial"/>
                <w:sz w:val="18"/>
                <w:szCs w:val="18"/>
                <w:color w:val="auto"/>
              </w:rPr>
              <w:t>6,592</w:t>
            </w:r>
          </w:p>
        </w:tc>
        <w:tc>
          <w:tcPr>
            <w:tcW w:w="260" w:type="dxa"/>
            <w:vAlign w:val="bottom"/>
          </w:tcPr>
          <w:p>
            <w:pPr>
              <w:spacing w:after="0"/>
              <w:rPr>
                <w:sz w:val="23"/>
                <w:szCs w:val="23"/>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644</w:t>
            </w:r>
          </w:p>
        </w:tc>
        <w:tc>
          <w:tcPr>
            <w:tcW w:w="960" w:type="dxa"/>
            <w:vAlign w:val="bottom"/>
          </w:tcPr>
          <w:p>
            <w:pPr>
              <w:jc w:val="right"/>
              <w:spacing w:after="0"/>
              <w:rPr>
                <w:sz w:val="20"/>
                <w:szCs w:val="20"/>
                <w:color w:val="auto"/>
              </w:rPr>
            </w:pPr>
            <w:r>
              <w:rPr>
                <w:rFonts w:ascii="Arial" w:cs="Arial" w:eastAsia="Arial" w:hAnsi="Arial"/>
                <w:sz w:val="18"/>
                <w:szCs w:val="18"/>
                <w:color w:val="auto"/>
              </w:rPr>
              <w:t>6,263</w:t>
            </w:r>
          </w:p>
        </w:tc>
        <w:tc>
          <w:tcPr>
            <w:tcW w:w="4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674</w:t>
            </w:r>
          </w:p>
        </w:tc>
      </w:tr>
      <w:tr>
        <w:trPr>
          <w:trHeight w:val="270"/>
        </w:trPr>
        <w:tc>
          <w:tcPr>
            <w:tcW w:w="2180" w:type="dxa"/>
            <w:vAlign w:val="bottom"/>
          </w:tcPr>
          <w:p>
            <w:pPr>
              <w:ind w:left="20"/>
              <w:spacing w:after="0"/>
              <w:rPr>
                <w:sz w:val="20"/>
                <w:szCs w:val="20"/>
                <w:color w:val="auto"/>
              </w:rPr>
            </w:pPr>
            <w:r>
              <w:rPr>
                <w:rFonts w:ascii="Arial" w:cs="Arial" w:eastAsia="Arial" w:hAnsi="Arial"/>
                <w:sz w:val="18"/>
                <w:szCs w:val="18"/>
                <w:color w:val="auto"/>
              </w:rPr>
              <w:t>Industrial</w:t>
            </w:r>
          </w:p>
        </w:tc>
        <w:tc>
          <w:tcPr>
            <w:tcW w:w="1680" w:type="dxa"/>
            <w:vAlign w:val="bottom"/>
          </w:tcPr>
          <w:p>
            <w:pPr>
              <w:jc w:val="right"/>
              <w:ind w:right="552"/>
              <w:spacing w:after="0"/>
              <w:rPr>
                <w:sz w:val="20"/>
                <w:szCs w:val="20"/>
                <w:color w:val="auto"/>
              </w:rPr>
            </w:pPr>
            <w:r>
              <w:rPr>
                <w:rFonts w:ascii="Arial" w:cs="Arial" w:eastAsia="Arial" w:hAnsi="Arial"/>
                <w:sz w:val="18"/>
                <w:szCs w:val="18"/>
                <w:color w:val="auto"/>
              </w:rPr>
              <w:t>2,159</w:t>
            </w:r>
          </w:p>
        </w:tc>
        <w:tc>
          <w:tcPr>
            <w:tcW w:w="180" w:type="dxa"/>
            <w:vAlign w:val="bottom"/>
          </w:tcPr>
          <w:p>
            <w:pPr>
              <w:spacing w:after="0"/>
              <w:rPr>
                <w:sz w:val="23"/>
                <w:szCs w:val="23"/>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142</w:t>
            </w:r>
          </w:p>
        </w:tc>
        <w:tc>
          <w:tcPr>
            <w:tcW w:w="1320" w:type="dxa"/>
            <w:vAlign w:val="bottom"/>
          </w:tcPr>
          <w:p>
            <w:pPr>
              <w:jc w:val="right"/>
              <w:ind w:right="272"/>
              <w:spacing w:after="0"/>
              <w:rPr>
                <w:sz w:val="20"/>
                <w:szCs w:val="20"/>
                <w:color w:val="auto"/>
              </w:rPr>
            </w:pPr>
            <w:r>
              <w:rPr>
                <w:rFonts w:ascii="Arial" w:cs="Arial" w:eastAsia="Arial" w:hAnsi="Arial"/>
                <w:sz w:val="18"/>
                <w:szCs w:val="18"/>
                <w:color w:val="auto"/>
              </w:rPr>
              <w:t>2,084</w:t>
            </w:r>
          </w:p>
        </w:tc>
        <w:tc>
          <w:tcPr>
            <w:tcW w:w="260" w:type="dxa"/>
            <w:vAlign w:val="bottom"/>
          </w:tcPr>
          <w:p>
            <w:pPr>
              <w:spacing w:after="0"/>
              <w:rPr>
                <w:sz w:val="23"/>
                <w:szCs w:val="23"/>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134</w:t>
            </w:r>
          </w:p>
        </w:tc>
        <w:tc>
          <w:tcPr>
            <w:tcW w:w="960" w:type="dxa"/>
            <w:vAlign w:val="bottom"/>
          </w:tcPr>
          <w:p>
            <w:pPr>
              <w:jc w:val="right"/>
              <w:spacing w:after="0"/>
              <w:rPr>
                <w:sz w:val="20"/>
                <w:szCs w:val="20"/>
                <w:color w:val="auto"/>
              </w:rPr>
            </w:pPr>
            <w:r>
              <w:rPr>
                <w:rFonts w:ascii="Arial" w:cs="Arial" w:eastAsia="Arial" w:hAnsi="Arial"/>
                <w:sz w:val="18"/>
                <w:szCs w:val="18"/>
                <w:color w:val="auto"/>
              </w:rPr>
              <w:t>1,987</w:t>
            </w:r>
          </w:p>
        </w:tc>
        <w:tc>
          <w:tcPr>
            <w:tcW w:w="4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162</w:t>
            </w:r>
          </w:p>
        </w:tc>
      </w:tr>
      <w:tr>
        <w:trPr>
          <w:trHeight w:val="270"/>
        </w:trPr>
        <w:tc>
          <w:tcPr>
            <w:tcW w:w="2180" w:type="dxa"/>
            <w:vAlign w:val="bottom"/>
          </w:tcPr>
          <w:p>
            <w:pPr>
              <w:ind w:left="20"/>
              <w:spacing w:after="0"/>
              <w:rPr>
                <w:sz w:val="20"/>
                <w:szCs w:val="20"/>
                <w:color w:val="auto"/>
              </w:rPr>
            </w:pPr>
            <w:r>
              <w:rPr>
                <w:rFonts w:ascii="Arial" w:cs="Arial" w:eastAsia="Arial" w:hAnsi="Arial"/>
                <w:sz w:val="18"/>
                <w:szCs w:val="18"/>
                <w:color w:val="auto"/>
              </w:rPr>
              <w:t>Direct access</w:t>
            </w:r>
          </w:p>
        </w:tc>
        <w:tc>
          <w:tcPr>
            <w:tcW w:w="1680" w:type="dxa"/>
            <w:vAlign w:val="bottom"/>
          </w:tcPr>
          <w:p>
            <w:pPr>
              <w:jc w:val="right"/>
              <w:ind w:right="552"/>
              <w:spacing w:after="0"/>
              <w:rPr>
                <w:sz w:val="20"/>
                <w:szCs w:val="20"/>
                <w:color w:val="auto"/>
              </w:rPr>
            </w:pPr>
            <w:r>
              <w:rPr>
                <w:rFonts w:ascii="Arial" w:cs="Arial" w:eastAsia="Arial" w:hAnsi="Arial"/>
                <w:sz w:val="18"/>
                <w:szCs w:val="18"/>
                <w:color w:val="auto"/>
              </w:rPr>
              <w:t>3,213</w:t>
            </w:r>
          </w:p>
        </w:tc>
        <w:tc>
          <w:tcPr>
            <w:tcW w:w="180" w:type="dxa"/>
            <w:vAlign w:val="bottom"/>
          </w:tcPr>
          <w:p>
            <w:pPr>
              <w:spacing w:after="0"/>
              <w:rPr>
                <w:sz w:val="23"/>
                <w:szCs w:val="23"/>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114</w:t>
            </w:r>
          </w:p>
        </w:tc>
        <w:tc>
          <w:tcPr>
            <w:tcW w:w="1320" w:type="dxa"/>
            <w:vAlign w:val="bottom"/>
          </w:tcPr>
          <w:p>
            <w:pPr>
              <w:jc w:val="right"/>
              <w:ind w:right="272"/>
              <w:spacing w:after="0"/>
              <w:rPr>
                <w:sz w:val="20"/>
                <w:szCs w:val="20"/>
                <w:color w:val="auto"/>
              </w:rPr>
            </w:pPr>
            <w:r>
              <w:rPr>
                <w:rFonts w:ascii="Arial" w:cs="Arial" w:eastAsia="Arial" w:hAnsi="Arial"/>
                <w:sz w:val="18"/>
                <w:szCs w:val="18"/>
                <w:color w:val="auto"/>
              </w:rPr>
              <w:t>3,441</w:t>
            </w:r>
          </w:p>
        </w:tc>
        <w:tc>
          <w:tcPr>
            <w:tcW w:w="260" w:type="dxa"/>
            <w:vAlign w:val="bottom"/>
          </w:tcPr>
          <w:p>
            <w:pPr>
              <w:spacing w:after="0"/>
              <w:rPr>
                <w:sz w:val="23"/>
                <w:szCs w:val="23"/>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105</w:t>
            </w:r>
          </w:p>
        </w:tc>
        <w:tc>
          <w:tcPr>
            <w:tcW w:w="960" w:type="dxa"/>
            <w:vAlign w:val="bottom"/>
          </w:tcPr>
          <w:p>
            <w:pPr>
              <w:jc w:val="right"/>
              <w:spacing w:after="0"/>
              <w:rPr>
                <w:sz w:val="20"/>
                <w:szCs w:val="20"/>
                <w:color w:val="auto"/>
              </w:rPr>
            </w:pPr>
            <w:r>
              <w:rPr>
                <w:rFonts w:ascii="Arial" w:cs="Arial" w:eastAsia="Arial" w:hAnsi="Arial"/>
                <w:sz w:val="18"/>
                <w:szCs w:val="18"/>
                <w:color w:val="auto"/>
              </w:rPr>
              <w:t>3,322</w:t>
            </w:r>
          </w:p>
        </w:tc>
        <w:tc>
          <w:tcPr>
            <w:tcW w:w="4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87</w:t>
            </w:r>
          </w:p>
        </w:tc>
      </w:tr>
      <w:tr>
        <w:trPr>
          <w:trHeight w:val="270"/>
        </w:trPr>
        <w:tc>
          <w:tcPr>
            <w:tcW w:w="2180" w:type="dxa"/>
            <w:vAlign w:val="bottom"/>
          </w:tcPr>
          <w:p>
            <w:pPr>
              <w:ind w:left="20"/>
              <w:spacing w:after="0"/>
              <w:rPr>
                <w:sz w:val="20"/>
                <w:szCs w:val="20"/>
                <w:color w:val="auto"/>
              </w:rPr>
            </w:pPr>
            <w:r>
              <w:rPr>
                <w:rFonts w:ascii="Arial" w:cs="Arial" w:eastAsia="Arial" w:hAnsi="Arial"/>
                <w:sz w:val="18"/>
                <w:szCs w:val="18"/>
                <w:color w:val="auto"/>
                <w:w w:val="99"/>
              </w:rPr>
              <w:t>Street and highway lighting</w:t>
            </w:r>
          </w:p>
        </w:tc>
        <w:tc>
          <w:tcPr>
            <w:tcW w:w="1680" w:type="dxa"/>
            <w:vAlign w:val="bottom"/>
          </w:tcPr>
          <w:p>
            <w:pPr>
              <w:jc w:val="right"/>
              <w:ind w:right="552"/>
              <w:spacing w:after="0"/>
              <w:rPr>
                <w:sz w:val="20"/>
                <w:szCs w:val="20"/>
                <w:color w:val="auto"/>
              </w:rPr>
            </w:pPr>
            <w:r>
              <w:rPr>
                <w:rFonts w:ascii="Arial" w:cs="Arial" w:eastAsia="Arial" w:hAnsi="Arial"/>
                <w:sz w:val="18"/>
                <w:szCs w:val="18"/>
                <w:color w:val="auto"/>
              </w:rPr>
              <w:t>93</w:t>
            </w:r>
          </w:p>
        </w:tc>
        <w:tc>
          <w:tcPr>
            <w:tcW w:w="180" w:type="dxa"/>
            <w:vAlign w:val="bottom"/>
          </w:tcPr>
          <w:p>
            <w:pPr>
              <w:spacing w:after="0"/>
              <w:rPr>
                <w:sz w:val="23"/>
                <w:szCs w:val="23"/>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11</w:t>
            </w:r>
          </w:p>
        </w:tc>
        <w:tc>
          <w:tcPr>
            <w:tcW w:w="1320" w:type="dxa"/>
            <w:vAlign w:val="bottom"/>
          </w:tcPr>
          <w:p>
            <w:pPr>
              <w:jc w:val="right"/>
              <w:ind w:right="272"/>
              <w:spacing w:after="0"/>
              <w:rPr>
                <w:sz w:val="20"/>
                <w:szCs w:val="20"/>
                <w:color w:val="auto"/>
              </w:rPr>
            </w:pPr>
            <w:r>
              <w:rPr>
                <w:rFonts w:ascii="Arial" w:cs="Arial" w:eastAsia="Arial" w:hAnsi="Arial"/>
                <w:sz w:val="18"/>
                <w:szCs w:val="18"/>
                <w:color w:val="auto"/>
              </w:rPr>
              <w:t>97</w:t>
            </w:r>
          </w:p>
        </w:tc>
        <w:tc>
          <w:tcPr>
            <w:tcW w:w="260" w:type="dxa"/>
            <w:vAlign w:val="bottom"/>
          </w:tcPr>
          <w:p>
            <w:pPr>
              <w:spacing w:after="0"/>
              <w:rPr>
                <w:sz w:val="23"/>
                <w:szCs w:val="23"/>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11</w:t>
            </w:r>
          </w:p>
        </w:tc>
        <w:tc>
          <w:tcPr>
            <w:tcW w:w="960" w:type="dxa"/>
            <w:vAlign w:val="bottom"/>
          </w:tcPr>
          <w:p>
            <w:pPr>
              <w:jc w:val="right"/>
              <w:spacing w:after="0"/>
              <w:rPr>
                <w:sz w:val="20"/>
                <w:szCs w:val="20"/>
                <w:color w:val="auto"/>
              </w:rPr>
            </w:pPr>
            <w:r>
              <w:rPr>
                <w:rFonts w:ascii="Arial" w:cs="Arial" w:eastAsia="Arial" w:hAnsi="Arial"/>
                <w:sz w:val="18"/>
                <w:szCs w:val="18"/>
                <w:color w:val="auto"/>
              </w:rPr>
              <w:t>91</w:t>
            </w:r>
          </w:p>
        </w:tc>
        <w:tc>
          <w:tcPr>
            <w:tcW w:w="4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78"/>
        </w:trPr>
        <w:tc>
          <w:tcPr>
            <w:tcW w:w="2180" w:type="dxa"/>
            <w:vAlign w:val="bottom"/>
          </w:tcPr>
          <w:p>
            <w:pPr>
              <w:ind w:left="20"/>
              <w:spacing w:after="0"/>
              <w:rPr>
                <w:sz w:val="20"/>
                <w:szCs w:val="20"/>
                <w:color w:val="auto"/>
              </w:rPr>
            </w:pPr>
            <w:r>
              <w:rPr>
                <w:rFonts w:ascii="Arial" w:cs="Arial" w:eastAsia="Arial" w:hAnsi="Arial"/>
                <w:sz w:val="18"/>
                <w:szCs w:val="18"/>
                <w:color w:val="auto"/>
              </w:rPr>
              <w:t>Off-system sales</w:t>
            </w:r>
          </w:p>
        </w:tc>
        <w:tc>
          <w:tcPr>
            <w:tcW w:w="1680" w:type="dxa"/>
            <w:vAlign w:val="bottom"/>
          </w:tcPr>
          <w:p>
            <w:pPr>
              <w:jc w:val="right"/>
              <w:ind w:right="55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272"/>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8</w:t>
            </w: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51"/>
        </w:trPr>
        <w:tc>
          <w:tcPr>
            <w:tcW w:w="2180" w:type="dxa"/>
            <w:vAlign w:val="bottom"/>
          </w:tcPr>
          <w:p>
            <w:pPr>
              <w:spacing w:after="0"/>
              <w:rPr>
                <w:sz w:val="21"/>
                <w:szCs w:val="21"/>
                <w:color w:val="auto"/>
              </w:rPr>
            </w:pPr>
          </w:p>
        </w:tc>
        <w:tc>
          <w:tcPr>
            <w:tcW w:w="1680" w:type="dxa"/>
            <w:vAlign w:val="bottom"/>
            <w:shd w:val="clear" w:color="auto" w:fill="000000"/>
          </w:tcPr>
          <w:p>
            <w:pPr>
              <w:spacing w:after="0"/>
              <w:rPr>
                <w:sz w:val="21"/>
                <w:szCs w:val="21"/>
                <w:color w:val="auto"/>
              </w:rPr>
            </w:pPr>
          </w:p>
        </w:tc>
        <w:tc>
          <w:tcPr>
            <w:tcW w:w="180" w:type="dxa"/>
            <w:vAlign w:val="bottom"/>
            <w:shd w:val="clear" w:color="auto" w:fill="000000"/>
          </w:tcPr>
          <w:p>
            <w:pPr>
              <w:spacing w:after="0"/>
              <w:rPr>
                <w:sz w:val="21"/>
                <w:szCs w:val="21"/>
                <w:color w:val="auto"/>
              </w:rPr>
            </w:pPr>
          </w:p>
        </w:tc>
        <w:tc>
          <w:tcPr>
            <w:tcW w:w="460" w:type="dxa"/>
            <w:vAlign w:val="bottom"/>
            <w:shd w:val="clear" w:color="auto" w:fill="000000"/>
          </w:tcPr>
          <w:p>
            <w:pPr>
              <w:spacing w:after="0"/>
              <w:rPr>
                <w:sz w:val="21"/>
                <w:szCs w:val="21"/>
                <w:color w:val="auto"/>
              </w:rPr>
            </w:pPr>
          </w:p>
        </w:tc>
        <w:tc>
          <w:tcPr>
            <w:tcW w:w="1320" w:type="dxa"/>
            <w:vAlign w:val="bottom"/>
            <w:shd w:val="clear" w:color="auto" w:fill="000000"/>
          </w:tcPr>
          <w:p>
            <w:pPr>
              <w:spacing w:after="0"/>
              <w:rPr>
                <w:sz w:val="21"/>
                <w:szCs w:val="21"/>
                <w:color w:val="auto"/>
              </w:rPr>
            </w:pPr>
          </w:p>
        </w:tc>
        <w:tc>
          <w:tcPr>
            <w:tcW w:w="260" w:type="dxa"/>
            <w:vAlign w:val="bottom"/>
            <w:shd w:val="clear" w:color="auto" w:fill="000000"/>
          </w:tcPr>
          <w:p>
            <w:pPr>
              <w:spacing w:after="0"/>
              <w:rPr>
                <w:sz w:val="21"/>
                <w:szCs w:val="21"/>
                <w:color w:val="auto"/>
              </w:rPr>
            </w:pPr>
          </w:p>
        </w:tc>
        <w:tc>
          <w:tcPr>
            <w:tcW w:w="520" w:type="dxa"/>
            <w:vAlign w:val="bottom"/>
            <w:shd w:val="clear" w:color="auto" w:fill="000000"/>
          </w:tcPr>
          <w:p>
            <w:pPr>
              <w:spacing w:after="0"/>
              <w:rPr>
                <w:sz w:val="21"/>
                <w:szCs w:val="21"/>
                <w:color w:val="auto"/>
              </w:rPr>
            </w:pPr>
          </w:p>
        </w:tc>
        <w:tc>
          <w:tcPr>
            <w:tcW w:w="960" w:type="dxa"/>
            <w:vAlign w:val="bottom"/>
            <w:shd w:val="clear" w:color="auto" w:fill="000000"/>
          </w:tcPr>
          <w:p>
            <w:pPr>
              <w:spacing w:after="0"/>
              <w:rPr>
                <w:sz w:val="21"/>
                <w:szCs w:val="21"/>
                <w:color w:val="auto"/>
              </w:rPr>
            </w:pPr>
          </w:p>
        </w:tc>
        <w:tc>
          <w:tcPr>
            <w:tcW w:w="440" w:type="dxa"/>
            <w:vAlign w:val="bottom"/>
            <w:shd w:val="clear" w:color="auto" w:fill="000000"/>
          </w:tcPr>
          <w:p>
            <w:pPr>
              <w:spacing w:after="0"/>
              <w:rPr>
                <w:sz w:val="21"/>
                <w:szCs w:val="21"/>
                <w:color w:val="auto"/>
              </w:rPr>
            </w:pPr>
          </w:p>
        </w:tc>
        <w:tc>
          <w:tcPr>
            <w:tcW w:w="200" w:type="dxa"/>
            <w:vAlign w:val="bottom"/>
            <w:shd w:val="clear" w:color="auto" w:fill="000000"/>
          </w:tcPr>
          <w:p>
            <w:pPr>
              <w:spacing w:after="0"/>
              <w:rPr>
                <w:sz w:val="21"/>
                <w:szCs w:val="21"/>
                <w:color w:val="auto"/>
              </w:rPr>
            </w:pPr>
          </w:p>
        </w:tc>
        <w:tc>
          <w:tcPr>
            <w:tcW w:w="680" w:type="dxa"/>
            <w:vAlign w:val="bottom"/>
            <w:shd w:val="clear" w:color="auto" w:fill="000000"/>
          </w:tcPr>
          <w:p>
            <w:pPr>
              <w:spacing w:after="0"/>
              <w:rPr>
                <w:sz w:val="21"/>
                <w:szCs w:val="21"/>
                <w:color w:val="auto"/>
              </w:rPr>
            </w:pPr>
          </w:p>
        </w:tc>
      </w:tr>
      <w:tr>
        <w:trPr>
          <w:trHeight w:val="255"/>
        </w:trPr>
        <w:tc>
          <w:tcPr>
            <w:tcW w:w="2180" w:type="dxa"/>
            <w:vAlign w:val="bottom"/>
          </w:tcPr>
          <w:p>
            <w:pPr>
              <w:spacing w:after="0"/>
              <w:rPr>
                <w:sz w:val="22"/>
                <w:szCs w:val="22"/>
                <w:color w:val="auto"/>
              </w:rPr>
            </w:pPr>
          </w:p>
        </w:tc>
        <w:tc>
          <w:tcPr>
            <w:tcW w:w="1680" w:type="dxa"/>
            <w:vAlign w:val="bottom"/>
          </w:tcPr>
          <w:p>
            <w:pPr>
              <w:jc w:val="right"/>
              <w:ind w:right="552"/>
              <w:spacing w:after="0"/>
              <w:rPr>
                <w:sz w:val="20"/>
                <w:szCs w:val="20"/>
                <w:color w:val="auto"/>
              </w:rPr>
            </w:pPr>
            <w:r>
              <w:rPr>
                <w:rFonts w:ascii="Arial" w:cs="Arial" w:eastAsia="Arial" w:hAnsi="Arial"/>
                <w:sz w:val="18"/>
                <w:szCs w:val="18"/>
                <w:color w:val="auto"/>
              </w:rPr>
              <w:t>19,214</w:t>
            </w:r>
          </w:p>
        </w:tc>
        <w:tc>
          <w:tcPr>
            <w:tcW w:w="180" w:type="dxa"/>
            <w:vAlign w:val="bottom"/>
          </w:tcPr>
          <w:p>
            <w:pPr>
              <w:spacing w:after="0"/>
              <w:rPr>
                <w:sz w:val="22"/>
                <w:szCs w:val="22"/>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1,659</w:t>
            </w:r>
          </w:p>
        </w:tc>
        <w:tc>
          <w:tcPr>
            <w:tcW w:w="1320" w:type="dxa"/>
            <w:vAlign w:val="bottom"/>
          </w:tcPr>
          <w:p>
            <w:pPr>
              <w:jc w:val="right"/>
              <w:ind w:right="272"/>
              <w:spacing w:after="0"/>
              <w:rPr>
                <w:sz w:val="20"/>
                <w:szCs w:val="20"/>
                <w:color w:val="auto"/>
              </w:rPr>
            </w:pPr>
            <w:r>
              <w:rPr>
                <w:rFonts w:ascii="Arial" w:cs="Arial" w:eastAsia="Arial" w:hAnsi="Arial"/>
                <w:sz w:val="18"/>
                <w:szCs w:val="18"/>
                <w:color w:val="auto"/>
              </w:rPr>
              <w:t>19,252</w:t>
            </w:r>
          </w:p>
        </w:tc>
        <w:tc>
          <w:tcPr>
            <w:tcW w:w="260" w:type="dxa"/>
            <w:vAlign w:val="bottom"/>
          </w:tcPr>
          <w:p>
            <w:pPr>
              <w:spacing w:after="0"/>
              <w:rPr>
                <w:sz w:val="22"/>
                <w:szCs w:val="22"/>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1,586</w:t>
            </w:r>
          </w:p>
        </w:tc>
        <w:tc>
          <w:tcPr>
            <w:tcW w:w="960" w:type="dxa"/>
            <w:vAlign w:val="bottom"/>
          </w:tcPr>
          <w:p>
            <w:pPr>
              <w:jc w:val="right"/>
              <w:spacing w:after="0"/>
              <w:rPr>
                <w:sz w:val="20"/>
                <w:szCs w:val="20"/>
                <w:color w:val="auto"/>
              </w:rPr>
            </w:pPr>
            <w:r>
              <w:rPr>
                <w:rFonts w:ascii="Arial" w:cs="Arial" w:eastAsia="Arial" w:hAnsi="Arial"/>
                <w:sz w:val="18"/>
                <w:szCs w:val="18"/>
                <w:color w:val="auto"/>
              </w:rPr>
              <w:t>18,373</w:t>
            </w:r>
          </w:p>
        </w:tc>
        <w:tc>
          <w:tcPr>
            <w:tcW w:w="4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1,665</w:t>
            </w:r>
          </w:p>
        </w:tc>
      </w:tr>
      <w:tr>
        <w:trPr>
          <w:trHeight w:val="278"/>
        </w:trPr>
        <w:tc>
          <w:tcPr>
            <w:tcW w:w="2180" w:type="dxa"/>
            <w:vAlign w:val="bottom"/>
          </w:tcPr>
          <w:p>
            <w:pPr>
              <w:ind w:left="20"/>
              <w:spacing w:after="0"/>
              <w:rPr>
                <w:sz w:val="20"/>
                <w:szCs w:val="20"/>
                <w:color w:val="auto"/>
              </w:rPr>
            </w:pPr>
            <w:r>
              <w:rPr>
                <w:rFonts w:ascii="Arial" w:cs="Arial" w:eastAsia="Arial" w:hAnsi="Arial"/>
                <w:sz w:val="18"/>
                <w:szCs w:val="18"/>
                <w:color w:val="auto"/>
                <w:w w:val="90"/>
              </w:rPr>
              <w:t>Balancing accounts and other</w:t>
            </w:r>
          </w:p>
        </w:tc>
        <w:tc>
          <w:tcPr>
            <w:tcW w:w="1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144</w:t>
            </w:r>
          </w:p>
        </w:tc>
        <w:tc>
          <w:tcPr>
            <w:tcW w:w="1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92</w:t>
            </w:r>
          </w:p>
        </w:tc>
        <w:tc>
          <w:tcPr>
            <w:tcW w:w="9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136</w:t>
            </w:r>
          </w:p>
        </w:tc>
      </w:tr>
      <w:tr>
        <w:trPr>
          <w:trHeight w:val="251"/>
        </w:trPr>
        <w:tc>
          <w:tcPr>
            <w:tcW w:w="218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180" w:type="dxa"/>
            <w:vAlign w:val="bottom"/>
            <w:shd w:val="clear" w:color="auto" w:fill="000000"/>
          </w:tcPr>
          <w:p>
            <w:pPr>
              <w:spacing w:after="0"/>
              <w:rPr>
                <w:sz w:val="21"/>
                <w:szCs w:val="21"/>
                <w:color w:val="auto"/>
              </w:rPr>
            </w:pPr>
          </w:p>
        </w:tc>
        <w:tc>
          <w:tcPr>
            <w:tcW w:w="460" w:type="dxa"/>
            <w:vAlign w:val="bottom"/>
            <w:shd w:val="clear" w:color="auto" w:fill="000000"/>
          </w:tcPr>
          <w:p>
            <w:pPr>
              <w:spacing w:after="0"/>
              <w:rPr>
                <w:sz w:val="21"/>
                <w:szCs w:val="21"/>
                <w:color w:val="auto"/>
              </w:rPr>
            </w:pPr>
          </w:p>
        </w:tc>
        <w:tc>
          <w:tcPr>
            <w:tcW w:w="1320" w:type="dxa"/>
            <w:vAlign w:val="bottom"/>
          </w:tcPr>
          <w:p>
            <w:pPr>
              <w:spacing w:after="0"/>
              <w:rPr>
                <w:sz w:val="21"/>
                <w:szCs w:val="21"/>
                <w:color w:val="auto"/>
              </w:rPr>
            </w:pPr>
          </w:p>
        </w:tc>
        <w:tc>
          <w:tcPr>
            <w:tcW w:w="260" w:type="dxa"/>
            <w:vAlign w:val="bottom"/>
            <w:shd w:val="clear" w:color="auto" w:fill="000000"/>
          </w:tcPr>
          <w:p>
            <w:pPr>
              <w:spacing w:after="0"/>
              <w:rPr>
                <w:sz w:val="21"/>
                <w:szCs w:val="21"/>
                <w:color w:val="auto"/>
              </w:rPr>
            </w:pPr>
          </w:p>
        </w:tc>
        <w:tc>
          <w:tcPr>
            <w:tcW w:w="520" w:type="dxa"/>
            <w:vAlign w:val="bottom"/>
            <w:shd w:val="clear" w:color="auto" w:fill="000000"/>
          </w:tcPr>
          <w:p>
            <w:pPr>
              <w:spacing w:after="0"/>
              <w:rPr>
                <w:sz w:val="21"/>
                <w:szCs w:val="21"/>
                <w:color w:val="auto"/>
              </w:rPr>
            </w:pPr>
          </w:p>
        </w:tc>
        <w:tc>
          <w:tcPr>
            <w:tcW w:w="9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00" w:type="dxa"/>
            <w:vAlign w:val="bottom"/>
            <w:shd w:val="clear" w:color="auto" w:fill="000000"/>
          </w:tcPr>
          <w:p>
            <w:pPr>
              <w:spacing w:after="0"/>
              <w:rPr>
                <w:sz w:val="21"/>
                <w:szCs w:val="21"/>
                <w:color w:val="auto"/>
              </w:rPr>
            </w:pPr>
          </w:p>
        </w:tc>
        <w:tc>
          <w:tcPr>
            <w:tcW w:w="680" w:type="dxa"/>
            <w:vAlign w:val="bottom"/>
            <w:shd w:val="clear" w:color="auto" w:fill="000000"/>
          </w:tcPr>
          <w:p>
            <w:pPr>
              <w:spacing w:after="0"/>
              <w:rPr>
                <w:sz w:val="21"/>
                <w:szCs w:val="21"/>
                <w:color w:val="auto"/>
              </w:rPr>
            </w:pPr>
          </w:p>
        </w:tc>
      </w:tr>
      <w:tr>
        <w:trPr>
          <w:trHeight w:val="262"/>
        </w:trPr>
        <w:tc>
          <w:tcPr>
            <w:tcW w:w="2180" w:type="dxa"/>
            <w:vAlign w:val="bottom"/>
          </w:tcPr>
          <w:p>
            <w:pPr>
              <w:ind w:left="100"/>
              <w:spacing w:after="0"/>
              <w:rPr>
                <w:sz w:val="20"/>
                <w:szCs w:val="20"/>
                <w:color w:val="auto"/>
              </w:rPr>
            </w:pPr>
            <w:r>
              <w:rPr>
                <w:rFonts w:ascii="Arial" w:cs="Arial" w:eastAsia="Arial" w:hAnsi="Arial"/>
                <w:sz w:val="18"/>
                <w:szCs w:val="18"/>
                <w:color w:val="auto"/>
              </w:rPr>
              <w:t>Total</w:t>
            </w:r>
          </w:p>
        </w:tc>
        <w:tc>
          <w:tcPr>
            <w:tcW w:w="1680" w:type="dxa"/>
            <w:vAlign w:val="bottom"/>
          </w:tcPr>
          <w:p>
            <w:pPr>
              <w:spacing w:after="0"/>
              <w:rPr>
                <w:sz w:val="22"/>
                <w:szCs w:val="22"/>
                <w:color w:val="auto"/>
              </w:rPr>
            </w:pPr>
          </w:p>
        </w:tc>
        <w:tc>
          <w:tcPr>
            <w:tcW w:w="180" w:type="dxa"/>
            <w:vAlign w:val="bottom"/>
          </w:tcPr>
          <w:p>
            <w:pPr>
              <w:ind w:left="20"/>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1,803</w:t>
            </w:r>
          </w:p>
        </w:tc>
        <w:tc>
          <w:tcPr>
            <w:tcW w:w="1320" w:type="dxa"/>
            <w:vAlign w:val="bottom"/>
          </w:tcPr>
          <w:p>
            <w:pPr>
              <w:spacing w:after="0"/>
              <w:rPr>
                <w:sz w:val="22"/>
                <w:szCs w:val="22"/>
                <w:color w:val="auto"/>
              </w:rPr>
            </w:pPr>
          </w:p>
        </w:tc>
        <w:tc>
          <w:tcPr>
            <w:tcW w:w="260" w:type="dxa"/>
            <w:vAlign w:val="bottom"/>
          </w:tcPr>
          <w:p>
            <w:pPr>
              <w:jc w:val="right"/>
              <w:ind w:right="72"/>
              <w:spacing w:after="0"/>
              <w:rPr>
                <w:sz w:val="20"/>
                <w:szCs w:val="20"/>
                <w:color w:val="auto"/>
              </w:rPr>
            </w:pPr>
            <w:r>
              <w:rPr>
                <w:rFonts w:ascii="Arial" w:cs="Arial" w:eastAsia="Arial" w:hAnsi="Arial"/>
                <w:sz w:val="18"/>
                <w:szCs w:val="18"/>
                <w:color w:val="auto"/>
                <w:w w:val="79"/>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1,678</w:t>
            </w:r>
          </w:p>
        </w:tc>
        <w:tc>
          <w:tcPr>
            <w:tcW w:w="960" w:type="dxa"/>
            <w:vAlign w:val="bottom"/>
          </w:tcPr>
          <w:p>
            <w:pPr>
              <w:spacing w:after="0"/>
              <w:rPr>
                <w:sz w:val="22"/>
                <w:szCs w:val="22"/>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1,801</w:t>
            </w:r>
          </w:p>
        </w:tc>
      </w:tr>
      <w:tr>
        <w:trPr>
          <w:trHeight w:val="251"/>
        </w:trPr>
        <w:tc>
          <w:tcPr>
            <w:tcW w:w="2180" w:type="dxa"/>
            <w:vAlign w:val="bottom"/>
            <w:shd w:val="clear" w:color="auto" w:fill="000000"/>
          </w:tcPr>
          <w:p>
            <w:pPr>
              <w:spacing w:after="0"/>
              <w:rPr>
                <w:sz w:val="21"/>
                <w:szCs w:val="21"/>
                <w:color w:val="auto"/>
              </w:rPr>
            </w:pPr>
          </w:p>
        </w:tc>
        <w:tc>
          <w:tcPr>
            <w:tcW w:w="1680" w:type="dxa"/>
            <w:vAlign w:val="bottom"/>
            <w:shd w:val="clear" w:color="auto" w:fill="000000"/>
          </w:tcPr>
          <w:p>
            <w:pPr>
              <w:spacing w:after="0"/>
              <w:rPr>
                <w:sz w:val="21"/>
                <w:szCs w:val="21"/>
                <w:color w:val="auto"/>
              </w:rPr>
            </w:pPr>
          </w:p>
        </w:tc>
        <w:tc>
          <w:tcPr>
            <w:tcW w:w="180" w:type="dxa"/>
            <w:vAlign w:val="bottom"/>
            <w:shd w:val="clear" w:color="auto" w:fill="000000"/>
          </w:tcPr>
          <w:p>
            <w:pPr>
              <w:spacing w:after="0"/>
              <w:rPr>
                <w:sz w:val="21"/>
                <w:szCs w:val="21"/>
                <w:color w:val="auto"/>
              </w:rPr>
            </w:pPr>
          </w:p>
        </w:tc>
        <w:tc>
          <w:tcPr>
            <w:tcW w:w="460" w:type="dxa"/>
            <w:vAlign w:val="bottom"/>
            <w:shd w:val="clear" w:color="auto" w:fill="000000"/>
          </w:tcPr>
          <w:p>
            <w:pPr>
              <w:spacing w:after="0"/>
              <w:rPr>
                <w:sz w:val="21"/>
                <w:szCs w:val="21"/>
                <w:color w:val="auto"/>
              </w:rPr>
            </w:pPr>
          </w:p>
        </w:tc>
        <w:tc>
          <w:tcPr>
            <w:tcW w:w="1320" w:type="dxa"/>
            <w:vAlign w:val="bottom"/>
            <w:shd w:val="clear" w:color="auto" w:fill="000000"/>
          </w:tcPr>
          <w:p>
            <w:pPr>
              <w:spacing w:after="0"/>
              <w:rPr>
                <w:sz w:val="21"/>
                <w:szCs w:val="21"/>
                <w:color w:val="auto"/>
              </w:rPr>
            </w:pPr>
          </w:p>
        </w:tc>
        <w:tc>
          <w:tcPr>
            <w:tcW w:w="260" w:type="dxa"/>
            <w:vAlign w:val="bottom"/>
            <w:shd w:val="clear" w:color="auto" w:fill="000000"/>
          </w:tcPr>
          <w:p>
            <w:pPr>
              <w:spacing w:after="0"/>
              <w:rPr>
                <w:sz w:val="21"/>
                <w:szCs w:val="21"/>
                <w:color w:val="auto"/>
              </w:rPr>
            </w:pPr>
          </w:p>
        </w:tc>
        <w:tc>
          <w:tcPr>
            <w:tcW w:w="520" w:type="dxa"/>
            <w:vAlign w:val="bottom"/>
            <w:shd w:val="clear" w:color="auto" w:fill="000000"/>
          </w:tcPr>
          <w:p>
            <w:pPr>
              <w:spacing w:after="0"/>
              <w:rPr>
                <w:sz w:val="21"/>
                <w:szCs w:val="21"/>
                <w:color w:val="auto"/>
              </w:rPr>
            </w:pPr>
          </w:p>
        </w:tc>
        <w:tc>
          <w:tcPr>
            <w:tcW w:w="960" w:type="dxa"/>
            <w:vAlign w:val="bottom"/>
            <w:shd w:val="clear" w:color="auto" w:fill="000000"/>
          </w:tcPr>
          <w:p>
            <w:pPr>
              <w:spacing w:after="0"/>
              <w:rPr>
                <w:sz w:val="21"/>
                <w:szCs w:val="21"/>
                <w:color w:val="auto"/>
              </w:rPr>
            </w:pPr>
          </w:p>
        </w:tc>
        <w:tc>
          <w:tcPr>
            <w:tcW w:w="440" w:type="dxa"/>
            <w:vAlign w:val="bottom"/>
            <w:shd w:val="clear" w:color="auto" w:fill="000000"/>
          </w:tcPr>
          <w:p>
            <w:pPr>
              <w:spacing w:after="0"/>
              <w:rPr>
                <w:sz w:val="21"/>
                <w:szCs w:val="21"/>
                <w:color w:val="auto"/>
              </w:rPr>
            </w:pPr>
          </w:p>
        </w:tc>
        <w:tc>
          <w:tcPr>
            <w:tcW w:w="200" w:type="dxa"/>
            <w:vAlign w:val="bottom"/>
            <w:shd w:val="clear" w:color="auto" w:fill="000000"/>
          </w:tcPr>
          <w:p>
            <w:pPr>
              <w:spacing w:after="0"/>
              <w:rPr>
                <w:sz w:val="21"/>
                <w:szCs w:val="21"/>
                <w:color w:val="auto"/>
              </w:rPr>
            </w:pPr>
          </w:p>
        </w:tc>
        <w:tc>
          <w:tcPr>
            <w:tcW w:w="680" w:type="dxa"/>
            <w:vAlign w:val="bottom"/>
            <w:shd w:val="clear" w:color="auto" w:fill="000000"/>
          </w:tcPr>
          <w:p>
            <w:pPr>
              <w:spacing w:after="0"/>
              <w:rPr>
                <w:sz w:val="21"/>
                <w:szCs w:val="21"/>
                <w:color w:val="auto"/>
              </w:rPr>
            </w:pPr>
          </w:p>
        </w:tc>
      </w:tr>
    </w:tbl>
    <w:p>
      <w:pPr>
        <w:spacing w:after="0" w:line="195" w:lineRule="exact"/>
        <w:rPr>
          <w:sz w:val="20"/>
          <w:szCs w:val="20"/>
          <w:color w:val="auto"/>
        </w:rPr>
      </w:pPr>
    </w:p>
    <w:p>
      <w:pPr>
        <w:ind w:right="20"/>
        <w:spacing w:after="0" w:line="297" w:lineRule="auto"/>
        <w:rPr>
          <w:sz w:val="20"/>
          <w:szCs w:val="20"/>
          <w:color w:val="auto"/>
        </w:rPr>
      </w:pPr>
      <w:r>
        <w:rPr>
          <w:rFonts w:ascii="Arial" w:cs="Arial" w:eastAsia="Arial" w:hAnsi="Arial"/>
          <w:sz w:val="19"/>
          <w:szCs w:val="19"/>
          <w:color w:val="auto"/>
        </w:rPr>
        <w:t>Although commodity costs associated with long-term contracts allocated to SDG&amp;E from the Department of Water Resources (DWR) (and the revenues to recover those costs) are not included in the Statements of Consolidated Income, as discussed in Note 1 of the notes to Consolidated Financial Statements, the associated volumes and distribution revenues are included in the above table.</w:t>
      </w:r>
    </w:p>
    <w:p>
      <w:pPr>
        <w:spacing w:after="0" w:line="200" w:lineRule="exact"/>
        <w:rPr>
          <w:sz w:val="20"/>
          <w:szCs w:val="20"/>
          <w:color w:val="auto"/>
        </w:rPr>
      </w:pPr>
    </w:p>
    <w:p>
      <w:pPr>
        <w:spacing w:after="0" w:line="393" w:lineRule="exact"/>
        <w:rPr>
          <w:sz w:val="20"/>
          <w:szCs w:val="20"/>
          <w:color w:val="auto"/>
        </w:rPr>
      </w:pPr>
    </w:p>
    <w:p>
      <w:pPr>
        <w:ind w:left="3620"/>
        <w:spacing w:after="0"/>
        <w:rPr>
          <w:sz w:val="20"/>
          <w:szCs w:val="20"/>
          <w:color w:val="auto"/>
        </w:rPr>
      </w:pPr>
      <w:r>
        <w:rPr>
          <w:rFonts w:ascii="Arial" w:cs="Arial" w:eastAsia="Arial" w:hAnsi="Arial"/>
          <w:sz w:val="22"/>
          <w:szCs w:val="22"/>
          <w:color w:val="auto"/>
        </w:rPr>
        <w:t>Natural Gas Sales, Transportation and Exchange</w:t>
      </w:r>
    </w:p>
    <w:p>
      <w:pPr>
        <w:spacing w:after="0" w:line="8" w:lineRule="exact"/>
        <w:rPr>
          <w:sz w:val="20"/>
          <w:szCs w:val="20"/>
          <w:color w:val="auto"/>
        </w:rPr>
      </w:pPr>
    </w:p>
    <w:p>
      <w:pPr>
        <w:ind w:left="3560"/>
        <w:spacing w:after="0"/>
        <w:rPr>
          <w:sz w:val="20"/>
          <w:szCs w:val="20"/>
          <w:color w:val="auto"/>
        </w:rPr>
      </w:pPr>
      <w:r>
        <w:rPr>
          <w:rFonts w:ascii="Arial" w:cs="Arial" w:eastAsia="Arial" w:hAnsi="Arial"/>
          <w:sz w:val="22"/>
          <w:szCs w:val="22"/>
          <w:color w:val="auto"/>
        </w:rPr>
        <w:t>(Volumes in billion cubic feet, dollars in millions)</w:t>
      </w:r>
    </w:p>
    <w:p>
      <w:pPr>
        <w:sectPr>
          <w:pgSz w:w="11900" w:h="16838" w:orient="portrait"/>
          <w:cols w:equalWidth="0" w:num="1">
            <w:col w:w="11400"/>
          </w:cols>
          <w:pgMar w:left="240" w:top="118" w:right="259" w:bottom="0" w:gutter="0" w:footer="0" w:header="0"/>
        </w:sectPr>
      </w:pPr>
    </w:p>
    <w:bookmarkStart w:id="14" w:name="page15"/>
    <w:bookmarkEnd w:id="14"/>
    <w:p>
      <w:pPr>
        <w:spacing w:after="0" w:line="135" w:lineRule="exact"/>
        <w:rPr>
          <w:sz w:val="20"/>
          <w:szCs w:val="20"/>
          <w:color w:val="auto"/>
        </w:rPr>
      </w:pPr>
    </w:p>
    <w:tbl>
      <w:tblPr>
        <w:tblLayout w:type="fixed"/>
        <w:tblInd w:w="1220" w:type="dxa"/>
        <w:tblCellMar>
          <w:top w:w="0" w:type="dxa"/>
          <w:left w:w="0" w:type="dxa"/>
          <w:bottom w:w="0" w:type="dxa"/>
          <w:right w:w="0" w:type="dxa"/>
        </w:tblCellMar>
      </w:tblPr>
      <w:tr>
        <w:trPr>
          <w:trHeight w:val="218"/>
        </w:trPr>
        <w:tc>
          <w:tcPr>
            <w:tcW w:w="23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Transportation</w:t>
            </w:r>
          </w:p>
        </w:tc>
        <w:tc>
          <w:tcPr>
            <w:tcW w:w="9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380" w:type="dxa"/>
            <w:vAlign w:val="bottom"/>
          </w:tcPr>
          <w:p>
            <w:pPr>
              <w:spacing w:after="0"/>
              <w:rPr>
                <w:sz w:val="19"/>
                <w:szCs w:val="19"/>
                <w:color w:val="auto"/>
              </w:rPr>
            </w:pPr>
          </w:p>
        </w:tc>
        <w:tc>
          <w:tcPr>
            <w:tcW w:w="2500" w:type="dxa"/>
            <w:vAlign w:val="bottom"/>
            <w:gridSpan w:val="3"/>
            <w:vMerge w:val="restart"/>
          </w:tcPr>
          <w:p>
            <w:pPr>
              <w:jc w:val="right"/>
              <w:ind w:right="692"/>
              <w:spacing w:after="0"/>
              <w:rPr>
                <w:sz w:val="20"/>
                <w:szCs w:val="20"/>
                <w:color w:val="auto"/>
              </w:rPr>
            </w:pPr>
            <w:r>
              <w:rPr>
                <w:rFonts w:ascii="Arial" w:cs="Arial" w:eastAsia="Arial" w:hAnsi="Arial"/>
                <w:sz w:val="18"/>
                <w:szCs w:val="18"/>
                <w:color w:val="auto"/>
              </w:rPr>
              <w:t>Natural Gas Sales</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and Exchange</w:t>
            </w:r>
          </w:p>
        </w:tc>
        <w:tc>
          <w:tcPr>
            <w:tcW w:w="940" w:type="dxa"/>
            <w:vAlign w:val="bottom"/>
          </w:tcPr>
          <w:p>
            <w:pPr>
              <w:spacing w:after="0"/>
              <w:rPr>
                <w:sz w:val="19"/>
                <w:szCs w:val="19"/>
                <w:color w:val="auto"/>
              </w:rPr>
            </w:pPr>
          </w:p>
        </w:tc>
        <w:tc>
          <w:tcPr>
            <w:tcW w:w="1060" w:type="dxa"/>
            <w:vAlign w:val="bottom"/>
            <w:vMerge w:val="restart"/>
          </w:tcPr>
          <w:p>
            <w:pPr>
              <w:jc w:val="right"/>
              <w:ind w:right="52"/>
              <w:spacing w:after="0"/>
              <w:rPr>
                <w:sz w:val="20"/>
                <w:szCs w:val="20"/>
                <w:color w:val="auto"/>
              </w:rPr>
            </w:pPr>
            <w:r>
              <w:rPr>
                <w:rFonts w:ascii="Arial" w:cs="Arial" w:eastAsia="Arial" w:hAnsi="Arial"/>
                <w:sz w:val="18"/>
                <w:szCs w:val="18"/>
                <w:color w:val="auto"/>
              </w:rPr>
              <w:t>Total</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3"/>
        </w:trPr>
        <w:tc>
          <w:tcPr>
            <w:tcW w:w="2380" w:type="dxa"/>
            <w:vAlign w:val="bottom"/>
          </w:tcPr>
          <w:p>
            <w:pPr>
              <w:spacing w:after="0"/>
              <w:rPr>
                <w:sz w:val="12"/>
                <w:szCs w:val="12"/>
                <w:color w:val="auto"/>
              </w:rPr>
            </w:pPr>
          </w:p>
        </w:tc>
        <w:tc>
          <w:tcPr>
            <w:tcW w:w="2500" w:type="dxa"/>
            <w:vAlign w:val="bottom"/>
            <w:gridSpan w:val="3"/>
            <w:vMerge w:val="continue"/>
          </w:tcPr>
          <w:p>
            <w:pPr>
              <w:spacing w:after="0"/>
              <w:rPr>
                <w:sz w:val="12"/>
                <w:szCs w:val="12"/>
                <w:color w:val="auto"/>
              </w:rPr>
            </w:pPr>
          </w:p>
        </w:tc>
        <w:tc>
          <w:tcPr>
            <w:tcW w:w="1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1"/>
        </w:trPr>
        <w:tc>
          <w:tcPr>
            <w:tcW w:w="2380" w:type="dxa"/>
            <w:vAlign w:val="bottom"/>
            <w:shd w:val="clear" w:color="auto" w:fill="000000"/>
          </w:tcPr>
          <w:p>
            <w:pPr>
              <w:spacing w:after="0"/>
              <w:rPr>
                <w:sz w:val="21"/>
                <w:szCs w:val="21"/>
                <w:color w:val="auto"/>
              </w:rPr>
            </w:pPr>
          </w:p>
        </w:tc>
        <w:tc>
          <w:tcPr>
            <w:tcW w:w="1340" w:type="dxa"/>
            <w:vAlign w:val="bottom"/>
            <w:shd w:val="clear" w:color="auto" w:fill="000000"/>
          </w:tcPr>
          <w:p>
            <w:pPr>
              <w:spacing w:after="0"/>
              <w:rPr>
                <w:sz w:val="21"/>
                <w:szCs w:val="21"/>
                <w:color w:val="auto"/>
              </w:rPr>
            </w:pPr>
          </w:p>
        </w:tc>
        <w:tc>
          <w:tcPr>
            <w:tcW w:w="220" w:type="dxa"/>
            <w:vAlign w:val="bottom"/>
            <w:shd w:val="clear" w:color="auto" w:fill="000000"/>
          </w:tcPr>
          <w:p>
            <w:pPr>
              <w:spacing w:after="0"/>
              <w:rPr>
                <w:sz w:val="21"/>
                <w:szCs w:val="21"/>
                <w:color w:val="auto"/>
              </w:rPr>
            </w:pPr>
          </w:p>
        </w:tc>
        <w:tc>
          <w:tcPr>
            <w:tcW w:w="940" w:type="dxa"/>
            <w:vAlign w:val="bottom"/>
            <w:shd w:val="clear" w:color="auto" w:fill="000000"/>
          </w:tcPr>
          <w:p>
            <w:pPr>
              <w:spacing w:after="0"/>
              <w:rPr>
                <w:sz w:val="21"/>
                <w:szCs w:val="21"/>
                <w:color w:val="auto"/>
              </w:rPr>
            </w:pPr>
          </w:p>
        </w:tc>
        <w:tc>
          <w:tcPr>
            <w:tcW w:w="1100" w:type="dxa"/>
            <w:vAlign w:val="bottom"/>
            <w:shd w:val="clear" w:color="auto" w:fill="000000"/>
          </w:tcPr>
          <w:p>
            <w:pPr>
              <w:spacing w:after="0"/>
              <w:rPr>
                <w:sz w:val="21"/>
                <w:szCs w:val="21"/>
                <w:color w:val="auto"/>
              </w:rPr>
            </w:pPr>
          </w:p>
        </w:tc>
        <w:tc>
          <w:tcPr>
            <w:tcW w:w="260" w:type="dxa"/>
            <w:vAlign w:val="bottom"/>
            <w:shd w:val="clear" w:color="auto" w:fill="000000"/>
          </w:tcPr>
          <w:p>
            <w:pPr>
              <w:spacing w:after="0"/>
              <w:rPr>
                <w:sz w:val="21"/>
                <w:szCs w:val="21"/>
                <w:color w:val="auto"/>
              </w:rPr>
            </w:pPr>
          </w:p>
        </w:tc>
        <w:tc>
          <w:tcPr>
            <w:tcW w:w="940" w:type="dxa"/>
            <w:vAlign w:val="bottom"/>
            <w:shd w:val="clear" w:color="auto" w:fill="000000"/>
          </w:tcPr>
          <w:p>
            <w:pPr>
              <w:spacing w:after="0"/>
              <w:rPr>
                <w:sz w:val="21"/>
                <w:szCs w:val="21"/>
                <w:color w:val="auto"/>
              </w:rPr>
            </w:pPr>
          </w:p>
        </w:tc>
        <w:tc>
          <w:tcPr>
            <w:tcW w:w="1060" w:type="dxa"/>
            <w:vAlign w:val="bottom"/>
            <w:shd w:val="clear" w:color="auto" w:fill="000000"/>
          </w:tcPr>
          <w:p>
            <w:pPr>
              <w:spacing w:after="0"/>
              <w:rPr>
                <w:sz w:val="21"/>
                <w:szCs w:val="21"/>
                <w:color w:val="auto"/>
              </w:rPr>
            </w:pPr>
          </w:p>
        </w:tc>
        <w:tc>
          <w:tcPr>
            <w:tcW w:w="120" w:type="dxa"/>
            <w:vAlign w:val="bottom"/>
            <w:shd w:val="clear" w:color="auto" w:fill="000000"/>
          </w:tcPr>
          <w:p>
            <w:pPr>
              <w:spacing w:after="0"/>
              <w:rPr>
                <w:sz w:val="21"/>
                <w:szCs w:val="21"/>
                <w:color w:val="auto"/>
              </w:rPr>
            </w:pPr>
          </w:p>
        </w:tc>
        <w:tc>
          <w:tcPr>
            <w:tcW w:w="620" w:type="dxa"/>
            <w:vAlign w:val="bottom"/>
            <w:gridSpan w:val="2"/>
            <w:shd w:val="clear" w:color="auto" w:fill="000000"/>
          </w:tcPr>
          <w:p>
            <w:pPr>
              <w:spacing w:after="0"/>
              <w:rPr>
                <w:sz w:val="21"/>
                <w:szCs w:val="21"/>
                <w:color w:val="auto"/>
              </w:rPr>
            </w:pPr>
          </w:p>
        </w:tc>
        <w:tc>
          <w:tcPr>
            <w:tcW w:w="0" w:type="dxa"/>
            <w:vAlign w:val="bottom"/>
          </w:tcPr>
          <w:p>
            <w:pPr>
              <w:spacing w:after="0"/>
              <w:rPr>
                <w:sz w:val="1"/>
                <w:szCs w:val="1"/>
                <w:color w:val="auto"/>
              </w:rPr>
            </w:pPr>
          </w:p>
        </w:tc>
      </w:tr>
      <w:tr>
        <w:trPr>
          <w:trHeight w:val="262"/>
        </w:trPr>
        <w:tc>
          <w:tcPr>
            <w:tcW w:w="2380" w:type="dxa"/>
            <w:vAlign w:val="bottom"/>
          </w:tcPr>
          <w:p>
            <w:pPr>
              <w:spacing w:after="0"/>
              <w:rPr>
                <w:sz w:val="22"/>
                <w:szCs w:val="22"/>
                <w:color w:val="auto"/>
              </w:rPr>
            </w:pPr>
          </w:p>
        </w:tc>
        <w:tc>
          <w:tcPr>
            <w:tcW w:w="1340" w:type="dxa"/>
            <w:vAlign w:val="bottom"/>
          </w:tcPr>
          <w:p>
            <w:pPr>
              <w:jc w:val="right"/>
              <w:ind w:right="32"/>
              <w:spacing w:after="0"/>
              <w:rPr>
                <w:sz w:val="20"/>
                <w:szCs w:val="20"/>
                <w:color w:val="auto"/>
              </w:rPr>
            </w:pPr>
            <w:r>
              <w:rPr>
                <w:rFonts w:ascii="Arial" w:cs="Arial" w:eastAsia="Arial" w:hAnsi="Arial"/>
                <w:sz w:val="18"/>
                <w:szCs w:val="18"/>
                <w:color w:val="auto"/>
              </w:rPr>
              <w:t>Volumes</w:t>
            </w:r>
          </w:p>
        </w:tc>
        <w:tc>
          <w:tcPr>
            <w:tcW w:w="220" w:type="dxa"/>
            <w:vAlign w:val="bottom"/>
          </w:tcPr>
          <w:p>
            <w:pPr>
              <w:spacing w:after="0"/>
              <w:rPr>
                <w:sz w:val="22"/>
                <w:szCs w:val="22"/>
                <w:color w:val="auto"/>
              </w:rPr>
            </w:pPr>
          </w:p>
        </w:tc>
        <w:tc>
          <w:tcPr>
            <w:tcW w:w="940" w:type="dxa"/>
            <w:vAlign w:val="bottom"/>
          </w:tcPr>
          <w:p>
            <w:pPr>
              <w:jc w:val="right"/>
              <w:ind w:right="232"/>
              <w:spacing w:after="0"/>
              <w:rPr>
                <w:sz w:val="20"/>
                <w:szCs w:val="20"/>
                <w:color w:val="auto"/>
              </w:rPr>
            </w:pPr>
            <w:r>
              <w:rPr>
                <w:rFonts w:ascii="Arial" w:cs="Arial" w:eastAsia="Arial" w:hAnsi="Arial"/>
                <w:sz w:val="18"/>
                <w:szCs w:val="18"/>
                <w:color w:val="auto"/>
                <w:w w:val="83"/>
              </w:rPr>
              <w:t>Revenue</w:t>
            </w:r>
          </w:p>
        </w:tc>
        <w:tc>
          <w:tcPr>
            <w:tcW w:w="1100" w:type="dxa"/>
            <w:vAlign w:val="bottom"/>
          </w:tcPr>
          <w:p>
            <w:pPr>
              <w:jc w:val="right"/>
              <w:ind w:right="52"/>
              <w:spacing w:after="0"/>
              <w:rPr>
                <w:sz w:val="20"/>
                <w:szCs w:val="20"/>
                <w:color w:val="auto"/>
              </w:rPr>
            </w:pPr>
            <w:r>
              <w:rPr>
                <w:rFonts w:ascii="Arial" w:cs="Arial" w:eastAsia="Arial" w:hAnsi="Arial"/>
                <w:sz w:val="18"/>
                <w:szCs w:val="18"/>
                <w:color w:val="auto"/>
              </w:rPr>
              <w:t>Volumes</w:t>
            </w:r>
          </w:p>
        </w:tc>
        <w:tc>
          <w:tcPr>
            <w:tcW w:w="260" w:type="dxa"/>
            <w:vAlign w:val="bottom"/>
          </w:tcPr>
          <w:p>
            <w:pPr>
              <w:spacing w:after="0"/>
              <w:rPr>
                <w:sz w:val="22"/>
                <w:szCs w:val="22"/>
                <w:color w:val="auto"/>
              </w:rPr>
            </w:pPr>
          </w:p>
        </w:tc>
        <w:tc>
          <w:tcPr>
            <w:tcW w:w="940" w:type="dxa"/>
            <w:vAlign w:val="bottom"/>
          </w:tcPr>
          <w:p>
            <w:pPr>
              <w:jc w:val="right"/>
              <w:ind w:right="232"/>
              <w:spacing w:after="0"/>
              <w:rPr>
                <w:sz w:val="20"/>
                <w:szCs w:val="20"/>
                <w:color w:val="auto"/>
              </w:rPr>
            </w:pPr>
            <w:r>
              <w:rPr>
                <w:rFonts w:ascii="Arial" w:cs="Arial" w:eastAsia="Arial" w:hAnsi="Arial"/>
                <w:sz w:val="18"/>
                <w:szCs w:val="18"/>
                <w:color w:val="auto"/>
                <w:w w:val="83"/>
              </w:rPr>
              <w:t>Revenue</w:t>
            </w: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Volumes</w:t>
            </w:r>
          </w:p>
        </w:tc>
        <w:tc>
          <w:tcPr>
            <w:tcW w:w="740" w:type="dxa"/>
            <w:vAlign w:val="bottom"/>
            <w:gridSpan w:val="3"/>
          </w:tcPr>
          <w:p>
            <w:pPr>
              <w:jc w:val="right"/>
              <w:spacing w:after="0"/>
              <w:rPr>
                <w:sz w:val="20"/>
                <w:szCs w:val="20"/>
                <w:color w:val="auto"/>
              </w:rPr>
            </w:pPr>
            <w:r>
              <w:rPr>
                <w:rFonts w:ascii="Arial" w:cs="Arial" w:eastAsia="Arial" w:hAnsi="Arial"/>
                <w:sz w:val="18"/>
                <w:szCs w:val="18"/>
                <w:color w:val="auto"/>
                <w:w w:val="99"/>
              </w:rPr>
              <w:t>Revenue</w:t>
            </w:r>
          </w:p>
        </w:tc>
        <w:tc>
          <w:tcPr>
            <w:tcW w:w="0" w:type="dxa"/>
            <w:vAlign w:val="bottom"/>
          </w:tcPr>
          <w:p>
            <w:pPr>
              <w:spacing w:after="0"/>
              <w:rPr>
                <w:sz w:val="1"/>
                <w:szCs w:val="1"/>
                <w:color w:val="auto"/>
              </w:rPr>
            </w:pPr>
          </w:p>
        </w:tc>
      </w:tr>
      <w:tr>
        <w:trPr>
          <w:trHeight w:val="251"/>
        </w:trPr>
        <w:tc>
          <w:tcPr>
            <w:tcW w:w="2380" w:type="dxa"/>
            <w:vAlign w:val="bottom"/>
            <w:shd w:val="clear" w:color="auto" w:fill="000000"/>
          </w:tcPr>
          <w:p>
            <w:pPr>
              <w:spacing w:after="0"/>
              <w:rPr>
                <w:sz w:val="21"/>
                <w:szCs w:val="21"/>
                <w:color w:val="auto"/>
              </w:rPr>
            </w:pPr>
          </w:p>
        </w:tc>
        <w:tc>
          <w:tcPr>
            <w:tcW w:w="1340" w:type="dxa"/>
            <w:vAlign w:val="bottom"/>
            <w:shd w:val="clear" w:color="auto" w:fill="000000"/>
          </w:tcPr>
          <w:p>
            <w:pPr>
              <w:spacing w:after="0"/>
              <w:rPr>
                <w:sz w:val="21"/>
                <w:szCs w:val="21"/>
                <w:color w:val="auto"/>
              </w:rPr>
            </w:pPr>
          </w:p>
        </w:tc>
        <w:tc>
          <w:tcPr>
            <w:tcW w:w="220" w:type="dxa"/>
            <w:vAlign w:val="bottom"/>
            <w:shd w:val="clear" w:color="auto" w:fill="000000"/>
          </w:tcPr>
          <w:p>
            <w:pPr>
              <w:spacing w:after="0"/>
              <w:rPr>
                <w:sz w:val="21"/>
                <w:szCs w:val="21"/>
                <w:color w:val="auto"/>
              </w:rPr>
            </w:pPr>
          </w:p>
        </w:tc>
        <w:tc>
          <w:tcPr>
            <w:tcW w:w="940" w:type="dxa"/>
            <w:vAlign w:val="bottom"/>
            <w:shd w:val="clear" w:color="auto" w:fill="000000"/>
          </w:tcPr>
          <w:p>
            <w:pPr>
              <w:spacing w:after="0"/>
              <w:rPr>
                <w:sz w:val="21"/>
                <w:szCs w:val="21"/>
                <w:color w:val="auto"/>
              </w:rPr>
            </w:pPr>
          </w:p>
        </w:tc>
        <w:tc>
          <w:tcPr>
            <w:tcW w:w="1100" w:type="dxa"/>
            <w:vAlign w:val="bottom"/>
            <w:shd w:val="clear" w:color="auto" w:fill="000000"/>
          </w:tcPr>
          <w:p>
            <w:pPr>
              <w:spacing w:after="0"/>
              <w:rPr>
                <w:sz w:val="21"/>
                <w:szCs w:val="21"/>
                <w:color w:val="auto"/>
              </w:rPr>
            </w:pPr>
          </w:p>
        </w:tc>
        <w:tc>
          <w:tcPr>
            <w:tcW w:w="260" w:type="dxa"/>
            <w:vAlign w:val="bottom"/>
            <w:shd w:val="clear" w:color="auto" w:fill="000000"/>
          </w:tcPr>
          <w:p>
            <w:pPr>
              <w:spacing w:after="0"/>
              <w:rPr>
                <w:sz w:val="21"/>
                <w:szCs w:val="21"/>
                <w:color w:val="auto"/>
              </w:rPr>
            </w:pPr>
          </w:p>
        </w:tc>
        <w:tc>
          <w:tcPr>
            <w:tcW w:w="940" w:type="dxa"/>
            <w:vAlign w:val="bottom"/>
            <w:shd w:val="clear" w:color="auto" w:fill="000000"/>
          </w:tcPr>
          <w:p>
            <w:pPr>
              <w:spacing w:after="0"/>
              <w:rPr>
                <w:sz w:val="21"/>
                <w:szCs w:val="21"/>
                <w:color w:val="auto"/>
              </w:rPr>
            </w:pPr>
          </w:p>
        </w:tc>
        <w:tc>
          <w:tcPr>
            <w:tcW w:w="1060" w:type="dxa"/>
            <w:vAlign w:val="bottom"/>
            <w:shd w:val="clear" w:color="auto" w:fill="000000"/>
          </w:tcPr>
          <w:p>
            <w:pPr>
              <w:spacing w:after="0"/>
              <w:rPr>
                <w:sz w:val="21"/>
                <w:szCs w:val="21"/>
                <w:color w:val="auto"/>
              </w:rPr>
            </w:pPr>
          </w:p>
        </w:tc>
        <w:tc>
          <w:tcPr>
            <w:tcW w:w="120" w:type="dxa"/>
            <w:vAlign w:val="bottom"/>
            <w:shd w:val="clear" w:color="auto" w:fill="000000"/>
          </w:tcPr>
          <w:p>
            <w:pPr>
              <w:spacing w:after="0"/>
              <w:rPr>
                <w:sz w:val="21"/>
                <w:szCs w:val="21"/>
                <w:color w:val="auto"/>
              </w:rPr>
            </w:pPr>
          </w:p>
        </w:tc>
        <w:tc>
          <w:tcPr>
            <w:tcW w:w="260" w:type="dxa"/>
            <w:vAlign w:val="bottom"/>
            <w:shd w:val="clear" w:color="auto" w:fill="000000"/>
          </w:tcPr>
          <w:p>
            <w:pPr>
              <w:spacing w:after="0"/>
              <w:rPr>
                <w:sz w:val="21"/>
                <w:szCs w:val="21"/>
                <w:color w:val="auto"/>
              </w:rPr>
            </w:pPr>
          </w:p>
        </w:tc>
        <w:tc>
          <w:tcPr>
            <w:tcW w:w="360" w:type="dxa"/>
            <w:vAlign w:val="bottom"/>
            <w:shd w:val="clear" w:color="auto" w:fill="000000"/>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2380" w:type="dxa"/>
            <w:vAlign w:val="bottom"/>
          </w:tcPr>
          <w:p>
            <w:pPr>
              <w:ind w:left="20"/>
              <w:spacing w:after="0"/>
              <w:rPr>
                <w:sz w:val="20"/>
                <w:szCs w:val="20"/>
                <w:color w:val="auto"/>
              </w:rPr>
            </w:pPr>
            <w:r>
              <w:rPr>
                <w:rFonts w:ascii="Arial" w:cs="Arial" w:eastAsia="Arial" w:hAnsi="Arial"/>
                <w:sz w:val="18"/>
                <w:szCs w:val="18"/>
                <w:color w:val="auto"/>
              </w:rPr>
              <w:t>2005:</w:t>
            </w:r>
          </w:p>
        </w:tc>
        <w:tc>
          <w:tcPr>
            <w:tcW w:w="13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2380" w:type="dxa"/>
            <w:vAlign w:val="bottom"/>
          </w:tcPr>
          <w:p>
            <w:pPr>
              <w:ind w:left="200"/>
              <w:spacing w:after="0"/>
              <w:rPr>
                <w:sz w:val="20"/>
                <w:szCs w:val="20"/>
                <w:color w:val="auto"/>
              </w:rPr>
            </w:pPr>
            <w:r>
              <w:rPr>
                <w:rFonts w:ascii="Arial" w:cs="Arial" w:eastAsia="Arial" w:hAnsi="Arial"/>
                <w:sz w:val="18"/>
                <w:szCs w:val="18"/>
                <w:color w:val="auto"/>
              </w:rPr>
              <w:t>Residential</w:t>
            </w:r>
          </w:p>
        </w:tc>
        <w:tc>
          <w:tcPr>
            <w:tcW w:w="1340" w:type="dxa"/>
            <w:vAlign w:val="bottom"/>
          </w:tcPr>
          <w:p>
            <w:pPr>
              <w:jc w:val="right"/>
              <w:ind w:right="272"/>
              <w:spacing w:after="0"/>
              <w:rPr>
                <w:sz w:val="20"/>
                <w:szCs w:val="20"/>
                <w:color w:val="auto"/>
              </w:rPr>
            </w:pPr>
            <w:r>
              <w:rPr>
                <w:rFonts w:ascii="Arial" w:cs="Arial" w:eastAsia="Arial" w:hAnsi="Arial"/>
                <w:sz w:val="18"/>
                <w:szCs w:val="18"/>
                <w:color w:val="auto"/>
              </w:rPr>
              <w:t>31</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232"/>
              <w:spacing w:after="0"/>
              <w:rPr>
                <w:sz w:val="20"/>
                <w:szCs w:val="20"/>
                <w:color w:val="auto"/>
              </w:rPr>
            </w:pPr>
            <w:r>
              <w:rPr>
                <w:rFonts w:ascii="Arial" w:cs="Arial" w:eastAsia="Arial" w:hAnsi="Arial"/>
                <w:sz w:val="18"/>
                <w:szCs w:val="18"/>
                <w:color w:val="auto"/>
              </w:rPr>
              <w:t>381</w:t>
            </w:r>
          </w:p>
        </w:tc>
        <w:tc>
          <w:tcPr>
            <w:tcW w:w="1100" w:type="dxa"/>
            <w:vAlign w:val="bottom"/>
          </w:tcPr>
          <w:p>
            <w:pPr>
              <w:jc w:val="right"/>
              <w:ind w:right="272"/>
              <w:spacing w:after="0"/>
              <w:rPr>
                <w:sz w:val="20"/>
                <w:szCs w:val="20"/>
                <w:color w:val="auto"/>
              </w:rPr>
            </w:pPr>
            <w:r>
              <w:rPr>
                <w:rFonts w:ascii="Arial" w:cs="Arial" w:eastAsia="Arial" w:hAnsi="Arial"/>
                <w:sz w:val="18"/>
                <w:szCs w:val="18"/>
                <w:color w:val="auto"/>
              </w:rPr>
              <w:t>--</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232"/>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232"/>
              <w:spacing w:after="0"/>
              <w:rPr>
                <w:sz w:val="20"/>
                <w:szCs w:val="20"/>
                <w:color w:val="auto"/>
              </w:rPr>
            </w:pPr>
            <w:r>
              <w:rPr>
                <w:rFonts w:ascii="Arial" w:cs="Arial" w:eastAsia="Arial" w:hAnsi="Arial"/>
                <w:sz w:val="18"/>
                <w:szCs w:val="18"/>
                <w:color w:val="auto"/>
              </w:rPr>
              <w:t>31</w:t>
            </w:r>
          </w:p>
        </w:tc>
        <w:tc>
          <w:tcPr>
            <w:tcW w:w="3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360" w:type="dxa"/>
            <w:vAlign w:val="bottom"/>
          </w:tcPr>
          <w:p>
            <w:pPr>
              <w:jc w:val="right"/>
              <w:spacing w:after="0"/>
              <w:rPr>
                <w:sz w:val="20"/>
                <w:szCs w:val="20"/>
                <w:color w:val="auto"/>
              </w:rPr>
            </w:pPr>
            <w:r>
              <w:rPr>
                <w:rFonts w:ascii="Arial" w:cs="Arial" w:eastAsia="Arial" w:hAnsi="Arial"/>
                <w:sz w:val="18"/>
                <w:szCs w:val="18"/>
                <w:color w:val="auto"/>
              </w:rPr>
              <w:t>381</w:t>
            </w:r>
          </w:p>
        </w:tc>
        <w:tc>
          <w:tcPr>
            <w:tcW w:w="0" w:type="dxa"/>
            <w:vAlign w:val="bottom"/>
          </w:tcPr>
          <w:p>
            <w:pPr>
              <w:spacing w:after="0"/>
              <w:rPr>
                <w:sz w:val="1"/>
                <w:szCs w:val="1"/>
                <w:color w:val="auto"/>
              </w:rPr>
            </w:pPr>
          </w:p>
        </w:tc>
      </w:tr>
      <w:tr>
        <w:trPr>
          <w:trHeight w:val="270"/>
        </w:trPr>
        <w:tc>
          <w:tcPr>
            <w:tcW w:w="2380" w:type="dxa"/>
            <w:vAlign w:val="bottom"/>
          </w:tcPr>
          <w:p>
            <w:pPr>
              <w:ind w:left="200"/>
              <w:spacing w:after="0"/>
              <w:rPr>
                <w:sz w:val="20"/>
                <w:szCs w:val="20"/>
                <w:color w:val="auto"/>
              </w:rPr>
            </w:pPr>
            <w:r>
              <w:rPr>
                <w:rFonts w:ascii="Arial" w:cs="Arial" w:eastAsia="Arial" w:hAnsi="Arial"/>
                <w:sz w:val="18"/>
                <w:szCs w:val="18"/>
                <w:color w:val="auto"/>
              </w:rPr>
              <w:t>Commercial and industrial</w:t>
            </w:r>
          </w:p>
        </w:tc>
        <w:tc>
          <w:tcPr>
            <w:tcW w:w="1340" w:type="dxa"/>
            <w:vAlign w:val="bottom"/>
          </w:tcPr>
          <w:p>
            <w:pPr>
              <w:jc w:val="right"/>
              <w:ind w:right="272"/>
              <w:spacing w:after="0"/>
              <w:rPr>
                <w:sz w:val="20"/>
                <w:szCs w:val="20"/>
                <w:color w:val="auto"/>
              </w:rPr>
            </w:pPr>
            <w:r>
              <w:rPr>
                <w:rFonts w:ascii="Arial" w:cs="Arial" w:eastAsia="Arial" w:hAnsi="Arial"/>
                <w:sz w:val="18"/>
                <w:szCs w:val="18"/>
                <w:color w:val="auto"/>
              </w:rPr>
              <w:t>17</w:t>
            </w:r>
          </w:p>
        </w:tc>
        <w:tc>
          <w:tcPr>
            <w:tcW w:w="220" w:type="dxa"/>
            <w:vAlign w:val="bottom"/>
          </w:tcPr>
          <w:p>
            <w:pPr>
              <w:spacing w:after="0"/>
              <w:rPr>
                <w:sz w:val="23"/>
                <w:szCs w:val="23"/>
                <w:color w:val="auto"/>
              </w:rPr>
            </w:pPr>
          </w:p>
        </w:tc>
        <w:tc>
          <w:tcPr>
            <w:tcW w:w="940" w:type="dxa"/>
            <w:vAlign w:val="bottom"/>
          </w:tcPr>
          <w:p>
            <w:pPr>
              <w:jc w:val="right"/>
              <w:ind w:right="232"/>
              <w:spacing w:after="0"/>
              <w:rPr>
                <w:sz w:val="20"/>
                <w:szCs w:val="20"/>
                <w:color w:val="auto"/>
              </w:rPr>
            </w:pPr>
            <w:r>
              <w:rPr>
                <w:rFonts w:ascii="Arial" w:cs="Arial" w:eastAsia="Arial" w:hAnsi="Arial"/>
                <w:sz w:val="18"/>
                <w:szCs w:val="18"/>
                <w:color w:val="auto"/>
              </w:rPr>
              <w:t>174</w:t>
            </w:r>
          </w:p>
        </w:tc>
        <w:tc>
          <w:tcPr>
            <w:tcW w:w="1100" w:type="dxa"/>
            <w:vAlign w:val="bottom"/>
          </w:tcPr>
          <w:p>
            <w:pPr>
              <w:jc w:val="right"/>
              <w:ind w:right="272"/>
              <w:spacing w:after="0"/>
              <w:rPr>
                <w:sz w:val="20"/>
                <w:szCs w:val="20"/>
                <w:color w:val="auto"/>
              </w:rPr>
            </w:pPr>
            <w:r>
              <w:rPr>
                <w:rFonts w:ascii="Arial" w:cs="Arial" w:eastAsia="Arial" w:hAnsi="Arial"/>
                <w:sz w:val="18"/>
                <w:szCs w:val="18"/>
                <w:color w:val="auto"/>
              </w:rPr>
              <w:t>4</w:t>
            </w:r>
          </w:p>
        </w:tc>
        <w:tc>
          <w:tcPr>
            <w:tcW w:w="260" w:type="dxa"/>
            <w:vAlign w:val="bottom"/>
          </w:tcPr>
          <w:p>
            <w:pPr>
              <w:spacing w:after="0"/>
              <w:rPr>
                <w:sz w:val="23"/>
                <w:szCs w:val="23"/>
                <w:color w:val="auto"/>
              </w:rPr>
            </w:pPr>
          </w:p>
        </w:tc>
        <w:tc>
          <w:tcPr>
            <w:tcW w:w="940" w:type="dxa"/>
            <w:vAlign w:val="bottom"/>
          </w:tcPr>
          <w:p>
            <w:pPr>
              <w:jc w:val="right"/>
              <w:ind w:right="232"/>
              <w:spacing w:after="0"/>
              <w:rPr>
                <w:sz w:val="20"/>
                <w:szCs w:val="20"/>
                <w:color w:val="auto"/>
              </w:rPr>
            </w:pPr>
            <w:r>
              <w:rPr>
                <w:rFonts w:ascii="Arial" w:cs="Arial" w:eastAsia="Arial" w:hAnsi="Arial"/>
                <w:sz w:val="18"/>
                <w:szCs w:val="18"/>
                <w:color w:val="auto"/>
              </w:rPr>
              <w:t>5</w:t>
            </w:r>
          </w:p>
        </w:tc>
        <w:tc>
          <w:tcPr>
            <w:tcW w:w="1060" w:type="dxa"/>
            <w:vAlign w:val="bottom"/>
          </w:tcPr>
          <w:p>
            <w:pPr>
              <w:jc w:val="right"/>
              <w:ind w:right="232"/>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179</w:t>
            </w:r>
          </w:p>
        </w:tc>
        <w:tc>
          <w:tcPr>
            <w:tcW w:w="0" w:type="dxa"/>
            <w:vAlign w:val="bottom"/>
          </w:tcPr>
          <w:p>
            <w:pPr>
              <w:spacing w:after="0"/>
              <w:rPr>
                <w:sz w:val="1"/>
                <w:szCs w:val="1"/>
                <w:color w:val="auto"/>
              </w:rPr>
            </w:pPr>
          </w:p>
        </w:tc>
      </w:tr>
      <w:tr>
        <w:trPr>
          <w:trHeight w:val="278"/>
        </w:trPr>
        <w:tc>
          <w:tcPr>
            <w:tcW w:w="2380" w:type="dxa"/>
            <w:vAlign w:val="bottom"/>
          </w:tcPr>
          <w:p>
            <w:pPr>
              <w:ind w:left="200"/>
              <w:spacing w:after="0"/>
              <w:rPr>
                <w:sz w:val="20"/>
                <w:szCs w:val="20"/>
                <w:color w:val="auto"/>
              </w:rPr>
            </w:pPr>
            <w:r>
              <w:rPr>
                <w:rFonts w:ascii="Arial" w:cs="Arial" w:eastAsia="Arial" w:hAnsi="Arial"/>
                <w:sz w:val="18"/>
                <w:szCs w:val="18"/>
                <w:color w:val="auto"/>
              </w:rPr>
              <w:t>Electric generation plants</w:t>
            </w:r>
          </w:p>
        </w:tc>
        <w:tc>
          <w:tcPr>
            <w:tcW w:w="1340" w:type="dxa"/>
            <w:vAlign w:val="bottom"/>
          </w:tcPr>
          <w:p>
            <w:pPr>
              <w:jc w:val="right"/>
              <w:ind w:right="272"/>
              <w:spacing w:after="0"/>
              <w:rPr>
                <w:sz w:val="20"/>
                <w:szCs w:val="20"/>
                <w:color w:val="auto"/>
              </w:rPr>
            </w:pPr>
            <w:r>
              <w:rPr>
                <w:rFonts w:ascii="Arial" w:cs="Arial" w:eastAsia="Arial" w:hAnsi="Arial"/>
                <w:sz w:val="18"/>
                <w:szCs w:val="18"/>
                <w:color w:val="auto"/>
              </w:rPr>
              <w:t>1</w:t>
            </w:r>
          </w:p>
        </w:tc>
        <w:tc>
          <w:tcPr>
            <w:tcW w:w="220" w:type="dxa"/>
            <w:vAlign w:val="bottom"/>
          </w:tcPr>
          <w:p>
            <w:pPr>
              <w:spacing w:after="0"/>
              <w:rPr>
                <w:sz w:val="24"/>
                <w:szCs w:val="24"/>
                <w:color w:val="auto"/>
              </w:rPr>
            </w:pPr>
          </w:p>
        </w:tc>
        <w:tc>
          <w:tcPr>
            <w:tcW w:w="940" w:type="dxa"/>
            <w:vAlign w:val="bottom"/>
          </w:tcPr>
          <w:p>
            <w:pPr>
              <w:jc w:val="right"/>
              <w:ind w:right="232"/>
              <w:spacing w:after="0"/>
              <w:rPr>
                <w:sz w:val="20"/>
                <w:szCs w:val="20"/>
                <w:color w:val="auto"/>
              </w:rPr>
            </w:pPr>
            <w:r>
              <w:rPr>
                <w:rFonts w:ascii="Arial" w:cs="Arial" w:eastAsia="Arial" w:hAnsi="Arial"/>
                <w:sz w:val="18"/>
                <w:szCs w:val="18"/>
                <w:color w:val="auto"/>
              </w:rPr>
              <w:t>3</w:t>
            </w:r>
          </w:p>
        </w:tc>
        <w:tc>
          <w:tcPr>
            <w:tcW w:w="1100" w:type="dxa"/>
            <w:vAlign w:val="bottom"/>
          </w:tcPr>
          <w:p>
            <w:pPr>
              <w:jc w:val="right"/>
              <w:ind w:right="272"/>
              <w:spacing w:after="0"/>
              <w:rPr>
                <w:sz w:val="20"/>
                <w:szCs w:val="20"/>
                <w:color w:val="auto"/>
              </w:rPr>
            </w:pPr>
            <w:r>
              <w:rPr>
                <w:rFonts w:ascii="Arial" w:cs="Arial" w:eastAsia="Arial" w:hAnsi="Arial"/>
                <w:sz w:val="18"/>
                <w:szCs w:val="18"/>
                <w:color w:val="auto"/>
              </w:rPr>
              <w:t>59</w:t>
            </w:r>
          </w:p>
        </w:tc>
        <w:tc>
          <w:tcPr>
            <w:tcW w:w="260" w:type="dxa"/>
            <w:vAlign w:val="bottom"/>
          </w:tcPr>
          <w:p>
            <w:pPr>
              <w:spacing w:after="0"/>
              <w:rPr>
                <w:sz w:val="24"/>
                <w:szCs w:val="24"/>
                <w:color w:val="auto"/>
              </w:rPr>
            </w:pPr>
          </w:p>
        </w:tc>
        <w:tc>
          <w:tcPr>
            <w:tcW w:w="940" w:type="dxa"/>
            <w:vAlign w:val="bottom"/>
          </w:tcPr>
          <w:p>
            <w:pPr>
              <w:jc w:val="right"/>
              <w:ind w:right="232"/>
              <w:spacing w:after="0"/>
              <w:rPr>
                <w:sz w:val="20"/>
                <w:szCs w:val="20"/>
                <w:color w:val="auto"/>
              </w:rPr>
            </w:pPr>
            <w:r>
              <w:rPr>
                <w:rFonts w:ascii="Arial" w:cs="Arial" w:eastAsia="Arial" w:hAnsi="Arial"/>
                <w:sz w:val="18"/>
                <w:szCs w:val="18"/>
                <w:color w:val="auto"/>
              </w:rPr>
              <w:t>39</w:t>
            </w:r>
          </w:p>
        </w:tc>
        <w:tc>
          <w:tcPr>
            <w:tcW w:w="1060" w:type="dxa"/>
            <w:vAlign w:val="bottom"/>
          </w:tcPr>
          <w:p>
            <w:pPr>
              <w:jc w:val="right"/>
              <w:ind w:right="232"/>
              <w:spacing w:after="0"/>
              <w:rPr>
                <w:sz w:val="20"/>
                <w:szCs w:val="20"/>
                <w:color w:val="auto"/>
              </w:rPr>
            </w:pPr>
            <w:r>
              <w:rPr>
                <w:rFonts w:ascii="Arial" w:cs="Arial" w:eastAsia="Arial" w:hAnsi="Arial"/>
                <w:sz w:val="18"/>
                <w:szCs w:val="18"/>
                <w:color w:val="auto"/>
              </w:rPr>
              <w:t>60</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51"/>
        </w:trPr>
        <w:tc>
          <w:tcPr>
            <w:tcW w:w="2380" w:type="dxa"/>
            <w:vAlign w:val="bottom"/>
          </w:tcPr>
          <w:p>
            <w:pPr>
              <w:spacing w:after="0"/>
              <w:rPr>
                <w:sz w:val="21"/>
                <w:szCs w:val="21"/>
                <w:color w:val="auto"/>
              </w:rPr>
            </w:pPr>
          </w:p>
        </w:tc>
        <w:tc>
          <w:tcPr>
            <w:tcW w:w="1340" w:type="dxa"/>
            <w:vAlign w:val="bottom"/>
            <w:shd w:val="clear" w:color="auto" w:fill="000000"/>
          </w:tcPr>
          <w:p>
            <w:pPr>
              <w:spacing w:after="0"/>
              <w:rPr>
                <w:sz w:val="21"/>
                <w:szCs w:val="21"/>
                <w:color w:val="auto"/>
              </w:rPr>
            </w:pPr>
          </w:p>
        </w:tc>
        <w:tc>
          <w:tcPr>
            <w:tcW w:w="220" w:type="dxa"/>
            <w:vAlign w:val="bottom"/>
            <w:shd w:val="clear" w:color="auto" w:fill="000000"/>
          </w:tcPr>
          <w:p>
            <w:pPr>
              <w:spacing w:after="0"/>
              <w:rPr>
                <w:sz w:val="21"/>
                <w:szCs w:val="21"/>
                <w:color w:val="auto"/>
              </w:rPr>
            </w:pPr>
          </w:p>
        </w:tc>
        <w:tc>
          <w:tcPr>
            <w:tcW w:w="940" w:type="dxa"/>
            <w:vAlign w:val="bottom"/>
            <w:shd w:val="clear" w:color="auto" w:fill="000000"/>
          </w:tcPr>
          <w:p>
            <w:pPr>
              <w:spacing w:after="0"/>
              <w:rPr>
                <w:sz w:val="21"/>
                <w:szCs w:val="21"/>
                <w:color w:val="auto"/>
              </w:rPr>
            </w:pPr>
          </w:p>
        </w:tc>
        <w:tc>
          <w:tcPr>
            <w:tcW w:w="1100" w:type="dxa"/>
            <w:vAlign w:val="bottom"/>
            <w:shd w:val="clear" w:color="auto" w:fill="000000"/>
          </w:tcPr>
          <w:p>
            <w:pPr>
              <w:spacing w:after="0"/>
              <w:rPr>
                <w:sz w:val="21"/>
                <w:szCs w:val="21"/>
                <w:color w:val="auto"/>
              </w:rPr>
            </w:pPr>
          </w:p>
        </w:tc>
        <w:tc>
          <w:tcPr>
            <w:tcW w:w="260" w:type="dxa"/>
            <w:vAlign w:val="bottom"/>
            <w:shd w:val="clear" w:color="auto" w:fill="000000"/>
          </w:tcPr>
          <w:p>
            <w:pPr>
              <w:spacing w:after="0"/>
              <w:rPr>
                <w:sz w:val="21"/>
                <w:szCs w:val="21"/>
                <w:color w:val="auto"/>
              </w:rPr>
            </w:pPr>
          </w:p>
        </w:tc>
        <w:tc>
          <w:tcPr>
            <w:tcW w:w="940" w:type="dxa"/>
            <w:vAlign w:val="bottom"/>
            <w:shd w:val="clear" w:color="auto" w:fill="000000"/>
          </w:tcPr>
          <w:p>
            <w:pPr>
              <w:spacing w:after="0"/>
              <w:rPr>
                <w:sz w:val="21"/>
                <w:szCs w:val="21"/>
                <w:color w:val="auto"/>
              </w:rPr>
            </w:pPr>
          </w:p>
        </w:tc>
        <w:tc>
          <w:tcPr>
            <w:tcW w:w="1060" w:type="dxa"/>
            <w:vAlign w:val="bottom"/>
            <w:shd w:val="clear" w:color="auto" w:fill="000000"/>
          </w:tcPr>
          <w:p>
            <w:pPr>
              <w:spacing w:after="0"/>
              <w:rPr>
                <w:sz w:val="21"/>
                <w:szCs w:val="21"/>
                <w:color w:val="auto"/>
              </w:rPr>
            </w:pPr>
          </w:p>
        </w:tc>
        <w:tc>
          <w:tcPr>
            <w:tcW w:w="120" w:type="dxa"/>
            <w:vAlign w:val="bottom"/>
            <w:shd w:val="clear" w:color="auto" w:fill="000000"/>
          </w:tcPr>
          <w:p>
            <w:pPr>
              <w:spacing w:after="0"/>
              <w:rPr>
                <w:sz w:val="21"/>
                <w:szCs w:val="21"/>
                <w:color w:val="auto"/>
              </w:rPr>
            </w:pPr>
          </w:p>
        </w:tc>
        <w:tc>
          <w:tcPr>
            <w:tcW w:w="260" w:type="dxa"/>
            <w:vAlign w:val="bottom"/>
            <w:shd w:val="clear" w:color="auto" w:fill="000000"/>
          </w:tcPr>
          <w:p>
            <w:pPr>
              <w:spacing w:after="0"/>
              <w:rPr>
                <w:sz w:val="21"/>
                <w:szCs w:val="21"/>
                <w:color w:val="auto"/>
              </w:rPr>
            </w:pPr>
          </w:p>
        </w:tc>
        <w:tc>
          <w:tcPr>
            <w:tcW w:w="360" w:type="dxa"/>
            <w:vAlign w:val="bottom"/>
            <w:shd w:val="clear" w:color="auto" w:fill="000000"/>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2380" w:type="dxa"/>
            <w:vAlign w:val="bottom"/>
          </w:tcPr>
          <w:p>
            <w:pPr>
              <w:spacing w:after="0"/>
              <w:rPr>
                <w:sz w:val="22"/>
                <w:szCs w:val="22"/>
                <w:color w:val="auto"/>
              </w:rPr>
            </w:pPr>
          </w:p>
        </w:tc>
        <w:tc>
          <w:tcPr>
            <w:tcW w:w="1340" w:type="dxa"/>
            <w:vAlign w:val="bottom"/>
          </w:tcPr>
          <w:p>
            <w:pPr>
              <w:jc w:val="right"/>
              <w:ind w:right="272"/>
              <w:spacing w:after="0"/>
              <w:rPr>
                <w:sz w:val="20"/>
                <w:szCs w:val="20"/>
                <w:color w:val="auto"/>
              </w:rPr>
            </w:pPr>
            <w:r>
              <w:rPr>
                <w:rFonts w:ascii="Arial" w:cs="Arial" w:eastAsia="Arial" w:hAnsi="Arial"/>
                <w:sz w:val="18"/>
                <w:szCs w:val="18"/>
                <w:color w:val="auto"/>
              </w:rPr>
              <w:t>49</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232"/>
              <w:spacing w:after="0"/>
              <w:rPr>
                <w:sz w:val="20"/>
                <w:szCs w:val="20"/>
                <w:color w:val="auto"/>
              </w:rPr>
            </w:pPr>
            <w:r>
              <w:rPr>
                <w:rFonts w:ascii="Arial" w:cs="Arial" w:eastAsia="Arial" w:hAnsi="Arial"/>
                <w:sz w:val="18"/>
                <w:szCs w:val="18"/>
                <w:color w:val="auto"/>
              </w:rPr>
              <w:t>558</w:t>
            </w:r>
          </w:p>
        </w:tc>
        <w:tc>
          <w:tcPr>
            <w:tcW w:w="1100" w:type="dxa"/>
            <w:vAlign w:val="bottom"/>
          </w:tcPr>
          <w:p>
            <w:pPr>
              <w:jc w:val="right"/>
              <w:ind w:right="272"/>
              <w:spacing w:after="0"/>
              <w:rPr>
                <w:sz w:val="20"/>
                <w:szCs w:val="20"/>
                <w:color w:val="auto"/>
              </w:rPr>
            </w:pPr>
            <w:r>
              <w:rPr>
                <w:rFonts w:ascii="Arial" w:cs="Arial" w:eastAsia="Arial" w:hAnsi="Arial"/>
                <w:sz w:val="18"/>
                <w:szCs w:val="18"/>
                <w:color w:val="auto"/>
              </w:rPr>
              <w:t>63</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232"/>
              <w:spacing w:after="0"/>
              <w:rPr>
                <w:sz w:val="20"/>
                <w:szCs w:val="20"/>
                <w:color w:val="auto"/>
              </w:rPr>
            </w:pPr>
            <w:r>
              <w:rPr>
                <w:rFonts w:ascii="Arial" w:cs="Arial" w:eastAsia="Arial" w:hAnsi="Arial"/>
                <w:sz w:val="18"/>
                <w:szCs w:val="18"/>
                <w:color w:val="auto"/>
              </w:rPr>
              <w:t>44</w:t>
            </w:r>
          </w:p>
        </w:tc>
        <w:tc>
          <w:tcPr>
            <w:tcW w:w="1060" w:type="dxa"/>
            <w:vAlign w:val="bottom"/>
          </w:tcPr>
          <w:p>
            <w:pPr>
              <w:jc w:val="right"/>
              <w:ind w:right="232"/>
              <w:spacing w:after="0"/>
              <w:rPr>
                <w:sz w:val="20"/>
                <w:szCs w:val="20"/>
                <w:color w:val="auto"/>
              </w:rPr>
            </w:pPr>
            <w:r>
              <w:rPr>
                <w:rFonts w:ascii="Arial" w:cs="Arial" w:eastAsia="Arial" w:hAnsi="Arial"/>
                <w:sz w:val="18"/>
                <w:szCs w:val="18"/>
                <w:color w:val="auto"/>
              </w:rPr>
              <w:t>112</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602</w:t>
            </w:r>
          </w:p>
        </w:tc>
        <w:tc>
          <w:tcPr>
            <w:tcW w:w="0" w:type="dxa"/>
            <w:vAlign w:val="bottom"/>
          </w:tcPr>
          <w:p>
            <w:pPr>
              <w:spacing w:after="0"/>
              <w:rPr>
                <w:sz w:val="1"/>
                <w:szCs w:val="1"/>
                <w:color w:val="auto"/>
              </w:rPr>
            </w:pPr>
          </w:p>
        </w:tc>
      </w:tr>
      <w:tr>
        <w:trPr>
          <w:trHeight w:val="278"/>
        </w:trPr>
        <w:tc>
          <w:tcPr>
            <w:tcW w:w="2380" w:type="dxa"/>
            <w:vAlign w:val="bottom"/>
          </w:tcPr>
          <w:p>
            <w:pPr>
              <w:ind w:left="200"/>
              <w:spacing w:after="0"/>
              <w:rPr>
                <w:sz w:val="20"/>
                <w:szCs w:val="20"/>
                <w:color w:val="auto"/>
              </w:rPr>
            </w:pPr>
            <w:r>
              <w:rPr>
                <w:rFonts w:ascii="Arial" w:cs="Arial" w:eastAsia="Arial" w:hAnsi="Arial"/>
                <w:sz w:val="18"/>
                <w:szCs w:val="18"/>
                <w:color w:val="auto"/>
                <w:w w:val="91"/>
              </w:rPr>
              <w:t>Balancing accounts and other</w:t>
            </w:r>
          </w:p>
        </w:tc>
        <w:tc>
          <w:tcPr>
            <w:tcW w:w="1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251"/>
        </w:trPr>
        <w:tc>
          <w:tcPr>
            <w:tcW w:w="238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shd w:val="clear" w:color="auto" w:fill="000000"/>
          </w:tcPr>
          <w:p>
            <w:pPr>
              <w:spacing w:after="0"/>
              <w:rPr>
                <w:sz w:val="21"/>
                <w:szCs w:val="21"/>
                <w:color w:val="auto"/>
              </w:rPr>
            </w:pPr>
          </w:p>
        </w:tc>
        <w:tc>
          <w:tcPr>
            <w:tcW w:w="360" w:type="dxa"/>
            <w:vAlign w:val="bottom"/>
            <w:shd w:val="clear" w:color="auto" w:fill="000000"/>
          </w:tcPr>
          <w:p>
            <w:pPr>
              <w:spacing w:after="0"/>
              <w:rPr>
                <w:sz w:val="21"/>
                <w:szCs w:val="21"/>
                <w:color w:val="auto"/>
              </w:rPr>
            </w:pPr>
          </w:p>
        </w:tc>
        <w:tc>
          <w:tcPr>
            <w:tcW w:w="0" w:type="dxa"/>
            <w:vAlign w:val="bottom"/>
          </w:tcPr>
          <w:p>
            <w:pPr>
              <w:spacing w:after="0"/>
              <w:rPr>
                <w:sz w:val="1"/>
                <w:szCs w:val="1"/>
                <w:color w:val="auto"/>
              </w:rPr>
            </w:pPr>
          </w:p>
        </w:tc>
      </w:tr>
      <w:tr>
        <w:trPr>
          <w:trHeight w:val="262"/>
        </w:trPr>
        <w:tc>
          <w:tcPr>
            <w:tcW w:w="2380" w:type="dxa"/>
            <w:vAlign w:val="bottom"/>
          </w:tcPr>
          <w:p>
            <w:pPr>
              <w:ind w:left="400"/>
              <w:spacing w:after="0"/>
              <w:rPr>
                <w:sz w:val="20"/>
                <w:szCs w:val="20"/>
                <w:color w:val="auto"/>
              </w:rPr>
            </w:pPr>
            <w:r>
              <w:rPr>
                <w:rFonts w:ascii="Arial" w:cs="Arial" w:eastAsia="Arial" w:hAnsi="Arial"/>
                <w:sz w:val="18"/>
                <w:szCs w:val="18"/>
                <w:color w:val="auto"/>
              </w:rPr>
              <w:t>Total</w:t>
            </w:r>
          </w:p>
        </w:tc>
        <w:tc>
          <w:tcPr>
            <w:tcW w:w="13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3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360" w:type="dxa"/>
            <w:vAlign w:val="bottom"/>
          </w:tcPr>
          <w:p>
            <w:pPr>
              <w:jc w:val="right"/>
              <w:spacing w:after="0"/>
              <w:rPr>
                <w:sz w:val="20"/>
                <w:szCs w:val="20"/>
                <w:color w:val="auto"/>
              </w:rPr>
            </w:pPr>
            <w:r>
              <w:rPr>
                <w:rFonts w:ascii="Arial" w:cs="Arial" w:eastAsia="Arial" w:hAnsi="Arial"/>
                <w:sz w:val="18"/>
                <w:szCs w:val="18"/>
                <w:color w:val="auto"/>
              </w:rPr>
              <w:t>709</w:t>
            </w:r>
          </w:p>
        </w:tc>
        <w:tc>
          <w:tcPr>
            <w:tcW w:w="0" w:type="dxa"/>
            <w:vAlign w:val="bottom"/>
          </w:tcPr>
          <w:p>
            <w:pPr>
              <w:spacing w:after="0"/>
              <w:rPr>
                <w:sz w:val="1"/>
                <w:szCs w:val="1"/>
                <w:color w:val="auto"/>
              </w:rPr>
            </w:pPr>
          </w:p>
        </w:tc>
      </w:tr>
      <w:tr>
        <w:trPr>
          <w:trHeight w:val="251"/>
        </w:trPr>
        <w:tc>
          <w:tcPr>
            <w:tcW w:w="2380" w:type="dxa"/>
            <w:vAlign w:val="bottom"/>
            <w:shd w:val="clear" w:color="auto" w:fill="000000"/>
          </w:tcPr>
          <w:p>
            <w:pPr>
              <w:spacing w:after="0"/>
              <w:rPr>
                <w:sz w:val="21"/>
                <w:szCs w:val="21"/>
                <w:color w:val="auto"/>
              </w:rPr>
            </w:pPr>
          </w:p>
        </w:tc>
        <w:tc>
          <w:tcPr>
            <w:tcW w:w="1340" w:type="dxa"/>
            <w:vAlign w:val="bottom"/>
            <w:shd w:val="clear" w:color="auto" w:fill="000000"/>
          </w:tcPr>
          <w:p>
            <w:pPr>
              <w:spacing w:after="0"/>
              <w:rPr>
                <w:sz w:val="21"/>
                <w:szCs w:val="21"/>
                <w:color w:val="auto"/>
              </w:rPr>
            </w:pPr>
          </w:p>
        </w:tc>
        <w:tc>
          <w:tcPr>
            <w:tcW w:w="220" w:type="dxa"/>
            <w:vAlign w:val="bottom"/>
            <w:shd w:val="clear" w:color="auto" w:fill="000000"/>
          </w:tcPr>
          <w:p>
            <w:pPr>
              <w:spacing w:after="0"/>
              <w:rPr>
                <w:sz w:val="21"/>
                <w:szCs w:val="21"/>
                <w:color w:val="auto"/>
              </w:rPr>
            </w:pPr>
          </w:p>
        </w:tc>
        <w:tc>
          <w:tcPr>
            <w:tcW w:w="940" w:type="dxa"/>
            <w:vAlign w:val="bottom"/>
            <w:shd w:val="clear" w:color="auto" w:fill="000000"/>
          </w:tcPr>
          <w:p>
            <w:pPr>
              <w:spacing w:after="0"/>
              <w:rPr>
                <w:sz w:val="21"/>
                <w:szCs w:val="21"/>
                <w:color w:val="auto"/>
              </w:rPr>
            </w:pPr>
          </w:p>
        </w:tc>
        <w:tc>
          <w:tcPr>
            <w:tcW w:w="1100" w:type="dxa"/>
            <w:vAlign w:val="bottom"/>
            <w:shd w:val="clear" w:color="auto" w:fill="000000"/>
          </w:tcPr>
          <w:p>
            <w:pPr>
              <w:spacing w:after="0"/>
              <w:rPr>
                <w:sz w:val="21"/>
                <w:szCs w:val="21"/>
                <w:color w:val="auto"/>
              </w:rPr>
            </w:pPr>
          </w:p>
        </w:tc>
        <w:tc>
          <w:tcPr>
            <w:tcW w:w="260" w:type="dxa"/>
            <w:vAlign w:val="bottom"/>
            <w:shd w:val="clear" w:color="auto" w:fill="000000"/>
          </w:tcPr>
          <w:p>
            <w:pPr>
              <w:spacing w:after="0"/>
              <w:rPr>
                <w:sz w:val="21"/>
                <w:szCs w:val="21"/>
                <w:color w:val="auto"/>
              </w:rPr>
            </w:pPr>
          </w:p>
        </w:tc>
        <w:tc>
          <w:tcPr>
            <w:tcW w:w="940" w:type="dxa"/>
            <w:vAlign w:val="bottom"/>
            <w:shd w:val="clear" w:color="auto" w:fill="000000"/>
          </w:tcPr>
          <w:p>
            <w:pPr>
              <w:spacing w:after="0"/>
              <w:rPr>
                <w:sz w:val="21"/>
                <w:szCs w:val="21"/>
                <w:color w:val="auto"/>
              </w:rPr>
            </w:pPr>
          </w:p>
        </w:tc>
        <w:tc>
          <w:tcPr>
            <w:tcW w:w="1060" w:type="dxa"/>
            <w:vAlign w:val="bottom"/>
            <w:shd w:val="clear" w:color="auto" w:fill="000000"/>
          </w:tcPr>
          <w:p>
            <w:pPr>
              <w:spacing w:after="0"/>
              <w:rPr>
                <w:sz w:val="21"/>
                <w:szCs w:val="21"/>
                <w:color w:val="auto"/>
              </w:rPr>
            </w:pPr>
          </w:p>
        </w:tc>
        <w:tc>
          <w:tcPr>
            <w:tcW w:w="120" w:type="dxa"/>
            <w:vAlign w:val="bottom"/>
            <w:shd w:val="clear" w:color="auto" w:fill="000000"/>
          </w:tcPr>
          <w:p>
            <w:pPr>
              <w:spacing w:after="0"/>
              <w:rPr>
                <w:sz w:val="21"/>
                <w:szCs w:val="21"/>
                <w:color w:val="auto"/>
              </w:rPr>
            </w:pPr>
          </w:p>
        </w:tc>
        <w:tc>
          <w:tcPr>
            <w:tcW w:w="260" w:type="dxa"/>
            <w:vAlign w:val="bottom"/>
            <w:shd w:val="clear" w:color="auto" w:fill="000000"/>
          </w:tcPr>
          <w:p>
            <w:pPr>
              <w:spacing w:after="0"/>
              <w:rPr>
                <w:sz w:val="21"/>
                <w:szCs w:val="21"/>
                <w:color w:val="auto"/>
              </w:rPr>
            </w:pPr>
          </w:p>
        </w:tc>
        <w:tc>
          <w:tcPr>
            <w:tcW w:w="360" w:type="dxa"/>
            <w:vAlign w:val="bottom"/>
            <w:shd w:val="clear" w:color="auto" w:fill="000000"/>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2380" w:type="dxa"/>
            <w:vAlign w:val="bottom"/>
          </w:tcPr>
          <w:p>
            <w:pPr>
              <w:ind w:left="20"/>
              <w:spacing w:after="0"/>
              <w:rPr>
                <w:sz w:val="20"/>
                <w:szCs w:val="20"/>
                <w:color w:val="auto"/>
              </w:rPr>
            </w:pPr>
            <w:r>
              <w:rPr>
                <w:rFonts w:ascii="Arial" w:cs="Arial" w:eastAsia="Arial" w:hAnsi="Arial"/>
                <w:sz w:val="18"/>
                <w:szCs w:val="18"/>
                <w:color w:val="auto"/>
              </w:rPr>
              <w:t>2004:</w:t>
            </w:r>
          </w:p>
        </w:tc>
        <w:tc>
          <w:tcPr>
            <w:tcW w:w="13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2380" w:type="dxa"/>
            <w:vAlign w:val="bottom"/>
          </w:tcPr>
          <w:p>
            <w:pPr>
              <w:ind w:left="200"/>
              <w:spacing w:after="0"/>
              <w:rPr>
                <w:sz w:val="20"/>
                <w:szCs w:val="20"/>
                <w:color w:val="auto"/>
              </w:rPr>
            </w:pPr>
            <w:r>
              <w:rPr>
                <w:rFonts w:ascii="Arial" w:cs="Arial" w:eastAsia="Arial" w:hAnsi="Arial"/>
                <w:sz w:val="18"/>
                <w:szCs w:val="18"/>
                <w:color w:val="auto"/>
              </w:rPr>
              <w:t>Residential</w:t>
            </w:r>
          </w:p>
        </w:tc>
        <w:tc>
          <w:tcPr>
            <w:tcW w:w="1340" w:type="dxa"/>
            <w:vAlign w:val="bottom"/>
          </w:tcPr>
          <w:p>
            <w:pPr>
              <w:jc w:val="right"/>
              <w:ind w:right="272"/>
              <w:spacing w:after="0"/>
              <w:rPr>
                <w:sz w:val="20"/>
                <w:szCs w:val="20"/>
                <w:color w:val="auto"/>
              </w:rPr>
            </w:pPr>
            <w:r>
              <w:rPr>
                <w:rFonts w:ascii="Arial" w:cs="Arial" w:eastAsia="Arial" w:hAnsi="Arial"/>
                <w:sz w:val="18"/>
                <w:szCs w:val="18"/>
                <w:color w:val="auto"/>
              </w:rPr>
              <w:t>33</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232"/>
              <w:spacing w:after="0"/>
              <w:rPr>
                <w:sz w:val="20"/>
                <w:szCs w:val="20"/>
                <w:color w:val="auto"/>
              </w:rPr>
            </w:pPr>
            <w:r>
              <w:rPr>
                <w:rFonts w:ascii="Arial" w:cs="Arial" w:eastAsia="Arial" w:hAnsi="Arial"/>
                <w:sz w:val="18"/>
                <w:szCs w:val="18"/>
                <w:color w:val="auto"/>
              </w:rPr>
              <w:t>332</w:t>
            </w:r>
          </w:p>
        </w:tc>
        <w:tc>
          <w:tcPr>
            <w:tcW w:w="1100" w:type="dxa"/>
            <w:vAlign w:val="bottom"/>
          </w:tcPr>
          <w:p>
            <w:pPr>
              <w:jc w:val="right"/>
              <w:ind w:right="272"/>
              <w:spacing w:after="0"/>
              <w:rPr>
                <w:sz w:val="20"/>
                <w:szCs w:val="20"/>
                <w:color w:val="auto"/>
              </w:rPr>
            </w:pPr>
            <w:r>
              <w:rPr>
                <w:rFonts w:ascii="Arial" w:cs="Arial" w:eastAsia="Arial" w:hAnsi="Arial"/>
                <w:sz w:val="18"/>
                <w:szCs w:val="18"/>
                <w:color w:val="auto"/>
              </w:rPr>
              <w:t>--</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232"/>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232"/>
              <w:spacing w:after="0"/>
              <w:rPr>
                <w:sz w:val="20"/>
                <w:szCs w:val="20"/>
                <w:color w:val="auto"/>
              </w:rPr>
            </w:pPr>
            <w:r>
              <w:rPr>
                <w:rFonts w:ascii="Arial" w:cs="Arial" w:eastAsia="Arial" w:hAnsi="Arial"/>
                <w:sz w:val="18"/>
                <w:szCs w:val="18"/>
                <w:color w:val="auto"/>
              </w:rPr>
              <w:t>33</w:t>
            </w:r>
          </w:p>
        </w:tc>
        <w:tc>
          <w:tcPr>
            <w:tcW w:w="3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360" w:type="dxa"/>
            <w:vAlign w:val="bottom"/>
          </w:tcPr>
          <w:p>
            <w:pPr>
              <w:jc w:val="right"/>
              <w:spacing w:after="0"/>
              <w:rPr>
                <w:sz w:val="20"/>
                <w:szCs w:val="20"/>
                <w:color w:val="auto"/>
              </w:rPr>
            </w:pPr>
            <w:r>
              <w:rPr>
                <w:rFonts w:ascii="Arial" w:cs="Arial" w:eastAsia="Arial" w:hAnsi="Arial"/>
                <w:sz w:val="18"/>
                <w:szCs w:val="18"/>
                <w:color w:val="auto"/>
              </w:rPr>
              <w:t>332</w:t>
            </w:r>
          </w:p>
        </w:tc>
        <w:tc>
          <w:tcPr>
            <w:tcW w:w="0" w:type="dxa"/>
            <w:vAlign w:val="bottom"/>
          </w:tcPr>
          <w:p>
            <w:pPr>
              <w:spacing w:after="0"/>
              <w:rPr>
                <w:sz w:val="1"/>
                <w:szCs w:val="1"/>
                <w:color w:val="auto"/>
              </w:rPr>
            </w:pPr>
          </w:p>
        </w:tc>
      </w:tr>
      <w:tr>
        <w:trPr>
          <w:trHeight w:val="270"/>
        </w:trPr>
        <w:tc>
          <w:tcPr>
            <w:tcW w:w="2380" w:type="dxa"/>
            <w:vAlign w:val="bottom"/>
          </w:tcPr>
          <w:p>
            <w:pPr>
              <w:ind w:left="200"/>
              <w:spacing w:after="0"/>
              <w:rPr>
                <w:sz w:val="20"/>
                <w:szCs w:val="20"/>
                <w:color w:val="auto"/>
              </w:rPr>
            </w:pPr>
            <w:r>
              <w:rPr>
                <w:rFonts w:ascii="Arial" w:cs="Arial" w:eastAsia="Arial" w:hAnsi="Arial"/>
                <w:sz w:val="18"/>
                <w:szCs w:val="18"/>
                <w:color w:val="auto"/>
              </w:rPr>
              <w:t>Commercial and industrial</w:t>
            </w:r>
          </w:p>
        </w:tc>
        <w:tc>
          <w:tcPr>
            <w:tcW w:w="1340" w:type="dxa"/>
            <w:vAlign w:val="bottom"/>
          </w:tcPr>
          <w:p>
            <w:pPr>
              <w:jc w:val="right"/>
              <w:ind w:right="272"/>
              <w:spacing w:after="0"/>
              <w:rPr>
                <w:sz w:val="20"/>
                <w:szCs w:val="20"/>
                <w:color w:val="auto"/>
              </w:rPr>
            </w:pPr>
            <w:r>
              <w:rPr>
                <w:rFonts w:ascii="Arial" w:cs="Arial" w:eastAsia="Arial" w:hAnsi="Arial"/>
                <w:sz w:val="18"/>
                <w:szCs w:val="18"/>
                <w:color w:val="auto"/>
              </w:rPr>
              <w:t>18</w:t>
            </w:r>
          </w:p>
        </w:tc>
        <w:tc>
          <w:tcPr>
            <w:tcW w:w="220" w:type="dxa"/>
            <w:vAlign w:val="bottom"/>
          </w:tcPr>
          <w:p>
            <w:pPr>
              <w:spacing w:after="0"/>
              <w:rPr>
                <w:sz w:val="23"/>
                <w:szCs w:val="23"/>
                <w:color w:val="auto"/>
              </w:rPr>
            </w:pPr>
          </w:p>
        </w:tc>
        <w:tc>
          <w:tcPr>
            <w:tcW w:w="940" w:type="dxa"/>
            <w:vAlign w:val="bottom"/>
          </w:tcPr>
          <w:p>
            <w:pPr>
              <w:jc w:val="right"/>
              <w:ind w:right="232"/>
              <w:spacing w:after="0"/>
              <w:rPr>
                <w:sz w:val="20"/>
                <w:szCs w:val="20"/>
                <w:color w:val="auto"/>
              </w:rPr>
            </w:pPr>
            <w:r>
              <w:rPr>
                <w:rFonts w:ascii="Arial" w:cs="Arial" w:eastAsia="Arial" w:hAnsi="Arial"/>
                <w:sz w:val="18"/>
                <w:szCs w:val="18"/>
                <w:color w:val="auto"/>
              </w:rPr>
              <w:t>142</w:t>
            </w:r>
          </w:p>
        </w:tc>
        <w:tc>
          <w:tcPr>
            <w:tcW w:w="1100" w:type="dxa"/>
            <w:vAlign w:val="bottom"/>
          </w:tcPr>
          <w:p>
            <w:pPr>
              <w:jc w:val="right"/>
              <w:ind w:right="272"/>
              <w:spacing w:after="0"/>
              <w:rPr>
                <w:sz w:val="20"/>
                <w:szCs w:val="20"/>
                <w:color w:val="auto"/>
              </w:rPr>
            </w:pPr>
            <w:r>
              <w:rPr>
                <w:rFonts w:ascii="Arial" w:cs="Arial" w:eastAsia="Arial" w:hAnsi="Arial"/>
                <w:sz w:val="18"/>
                <w:szCs w:val="18"/>
                <w:color w:val="auto"/>
              </w:rPr>
              <w:t>4</w:t>
            </w:r>
          </w:p>
        </w:tc>
        <w:tc>
          <w:tcPr>
            <w:tcW w:w="260" w:type="dxa"/>
            <w:vAlign w:val="bottom"/>
          </w:tcPr>
          <w:p>
            <w:pPr>
              <w:spacing w:after="0"/>
              <w:rPr>
                <w:sz w:val="23"/>
                <w:szCs w:val="23"/>
                <w:color w:val="auto"/>
              </w:rPr>
            </w:pPr>
          </w:p>
        </w:tc>
        <w:tc>
          <w:tcPr>
            <w:tcW w:w="940" w:type="dxa"/>
            <w:vAlign w:val="bottom"/>
          </w:tcPr>
          <w:p>
            <w:pPr>
              <w:jc w:val="right"/>
              <w:ind w:right="232"/>
              <w:spacing w:after="0"/>
              <w:rPr>
                <w:sz w:val="20"/>
                <w:szCs w:val="20"/>
                <w:color w:val="auto"/>
              </w:rPr>
            </w:pPr>
            <w:r>
              <w:rPr>
                <w:rFonts w:ascii="Arial" w:cs="Arial" w:eastAsia="Arial" w:hAnsi="Arial"/>
                <w:sz w:val="18"/>
                <w:szCs w:val="18"/>
                <w:color w:val="auto"/>
              </w:rPr>
              <w:t>4</w:t>
            </w:r>
          </w:p>
        </w:tc>
        <w:tc>
          <w:tcPr>
            <w:tcW w:w="1060" w:type="dxa"/>
            <w:vAlign w:val="bottom"/>
          </w:tcPr>
          <w:p>
            <w:pPr>
              <w:jc w:val="right"/>
              <w:ind w:right="232"/>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146</w:t>
            </w:r>
          </w:p>
        </w:tc>
        <w:tc>
          <w:tcPr>
            <w:tcW w:w="0" w:type="dxa"/>
            <w:vAlign w:val="bottom"/>
          </w:tcPr>
          <w:p>
            <w:pPr>
              <w:spacing w:after="0"/>
              <w:rPr>
                <w:sz w:val="1"/>
                <w:szCs w:val="1"/>
                <w:color w:val="auto"/>
              </w:rPr>
            </w:pPr>
          </w:p>
        </w:tc>
      </w:tr>
      <w:tr>
        <w:trPr>
          <w:trHeight w:val="278"/>
        </w:trPr>
        <w:tc>
          <w:tcPr>
            <w:tcW w:w="2380" w:type="dxa"/>
            <w:vAlign w:val="bottom"/>
          </w:tcPr>
          <w:p>
            <w:pPr>
              <w:ind w:left="200"/>
              <w:spacing w:after="0"/>
              <w:rPr>
                <w:sz w:val="20"/>
                <w:szCs w:val="20"/>
                <w:color w:val="auto"/>
              </w:rPr>
            </w:pPr>
            <w:r>
              <w:rPr>
                <w:rFonts w:ascii="Arial" w:cs="Arial" w:eastAsia="Arial" w:hAnsi="Arial"/>
                <w:sz w:val="18"/>
                <w:szCs w:val="18"/>
                <w:color w:val="auto"/>
              </w:rPr>
              <w:t>Electric generation plants</w:t>
            </w:r>
          </w:p>
        </w:tc>
        <w:tc>
          <w:tcPr>
            <w:tcW w:w="1340" w:type="dxa"/>
            <w:vAlign w:val="bottom"/>
          </w:tcPr>
          <w:p>
            <w:pPr>
              <w:jc w:val="right"/>
              <w:ind w:right="272"/>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4"/>
                <w:szCs w:val="24"/>
                <w:color w:val="auto"/>
              </w:rPr>
            </w:pPr>
          </w:p>
        </w:tc>
        <w:tc>
          <w:tcPr>
            <w:tcW w:w="940" w:type="dxa"/>
            <w:vAlign w:val="bottom"/>
          </w:tcPr>
          <w:p>
            <w:pPr>
              <w:jc w:val="right"/>
              <w:ind w:right="232"/>
              <w:spacing w:after="0"/>
              <w:rPr>
                <w:sz w:val="20"/>
                <w:szCs w:val="20"/>
                <w:color w:val="auto"/>
              </w:rPr>
            </w:pPr>
            <w:r>
              <w:rPr>
                <w:rFonts w:ascii="Arial" w:cs="Arial" w:eastAsia="Arial" w:hAnsi="Arial"/>
                <w:sz w:val="18"/>
                <w:szCs w:val="18"/>
                <w:color w:val="auto"/>
              </w:rPr>
              <w:t>2</w:t>
            </w:r>
          </w:p>
        </w:tc>
        <w:tc>
          <w:tcPr>
            <w:tcW w:w="1100" w:type="dxa"/>
            <w:vAlign w:val="bottom"/>
          </w:tcPr>
          <w:p>
            <w:pPr>
              <w:jc w:val="right"/>
              <w:ind w:right="272"/>
              <w:spacing w:after="0"/>
              <w:rPr>
                <w:sz w:val="20"/>
                <w:szCs w:val="20"/>
                <w:color w:val="auto"/>
              </w:rPr>
            </w:pPr>
            <w:r>
              <w:rPr>
                <w:rFonts w:ascii="Arial" w:cs="Arial" w:eastAsia="Arial" w:hAnsi="Arial"/>
                <w:sz w:val="18"/>
                <w:szCs w:val="18"/>
                <w:color w:val="auto"/>
              </w:rPr>
              <w:t>74</w:t>
            </w:r>
          </w:p>
        </w:tc>
        <w:tc>
          <w:tcPr>
            <w:tcW w:w="260" w:type="dxa"/>
            <w:vAlign w:val="bottom"/>
          </w:tcPr>
          <w:p>
            <w:pPr>
              <w:spacing w:after="0"/>
              <w:rPr>
                <w:sz w:val="24"/>
                <w:szCs w:val="24"/>
                <w:color w:val="auto"/>
              </w:rPr>
            </w:pPr>
          </w:p>
        </w:tc>
        <w:tc>
          <w:tcPr>
            <w:tcW w:w="940" w:type="dxa"/>
            <w:vAlign w:val="bottom"/>
          </w:tcPr>
          <w:p>
            <w:pPr>
              <w:jc w:val="right"/>
              <w:ind w:right="232"/>
              <w:spacing w:after="0"/>
              <w:rPr>
                <w:sz w:val="20"/>
                <w:szCs w:val="20"/>
                <w:color w:val="auto"/>
              </w:rPr>
            </w:pPr>
            <w:r>
              <w:rPr>
                <w:rFonts w:ascii="Arial" w:cs="Arial" w:eastAsia="Arial" w:hAnsi="Arial"/>
                <w:sz w:val="18"/>
                <w:szCs w:val="18"/>
                <w:color w:val="auto"/>
              </w:rPr>
              <w:t>36</w:t>
            </w:r>
          </w:p>
        </w:tc>
        <w:tc>
          <w:tcPr>
            <w:tcW w:w="1060" w:type="dxa"/>
            <w:vAlign w:val="bottom"/>
          </w:tcPr>
          <w:p>
            <w:pPr>
              <w:jc w:val="right"/>
              <w:ind w:right="232"/>
              <w:spacing w:after="0"/>
              <w:rPr>
                <w:sz w:val="20"/>
                <w:szCs w:val="20"/>
                <w:color w:val="auto"/>
              </w:rPr>
            </w:pPr>
            <w:r>
              <w:rPr>
                <w:rFonts w:ascii="Arial" w:cs="Arial" w:eastAsia="Arial" w:hAnsi="Arial"/>
                <w:sz w:val="18"/>
                <w:szCs w:val="18"/>
                <w:color w:val="auto"/>
              </w:rPr>
              <w:t>74</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51"/>
        </w:trPr>
        <w:tc>
          <w:tcPr>
            <w:tcW w:w="2380" w:type="dxa"/>
            <w:vAlign w:val="bottom"/>
          </w:tcPr>
          <w:p>
            <w:pPr>
              <w:spacing w:after="0"/>
              <w:rPr>
                <w:sz w:val="21"/>
                <w:szCs w:val="21"/>
                <w:color w:val="auto"/>
              </w:rPr>
            </w:pPr>
          </w:p>
        </w:tc>
        <w:tc>
          <w:tcPr>
            <w:tcW w:w="1340" w:type="dxa"/>
            <w:vAlign w:val="bottom"/>
            <w:shd w:val="clear" w:color="auto" w:fill="000000"/>
          </w:tcPr>
          <w:p>
            <w:pPr>
              <w:spacing w:after="0"/>
              <w:rPr>
                <w:sz w:val="21"/>
                <w:szCs w:val="21"/>
                <w:color w:val="auto"/>
              </w:rPr>
            </w:pPr>
          </w:p>
        </w:tc>
        <w:tc>
          <w:tcPr>
            <w:tcW w:w="220" w:type="dxa"/>
            <w:vAlign w:val="bottom"/>
            <w:shd w:val="clear" w:color="auto" w:fill="000000"/>
          </w:tcPr>
          <w:p>
            <w:pPr>
              <w:spacing w:after="0"/>
              <w:rPr>
                <w:sz w:val="21"/>
                <w:szCs w:val="21"/>
                <w:color w:val="auto"/>
              </w:rPr>
            </w:pPr>
          </w:p>
        </w:tc>
        <w:tc>
          <w:tcPr>
            <w:tcW w:w="940" w:type="dxa"/>
            <w:vAlign w:val="bottom"/>
            <w:shd w:val="clear" w:color="auto" w:fill="000000"/>
          </w:tcPr>
          <w:p>
            <w:pPr>
              <w:spacing w:after="0"/>
              <w:rPr>
                <w:sz w:val="21"/>
                <w:szCs w:val="21"/>
                <w:color w:val="auto"/>
              </w:rPr>
            </w:pPr>
          </w:p>
        </w:tc>
        <w:tc>
          <w:tcPr>
            <w:tcW w:w="1100" w:type="dxa"/>
            <w:vAlign w:val="bottom"/>
            <w:shd w:val="clear" w:color="auto" w:fill="000000"/>
          </w:tcPr>
          <w:p>
            <w:pPr>
              <w:spacing w:after="0"/>
              <w:rPr>
                <w:sz w:val="21"/>
                <w:szCs w:val="21"/>
                <w:color w:val="auto"/>
              </w:rPr>
            </w:pPr>
          </w:p>
        </w:tc>
        <w:tc>
          <w:tcPr>
            <w:tcW w:w="260" w:type="dxa"/>
            <w:vAlign w:val="bottom"/>
            <w:shd w:val="clear" w:color="auto" w:fill="000000"/>
          </w:tcPr>
          <w:p>
            <w:pPr>
              <w:spacing w:after="0"/>
              <w:rPr>
                <w:sz w:val="21"/>
                <w:szCs w:val="21"/>
                <w:color w:val="auto"/>
              </w:rPr>
            </w:pPr>
          </w:p>
        </w:tc>
        <w:tc>
          <w:tcPr>
            <w:tcW w:w="940" w:type="dxa"/>
            <w:vAlign w:val="bottom"/>
            <w:shd w:val="clear" w:color="auto" w:fill="000000"/>
          </w:tcPr>
          <w:p>
            <w:pPr>
              <w:spacing w:after="0"/>
              <w:rPr>
                <w:sz w:val="21"/>
                <w:szCs w:val="21"/>
                <w:color w:val="auto"/>
              </w:rPr>
            </w:pPr>
          </w:p>
        </w:tc>
        <w:tc>
          <w:tcPr>
            <w:tcW w:w="1060" w:type="dxa"/>
            <w:vAlign w:val="bottom"/>
            <w:shd w:val="clear" w:color="auto" w:fill="000000"/>
          </w:tcPr>
          <w:p>
            <w:pPr>
              <w:spacing w:after="0"/>
              <w:rPr>
                <w:sz w:val="21"/>
                <w:szCs w:val="21"/>
                <w:color w:val="auto"/>
              </w:rPr>
            </w:pPr>
          </w:p>
        </w:tc>
        <w:tc>
          <w:tcPr>
            <w:tcW w:w="120" w:type="dxa"/>
            <w:vAlign w:val="bottom"/>
            <w:shd w:val="clear" w:color="auto" w:fill="000000"/>
          </w:tcPr>
          <w:p>
            <w:pPr>
              <w:spacing w:after="0"/>
              <w:rPr>
                <w:sz w:val="21"/>
                <w:szCs w:val="21"/>
                <w:color w:val="auto"/>
              </w:rPr>
            </w:pPr>
          </w:p>
        </w:tc>
        <w:tc>
          <w:tcPr>
            <w:tcW w:w="260" w:type="dxa"/>
            <w:vAlign w:val="bottom"/>
            <w:shd w:val="clear" w:color="auto" w:fill="000000"/>
          </w:tcPr>
          <w:p>
            <w:pPr>
              <w:spacing w:after="0"/>
              <w:rPr>
                <w:sz w:val="21"/>
                <w:szCs w:val="21"/>
                <w:color w:val="auto"/>
              </w:rPr>
            </w:pPr>
          </w:p>
        </w:tc>
        <w:tc>
          <w:tcPr>
            <w:tcW w:w="360" w:type="dxa"/>
            <w:vAlign w:val="bottom"/>
            <w:shd w:val="clear" w:color="auto" w:fill="000000"/>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2380" w:type="dxa"/>
            <w:vAlign w:val="bottom"/>
          </w:tcPr>
          <w:p>
            <w:pPr>
              <w:spacing w:after="0"/>
              <w:rPr>
                <w:sz w:val="22"/>
                <w:szCs w:val="22"/>
                <w:color w:val="auto"/>
              </w:rPr>
            </w:pPr>
          </w:p>
        </w:tc>
        <w:tc>
          <w:tcPr>
            <w:tcW w:w="1340" w:type="dxa"/>
            <w:vAlign w:val="bottom"/>
          </w:tcPr>
          <w:p>
            <w:pPr>
              <w:jc w:val="right"/>
              <w:ind w:right="272"/>
              <w:spacing w:after="0"/>
              <w:rPr>
                <w:sz w:val="20"/>
                <w:szCs w:val="20"/>
                <w:color w:val="auto"/>
              </w:rPr>
            </w:pPr>
            <w:r>
              <w:rPr>
                <w:rFonts w:ascii="Arial" w:cs="Arial" w:eastAsia="Arial" w:hAnsi="Arial"/>
                <w:sz w:val="18"/>
                <w:szCs w:val="18"/>
                <w:color w:val="auto"/>
              </w:rPr>
              <w:t>51</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232"/>
              <w:spacing w:after="0"/>
              <w:rPr>
                <w:sz w:val="20"/>
                <w:szCs w:val="20"/>
                <w:color w:val="auto"/>
              </w:rPr>
            </w:pPr>
            <w:r>
              <w:rPr>
                <w:rFonts w:ascii="Arial" w:cs="Arial" w:eastAsia="Arial" w:hAnsi="Arial"/>
                <w:sz w:val="18"/>
                <w:szCs w:val="18"/>
                <w:color w:val="auto"/>
              </w:rPr>
              <w:t>476</w:t>
            </w:r>
          </w:p>
        </w:tc>
        <w:tc>
          <w:tcPr>
            <w:tcW w:w="1100" w:type="dxa"/>
            <w:vAlign w:val="bottom"/>
          </w:tcPr>
          <w:p>
            <w:pPr>
              <w:jc w:val="right"/>
              <w:ind w:right="272"/>
              <w:spacing w:after="0"/>
              <w:rPr>
                <w:sz w:val="20"/>
                <w:szCs w:val="20"/>
                <w:color w:val="auto"/>
              </w:rPr>
            </w:pPr>
            <w:r>
              <w:rPr>
                <w:rFonts w:ascii="Arial" w:cs="Arial" w:eastAsia="Arial" w:hAnsi="Arial"/>
                <w:sz w:val="18"/>
                <w:szCs w:val="18"/>
                <w:color w:val="auto"/>
              </w:rPr>
              <w:t>78</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232"/>
              <w:spacing w:after="0"/>
              <w:rPr>
                <w:sz w:val="20"/>
                <w:szCs w:val="20"/>
                <w:color w:val="auto"/>
              </w:rPr>
            </w:pPr>
            <w:r>
              <w:rPr>
                <w:rFonts w:ascii="Arial" w:cs="Arial" w:eastAsia="Arial" w:hAnsi="Arial"/>
                <w:sz w:val="18"/>
                <w:szCs w:val="18"/>
                <w:color w:val="auto"/>
              </w:rPr>
              <w:t>40</w:t>
            </w:r>
          </w:p>
        </w:tc>
        <w:tc>
          <w:tcPr>
            <w:tcW w:w="1060" w:type="dxa"/>
            <w:vAlign w:val="bottom"/>
          </w:tcPr>
          <w:p>
            <w:pPr>
              <w:jc w:val="right"/>
              <w:ind w:right="232"/>
              <w:spacing w:after="0"/>
              <w:rPr>
                <w:sz w:val="20"/>
                <w:szCs w:val="20"/>
                <w:color w:val="auto"/>
              </w:rPr>
            </w:pPr>
            <w:r>
              <w:rPr>
                <w:rFonts w:ascii="Arial" w:cs="Arial" w:eastAsia="Arial" w:hAnsi="Arial"/>
                <w:sz w:val="18"/>
                <w:szCs w:val="18"/>
                <w:color w:val="auto"/>
              </w:rPr>
              <w:t>129</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516</w:t>
            </w:r>
          </w:p>
        </w:tc>
        <w:tc>
          <w:tcPr>
            <w:tcW w:w="0" w:type="dxa"/>
            <w:vAlign w:val="bottom"/>
          </w:tcPr>
          <w:p>
            <w:pPr>
              <w:spacing w:after="0"/>
              <w:rPr>
                <w:sz w:val="1"/>
                <w:szCs w:val="1"/>
                <w:color w:val="auto"/>
              </w:rPr>
            </w:pPr>
          </w:p>
        </w:tc>
      </w:tr>
      <w:tr>
        <w:trPr>
          <w:trHeight w:val="278"/>
        </w:trPr>
        <w:tc>
          <w:tcPr>
            <w:tcW w:w="2380" w:type="dxa"/>
            <w:vAlign w:val="bottom"/>
          </w:tcPr>
          <w:p>
            <w:pPr>
              <w:ind w:left="200"/>
              <w:spacing w:after="0"/>
              <w:rPr>
                <w:sz w:val="20"/>
                <w:szCs w:val="20"/>
                <w:color w:val="auto"/>
              </w:rPr>
            </w:pPr>
            <w:r>
              <w:rPr>
                <w:rFonts w:ascii="Arial" w:cs="Arial" w:eastAsia="Arial" w:hAnsi="Arial"/>
                <w:sz w:val="18"/>
                <w:szCs w:val="18"/>
                <w:color w:val="auto"/>
                <w:w w:val="91"/>
              </w:rPr>
              <w:t>Balancing accounts and other</w:t>
            </w:r>
          </w:p>
        </w:tc>
        <w:tc>
          <w:tcPr>
            <w:tcW w:w="1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51"/>
        </w:trPr>
        <w:tc>
          <w:tcPr>
            <w:tcW w:w="238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shd w:val="clear" w:color="auto" w:fill="000000"/>
          </w:tcPr>
          <w:p>
            <w:pPr>
              <w:spacing w:after="0"/>
              <w:rPr>
                <w:sz w:val="21"/>
                <w:szCs w:val="21"/>
                <w:color w:val="auto"/>
              </w:rPr>
            </w:pPr>
          </w:p>
        </w:tc>
        <w:tc>
          <w:tcPr>
            <w:tcW w:w="360" w:type="dxa"/>
            <w:vAlign w:val="bottom"/>
            <w:shd w:val="clear" w:color="auto" w:fill="000000"/>
          </w:tcPr>
          <w:p>
            <w:pPr>
              <w:spacing w:after="0"/>
              <w:rPr>
                <w:sz w:val="21"/>
                <w:szCs w:val="21"/>
                <w:color w:val="auto"/>
              </w:rPr>
            </w:pPr>
          </w:p>
        </w:tc>
        <w:tc>
          <w:tcPr>
            <w:tcW w:w="0" w:type="dxa"/>
            <w:vAlign w:val="bottom"/>
          </w:tcPr>
          <w:p>
            <w:pPr>
              <w:spacing w:after="0"/>
              <w:rPr>
                <w:sz w:val="1"/>
                <w:szCs w:val="1"/>
                <w:color w:val="auto"/>
              </w:rPr>
            </w:pPr>
          </w:p>
        </w:tc>
      </w:tr>
      <w:tr>
        <w:trPr>
          <w:trHeight w:val="262"/>
        </w:trPr>
        <w:tc>
          <w:tcPr>
            <w:tcW w:w="2380" w:type="dxa"/>
            <w:vAlign w:val="bottom"/>
          </w:tcPr>
          <w:p>
            <w:pPr>
              <w:ind w:left="400"/>
              <w:spacing w:after="0"/>
              <w:rPr>
                <w:sz w:val="20"/>
                <w:szCs w:val="20"/>
                <w:color w:val="auto"/>
              </w:rPr>
            </w:pPr>
            <w:r>
              <w:rPr>
                <w:rFonts w:ascii="Arial" w:cs="Arial" w:eastAsia="Arial" w:hAnsi="Arial"/>
                <w:sz w:val="18"/>
                <w:szCs w:val="18"/>
                <w:color w:val="auto"/>
              </w:rPr>
              <w:t>Total</w:t>
            </w:r>
          </w:p>
        </w:tc>
        <w:tc>
          <w:tcPr>
            <w:tcW w:w="13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3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360" w:type="dxa"/>
            <w:vAlign w:val="bottom"/>
          </w:tcPr>
          <w:p>
            <w:pPr>
              <w:jc w:val="right"/>
              <w:spacing w:after="0"/>
              <w:rPr>
                <w:sz w:val="20"/>
                <w:szCs w:val="20"/>
                <w:color w:val="auto"/>
              </w:rPr>
            </w:pPr>
            <w:r>
              <w:rPr>
                <w:rFonts w:ascii="Arial" w:cs="Arial" w:eastAsia="Arial" w:hAnsi="Arial"/>
                <w:sz w:val="18"/>
                <w:szCs w:val="18"/>
                <w:color w:val="auto"/>
              </w:rPr>
              <w:t>596</w:t>
            </w:r>
          </w:p>
        </w:tc>
        <w:tc>
          <w:tcPr>
            <w:tcW w:w="0" w:type="dxa"/>
            <w:vAlign w:val="bottom"/>
          </w:tcPr>
          <w:p>
            <w:pPr>
              <w:spacing w:after="0"/>
              <w:rPr>
                <w:sz w:val="1"/>
                <w:szCs w:val="1"/>
                <w:color w:val="auto"/>
              </w:rPr>
            </w:pPr>
          </w:p>
        </w:tc>
      </w:tr>
      <w:tr>
        <w:trPr>
          <w:trHeight w:val="251"/>
        </w:trPr>
        <w:tc>
          <w:tcPr>
            <w:tcW w:w="2380" w:type="dxa"/>
            <w:vAlign w:val="bottom"/>
            <w:shd w:val="clear" w:color="auto" w:fill="000000"/>
          </w:tcPr>
          <w:p>
            <w:pPr>
              <w:spacing w:after="0"/>
              <w:rPr>
                <w:sz w:val="21"/>
                <w:szCs w:val="21"/>
                <w:color w:val="auto"/>
              </w:rPr>
            </w:pPr>
          </w:p>
        </w:tc>
        <w:tc>
          <w:tcPr>
            <w:tcW w:w="1340" w:type="dxa"/>
            <w:vAlign w:val="bottom"/>
            <w:shd w:val="clear" w:color="auto" w:fill="000000"/>
          </w:tcPr>
          <w:p>
            <w:pPr>
              <w:spacing w:after="0"/>
              <w:rPr>
                <w:sz w:val="21"/>
                <w:szCs w:val="21"/>
                <w:color w:val="auto"/>
              </w:rPr>
            </w:pPr>
          </w:p>
        </w:tc>
        <w:tc>
          <w:tcPr>
            <w:tcW w:w="220" w:type="dxa"/>
            <w:vAlign w:val="bottom"/>
            <w:shd w:val="clear" w:color="auto" w:fill="000000"/>
          </w:tcPr>
          <w:p>
            <w:pPr>
              <w:spacing w:after="0"/>
              <w:rPr>
                <w:sz w:val="21"/>
                <w:szCs w:val="21"/>
                <w:color w:val="auto"/>
              </w:rPr>
            </w:pPr>
          </w:p>
        </w:tc>
        <w:tc>
          <w:tcPr>
            <w:tcW w:w="940" w:type="dxa"/>
            <w:vAlign w:val="bottom"/>
            <w:shd w:val="clear" w:color="auto" w:fill="000000"/>
          </w:tcPr>
          <w:p>
            <w:pPr>
              <w:spacing w:after="0"/>
              <w:rPr>
                <w:sz w:val="21"/>
                <w:szCs w:val="21"/>
                <w:color w:val="auto"/>
              </w:rPr>
            </w:pPr>
          </w:p>
        </w:tc>
        <w:tc>
          <w:tcPr>
            <w:tcW w:w="1100" w:type="dxa"/>
            <w:vAlign w:val="bottom"/>
            <w:shd w:val="clear" w:color="auto" w:fill="000000"/>
          </w:tcPr>
          <w:p>
            <w:pPr>
              <w:spacing w:after="0"/>
              <w:rPr>
                <w:sz w:val="21"/>
                <w:szCs w:val="21"/>
                <w:color w:val="auto"/>
              </w:rPr>
            </w:pPr>
          </w:p>
        </w:tc>
        <w:tc>
          <w:tcPr>
            <w:tcW w:w="260" w:type="dxa"/>
            <w:vAlign w:val="bottom"/>
            <w:shd w:val="clear" w:color="auto" w:fill="000000"/>
          </w:tcPr>
          <w:p>
            <w:pPr>
              <w:spacing w:after="0"/>
              <w:rPr>
                <w:sz w:val="21"/>
                <w:szCs w:val="21"/>
                <w:color w:val="auto"/>
              </w:rPr>
            </w:pPr>
          </w:p>
        </w:tc>
        <w:tc>
          <w:tcPr>
            <w:tcW w:w="940" w:type="dxa"/>
            <w:vAlign w:val="bottom"/>
            <w:shd w:val="clear" w:color="auto" w:fill="000000"/>
          </w:tcPr>
          <w:p>
            <w:pPr>
              <w:spacing w:after="0"/>
              <w:rPr>
                <w:sz w:val="21"/>
                <w:szCs w:val="21"/>
                <w:color w:val="auto"/>
              </w:rPr>
            </w:pPr>
          </w:p>
        </w:tc>
        <w:tc>
          <w:tcPr>
            <w:tcW w:w="1060" w:type="dxa"/>
            <w:vAlign w:val="bottom"/>
            <w:shd w:val="clear" w:color="auto" w:fill="000000"/>
          </w:tcPr>
          <w:p>
            <w:pPr>
              <w:spacing w:after="0"/>
              <w:rPr>
                <w:sz w:val="21"/>
                <w:szCs w:val="21"/>
                <w:color w:val="auto"/>
              </w:rPr>
            </w:pPr>
          </w:p>
        </w:tc>
        <w:tc>
          <w:tcPr>
            <w:tcW w:w="120" w:type="dxa"/>
            <w:vAlign w:val="bottom"/>
            <w:shd w:val="clear" w:color="auto" w:fill="000000"/>
          </w:tcPr>
          <w:p>
            <w:pPr>
              <w:spacing w:after="0"/>
              <w:rPr>
                <w:sz w:val="21"/>
                <w:szCs w:val="21"/>
                <w:color w:val="auto"/>
              </w:rPr>
            </w:pPr>
          </w:p>
        </w:tc>
        <w:tc>
          <w:tcPr>
            <w:tcW w:w="260" w:type="dxa"/>
            <w:vAlign w:val="bottom"/>
            <w:shd w:val="clear" w:color="auto" w:fill="000000"/>
          </w:tcPr>
          <w:p>
            <w:pPr>
              <w:spacing w:after="0"/>
              <w:rPr>
                <w:sz w:val="21"/>
                <w:szCs w:val="21"/>
                <w:color w:val="auto"/>
              </w:rPr>
            </w:pPr>
          </w:p>
        </w:tc>
        <w:tc>
          <w:tcPr>
            <w:tcW w:w="360" w:type="dxa"/>
            <w:vAlign w:val="bottom"/>
            <w:shd w:val="clear" w:color="auto" w:fill="000000"/>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2380" w:type="dxa"/>
            <w:vAlign w:val="bottom"/>
          </w:tcPr>
          <w:p>
            <w:pPr>
              <w:ind w:left="20"/>
              <w:spacing w:after="0"/>
              <w:rPr>
                <w:sz w:val="20"/>
                <w:szCs w:val="20"/>
                <w:color w:val="auto"/>
              </w:rPr>
            </w:pPr>
            <w:r>
              <w:rPr>
                <w:rFonts w:ascii="Arial" w:cs="Arial" w:eastAsia="Arial" w:hAnsi="Arial"/>
                <w:sz w:val="18"/>
                <w:szCs w:val="18"/>
                <w:color w:val="auto"/>
              </w:rPr>
              <w:t>2003:</w:t>
            </w:r>
          </w:p>
        </w:tc>
        <w:tc>
          <w:tcPr>
            <w:tcW w:w="13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2380" w:type="dxa"/>
            <w:vAlign w:val="bottom"/>
          </w:tcPr>
          <w:p>
            <w:pPr>
              <w:ind w:left="200"/>
              <w:spacing w:after="0"/>
              <w:rPr>
                <w:sz w:val="20"/>
                <w:szCs w:val="20"/>
                <w:color w:val="auto"/>
              </w:rPr>
            </w:pPr>
            <w:r>
              <w:rPr>
                <w:rFonts w:ascii="Arial" w:cs="Arial" w:eastAsia="Arial" w:hAnsi="Arial"/>
                <w:sz w:val="18"/>
                <w:szCs w:val="18"/>
                <w:color w:val="auto"/>
              </w:rPr>
              <w:t>Residential</w:t>
            </w:r>
          </w:p>
        </w:tc>
        <w:tc>
          <w:tcPr>
            <w:tcW w:w="1340" w:type="dxa"/>
            <w:vAlign w:val="bottom"/>
          </w:tcPr>
          <w:p>
            <w:pPr>
              <w:jc w:val="right"/>
              <w:ind w:right="272"/>
              <w:spacing w:after="0"/>
              <w:rPr>
                <w:sz w:val="20"/>
                <w:szCs w:val="20"/>
                <w:color w:val="auto"/>
              </w:rPr>
            </w:pPr>
            <w:r>
              <w:rPr>
                <w:rFonts w:ascii="Arial" w:cs="Arial" w:eastAsia="Arial" w:hAnsi="Arial"/>
                <w:sz w:val="18"/>
                <w:szCs w:val="18"/>
                <w:color w:val="auto"/>
              </w:rPr>
              <w:t>32</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232"/>
              <w:spacing w:after="0"/>
              <w:rPr>
                <w:sz w:val="20"/>
                <w:szCs w:val="20"/>
                <w:color w:val="auto"/>
              </w:rPr>
            </w:pPr>
            <w:r>
              <w:rPr>
                <w:rFonts w:ascii="Arial" w:cs="Arial" w:eastAsia="Arial" w:hAnsi="Arial"/>
                <w:sz w:val="18"/>
                <w:szCs w:val="18"/>
                <w:color w:val="auto"/>
              </w:rPr>
              <w:t>291</w:t>
            </w:r>
          </w:p>
        </w:tc>
        <w:tc>
          <w:tcPr>
            <w:tcW w:w="1100" w:type="dxa"/>
            <w:vAlign w:val="bottom"/>
          </w:tcPr>
          <w:p>
            <w:pPr>
              <w:jc w:val="right"/>
              <w:ind w:right="272"/>
              <w:spacing w:after="0"/>
              <w:rPr>
                <w:sz w:val="20"/>
                <w:szCs w:val="20"/>
                <w:color w:val="auto"/>
              </w:rPr>
            </w:pPr>
            <w:r>
              <w:rPr>
                <w:rFonts w:ascii="Arial" w:cs="Arial" w:eastAsia="Arial" w:hAnsi="Arial"/>
                <w:sz w:val="18"/>
                <w:szCs w:val="18"/>
                <w:color w:val="auto"/>
              </w:rPr>
              <w:t>--</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232"/>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232"/>
              <w:spacing w:after="0"/>
              <w:rPr>
                <w:sz w:val="20"/>
                <w:szCs w:val="20"/>
                <w:color w:val="auto"/>
              </w:rPr>
            </w:pPr>
            <w:r>
              <w:rPr>
                <w:rFonts w:ascii="Arial" w:cs="Arial" w:eastAsia="Arial" w:hAnsi="Arial"/>
                <w:sz w:val="18"/>
                <w:szCs w:val="18"/>
                <w:color w:val="auto"/>
              </w:rPr>
              <w:t>32</w:t>
            </w:r>
          </w:p>
        </w:tc>
        <w:tc>
          <w:tcPr>
            <w:tcW w:w="3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360" w:type="dxa"/>
            <w:vAlign w:val="bottom"/>
          </w:tcPr>
          <w:p>
            <w:pPr>
              <w:jc w:val="right"/>
              <w:spacing w:after="0"/>
              <w:rPr>
                <w:sz w:val="20"/>
                <w:szCs w:val="20"/>
                <w:color w:val="auto"/>
              </w:rPr>
            </w:pPr>
            <w:r>
              <w:rPr>
                <w:rFonts w:ascii="Arial" w:cs="Arial" w:eastAsia="Arial" w:hAnsi="Arial"/>
                <w:sz w:val="18"/>
                <w:szCs w:val="18"/>
                <w:color w:val="auto"/>
              </w:rPr>
              <w:t>291</w:t>
            </w:r>
          </w:p>
        </w:tc>
        <w:tc>
          <w:tcPr>
            <w:tcW w:w="0" w:type="dxa"/>
            <w:vAlign w:val="bottom"/>
          </w:tcPr>
          <w:p>
            <w:pPr>
              <w:spacing w:after="0"/>
              <w:rPr>
                <w:sz w:val="1"/>
                <w:szCs w:val="1"/>
                <w:color w:val="auto"/>
              </w:rPr>
            </w:pPr>
          </w:p>
        </w:tc>
      </w:tr>
      <w:tr>
        <w:trPr>
          <w:trHeight w:val="270"/>
        </w:trPr>
        <w:tc>
          <w:tcPr>
            <w:tcW w:w="2380" w:type="dxa"/>
            <w:vAlign w:val="bottom"/>
          </w:tcPr>
          <w:p>
            <w:pPr>
              <w:ind w:left="200"/>
              <w:spacing w:after="0"/>
              <w:rPr>
                <w:sz w:val="20"/>
                <w:szCs w:val="20"/>
                <w:color w:val="auto"/>
              </w:rPr>
            </w:pPr>
            <w:r>
              <w:rPr>
                <w:rFonts w:ascii="Arial" w:cs="Arial" w:eastAsia="Arial" w:hAnsi="Arial"/>
                <w:sz w:val="18"/>
                <w:szCs w:val="18"/>
                <w:color w:val="auto"/>
              </w:rPr>
              <w:t>Commercial and industrial</w:t>
            </w:r>
          </w:p>
        </w:tc>
        <w:tc>
          <w:tcPr>
            <w:tcW w:w="1340" w:type="dxa"/>
            <w:vAlign w:val="bottom"/>
          </w:tcPr>
          <w:p>
            <w:pPr>
              <w:jc w:val="right"/>
              <w:ind w:right="272"/>
              <w:spacing w:after="0"/>
              <w:rPr>
                <w:sz w:val="20"/>
                <w:szCs w:val="20"/>
                <w:color w:val="auto"/>
              </w:rPr>
            </w:pPr>
            <w:r>
              <w:rPr>
                <w:rFonts w:ascii="Arial" w:cs="Arial" w:eastAsia="Arial" w:hAnsi="Arial"/>
                <w:sz w:val="18"/>
                <w:szCs w:val="18"/>
                <w:color w:val="auto"/>
              </w:rPr>
              <w:t>17</w:t>
            </w:r>
          </w:p>
        </w:tc>
        <w:tc>
          <w:tcPr>
            <w:tcW w:w="220" w:type="dxa"/>
            <w:vAlign w:val="bottom"/>
          </w:tcPr>
          <w:p>
            <w:pPr>
              <w:spacing w:after="0"/>
              <w:rPr>
                <w:sz w:val="23"/>
                <w:szCs w:val="23"/>
                <w:color w:val="auto"/>
              </w:rPr>
            </w:pPr>
          </w:p>
        </w:tc>
        <w:tc>
          <w:tcPr>
            <w:tcW w:w="940" w:type="dxa"/>
            <w:vAlign w:val="bottom"/>
          </w:tcPr>
          <w:p>
            <w:pPr>
              <w:jc w:val="right"/>
              <w:ind w:right="232"/>
              <w:spacing w:after="0"/>
              <w:rPr>
                <w:sz w:val="20"/>
                <w:szCs w:val="20"/>
                <w:color w:val="auto"/>
              </w:rPr>
            </w:pPr>
            <w:r>
              <w:rPr>
                <w:rFonts w:ascii="Arial" w:cs="Arial" w:eastAsia="Arial" w:hAnsi="Arial"/>
                <w:sz w:val="18"/>
                <w:szCs w:val="18"/>
                <w:color w:val="auto"/>
              </w:rPr>
              <w:t>127</w:t>
            </w:r>
          </w:p>
        </w:tc>
        <w:tc>
          <w:tcPr>
            <w:tcW w:w="1100" w:type="dxa"/>
            <w:vAlign w:val="bottom"/>
          </w:tcPr>
          <w:p>
            <w:pPr>
              <w:jc w:val="right"/>
              <w:ind w:right="272"/>
              <w:spacing w:after="0"/>
              <w:rPr>
                <w:sz w:val="20"/>
                <w:szCs w:val="20"/>
                <w:color w:val="auto"/>
              </w:rPr>
            </w:pPr>
            <w:r>
              <w:rPr>
                <w:rFonts w:ascii="Arial" w:cs="Arial" w:eastAsia="Arial" w:hAnsi="Arial"/>
                <w:sz w:val="18"/>
                <w:szCs w:val="18"/>
                <w:color w:val="auto"/>
              </w:rPr>
              <w:t>4</w:t>
            </w:r>
          </w:p>
        </w:tc>
        <w:tc>
          <w:tcPr>
            <w:tcW w:w="260" w:type="dxa"/>
            <w:vAlign w:val="bottom"/>
          </w:tcPr>
          <w:p>
            <w:pPr>
              <w:spacing w:after="0"/>
              <w:rPr>
                <w:sz w:val="23"/>
                <w:szCs w:val="23"/>
                <w:color w:val="auto"/>
              </w:rPr>
            </w:pPr>
          </w:p>
        </w:tc>
        <w:tc>
          <w:tcPr>
            <w:tcW w:w="940" w:type="dxa"/>
            <w:vAlign w:val="bottom"/>
          </w:tcPr>
          <w:p>
            <w:pPr>
              <w:jc w:val="right"/>
              <w:ind w:right="232"/>
              <w:spacing w:after="0"/>
              <w:rPr>
                <w:sz w:val="20"/>
                <w:szCs w:val="20"/>
                <w:color w:val="auto"/>
              </w:rPr>
            </w:pPr>
            <w:r>
              <w:rPr>
                <w:rFonts w:ascii="Arial" w:cs="Arial" w:eastAsia="Arial" w:hAnsi="Arial"/>
                <w:sz w:val="18"/>
                <w:szCs w:val="18"/>
                <w:color w:val="auto"/>
              </w:rPr>
              <w:t>5</w:t>
            </w:r>
          </w:p>
        </w:tc>
        <w:tc>
          <w:tcPr>
            <w:tcW w:w="1060" w:type="dxa"/>
            <w:vAlign w:val="bottom"/>
          </w:tcPr>
          <w:p>
            <w:pPr>
              <w:jc w:val="right"/>
              <w:ind w:right="232"/>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132</w:t>
            </w:r>
          </w:p>
        </w:tc>
        <w:tc>
          <w:tcPr>
            <w:tcW w:w="0" w:type="dxa"/>
            <w:vAlign w:val="bottom"/>
          </w:tcPr>
          <w:p>
            <w:pPr>
              <w:spacing w:after="0"/>
              <w:rPr>
                <w:sz w:val="1"/>
                <w:szCs w:val="1"/>
                <w:color w:val="auto"/>
              </w:rPr>
            </w:pPr>
          </w:p>
        </w:tc>
      </w:tr>
      <w:tr>
        <w:trPr>
          <w:trHeight w:val="278"/>
        </w:trPr>
        <w:tc>
          <w:tcPr>
            <w:tcW w:w="2380" w:type="dxa"/>
            <w:vAlign w:val="bottom"/>
          </w:tcPr>
          <w:p>
            <w:pPr>
              <w:ind w:left="200"/>
              <w:spacing w:after="0"/>
              <w:rPr>
                <w:sz w:val="20"/>
                <w:szCs w:val="20"/>
                <w:color w:val="auto"/>
              </w:rPr>
            </w:pPr>
            <w:r>
              <w:rPr>
                <w:rFonts w:ascii="Arial" w:cs="Arial" w:eastAsia="Arial" w:hAnsi="Arial"/>
                <w:sz w:val="18"/>
                <w:szCs w:val="18"/>
                <w:color w:val="auto"/>
              </w:rPr>
              <w:t>Electric generation plants</w:t>
            </w:r>
          </w:p>
        </w:tc>
        <w:tc>
          <w:tcPr>
            <w:tcW w:w="1340" w:type="dxa"/>
            <w:vAlign w:val="bottom"/>
          </w:tcPr>
          <w:p>
            <w:pPr>
              <w:jc w:val="right"/>
              <w:ind w:right="272"/>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4"/>
                <w:szCs w:val="24"/>
                <w:color w:val="auto"/>
              </w:rPr>
            </w:pPr>
          </w:p>
        </w:tc>
        <w:tc>
          <w:tcPr>
            <w:tcW w:w="940" w:type="dxa"/>
            <w:vAlign w:val="bottom"/>
          </w:tcPr>
          <w:p>
            <w:pPr>
              <w:jc w:val="right"/>
              <w:ind w:right="232"/>
              <w:spacing w:after="0"/>
              <w:rPr>
                <w:sz w:val="20"/>
                <w:szCs w:val="20"/>
                <w:color w:val="auto"/>
              </w:rPr>
            </w:pPr>
            <w:r>
              <w:rPr>
                <w:rFonts w:ascii="Arial" w:cs="Arial" w:eastAsia="Arial" w:hAnsi="Arial"/>
                <w:sz w:val="18"/>
                <w:szCs w:val="18"/>
                <w:color w:val="auto"/>
              </w:rPr>
              <w:t>3</w:t>
            </w:r>
          </w:p>
        </w:tc>
        <w:tc>
          <w:tcPr>
            <w:tcW w:w="1100" w:type="dxa"/>
            <w:vAlign w:val="bottom"/>
          </w:tcPr>
          <w:p>
            <w:pPr>
              <w:jc w:val="right"/>
              <w:ind w:right="272"/>
              <w:spacing w:after="0"/>
              <w:rPr>
                <w:sz w:val="20"/>
                <w:szCs w:val="20"/>
                <w:color w:val="auto"/>
              </w:rPr>
            </w:pPr>
            <w:r>
              <w:rPr>
                <w:rFonts w:ascii="Arial" w:cs="Arial" w:eastAsia="Arial" w:hAnsi="Arial"/>
                <w:sz w:val="18"/>
                <w:szCs w:val="18"/>
                <w:color w:val="auto"/>
              </w:rPr>
              <w:t>62</w:t>
            </w:r>
          </w:p>
        </w:tc>
        <w:tc>
          <w:tcPr>
            <w:tcW w:w="260" w:type="dxa"/>
            <w:vAlign w:val="bottom"/>
          </w:tcPr>
          <w:p>
            <w:pPr>
              <w:spacing w:after="0"/>
              <w:rPr>
                <w:sz w:val="24"/>
                <w:szCs w:val="24"/>
                <w:color w:val="auto"/>
              </w:rPr>
            </w:pPr>
          </w:p>
        </w:tc>
        <w:tc>
          <w:tcPr>
            <w:tcW w:w="940" w:type="dxa"/>
            <w:vAlign w:val="bottom"/>
          </w:tcPr>
          <w:p>
            <w:pPr>
              <w:jc w:val="right"/>
              <w:ind w:right="232"/>
              <w:spacing w:after="0"/>
              <w:rPr>
                <w:sz w:val="20"/>
                <w:szCs w:val="20"/>
                <w:color w:val="auto"/>
              </w:rPr>
            </w:pPr>
            <w:r>
              <w:rPr>
                <w:rFonts w:ascii="Arial" w:cs="Arial" w:eastAsia="Arial" w:hAnsi="Arial"/>
                <w:sz w:val="18"/>
                <w:szCs w:val="18"/>
                <w:color w:val="auto"/>
              </w:rPr>
              <w:t>30</w:t>
            </w:r>
          </w:p>
        </w:tc>
        <w:tc>
          <w:tcPr>
            <w:tcW w:w="1060" w:type="dxa"/>
            <w:vAlign w:val="bottom"/>
          </w:tcPr>
          <w:p>
            <w:pPr>
              <w:jc w:val="right"/>
              <w:ind w:right="232"/>
              <w:spacing w:after="0"/>
              <w:rPr>
                <w:sz w:val="20"/>
                <w:szCs w:val="20"/>
                <w:color w:val="auto"/>
              </w:rPr>
            </w:pPr>
            <w:r>
              <w:rPr>
                <w:rFonts w:ascii="Arial" w:cs="Arial" w:eastAsia="Arial" w:hAnsi="Arial"/>
                <w:sz w:val="18"/>
                <w:szCs w:val="18"/>
                <w:color w:val="auto"/>
              </w:rPr>
              <w:t>62</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51"/>
        </w:trPr>
        <w:tc>
          <w:tcPr>
            <w:tcW w:w="2380" w:type="dxa"/>
            <w:vAlign w:val="bottom"/>
          </w:tcPr>
          <w:p>
            <w:pPr>
              <w:spacing w:after="0"/>
              <w:rPr>
                <w:sz w:val="21"/>
                <w:szCs w:val="21"/>
                <w:color w:val="auto"/>
              </w:rPr>
            </w:pPr>
          </w:p>
        </w:tc>
        <w:tc>
          <w:tcPr>
            <w:tcW w:w="1340" w:type="dxa"/>
            <w:vAlign w:val="bottom"/>
            <w:shd w:val="clear" w:color="auto" w:fill="000000"/>
          </w:tcPr>
          <w:p>
            <w:pPr>
              <w:spacing w:after="0"/>
              <w:rPr>
                <w:sz w:val="21"/>
                <w:szCs w:val="21"/>
                <w:color w:val="auto"/>
              </w:rPr>
            </w:pPr>
          </w:p>
        </w:tc>
        <w:tc>
          <w:tcPr>
            <w:tcW w:w="220" w:type="dxa"/>
            <w:vAlign w:val="bottom"/>
            <w:shd w:val="clear" w:color="auto" w:fill="000000"/>
          </w:tcPr>
          <w:p>
            <w:pPr>
              <w:spacing w:after="0"/>
              <w:rPr>
                <w:sz w:val="21"/>
                <w:szCs w:val="21"/>
                <w:color w:val="auto"/>
              </w:rPr>
            </w:pPr>
          </w:p>
        </w:tc>
        <w:tc>
          <w:tcPr>
            <w:tcW w:w="940" w:type="dxa"/>
            <w:vAlign w:val="bottom"/>
            <w:shd w:val="clear" w:color="auto" w:fill="000000"/>
          </w:tcPr>
          <w:p>
            <w:pPr>
              <w:spacing w:after="0"/>
              <w:rPr>
                <w:sz w:val="21"/>
                <w:szCs w:val="21"/>
                <w:color w:val="auto"/>
              </w:rPr>
            </w:pPr>
          </w:p>
        </w:tc>
        <w:tc>
          <w:tcPr>
            <w:tcW w:w="1100" w:type="dxa"/>
            <w:vAlign w:val="bottom"/>
            <w:shd w:val="clear" w:color="auto" w:fill="000000"/>
          </w:tcPr>
          <w:p>
            <w:pPr>
              <w:spacing w:after="0"/>
              <w:rPr>
                <w:sz w:val="21"/>
                <w:szCs w:val="21"/>
                <w:color w:val="auto"/>
              </w:rPr>
            </w:pPr>
          </w:p>
        </w:tc>
        <w:tc>
          <w:tcPr>
            <w:tcW w:w="260" w:type="dxa"/>
            <w:vAlign w:val="bottom"/>
            <w:shd w:val="clear" w:color="auto" w:fill="000000"/>
          </w:tcPr>
          <w:p>
            <w:pPr>
              <w:spacing w:after="0"/>
              <w:rPr>
                <w:sz w:val="21"/>
                <w:szCs w:val="21"/>
                <w:color w:val="auto"/>
              </w:rPr>
            </w:pPr>
          </w:p>
        </w:tc>
        <w:tc>
          <w:tcPr>
            <w:tcW w:w="940" w:type="dxa"/>
            <w:vAlign w:val="bottom"/>
            <w:shd w:val="clear" w:color="auto" w:fill="000000"/>
          </w:tcPr>
          <w:p>
            <w:pPr>
              <w:spacing w:after="0"/>
              <w:rPr>
                <w:sz w:val="21"/>
                <w:szCs w:val="21"/>
                <w:color w:val="auto"/>
              </w:rPr>
            </w:pPr>
          </w:p>
        </w:tc>
        <w:tc>
          <w:tcPr>
            <w:tcW w:w="1060" w:type="dxa"/>
            <w:vAlign w:val="bottom"/>
            <w:shd w:val="clear" w:color="auto" w:fill="000000"/>
          </w:tcPr>
          <w:p>
            <w:pPr>
              <w:spacing w:after="0"/>
              <w:rPr>
                <w:sz w:val="21"/>
                <w:szCs w:val="21"/>
                <w:color w:val="auto"/>
              </w:rPr>
            </w:pPr>
          </w:p>
        </w:tc>
        <w:tc>
          <w:tcPr>
            <w:tcW w:w="120" w:type="dxa"/>
            <w:vAlign w:val="bottom"/>
            <w:shd w:val="clear" w:color="auto" w:fill="000000"/>
          </w:tcPr>
          <w:p>
            <w:pPr>
              <w:spacing w:after="0"/>
              <w:rPr>
                <w:sz w:val="21"/>
                <w:szCs w:val="21"/>
                <w:color w:val="auto"/>
              </w:rPr>
            </w:pPr>
          </w:p>
        </w:tc>
        <w:tc>
          <w:tcPr>
            <w:tcW w:w="260" w:type="dxa"/>
            <w:vAlign w:val="bottom"/>
            <w:shd w:val="clear" w:color="auto" w:fill="000000"/>
          </w:tcPr>
          <w:p>
            <w:pPr>
              <w:spacing w:after="0"/>
              <w:rPr>
                <w:sz w:val="21"/>
                <w:szCs w:val="21"/>
                <w:color w:val="auto"/>
              </w:rPr>
            </w:pPr>
          </w:p>
        </w:tc>
        <w:tc>
          <w:tcPr>
            <w:tcW w:w="360" w:type="dxa"/>
            <w:vAlign w:val="bottom"/>
            <w:shd w:val="clear" w:color="auto" w:fill="000000"/>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2380" w:type="dxa"/>
            <w:vAlign w:val="bottom"/>
          </w:tcPr>
          <w:p>
            <w:pPr>
              <w:spacing w:after="0"/>
              <w:rPr>
                <w:sz w:val="22"/>
                <w:szCs w:val="22"/>
                <w:color w:val="auto"/>
              </w:rPr>
            </w:pPr>
          </w:p>
        </w:tc>
        <w:tc>
          <w:tcPr>
            <w:tcW w:w="1340" w:type="dxa"/>
            <w:vAlign w:val="bottom"/>
          </w:tcPr>
          <w:p>
            <w:pPr>
              <w:jc w:val="right"/>
              <w:ind w:right="272"/>
              <w:spacing w:after="0"/>
              <w:rPr>
                <w:sz w:val="20"/>
                <w:szCs w:val="20"/>
                <w:color w:val="auto"/>
              </w:rPr>
            </w:pPr>
            <w:r>
              <w:rPr>
                <w:rFonts w:ascii="Arial" w:cs="Arial" w:eastAsia="Arial" w:hAnsi="Arial"/>
                <w:sz w:val="18"/>
                <w:szCs w:val="18"/>
                <w:color w:val="auto"/>
              </w:rPr>
              <w:t>49</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232"/>
              <w:spacing w:after="0"/>
              <w:rPr>
                <w:sz w:val="20"/>
                <w:szCs w:val="20"/>
                <w:color w:val="auto"/>
              </w:rPr>
            </w:pPr>
            <w:r>
              <w:rPr>
                <w:rFonts w:ascii="Arial" w:cs="Arial" w:eastAsia="Arial" w:hAnsi="Arial"/>
                <w:sz w:val="18"/>
                <w:szCs w:val="18"/>
                <w:color w:val="auto"/>
              </w:rPr>
              <w:t>421</w:t>
            </w:r>
          </w:p>
        </w:tc>
        <w:tc>
          <w:tcPr>
            <w:tcW w:w="1100" w:type="dxa"/>
            <w:vAlign w:val="bottom"/>
          </w:tcPr>
          <w:p>
            <w:pPr>
              <w:jc w:val="right"/>
              <w:ind w:right="272"/>
              <w:spacing w:after="0"/>
              <w:rPr>
                <w:sz w:val="20"/>
                <w:szCs w:val="20"/>
                <w:color w:val="auto"/>
              </w:rPr>
            </w:pPr>
            <w:r>
              <w:rPr>
                <w:rFonts w:ascii="Arial" w:cs="Arial" w:eastAsia="Arial" w:hAnsi="Arial"/>
                <w:sz w:val="18"/>
                <w:szCs w:val="18"/>
                <w:color w:val="auto"/>
              </w:rPr>
              <w:t>66</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232"/>
              <w:spacing w:after="0"/>
              <w:rPr>
                <w:sz w:val="20"/>
                <w:szCs w:val="20"/>
                <w:color w:val="auto"/>
              </w:rPr>
            </w:pPr>
            <w:r>
              <w:rPr>
                <w:rFonts w:ascii="Arial" w:cs="Arial" w:eastAsia="Arial" w:hAnsi="Arial"/>
                <w:sz w:val="18"/>
                <w:szCs w:val="18"/>
                <w:color w:val="auto"/>
              </w:rPr>
              <w:t>35</w:t>
            </w:r>
          </w:p>
        </w:tc>
        <w:tc>
          <w:tcPr>
            <w:tcW w:w="1060" w:type="dxa"/>
            <w:vAlign w:val="bottom"/>
          </w:tcPr>
          <w:p>
            <w:pPr>
              <w:jc w:val="right"/>
              <w:ind w:right="232"/>
              <w:spacing w:after="0"/>
              <w:rPr>
                <w:sz w:val="20"/>
                <w:szCs w:val="20"/>
                <w:color w:val="auto"/>
              </w:rPr>
            </w:pPr>
            <w:r>
              <w:rPr>
                <w:rFonts w:ascii="Arial" w:cs="Arial" w:eastAsia="Arial" w:hAnsi="Arial"/>
                <w:sz w:val="18"/>
                <w:szCs w:val="18"/>
                <w:color w:val="auto"/>
              </w:rPr>
              <w:t>115</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456</w:t>
            </w:r>
          </w:p>
        </w:tc>
        <w:tc>
          <w:tcPr>
            <w:tcW w:w="0" w:type="dxa"/>
            <w:vAlign w:val="bottom"/>
          </w:tcPr>
          <w:p>
            <w:pPr>
              <w:spacing w:after="0"/>
              <w:rPr>
                <w:sz w:val="1"/>
                <w:szCs w:val="1"/>
                <w:color w:val="auto"/>
              </w:rPr>
            </w:pPr>
          </w:p>
        </w:tc>
      </w:tr>
      <w:tr>
        <w:trPr>
          <w:trHeight w:val="278"/>
        </w:trPr>
        <w:tc>
          <w:tcPr>
            <w:tcW w:w="2380" w:type="dxa"/>
            <w:vAlign w:val="bottom"/>
          </w:tcPr>
          <w:p>
            <w:pPr>
              <w:ind w:left="200"/>
              <w:spacing w:after="0"/>
              <w:rPr>
                <w:sz w:val="20"/>
                <w:szCs w:val="20"/>
                <w:color w:val="auto"/>
              </w:rPr>
            </w:pPr>
            <w:r>
              <w:rPr>
                <w:rFonts w:ascii="Arial" w:cs="Arial" w:eastAsia="Arial" w:hAnsi="Arial"/>
                <w:sz w:val="18"/>
                <w:szCs w:val="18"/>
                <w:color w:val="auto"/>
                <w:w w:val="91"/>
              </w:rPr>
              <w:t>Balancing accounts and other</w:t>
            </w:r>
          </w:p>
        </w:tc>
        <w:tc>
          <w:tcPr>
            <w:tcW w:w="1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51"/>
        </w:trPr>
        <w:tc>
          <w:tcPr>
            <w:tcW w:w="238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shd w:val="clear" w:color="auto" w:fill="000000"/>
          </w:tcPr>
          <w:p>
            <w:pPr>
              <w:spacing w:after="0"/>
              <w:rPr>
                <w:sz w:val="21"/>
                <w:szCs w:val="21"/>
                <w:color w:val="auto"/>
              </w:rPr>
            </w:pPr>
          </w:p>
        </w:tc>
        <w:tc>
          <w:tcPr>
            <w:tcW w:w="360" w:type="dxa"/>
            <w:vAlign w:val="bottom"/>
            <w:shd w:val="clear" w:color="auto" w:fill="000000"/>
          </w:tcPr>
          <w:p>
            <w:pPr>
              <w:spacing w:after="0"/>
              <w:rPr>
                <w:sz w:val="21"/>
                <w:szCs w:val="21"/>
                <w:color w:val="auto"/>
              </w:rPr>
            </w:pPr>
          </w:p>
        </w:tc>
        <w:tc>
          <w:tcPr>
            <w:tcW w:w="0" w:type="dxa"/>
            <w:vAlign w:val="bottom"/>
          </w:tcPr>
          <w:p>
            <w:pPr>
              <w:spacing w:after="0"/>
              <w:rPr>
                <w:sz w:val="1"/>
                <w:szCs w:val="1"/>
                <w:color w:val="auto"/>
              </w:rPr>
            </w:pPr>
          </w:p>
        </w:tc>
      </w:tr>
      <w:tr>
        <w:trPr>
          <w:trHeight w:val="262"/>
        </w:trPr>
        <w:tc>
          <w:tcPr>
            <w:tcW w:w="2380" w:type="dxa"/>
            <w:vAlign w:val="bottom"/>
          </w:tcPr>
          <w:p>
            <w:pPr>
              <w:ind w:left="400"/>
              <w:spacing w:after="0"/>
              <w:rPr>
                <w:sz w:val="20"/>
                <w:szCs w:val="20"/>
                <w:color w:val="auto"/>
              </w:rPr>
            </w:pPr>
            <w:r>
              <w:rPr>
                <w:rFonts w:ascii="Arial" w:cs="Arial" w:eastAsia="Arial" w:hAnsi="Arial"/>
                <w:sz w:val="18"/>
                <w:szCs w:val="18"/>
                <w:color w:val="auto"/>
              </w:rPr>
              <w:t>Total</w:t>
            </w:r>
          </w:p>
        </w:tc>
        <w:tc>
          <w:tcPr>
            <w:tcW w:w="13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3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360" w:type="dxa"/>
            <w:vAlign w:val="bottom"/>
          </w:tcPr>
          <w:p>
            <w:pPr>
              <w:jc w:val="right"/>
              <w:spacing w:after="0"/>
              <w:rPr>
                <w:sz w:val="20"/>
                <w:szCs w:val="20"/>
                <w:color w:val="auto"/>
              </w:rPr>
            </w:pPr>
            <w:r>
              <w:rPr>
                <w:rFonts w:ascii="Arial" w:cs="Arial" w:eastAsia="Arial" w:hAnsi="Arial"/>
                <w:sz w:val="18"/>
                <w:szCs w:val="18"/>
                <w:color w:val="auto"/>
              </w:rPr>
              <w:t>507</w:t>
            </w:r>
          </w:p>
        </w:tc>
        <w:tc>
          <w:tcPr>
            <w:tcW w:w="0" w:type="dxa"/>
            <w:vAlign w:val="bottom"/>
          </w:tcPr>
          <w:p>
            <w:pPr>
              <w:spacing w:after="0"/>
              <w:rPr>
                <w:sz w:val="1"/>
                <w:szCs w:val="1"/>
                <w:color w:val="auto"/>
              </w:rPr>
            </w:pPr>
          </w:p>
        </w:tc>
      </w:tr>
      <w:tr>
        <w:trPr>
          <w:trHeight w:val="251"/>
        </w:trPr>
        <w:tc>
          <w:tcPr>
            <w:tcW w:w="2380" w:type="dxa"/>
            <w:vAlign w:val="bottom"/>
            <w:shd w:val="clear" w:color="auto" w:fill="000000"/>
          </w:tcPr>
          <w:p>
            <w:pPr>
              <w:spacing w:after="0"/>
              <w:rPr>
                <w:sz w:val="21"/>
                <w:szCs w:val="21"/>
                <w:color w:val="auto"/>
              </w:rPr>
            </w:pPr>
          </w:p>
        </w:tc>
        <w:tc>
          <w:tcPr>
            <w:tcW w:w="1340" w:type="dxa"/>
            <w:vAlign w:val="bottom"/>
            <w:shd w:val="clear" w:color="auto" w:fill="000000"/>
          </w:tcPr>
          <w:p>
            <w:pPr>
              <w:spacing w:after="0"/>
              <w:rPr>
                <w:sz w:val="21"/>
                <w:szCs w:val="21"/>
                <w:color w:val="auto"/>
              </w:rPr>
            </w:pPr>
          </w:p>
        </w:tc>
        <w:tc>
          <w:tcPr>
            <w:tcW w:w="220" w:type="dxa"/>
            <w:vAlign w:val="bottom"/>
            <w:shd w:val="clear" w:color="auto" w:fill="000000"/>
          </w:tcPr>
          <w:p>
            <w:pPr>
              <w:spacing w:after="0"/>
              <w:rPr>
                <w:sz w:val="21"/>
                <w:szCs w:val="21"/>
                <w:color w:val="auto"/>
              </w:rPr>
            </w:pPr>
          </w:p>
        </w:tc>
        <w:tc>
          <w:tcPr>
            <w:tcW w:w="940" w:type="dxa"/>
            <w:vAlign w:val="bottom"/>
            <w:shd w:val="clear" w:color="auto" w:fill="000000"/>
          </w:tcPr>
          <w:p>
            <w:pPr>
              <w:spacing w:after="0"/>
              <w:rPr>
                <w:sz w:val="21"/>
                <w:szCs w:val="21"/>
                <w:color w:val="auto"/>
              </w:rPr>
            </w:pPr>
          </w:p>
        </w:tc>
        <w:tc>
          <w:tcPr>
            <w:tcW w:w="1100" w:type="dxa"/>
            <w:vAlign w:val="bottom"/>
            <w:shd w:val="clear" w:color="auto" w:fill="000000"/>
          </w:tcPr>
          <w:p>
            <w:pPr>
              <w:spacing w:after="0"/>
              <w:rPr>
                <w:sz w:val="21"/>
                <w:szCs w:val="21"/>
                <w:color w:val="auto"/>
              </w:rPr>
            </w:pPr>
          </w:p>
        </w:tc>
        <w:tc>
          <w:tcPr>
            <w:tcW w:w="260" w:type="dxa"/>
            <w:vAlign w:val="bottom"/>
            <w:shd w:val="clear" w:color="auto" w:fill="000000"/>
          </w:tcPr>
          <w:p>
            <w:pPr>
              <w:spacing w:after="0"/>
              <w:rPr>
                <w:sz w:val="21"/>
                <w:szCs w:val="21"/>
                <w:color w:val="auto"/>
              </w:rPr>
            </w:pPr>
          </w:p>
        </w:tc>
        <w:tc>
          <w:tcPr>
            <w:tcW w:w="940" w:type="dxa"/>
            <w:vAlign w:val="bottom"/>
            <w:shd w:val="clear" w:color="auto" w:fill="000000"/>
          </w:tcPr>
          <w:p>
            <w:pPr>
              <w:spacing w:after="0"/>
              <w:rPr>
                <w:sz w:val="21"/>
                <w:szCs w:val="21"/>
                <w:color w:val="auto"/>
              </w:rPr>
            </w:pPr>
          </w:p>
        </w:tc>
        <w:tc>
          <w:tcPr>
            <w:tcW w:w="1060" w:type="dxa"/>
            <w:vAlign w:val="bottom"/>
            <w:shd w:val="clear" w:color="auto" w:fill="000000"/>
          </w:tcPr>
          <w:p>
            <w:pPr>
              <w:spacing w:after="0"/>
              <w:rPr>
                <w:sz w:val="21"/>
                <w:szCs w:val="21"/>
                <w:color w:val="auto"/>
              </w:rPr>
            </w:pPr>
          </w:p>
        </w:tc>
        <w:tc>
          <w:tcPr>
            <w:tcW w:w="120" w:type="dxa"/>
            <w:vAlign w:val="bottom"/>
            <w:shd w:val="clear" w:color="auto" w:fill="000000"/>
          </w:tcPr>
          <w:p>
            <w:pPr>
              <w:spacing w:after="0"/>
              <w:rPr>
                <w:sz w:val="21"/>
                <w:szCs w:val="21"/>
                <w:color w:val="auto"/>
              </w:rPr>
            </w:pPr>
          </w:p>
        </w:tc>
        <w:tc>
          <w:tcPr>
            <w:tcW w:w="260" w:type="dxa"/>
            <w:vAlign w:val="bottom"/>
            <w:shd w:val="clear" w:color="auto" w:fill="000000"/>
          </w:tcPr>
          <w:p>
            <w:pPr>
              <w:spacing w:after="0"/>
              <w:rPr>
                <w:sz w:val="21"/>
                <w:szCs w:val="21"/>
                <w:color w:val="auto"/>
              </w:rPr>
            </w:pPr>
          </w:p>
        </w:tc>
        <w:tc>
          <w:tcPr>
            <w:tcW w:w="360" w:type="dxa"/>
            <w:vAlign w:val="bottom"/>
            <w:shd w:val="clear" w:color="auto" w:fill="000000"/>
          </w:tcPr>
          <w:p>
            <w:pPr>
              <w:spacing w:after="0"/>
              <w:rPr>
                <w:sz w:val="21"/>
                <w:szCs w:val="2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line="297" w:lineRule="auto"/>
        <w:rPr>
          <w:sz w:val="20"/>
          <w:szCs w:val="20"/>
          <w:color w:val="auto"/>
        </w:rPr>
      </w:pPr>
      <w:r>
        <w:rPr>
          <w:rFonts w:ascii="Arial" w:cs="Arial" w:eastAsia="Arial" w:hAnsi="Arial"/>
          <w:sz w:val="19"/>
          <w:szCs w:val="19"/>
          <w:b w:val="1"/>
          <w:bCs w:val="1"/>
          <w:i w:val="1"/>
          <w:iCs w:val="1"/>
          <w:color w:val="auto"/>
        </w:rPr>
        <w:t xml:space="preserve">Litigation Expenses. </w:t>
      </w:r>
      <w:r>
        <w:rPr>
          <w:rFonts w:ascii="Arial" w:cs="Arial" w:eastAsia="Arial" w:hAnsi="Arial"/>
          <w:sz w:val="19"/>
          <w:szCs w:val="19"/>
          <w:color w:val="auto"/>
        </w:rPr>
        <w:t>Litigation expenses were $52 million, $19 million and $17 million for 2005, 2004 and 2003, respectively. The</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increase in 2005 was primarily due to an increase in litigation reserves related to matters arising from the 2000 - 2001 California energy crisis. Note 11 of the notes to Consolidated Financial Statements provides additional information concerning this matter.</w:t>
      </w:r>
    </w:p>
    <w:p>
      <w:pPr>
        <w:spacing w:after="0" w:line="134" w:lineRule="exact"/>
        <w:rPr>
          <w:sz w:val="20"/>
          <w:szCs w:val="20"/>
          <w:color w:val="auto"/>
        </w:rPr>
      </w:pPr>
    </w:p>
    <w:p>
      <w:pPr>
        <w:ind w:right="180"/>
        <w:spacing w:after="0" w:line="248" w:lineRule="auto"/>
        <w:rPr>
          <w:sz w:val="20"/>
          <w:szCs w:val="20"/>
          <w:color w:val="auto"/>
        </w:rPr>
      </w:pPr>
      <w:r>
        <w:rPr>
          <w:rFonts w:ascii="Arial" w:cs="Arial" w:eastAsia="Arial" w:hAnsi="Arial"/>
          <w:sz w:val="21"/>
          <w:szCs w:val="21"/>
          <w:b w:val="1"/>
          <w:bCs w:val="1"/>
          <w:i w:val="1"/>
          <w:iCs w:val="1"/>
          <w:color w:val="auto"/>
        </w:rPr>
        <w:t xml:space="preserve">Other Operating Expenses. </w:t>
      </w:r>
      <w:r>
        <w:rPr>
          <w:rFonts w:ascii="Arial" w:cs="Arial" w:eastAsia="Arial" w:hAnsi="Arial"/>
          <w:sz w:val="21"/>
          <w:szCs w:val="21"/>
          <w:color w:val="auto"/>
        </w:rPr>
        <w:t>Other operating expenses were $603 million, $574 million and $611 million in 2005, 2004 and 2003,</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respectively. The increase in 2005 was due to $37 million of higher recoverable expenses, $34 million of favorable resolution of regulatory matters in 2004 and increases in various other operational costs, offset by the $42 million net effect related to the 2005 recovery of line losses and grid management charges arising from the favorable settlement with the Independent System Operator (ISO, an independent operator of California's wholesale transmission grid). The decrease in 2004 from 2003 was due primarily to the favorable resolution of regulatory matters.</w:t>
      </w:r>
    </w:p>
    <w:p>
      <w:pPr>
        <w:spacing w:after="0" w:line="171" w:lineRule="exact"/>
        <w:rPr>
          <w:sz w:val="20"/>
          <w:szCs w:val="20"/>
          <w:color w:val="auto"/>
        </w:rPr>
      </w:pPr>
    </w:p>
    <w:p>
      <w:pPr>
        <w:ind w:right="220"/>
        <w:spacing w:after="0" w:line="280" w:lineRule="auto"/>
        <w:rPr>
          <w:sz w:val="20"/>
          <w:szCs w:val="20"/>
          <w:color w:val="auto"/>
        </w:rPr>
      </w:pPr>
      <w:r>
        <w:rPr>
          <w:rFonts w:ascii="Arial" w:cs="Arial" w:eastAsia="Arial" w:hAnsi="Arial"/>
          <w:sz w:val="19"/>
          <w:szCs w:val="19"/>
          <w:b w:val="1"/>
          <w:bCs w:val="1"/>
          <w:i w:val="1"/>
          <w:iCs w:val="1"/>
          <w:color w:val="auto"/>
        </w:rPr>
        <w:t>Other Income, Net</w:t>
      </w:r>
      <w:r>
        <w:rPr>
          <w:rFonts w:ascii="Arial" w:cs="Arial" w:eastAsia="Arial" w:hAnsi="Arial"/>
          <w:sz w:val="19"/>
          <w:szCs w:val="19"/>
          <w:b w:val="1"/>
          <w:bCs w:val="1"/>
          <w:color w:val="auto"/>
        </w:rPr>
        <w:t>.</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Other income, net, as discussed further in Note 1 of the notes to Consolidated Financial Statements, consists</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primarily of interest income from short-term investments, income taxes on non-operating income, interest income/expense from regulatory balancing accounts and allowance for equity funds used during construction. Excluding the impact of income taxes on non-operating income, other income was $37 million, $36 million and $46 million in 2005, 2004 and 2003, respectively. The decrease in 2004 from 2003 was due to higher interest income in 2003 resulting from the favorable $37 million before-tax resolution of income-tax issues with the IRS, offset by a lesser amount of interest earned on income tax receivables during 2004.</w:t>
      </w:r>
    </w:p>
    <w:p>
      <w:pPr>
        <w:spacing w:after="0" w:line="151" w:lineRule="exact"/>
        <w:rPr>
          <w:sz w:val="20"/>
          <w:szCs w:val="20"/>
          <w:color w:val="auto"/>
        </w:rPr>
      </w:pPr>
    </w:p>
    <w:p>
      <w:pPr>
        <w:ind w:right="20"/>
        <w:spacing w:after="0" w:line="234" w:lineRule="auto"/>
        <w:rPr>
          <w:sz w:val="20"/>
          <w:szCs w:val="20"/>
          <w:color w:val="auto"/>
        </w:rPr>
      </w:pPr>
      <w:r>
        <w:rPr>
          <w:rFonts w:ascii="Arial" w:cs="Arial" w:eastAsia="Arial" w:hAnsi="Arial"/>
          <w:sz w:val="22"/>
          <w:szCs w:val="22"/>
          <w:b w:val="1"/>
          <w:bCs w:val="1"/>
          <w:i w:val="1"/>
          <w:iCs w:val="1"/>
          <w:color w:val="auto"/>
        </w:rPr>
        <w:t xml:space="preserve">Income Taxes. </w:t>
      </w:r>
      <w:r>
        <w:rPr>
          <w:rFonts w:ascii="Arial" w:cs="Arial" w:eastAsia="Arial" w:hAnsi="Arial"/>
          <w:sz w:val="22"/>
          <w:szCs w:val="22"/>
          <w:color w:val="auto"/>
        </w:rPr>
        <w:t>Income tax expense was $89 million for 2005 and $148 million for each of 2004 and 2003. The corresponding</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effective income tax rates were 25 percent, 41 percent and 30 percent. The decrease in 2005 expense was due to the lower effective tax rate. The decrease in the effective rate was due primarily to a $60 million favorable resolution of prior years' income tax issues in 2005, compared to $12 million in 2004. The higher effective income tax rate in 2004 compared to 2003 was due primarily to the comparatively low rate in 2003 resulting from the $57 million favorable resolution of income-tax issues. In addition, income before taxes in 2003 included $37 million in interest income arising from the income tax settlement, resulting in an offsetting $15 million income tax expense.</w:t>
      </w:r>
    </w:p>
    <w:p>
      <w:pPr>
        <w:spacing w:after="0" w:line="191" w:lineRule="exact"/>
        <w:rPr>
          <w:sz w:val="20"/>
          <w:szCs w:val="20"/>
          <w:color w:val="auto"/>
        </w:rPr>
      </w:pPr>
    </w:p>
    <w:p>
      <w:pPr>
        <w:ind w:right="260"/>
        <w:spacing w:after="0" w:line="328" w:lineRule="auto"/>
        <w:rPr>
          <w:sz w:val="20"/>
          <w:szCs w:val="20"/>
          <w:color w:val="auto"/>
        </w:rPr>
      </w:pPr>
      <w:r>
        <w:rPr>
          <w:rFonts w:ascii="Arial" w:cs="Arial" w:eastAsia="Arial" w:hAnsi="Arial"/>
          <w:sz w:val="19"/>
          <w:szCs w:val="19"/>
          <w:b w:val="1"/>
          <w:bCs w:val="1"/>
          <w:i w:val="1"/>
          <w:iCs w:val="1"/>
          <w:color w:val="auto"/>
        </w:rPr>
        <w:t xml:space="preserve">Net Income. </w:t>
      </w:r>
      <w:r>
        <w:rPr>
          <w:rFonts w:ascii="Arial" w:cs="Arial" w:eastAsia="Arial" w:hAnsi="Arial"/>
          <w:sz w:val="19"/>
          <w:szCs w:val="19"/>
          <w:color w:val="auto"/>
        </w:rPr>
        <w:t>SDG&amp;E recorded net income of $267 million, $213 million and $340 million in 2005, 2004 and 2003, respectively.</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The increase in 2005 was due primarily to the regulatory resolution of the recovery of line losses and grid management charges</w:t>
      </w:r>
    </w:p>
    <w:p>
      <w:pPr>
        <w:sectPr>
          <w:pgSz w:w="11900" w:h="16973" w:orient="portrait"/>
          <w:cols w:equalWidth="0" w:num="1">
            <w:col w:w="11400"/>
          </w:cols>
          <w:pgMar w:left="240" w:top="76" w:right="259" w:bottom="0" w:gutter="0" w:footer="0" w:header="0"/>
        </w:sectPr>
      </w:pPr>
    </w:p>
    <w:bookmarkStart w:id="15" w:name="page16"/>
    <w:bookmarkEnd w:id="15"/>
    <w:p>
      <w:pPr>
        <w:ind w:right="60"/>
        <w:spacing w:after="0" w:line="244" w:lineRule="auto"/>
        <w:rPr>
          <w:sz w:val="20"/>
          <w:szCs w:val="20"/>
          <w:color w:val="auto"/>
        </w:rPr>
      </w:pPr>
      <w:r>
        <w:rPr>
          <w:rFonts w:ascii="Arial" w:cs="Arial" w:eastAsia="Arial" w:hAnsi="Arial"/>
          <w:sz w:val="21"/>
          <w:szCs w:val="21"/>
          <w:color w:val="auto"/>
        </w:rPr>
        <w:t>arising from the favorable after-tax settlement of $23 million with the ISO (as discussed further in Note 10 of the notes to Consolidated Financial Statements), the recognition of DSM awards of $22 million after-tax, favorable resolution of income tax issues of $60 million, and the $23 million recovery of costs associated with the 2005 IRS decision relating to the sale of the South Bay power plant, offset by a $17 million increase in after-tax California energy crisis litigation expenses, the favorable after-tax impact of $21 million from the resolution of the 2004 Cost of Service proceeding, and $19 million from lower after-tax electric transmission and distribution margin and higher operational costs in 2005. In addition to the 2004 matte rs noted above, the decrease in 2004 from 2003 was primarily due to the favorable resolution of income tax issues in 2003, which positively affected 2003 earnings by $79 million, income of $65 million after-tax in 2003 related to the approved settlement of intermediate-term power purchase contracts that SDG&amp;E had entered into during the early stages of California's electric utility industry restructuring; the 2003 Incremental Cost Incentive Pricing income (as discussed further in Note 9 of the notes to Consolidated Financial Statements) for SONGS ($53 million after-tax) and higher performance awards in 2003, offset by higher electric transmission and distribution margin in 2004.</w:t>
      </w:r>
    </w:p>
    <w:p>
      <w:pPr>
        <w:spacing w:after="0" w:line="18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CAPITAL RESOURCES AND LIQUIDITY</w:t>
      </w:r>
    </w:p>
    <w:p>
      <w:pPr>
        <w:spacing w:after="0" w:line="212" w:lineRule="exact"/>
        <w:rPr>
          <w:sz w:val="20"/>
          <w:szCs w:val="20"/>
          <w:color w:val="auto"/>
        </w:rPr>
      </w:pPr>
    </w:p>
    <w:p>
      <w:pPr>
        <w:ind w:right="60"/>
        <w:spacing w:after="0" w:line="328" w:lineRule="auto"/>
        <w:rPr>
          <w:sz w:val="20"/>
          <w:szCs w:val="20"/>
          <w:color w:val="auto"/>
        </w:rPr>
      </w:pPr>
      <w:r>
        <w:rPr>
          <w:rFonts w:ascii="Arial" w:cs="Arial" w:eastAsia="Arial" w:hAnsi="Arial"/>
          <w:sz w:val="19"/>
          <w:szCs w:val="19"/>
          <w:color w:val="auto"/>
        </w:rPr>
        <w:t>The company's utility operations generally are the major source of liquidity. In addition, working capital requirements can be met through the issuance of short-term and long-term debt. Cash requirements primarily consist of capital expenditures for utility plant.</w:t>
      </w:r>
    </w:p>
    <w:p>
      <w:pPr>
        <w:spacing w:after="0" w:line="105" w:lineRule="exact"/>
        <w:rPr>
          <w:sz w:val="20"/>
          <w:szCs w:val="20"/>
          <w:color w:val="auto"/>
        </w:rPr>
      </w:pPr>
    </w:p>
    <w:p>
      <w:pPr>
        <w:ind w:right="20"/>
        <w:spacing w:after="0" w:line="235" w:lineRule="auto"/>
        <w:rPr>
          <w:sz w:val="20"/>
          <w:szCs w:val="20"/>
          <w:color w:val="auto"/>
        </w:rPr>
      </w:pPr>
      <w:r>
        <w:rPr>
          <w:rFonts w:ascii="Arial" w:cs="Arial" w:eastAsia="Arial" w:hAnsi="Arial"/>
          <w:sz w:val="22"/>
          <w:szCs w:val="22"/>
          <w:color w:val="auto"/>
        </w:rPr>
        <w:t>At December 31, 2005, there was $236 million in unrestricted cash and $500 million in available unused, committed lines of credit. Management believes that these amounts and cash flows from operations and security issuances will be adequate to finance capital expenditures and meet liquidity requirements and other commitments. Forecasted capital expenditures for the next five years are discussed in "Future Capital Expenditures for Utility Plant." Management continues to regularly monitor the company's ability to finance the needs of its operating, investing and financing activities in a manner consistent with its intention to maintain strong, investment-quality credit ratings.</w:t>
      </w:r>
    </w:p>
    <w:p>
      <w:pPr>
        <w:spacing w:after="0" w:line="18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CASH FLOWS FROM OPERATING ACTIVITIES</w:t>
      </w:r>
    </w:p>
    <w:p>
      <w:pPr>
        <w:spacing w:after="0" w:line="212" w:lineRule="exact"/>
        <w:rPr>
          <w:sz w:val="20"/>
          <w:szCs w:val="20"/>
          <w:color w:val="auto"/>
        </w:rPr>
      </w:pPr>
    </w:p>
    <w:p>
      <w:pPr>
        <w:ind w:right="1060"/>
        <w:spacing w:after="0" w:line="251" w:lineRule="auto"/>
        <w:rPr>
          <w:sz w:val="20"/>
          <w:szCs w:val="20"/>
          <w:color w:val="auto"/>
        </w:rPr>
      </w:pPr>
      <w:r>
        <w:rPr>
          <w:rFonts w:ascii="Arial" w:cs="Arial" w:eastAsia="Arial" w:hAnsi="Arial"/>
          <w:sz w:val="22"/>
          <w:szCs w:val="22"/>
          <w:color w:val="auto"/>
        </w:rPr>
        <w:t>Net cash provided by operating activities totaled $338 million, $435 million and $567 million for 2005, 2004 and 2003, respectively.</w:t>
      </w:r>
    </w:p>
    <w:p>
      <w:pPr>
        <w:spacing w:after="0" w:line="173" w:lineRule="exact"/>
        <w:rPr>
          <w:sz w:val="20"/>
          <w:szCs w:val="20"/>
          <w:color w:val="auto"/>
        </w:rPr>
      </w:pPr>
    </w:p>
    <w:p>
      <w:pPr>
        <w:ind w:right="120"/>
        <w:spacing w:after="0" w:line="258" w:lineRule="auto"/>
        <w:rPr>
          <w:sz w:val="20"/>
          <w:szCs w:val="20"/>
          <w:color w:val="auto"/>
        </w:rPr>
      </w:pPr>
      <w:r>
        <w:rPr>
          <w:rFonts w:ascii="Arial" w:cs="Arial" w:eastAsia="Arial" w:hAnsi="Arial"/>
          <w:sz w:val="21"/>
          <w:szCs w:val="21"/>
          <w:color w:val="auto"/>
        </w:rPr>
        <w:t>The 2005 change in net cash provided by operating activities was primarily due to a $246 million change in income taxes mainly due to an increase in income tax payments in 2005, offset by a $66 million decrease in other assets, a $62 million increase in other liabilities, a $57 million reduction of interest receivable and a $54 million increase in net income in 2005.</w:t>
      </w:r>
    </w:p>
    <w:p>
      <w:pPr>
        <w:spacing w:after="0" w:line="167" w:lineRule="exact"/>
        <w:rPr>
          <w:sz w:val="20"/>
          <w:szCs w:val="20"/>
          <w:color w:val="auto"/>
        </w:rPr>
      </w:pPr>
    </w:p>
    <w:p>
      <w:pPr>
        <w:spacing w:after="0"/>
        <w:rPr>
          <w:sz w:val="20"/>
          <w:szCs w:val="20"/>
          <w:color w:val="auto"/>
        </w:rPr>
      </w:pPr>
      <w:r>
        <w:rPr>
          <w:rFonts w:ascii="Arial" w:cs="Arial" w:eastAsia="Arial" w:hAnsi="Arial"/>
          <w:sz w:val="19"/>
          <w:szCs w:val="19"/>
          <w:color w:val="auto"/>
        </w:rPr>
        <w:t>The decrease in cash flows from operations in 2004 compared to 2003 was primarily attributable to a lower net income in 2004.</w:t>
      </w:r>
    </w:p>
    <w:p>
      <w:pPr>
        <w:spacing w:after="0" w:line="241" w:lineRule="exact"/>
        <w:rPr>
          <w:sz w:val="20"/>
          <w:szCs w:val="20"/>
          <w:color w:val="auto"/>
        </w:rPr>
      </w:pPr>
    </w:p>
    <w:p>
      <w:pPr>
        <w:ind w:right="300"/>
        <w:spacing w:after="0" w:line="251" w:lineRule="auto"/>
        <w:rPr>
          <w:sz w:val="20"/>
          <w:szCs w:val="20"/>
          <w:color w:val="auto"/>
        </w:rPr>
      </w:pPr>
      <w:r>
        <w:rPr>
          <w:rFonts w:ascii="Arial" w:cs="Arial" w:eastAsia="Arial" w:hAnsi="Arial"/>
          <w:sz w:val="22"/>
          <w:szCs w:val="22"/>
          <w:color w:val="auto"/>
        </w:rPr>
        <w:t>The company made pension plan and other postretirement benefit plan contributions of $21 million and $7 million, respectively, during 2005, and $20 million and $8 million, respectively, during 2004.</w:t>
      </w:r>
    </w:p>
    <w:p>
      <w:pPr>
        <w:spacing w:after="0" w:line="16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CASH FLOWS FROM INVESTING ACTIVITIES</w:t>
      </w:r>
    </w:p>
    <w:p>
      <w:pPr>
        <w:spacing w:after="0" w:line="212" w:lineRule="exact"/>
        <w:rPr>
          <w:sz w:val="20"/>
          <w:szCs w:val="20"/>
          <w:color w:val="auto"/>
        </w:rPr>
      </w:pPr>
    </w:p>
    <w:p>
      <w:pPr>
        <w:spacing w:after="0"/>
        <w:rPr>
          <w:sz w:val="20"/>
          <w:szCs w:val="20"/>
          <w:color w:val="auto"/>
        </w:rPr>
      </w:pPr>
      <w:r>
        <w:rPr>
          <w:rFonts w:ascii="Arial" w:cs="Arial" w:eastAsia="Arial" w:hAnsi="Arial"/>
          <w:sz w:val="19"/>
          <w:szCs w:val="19"/>
          <w:color w:val="auto"/>
        </w:rPr>
        <w:t>Net cash used in investing activities totaled $458 million, $289 million and $305 million for 2005, 2004 and 2003, respectively.</w:t>
      </w:r>
    </w:p>
    <w:p>
      <w:pPr>
        <w:spacing w:after="0" w:line="43" w:lineRule="exact"/>
        <w:rPr>
          <w:sz w:val="20"/>
          <w:szCs w:val="20"/>
          <w:color w:val="auto"/>
        </w:rPr>
      </w:pPr>
    </w:p>
    <w:p>
      <w:pPr>
        <w:spacing w:after="0"/>
        <w:rPr>
          <w:sz w:val="20"/>
          <w:szCs w:val="20"/>
          <w:color w:val="auto"/>
        </w:rPr>
      </w:pPr>
      <w:r>
        <w:rPr>
          <w:rFonts w:ascii="Arial" w:cs="Arial" w:eastAsia="Arial" w:hAnsi="Arial"/>
          <w:sz w:val="19"/>
          <w:szCs w:val="19"/>
          <w:color w:val="auto"/>
        </w:rPr>
        <w:t>The increase in cash used in investing activities in 2005 was due to a $50 million increase in capital expenditures in 2005 and a</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$122 million decrease in loans to affiliate in 2004. The decrease in cash used in investing activities in 2004 compared to 2003 was</w:t>
      </w:r>
    </w:p>
    <w:p>
      <w:pPr>
        <w:spacing w:after="0" w:line="25" w:lineRule="exact"/>
        <w:rPr>
          <w:sz w:val="20"/>
          <w:szCs w:val="20"/>
          <w:color w:val="auto"/>
        </w:rPr>
      </w:pPr>
    </w:p>
    <w:p>
      <w:pPr>
        <w:spacing w:after="0"/>
        <w:rPr>
          <w:sz w:val="20"/>
          <w:szCs w:val="20"/>
          <w:color w:val="auto"/>
        </w:rPr>
      </w:pPr>
      <w:r>
        <w:rPr>
          <w:rFonts w:ascii="Arial" w:cs="Arial" w:eastAsia="Arial" w:hAnsi="Arial"/>
          <w:sz w:val="22"/>
          <w:szCs w:val="22"/>
          <w:color w:val="auto"/>
        </w:rPr>
        <w:t>primarily due to greater than normal capital expenditures in 2003 as a result of the 2003 Southern California wildfires.</w:t>
      </w:r>
    </w:p>
    <w:p>
      <w:pPr>
        <w:spacing w:after="0" w:line="188" w:lineRule="exact"/>
        <w:rPr>
          <w:sz w:val="20"/>
          <w:szCs w:val="20"/>
          <w:color w:val="auto"/>
        </w:rPr>
      </w:pPr>
    </w:p>
    <w:p>
      <w:pPr>
        <w:ind w:right="80"/>
        <w:spacing w:after="0" w:line="238" w:lineRule="auto"/>
        <w:rPr>
          <w:sz w:val="20"/>
          <w:szCs w:val="20"/>
          <w:color w:val="auto"/>
        </w:rPr>
      </w:pPr>
      <w:r>
        <w:rPr>
          <w:rFonts w:ascii="Arial" w:cs="Arial" w:eastAsia="Arial" w:hAnsi="Arial"/>
          <w:sz w:val="22"/>
          <w:szCs w:val="22"/>
          <w:color w:val="auto"/>
        </w:rPr>
        <w:t>In December 2005, the company submitted its initial request to the CPUC for a proposed new transmission power line between the San Diego region and the Imperial Valley. The proposed line, called the Sunrise Powerlink, would be capable of providing electricity to 650,000 homes and is estimated to cost between $1 billion and $1.4 billion. The company expects to submit a proposed route and an alternative route to the CPUC in 2006.</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Future Capital Expenditures for Utility Plant</w:t>
      </w:r>
    </w:p>
    <w:p>
      <w:pPr>
        <w:spacing w:after="0" w:line="212" w:lineRule="exact"/>
        <w:rPr>
          <w:sz w:val="20"/>
          <w:szCs w:val="20"/>
          <w:color w:val="auto"/>
        </w:rPr>
      </w:pPr>
    </w:p>
    <w:p>
      <w:pPr>
        <w:jc w:val="both"/>
        <w:ind w:right="80"/>
        <w:spacing w:after="0"/>
        <w:rPr>
          <w:sz w:val="20"/>
          <w:szCs w:val="20"/>
          <w:color w:val="auto"/>
        </w:rPr>
      </w:pPr>
      <w:r>
        <w:rPr>
          <w:rFonts w:ascii="Arial" w:cs="Arial" w:eastAsia="Arial" w:hAnsi="Arial"/>
          <w:sz w:val="22"/>
          <w:szCs w:val="22"/>
          <w:color w:val="auto"/>
        </w:rPr>
        <w:t>Significant capital expenditures in 2006 are expected to include $1.2 billion for additions to the company's natural gas and electric distribution and generation systems. These expenditures are expected to be financed by cash flows from operations, asset sales and security issuances.</w:t>
      </w:r>
    </w:p>
    <w:p>
      <w:pPr>
        <w:spacing w:after="0" w:line="186" w:lineRule="exact"/>
        <w:rPr>
          <w:sz w:val="20"/>
          <w:szCs w:val="20"/>
          <w:color w:val="auto"/>
        </w:rPr>
      </w:pPr>
    </w:p>
    <w:p>
      <w:pPr>
        <w:spacing w:after="0" w:line="251" w:lineRule="auto"/>
        <w:rPr>
          <w:sz w:val="20"/>
          <w:szCs w:val="20"/>
          <w:color w:val="auto"/>
        </w:rPr>
      </w:pPr>
      <w:r>
        <w:rPr>
          <w:rFonts w:ascii="Arial" w:cs="Arial" w:eastAsia="Arial" w:hAnsi="Arial"/>
          <w:sz w:val="22"/>
          <w:szCs w:val="22"/>
          <w:color w:val="auto"/>
        </w:rPr>
        <w:t>Over the next five years, the company expects to make capital expenditures of $4 billion at a rate ranging from $500 million to $1.2 billion per year.</w:t>
      </w:r>
    </w:p>
    <w:p>
      <w:pPr>
        <w:spacing w:after="0" w:line="173" w:lineRule="exact"/>
        <w:rPr>
          <w:sz w:val="20"/>
          <w:szCs w:val="20"/>
          <w:color w:val="auto"/>
        </w:rPr>
      </w:pPr>
    </w:p>
    <w:p>
      <w:pPr>
        <w:ind w:right="580"/>
        <w:spacing w:after="0"/>
        <w:rPr>
          <w:sz w:val="20"/>
          <w:szCs w:val="20"/>
          <w:color w:val="auto"/>
        </w:rPr>
      </w:pPr>
      <w:r>
        <w:rPr>
          <w:rFonts w:ascii="Arial" w:cs="Arial" w:eastAsia="Arial" w:hAnsi="Arial"/>
          <w:sz w:val="22"/>
          <w:szCs w:val="22"/>
          <w:color w:val="auto"/>
        </w:rPr>
        <w:t>Construction programs are periodically reviewed and revised by the company in response to changes in regulation, economic conditions, competition, customer growth, inflation, customer rates, the cost of capital and environmental requirements, as discussed in Note 11 of the notes to Consolidated Financial Statements.</w:t>
      </w:r>
    </w:p>
    <w:p>
      <w:pPr>
        <w:spacing w:after="0" w:line="186" w:lineRule="exact"/>
        <w:rPr>
          <w:sz w:val="20"/>
          <w:szCs w:val="20"/>
          <w:color w:val="auto"/>
        </w:rPr>
      </w:pPr>
    </w:p>
    <w:p>
      <w:pPr>
        <w:ind w:right="460"/>
        <w:spacing w:after="0" w:line="251" w:lineRule="auto"/>
        <w:rPr>
          <w:sz w:val="20"/>
          <w:szCs w:val="20"/>
          <w:color w:val="auto"/>
        </w:rPr>
      </w:pPr>
      <w:r>
        <w:rPr>
          <w:rFonts w:ascii="Arial" w:cs="Arial" w:eastAsia="Arial" w:hAnsi="Arial"/>
          <w:sz w:val="22"/>
          <w:szCs w:val="22"/>
          <w:color w:val="auto"/>
        </w:rPr>
        <w:t>'The company intends to finance its capital expenditures in a manner that will maintain its strong investment-grade ratings and capital structure.</w:t>
      </w:r>
    </w:p>
    <w:p>
      <w:pPr>
        <w:spacing w:after="0" w:line="173" w:lineRule="exact"/>
        <w:rPr>
          <w:sz w:val="20"/>
          <w:szCs w:val="20"/>
          <w:color w:val="auto"/>
        </w:rPr>
      </w:pPr>
    </w:p>
    <w:p>
      <w:pPr>
        <w:spacing w:after="0"/>
        <w:rPr>
          <w:sz w:val="20"/>
          <w:szCs w:val="20"/>
          <w:color w:val="auto"/>
        </w:rPr>
      </w:pPr>
      <w:r>
        <w:rPr>
          <w:rFonts w:ascii="Arial" w:cs="Arial" w:eastAsia="Arial" w:hAnsi="Arial"/>
          <w:sz w:val="19"/>
          <w:szCs w:val="19"/>
          <w:color w:val="auto"/>
        </w:rPr>
        <w:t>The amounts and timing of capital expenditures are subject to approvals by the CPUC, the FERC and other regulatory bodies.</w:t>
      </w:r>
    </w:p>
    <w:p>
      <w:pPr>
        <w:sectPr>
          <w:pgSz w:w="11900" w:h="16838" w:orient="portrait"/>
          <w:cols w:equalWidth="0" w:num="1">
            <w:col w:w="11400"/>
          </w:cols>
          <w:pgMar w:left="240" w:top="118" w:right="259" w:bottom="109" w:gutter="0" w:footer="0" w:header="0"/>
        </w:sectPr>
      </w:pPr>
    </w:p>
    <w:bookmarkStart w:id="16" w:name="page17"/>
    <w:bookmarkEnd w:id="16"/>
    <w:p>
      <w:pPr>
        <w:spacing w:after="0" w:line="62" w:lineRule="exact"/>
        <w:rPr>
          <w:sz w:val="20"/>
          <w:szCs w:val="20"/>
          <w:color w:val="auto"/>
        </w:rPr>
      </w:pPr>
    </w:p>
    <w:p>
      <w:pPr>
        <w:ind w:right="1020"/>
        <w:spacing w:after="0" w:line="251" w:lineRule="auto"/>
        <w:rPr>
          <w:sz w:val="20"/>
          <w:szCs w:val="20"/>
          <w:color w:val="auto"/>
        </w:rPr>
      </w:pPr>
      <w:r>
        <w:rPr>
          <w:rFonts w:ascii="Arial" w:cs="Arial" w:eastAsia="Arial" w:hAnsi="Arial"/>
          <w:sz w:val="22"/>
          <w:szCs w:val="22"/>
          <w:color w:val="auto"/>
        </w:rPr>
        <w:t>The possible SDG&amp;E' involvement with completion of the Otay Mesa power plant is discussed in Note 9 of the notes to Consolidated Financial Statements.</w:t>
      </w:r>
    </w:p>
    <w:p>
      <w:pPr>
        <w:spacing w:after="0" w:line="16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CASH FLOWS FROM FINANCING ACTIVITIES</w:t>
      </w:r>
    </w:p>
    <w:p>
      <w:pPr>
        <w:spacing w:after="0" w:line="212" w:lineRule="exact"/>
        <w:rPr>
          <w:sz w:val="20"/>
          <w:szCs w:val="20"/>
          <w:color w:val="auto"/>
        </w:rPr>
      </w:pPr>
    </w:p>
    <w:p>
      <w:pPr>
        <w:ind w:right="480"/>
        <w:spacing w:after="0" w:line="251" w:lineRule="auto"/>
        <w:rPr>
          <w:sz w:val="20"/>
          <w:szCs w:val="20"/>
          <w:color w:val="auto"/>
        </w:rPr>
      </w:pPr>
      <w:r>
        <w:rPr>
          <w:rFonts w:ascii="Arial" w:cs="Arial" w:eastAsia="Arial" w:hAnsi="Arial"/>
          <w:sz w:val="22"/>
          <w:szCs w:val="22"/>
          <w:color w:val="auto"/>
        </w:rPr>
        <w:t>Net cash provided by (used in) financing activities totaled $347 million, $(285) million and $(273) million for 2005, 2004 and 2003, respectively.</w:t>
      </w:r>
    </w:p>
    <w:p>
      <w:pPr>
        <w:spacing w:after="0" w:line="173" w:lineRule="exact"/>
        <w:rPr>
          <w:sz w:val="20"/>
          <w:szCs w:val="20"/>
          <w:color w:val="auto"/>
        </w:rPr>
      </w:pPr>
    </w:p>
    <w:p>
      <w:pPr>
        <w:ind w:right="80"/>
        <w:spacing w:after="0" w:line="238" w:lineRule="auto"/>
        <w:rPr>
          <w:sz w:val="20"/>
          <w:szCs w:val="20"/>
          <w:color w:val="auto"/>
        </w:rPr>
      </w:pPr>
      <w:r>
        <w:rPr>
          <w:rFonts w:ascii="Arial" w:cs="Arial" w:eastAsia="Arial" w:hAnsi="Arial"/>
          <w:sz w:val="22"/>
          <w:szCs w:val="22"/>
          <w:color w:val="auto"/>
        </w:rPr>
        <w:t>The 2005 increase in cash provided by financing activities was due to the $500 million issuances of first mortgage bonds in 2005 and a $130 million decrease in common dividends paid in 2005. The company issued $251 million of first mortgage bonds in 2004 and applied the proceeds to refund an identical amount of first mortgage bonds and related tax-exempt industrial development bonds of a shorter maturity in the same year.</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Long-Term and Short-Term Debt</w:t>
      </w:r>
    </w:p>
    <w:p>
      <w:pPr>
        <w:spacing w:after="0" w:line="212" w:lineRule="exact"/>
        <w:rPr>
          <w:sz w:val="20"/>
          <w:szCs w:val="20"/>
          <w:color w:val="auto"/>
        </w:rPr>
      </w:pPr>
    </w:p>
    <w:p>
      <w:pPr>
        <w:ind w:right="140"/>
        <w:spacing w:after="0" w:line="274" w:lineRule="auto"/>
        <w:rPr>
          <w:sz w:val="20"/>
          <w:szCs w:val="20"/>
          <w:color w:val="auto"/>
        </w:rPr>
      </w:pPr>
      <w:r>
        <w:rPr>
          <w:rFonts w:ascii="Arial" w:cs="Arial" w:eastAsia="Arial" w:hAnsi="Arial"/>
          <w:sz w:val="21"/>
          <w:szCs w:val="21"/>
          <w:color w:val="auto"/>
        </w:rPr>
        <w:t>In May 2005, the company publicly offered and sold $250 million of 5.35% first mortgage bonds, maturing in 2035. In November 2005, the company publicly offered and sold $250 million of 5.30% first mortgage bonds, maturing in 2015.</w:t>
      </w:r>
    </w:p>
    <w:p>
      <w:pPr>
        <w:spacing w:after="0" w:line="151" w:lineRule="exact"/>
        <w:rPr>
          <w:sz w:val="20"/>
          <w:szCs w:val="20"/>
          <w:color w:val="auto"/>
        </w:rPr>
      </w:pPr>
    </w:p>
    <w:p>
      <w:pPr>
        <w:spacing w:after="0"/>
        <w:rPr>
          <w:sz w:val="20"/>
          <w:szCs w:val="20"/>
          <w:color w:val="auto"/>
        </w:rPr>
      </w:pPr>
      <w:r>
        <w:rPr>
          <w:rFonts w:ascii="Arial" w:cs="Arial" w:eastAsia="Arial" w:hAnsi="Arial"/>
          <w:sz w:val="22"/>
          <w:szCs w:val="22"/>
          <w:color w:val="auto"/>
        </w:rPr>
        <w:t>Payments on long-term debt in 2005 were $66 million related to its rate-reduction bonds.</w:t>
      </w:r>
    </w:p>
    <w:p>
      <w:pPr>
        <w:spacing w:after="0" w:line="206" w:lineRule="exact"/>
        <w:rPr>
          <w:sz w:val="20"/>
          <w:szCs w:val="20"/>
          <w:color w:val="auto"/>
        </w:rPr>
      </w:pPr>
    </w:p>
    <w:p>
      <w:pPr>
        <w:ind w:right="120"/>
        <w:spacing w:after="0" w:line="279" w:lineRule="auto"/>
        <w:rPr>
          <w:sz w:val="20"/>
          <w:szCs w:val="20"/>
          <w:color w:val="auto"/>
        </w:rPr>
      </w:pPr>
      <w:r>
        <w:rPr>
          <w:rFonts w:ascii="Arial" w:cs="Arial" w:eastAsia="Arial" w:hAnsi="Arial"/>
          <w:sz w:val="19"/>
          <w:szCs w:val="19"/>
          <w:color w:val="auto"/>
        </w:rPr>
        <w:t>In June 2004, the company issued $251 million of first mortgage bonds and applied the proceeds in July to refund an identical amount of first mortgage bonds and related tax-exempt industrial development bonds of a shorter maturity. The bonds secure the repayment of tax-exempt industrial development bonds of an identical amount, maturity and interest rate issued by the City of Chula Vista, the proceeds of which were loaned to the company and which are repaid with payments on the first mortgage bonds. The bonds were initially issued as auction-rate securities, but the company entered into floating-for-fixed interest-rate swap agreements that effectively changed the bonds' interest rates to fixed rates in September 2004. The swaps are set to expire in 2009.</w:t>
      </w:r>
    </w:p>
    <w:p>
      <w:pPr>
        <w:spacing w:after="0" w:line="151" w:lineRule="exact"/>
        <w:rPr>
          <w:sz w:val="20"/>
          <w:szCs w:val="20"/>
          <w:color w:val="auto"/>
        </w:rPr>
      </w:pPr>
    </w:p>
    <w:p>
      <w:pPr>
        <w:ind w:right="360"/>
        <w:spacing w:after="0" w:line="251" w:lineRule="auto"/>
        <w:rPr>
          <w:sz w:val="20"/>
          <w:szCs w:val="20"/>
          <w:color w:val="auto"/>
        </w:rPr>
      </w:pPr>
      <w:r>
        <w:rPr>
          <w:rFonts w:ascii="Arial" w:cs="Arial" w:eastAsia="Arial" w:hAnsi="Arial"/>
          <w:sz w:val="22"/>
          <w:szCs w:val="22"/>
          <w:color w:val="auto"/>
        </w:rPr>
        <w:t>Payments on long-term debt in 2004 included $251 million of SDG&amp;E's first mortgage bonds and $66 million of rate-reduction bonds.</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color w:val="auto"/>
        </w:rPr>
        <w:t>Payments on long-term debt in 2003 were for $66 million of rate-reduction bonds.</w:t>
      </w:r>
    </w:p>
    <w:p>
      <w:pPr>
        <w:spacing w:after="0" w:line="206" w:lineRule="exact"/>
        <w:rPr>
          <w:sz w:val="20"/>
          <w:szCs w:val="20"/>
          <w:color w:val="auto"/>
        </w:rPr>
      </w:pPr>
    </w:p>
    <w:p>
      <w:pPr>
        <w:ind w:right="220"/>
        <w:spacing w:after="0" w:line="251" w:lineRule="auto"/>
        <w:rPr>
          <w:sz w:val="20"/>
          <w:szCs w:val="20"/>
          <w:color w:val="auto"/>
        </w:rPr>
      </w:pPr>
      <w:r>
        <w:rPr>
          <w:rFonts w:ascii="Arial" w:cs="Arial" w:eastAsia="Arial" w:hAnsi="Arial"/>
          <w:sz w:val="22"/>
          <w:szCs w:val="22"/>
          <w:color w:val="auto"/>
        </w:rPr>
        <w:t>Note 2 of the notes to Consolidated Financial Statements provide information concerning lines of credit and further discussion of debt activity.</w:t>
      </w:r>
    </w:p>
    <w:p>
      <w:pPr>
        <w:spacing w:after="0" w:line="16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Dividends</w:t>
      </w:r>
    </w:p>
    <w:p>
      <w:pPr>
        <w:spacing w:after="0" w:line="212" w:lineRule="exact"/>
        <w:rPr>
          <w:sz w:val="20"/>
          <w:szCs w:val="20"/>
          <w:color w:val="auto"/>
        </w:rPr>
      </w:pPr>
    </w:p>
    <w:p>
      <w:pPr>
        <w:spacing w:after="0"/>
        <w:rPr>
          <w:sz w:val="20"/>
          <w:szCs w:val="20"/>
          <w:color w:val="auto"/>
        </w:rPr>
      </w:pPr>
      <w:r>
        <w:rPr>
          <w:rFonts w:ascii="Arial" w:cs="Arial" w:eastAsia="Arial" w:hAnsi="Arial"/>
          <w:sz w:val="19"/>
          <w:szCs w:val="19"/>
          <w:color w:val="auto"/>
        </w:rPr>
        <w:t>Common dividends paid to Sempra Energy were $75 million in 2005, compared to $205 million in 2004 and $200 million in 2003.</w:t>
      </w:r>
    </w:p>
    <w:p>
      <w:pPr>
        <w:spacing w:after="0" w:line="241" w:lineRule="exact"/>
        <w:rPr>
          <w:sz w:val="20"/>
          <w:szCs w:val="20"/>
          <w:color w:val="auto"/>
        </w:rPr>
      </w:pPr>
    </w:p>
    <w:p>
      <w:pPr>
        <w:ind w:right="120"/>
        <w:spacing w:after="0"/>
        <w:rPr>
          <w:sz w:val="20"/>
          <w:szCs w:val="20"/>
          <w:color w:val="auto"/>
        </w:rPr>
      </w:pPr>
      <w:r>
        <w:rPr>
          <w:rFonts w:ascii="Arial" w:cs="Arial" w:eastAsia="Arial" w:hAnsi="Arial"/>
          <w:sz w:val="22"/>
          <w:szCs w:val="22"/>
          <w:color w:val="auto"/>
        </w:rPr>
        <w:t>The payment and amount of future dividends are within the discretion of the company's board of directors. The CPUC's regulation of SDG&amp;E's capital structure limits the amounts that are available for loans and dividends to Sempra Energy from SDG&amp;E. At December 31, 2005, no amounts were available from SDG&amp;E.</w:t>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Capitalization</w:t>
      </w:r>
    </w:p>
    <w:p>
      <w:pPr>
        <w:spacing w:after="0" w:line="212" w:lineRule="exact"/>
        <w:rPr>
          <w:sz w:val="20"/>
          <w:szCs w:val="20"/>
          <w:color w:val="auto"/>
        </w:rPr>
      </w:pPr>
    </w:p>
    <w:p>
      <w:pPr>
        <w:spacing w:after="0" w:line="328" w:lineRule="auto"/>
        <w:rPr>
          <w:sz w:val="20"/>
          <w:szCs w:val="20"/>
          <w:color w:val="auto"/>
        </w:rPr>
      </w:pPr>
      <w:r>
        <w:rPr>
          <w:rFonts w:ascii="Arial" w:cs="Arial" w:eastAsia="Arial" w:hAnsi="Arial"/>
          <w:sz w:val="19"/>
          <w:szCs w:val="19"/>
          <w:color w:val="auto"/>
        </w:rPr>
        <w:t>Total capitalization, including the current portion of long-term debt and excluding the rate-reduction bonds (which are non-recourse to the company), at December 31, 2005 was $3 billion. The debt-to-capitalization ratio was 47 percent at December 31, 2005.</w:t>
      </w:r>
    </w:p>
    <w:p>
      <w:pPr>
        <w:spacing w:after="0" w:line="9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Commitments</w:t>
      </w:r>
    </w:p>
    <w:p>
      <w:pPr>
        <w:spacing w:after="0" w:line="212" w:lineRule="exact"/>
        <w:rPr>
          <w:sz w:val="20"/>
          <w:szCs w:val="20"/>
          <w:color w:val="auto"/>
        </w:rPr>
      </w:pPr>
    </w:p>
    <w:p>
      <w:pPr>
        <w:ind w:right="300"/>
        <w:spacing w:after="0" w:line="328" w:lineRule="auto"/>
        <w:rPr>
          <w:sz w:val="20"/>
          <w:szCs w:val="20"/>
          <w:color w:val="auto"/>
        </w:rPr>
      </w:pPr>
      <w:r>
        <w:rPr>
          <w:rFonts w:ascii="Arial" w:cs="Arial" w:eastAsia="Arial" w:hAnsi="Arial"/>
          <w:sz w:val="19"/>
          <w:szCs w:val="19"/>
          <w:color w:val="auto"/>
        </w:rPr>
        <w:t>The following is a summary of the company's principal contractual commitments at December 31, 2005. Additional information concerning commitments is provided above and in Notes 2, 5, 8 and 11 of the notes to Consolidated Financial Statements.</w:t>
      </w:r>
    </w:p>
    <w:p>
      <w:pPr>
        <w:spacing w:after="0" w:line="132" w:lineRule="exact"/>
        <w:rPr>
          <w:sz w:val="20"/>
          <w:szCs w:val="20"/>
          <w:color w:val="auto"/>
        </w:rPr>
      </w:pPr>
    </w:p>
    <w:tbl>
      <w:tblPr>
        <w:tblLayout w:type="fixed"/>
        <w:tblInd w:w="1680" w:type="dxa"/>
        <w:tblCellMar>
          <w:top w:w="0" w:type="dxa"/>
          <w:left w:w="0" w:type="dxa"/>
          <w:bottom w:w="0" w:type="dxa"/>
          <w:right w:w="0" w:type="dxa"/>
        </w:tblCellMar>
      </w:tblPr>
      <w:tr>
        <w:trPr>
          <w:trHeight w:val="216"/>
        </w:trPr>
        <w:tc>
          <w:tcPr>
            <w:tcW w:w="3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2007</w:t>
            </w:r>
          </w:p>
        </w:tc>
        <w:tc>
          <w:tcPr>
            <w:tcW w:w="280" w:type="dxa"/>
            <w:vAlign w:val="bottom"/>
          </w:tcPr>
          <w:p>
            <w:pPr>
              <w:spacing w:after="0"/>
              <w:rPr>
                <w:sz w:val="18"/>
                <w:szCs w:val="18"/>
                <w:color w:val="auto"/>
              </w:rPr>
            </w:pPr>
          </w:p>
        </w:tc>
        <w:tc>
          <w:tcPr>
            <w:tcW w:w="740" w:type="dxa"/>
            <w:vAlign w:val="bottom"/>
          </w:tcPr>
          <w:p>
            <w:pPr>
              <w:jc w:val="right"/>
              <w:ind w:right="193"/>
              <w:spacing w:after="0"/>
              <w:rPr>
                <w:sz w:val="20"/>
                <w:szCs w:val="20"/>
                <w:color w:val="auto"/>
              </w:rPr>
            </w:pPr>
            <w:r>
              <w:rPr>
                <w:rFonts w:ascii="Arial" w:cs="Arial" w:eastAsia="Arial" w:hAnsi="Arial"/>
                <w:sz w:val="18"/>
                <w:szCs w:val="18"/>
                <w:color w:val="auto"/>
              </w:rPr>
              <w:t>2009</w:t>
            </w:r>
          </w:p>
        </w:tc>
        <w:tc>
          <w:tcPr>
            <w:tcW w:w="88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16"/>
        </w:trPr>
        <w:tc>
          <w:tcPr>
            <w:tcW w:w="3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and</w:t>
            </w:r>
          </w:p>
        </w:tc>
        <w:tc>
          <w:tcPr>
            <w:tcW w:w="280" w:type="dxa"/>
            <w:vAlign w:val="bottom"/>
          </w:tcPr>
          <w:p>
            <w:pPr>
              <w:spacing w:after="0"/>
              <w:rPr>
                <w:sz w:val="18"/>
                <w:szCs w:val="18"/>
                <w:color w:val="auto"/>
              </w:rPr>
            </w:pPr>
          </w:p>
        </w:tc>
        <w:tc>
          <w:tcPr>
            <w:tcW w:w="740" w:type="dxa"/>
            <w:vAlign w:val="bottom"/>
          </w:tcPr>
          <w:p>
            <w:pPr>
              <w:jc w:val="right"/>
              <w:ind w:right="193"/>
              <w:spacing w:after="0"/>
              <w:rPr>
                <w:sz w:val="20"/>
                <w:szCs w:val="20"/>
                <w:color w:val="auto"/>
              </w:rPr>
            </w:pPr>
            <w:r>
              <w:rPr>
                <w:rFonts w:ascii="Arial" w:cs="Arial" w:eastAsia="Arial" w:hAnsi="Arial"/>
                <w:sz w:val="18"/>
                <w:szCs w:val="18"/>
                <w:color w:val="auto"/>
              </w:rPr>
              <w:t>and</w:t>
            </w:r>
          </w:p>
        </w:tc>
        <w:tc>
          <w:tcPr>
            <w:tcW w:w="88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30"/>
        </w:trPr>
        <w:tc>
          <w:tcPr>
            <w:tcW w:w="3400" w:type="dxa"/>
            <w:vAlign w:val="bottom"/>
          </w:tcPr>
          <w:p>
            <w:pPr>
              <w:ind w:left="20"/>
              <w:spacing w:after="0"/>
              <w:rPr>
                <w:sz w:val="20"/>
                <w:szCs w:val="20"/>
                <w:color w:val="auto"/>
              </w:rPr>
            </w:pPr>
            <w:r>
              <w:rPr>
                <w:rFonts w:ascii="Arial" w:cs="Arial" w:eastAsia="Arial" w:hAnsi="Arial"/>
                <w:sz w:val="18"/>
                <w:szCs w:val="18"/>
                <w:color w:val="auto"/>
              </w:rPr>
              <w:t>(Dollars in millions)</w:t>
            </w:r>
          </w:p>
        </w:tc>
        <w:tc>
          <w:tcPr>
            <w:tcW w:w="300" w:type="dxa"/>
            <w:vAlign w:val="bottom"/>
          </w:tcPr>
          <w:p>
            <w:pPr>
              <w:spacing w:after="0"/>
              <w:rPr>
                <w:sz w:val="20"/>
                <w:szCs w:val="20"/>
                <w:color w:val="auto"/>
              </w:rPr>
            </w:pPr>
          </w:p>
        </w:tc>
        <w:tc>
          <w:tcPr>
            <w:tcW w:w="540" w:type="dxa"/>
            <w:vAlign w:val="bottom"/>
          </w:tcPr>
          <w:p>
            <w:pPr>
              <w:jc w:val="right"/>
              <w:ind w:right="13"/>
              <w:spacing w:after="0"/>
              <w:rPr>
                <w:sz w:val="20"/>
                <w:szCs w:val="20"/>
                <w:color w:val="auto"/>
              </w:rPr>
            </w:pPr>
            <w:r>
              <w:rPr>
                <w:rFonts w:ascii="Arial" w:cs="Arial" w:eastAsia="Arial" w:hAnsi="Arial"/>
                <w:sz w:val="18"/>
                <w:szCs w:val="18"/>
                <w:color w:val="auto"/>
              </w:rPr>
              <w:t>2006</w:t>
            </w:r>
          </w:p>
        </w:tc>
        <w:tc>
          <w:tcPr>
            <w:tcW w:w="28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2008</w:t>
            </w:r>
          </w:p>
        </w:tc>
        <w:tc>
          <w:tcPr>
            <w:tcW w:w="280" w:type="dxa"/>
            <w:vAlign w:val="bottom"/>
          </w:tcPr>
          <w:p>
            <w:pPr>
              <w:spacing w:after="0"/>
              <w:rPr>
                <w:sz w:val="20"/>
                <w:szCs w:val="20"/>
                <w:color w:val="auto"/>
              </w:rPr>
            </w:pPr>
          </w:p>
        </w:tc>
        <w:tc>
          <w:tcPr>
            <w:tcW w:w="740" w:type="dxa"/>
            <w:vAlign w:val="bottom"/>
          </w:tcPr>
          <w:p>
            <w:pPr>
              <w:jc w:val="right"/>
              <w:ind w:right="193"/>
              <w:spacing w:after="0"/>
              <w:rPr>
                <w:sz w:val="20"/>
                <w:szCs w:val="20"/>
                <w:color w:val="auto"/>
              </w:rPr>
            </w:pPr>
            <w:r>
              <w:rPr>
                <w:rFonts w:ascii="Arial" w:cs="Arial" w:eastAsia="Arial" w:hAnsi="Arial"/>
                <w:sz w:val="18"/>
                <w:szCs w:val="18"/>
                <w:color w:val="auto"/>
              </w:rPr>
              <w:t>2010</w:t>
            </w:r>
          </w:p>
        </w:tc>
        <w:tc>
          <w:tcPr>
            <w:tcW w:w="880" w:type="dxa"/>
            <w:vAlign w:val="bottom"/>
          </w:tcPr>
          <w:p>
            <w:pPr>
              <w:jc w:val="right"/>
              <w:ind w:right="53"/>
              <w:spacing w:after="0"/>
              <w:rPr>
                <w:sz w:val="20"/>
                <w:szCs w:val="20"/>
                <w:color w:val="auto"/>
              </w:rPr>
            </w:pPr>
            <w:r>
              <w:rPr>
                <w:rFonts w:ascii="Arial" w:cs="Arial" w:eastAsia="Arial" w:hAnsi="Arial"/>
                <w:sz w:val="18"/>
                <w:szCs w:val="18"/>
                <w:color w:val="auto"/>
                <w:w w:val="86"/>
              </w:rPr>
              <w:t>Thereafter</w:t>
            </w:r>
          </w:p>
        </w:tc>
        <w:tc>
          <w:tcPr>
            <w:tcW w:w="800" w:type="dxa"/>
            <w:vAlign w:val="bottom"/>
          </w:tcPr>
          <w:p>
            <w:pPr>
              <w:jc w:val="right"/>
              <w:spacing w:after="0"/>
              <w:rPr>
                <w:sz w:val="20"/>
                <w:szCs w:val="20"/>
                <w:color w:val="auto"/>
              </w:rPr>
            </w:pPr>
            <w:r>
              <w:rPr>
                <w:rFonts w:ascii="Arial" w:cs="Arial" w:eastAsia="Arial" w:hAnsi="Arial"/>
                <w:sz w:val="18"/>
                <w:szCs w:val="18"/>
                <w:color w:val="auto"/>
              </w:rPr>
              <w:t>Total</w:t>
            </w:r>
          </w:p>
        </w:tc>
      </w:tr>
      <w:tr>
        <w:trPr>
          <w:trHeight w:val="251"/>
        </w:trPr>
        <w:tc>
          <w:tcPr>
            <w:tcW w:w="3400" w:type="dxa"/>
            <w:vAlign w:val="bottom"/>
            <w:shd w:val="clear" w:color="auto" w:fill="000000"/>
          </w:tcPr>
          <w:p>
            <w:pPr>
              <w:spacing w:after="0"/>
              <w:rPr>
                <w:sz w:val="21"/>
                <w:szCs w:val="21"/>
                <w:color w:val="auto"/>
              </w:rPr>
            </w:pPr>
          </w:p>
        </w:tc>
        <w:tc>
          <w:tcPr>
            <w:tcW w:w="300" w:type="dxa"/>
            <w:vAlign w:val="bottom"/>
            <w:shd w:val="clear" w:color="auto" w:fill="000000"/>
          </w:tcPr>
          <w:p>
            <w:pPr>
              <w:spacing w:after="0"/>
              <w:rPr>
                <w:sz w:val="21"/>
                <w:szCs w:val="21"/>
                <w:color w:val="auto"/>
              </w:rPr>
            </w:pPr>
          </w:p>
        </w:tc>
        <w:tc>
          <w:tcPr>
            <w:tcW w:w="540" w:type="dxa"/>
            <w:vAlign w:val="bottom"/>
            <w:shd w:val="clear" w:color="auto" w:fill="000000"/>
          </w:tcPr>
          <w:p>
            <w:pPr>
              <w:spacing w:after="0"/>
              <w:rPr>
                <w:sz w:val="21"/>
                <w:szCs w:val="21"/>
                <w:color w:val="auto"/>
              </w:rPr>
            </w:pPr>
          </w:p>
        </w:tc>
        <w:tc>
          <w:tcPr>
            <w:tcW w:w="280" w:type="dxa"/>
            <w:vAlign w:val="bottom"/>
            <w:shd w:val="clear" w:color="auto" w:fill="000000"/>
          </w:tcPr>
          <w:p>
            <w:pPr>
              <w:spacing w:after="0"/>
              <w:rPr>
                <w:sz w:val="21"/>
                <w:szCs w:val="21"/>
                <w:color w:val="auto"/>
              </w:rPr>
            </w:pPr>
          </w:p>
        </w:tc>
        <w:tc>
          <w:tcPr>
            <w:tcW w:w="540" w:type="dxa"/>
            <w:vAlign w:val="bottom"/>
            <w:shd w:val="clear" w:color="auto" w:fill="000000"/>
          </w:tcPr>
          <w:p>
            <w:pPr>
              <w:spacing w:after="0"/>
              <w:rPr>
                <w:sz w:val="21"/>
                <w:szCs w:val="21"/>
                <w:color w:val="auto"/>
              </w:rPr>
            </w:pPr>
          </w:p>
        </w:tc>
        <w:tc>
          <w:tcPr>
            <w:tcW w:w="280" w:type="dxa"/>
            <w:vAlign w:val="bottom"/>
            <w:shd w:val="clear" w:color="auto" w:fill="000000"/>
          </w:tcPr>
          <w:p>
            <w:pPr>
              <w:spacing w:after="0"/>
              <w:rPr>
                <w:sz w:val="21"/>
                <w:szCs w:val="21"/>
                <w:color w:val="auto"/>
              </w:rPr>
            </w:pPr>
          </w:p>
        </w:tc>
        <w:tc>
          <w:tcPr>
            <w:tcW w:w="740" w:type="dxa"/>
            <w:vAlign w:val="bottom"/>
            <w:shd w:val="clear" w:color="auto" w:fill="000000"/>
          </w:tcPr>
          <w:p>
            <w:pPr>
              <w:spacing w:after="0"/>
              <w:rPr>
                <w:sz w:val="21"/>
                <w:szCs w:val="21"/>
                <w:color w:val="auto"/>
              </w:rPr>
            </w:pPr>
          </w:p>
        </w:tc>
        <w:tc>
          <w:tcPr>
            <w:tcW w:w="880" w:type="dxa"/>
            <w:vAlign w:val="bottom"/>
            <w:shd w:val="clear" w:color="auto" w:fill="000000"/>
          </w:tcPr>
          <w:p>
            <w:pPr>
              <w:spacing w:after="0"/>
              <w:rPr>
                <w:sz w:val="21"/>
                <w:szCs w:val="21"/>
                <w:color w:val="auto"/>
              </w:rPr>
            </w:pPr>
          </w:p>
        </w:tc>
        <w:tc>
          <w:tcPr>
            <w:tcW w:w="800" w:type="dxa"/>
            <w:vAlign w:val="bottom"/>
            <w:shd w:val="clear" w:color="auto" w:fill="000000"/>
          </w:tcPr>
          <w:p>
            <w:pPr>
              <w:spacing w:after="0"/>
              <w:rPr>
                <w:sz w:val="21"/>
                <w:szCs w:val="21"/>
                <w:color w:val="auto"/>
              </w:rPr>
            </w:pPr>
          </w:p>
        </w:tc>
      </w:tr>
      <w:tr>
        <w:trPr>
          <w:trHeight w:val="235"/>
        </w:trPr>
        <w:tc>
          <w:tcPr>
            <w:tcW w:w="3400" w:type="dxa"/>
            <w:vAlign w:val="bottom"/>
          </w:tcPr>
          <w:p>
            <w:pPr>
              <w:ind w:left="20"/>
              <w:spacing w:after="0"/>
              <w:rPr>
                <w:sz w:val="20"/>
                <w:szCs w:val="20"/>
                <w:color w:val="auto"/>
              </w:rPr>
            </w:pPr>
            <w:r>
              <w:rPr>
                <w:rFonts w:ascii="Arial" w:cs="Arial" w:eastAsia="Arial" w:hAnsi="Arial"/>
                <w:sz w:val="18"/>
                <w:szCs w:val="18"/>
                <w:color w:val="auto"/>
              </w:rPr>
              <w:t>Long-term debt</w:t>
            </w:r>
          </w:p>
        </w:tc>
        <w:tc>
          <w:tcPr>
            <w:tcW w:w="3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540" w:type="dxa"/>
            <w:vAlign w:val="bottom"/>
          </w:tcPr>
          <w:p>
            <w:pPr>
              <w:jc w:val="right"/>
              <w:ind w:right="13"/>
              <w:spacing w:after="0"/>
              <w:rPr>
                <w:sz w:val="20"/>
                <w:szCs w:val="20"/>
                <w:color w:val="auto"/>
              </w:rPr>
            </w:pPr>
            <w:r>
              <w:rPr>
                <w:rFonts w:ascii="Arial" w:cs="Arial" w:eastAsia="Arial" w:hAnsi="Arial"/>
                <w:sz w:val="18"/>
                <w:szCs w:val="18"/>
                <w:color w:val="auto"/>
              </w:rPr>
              <w:t>66</w:t>
            </w:r>
          </w:p>
        </w:tc>
        <w:tc>
          <w:tcPr>
            <w:tcW w:w="2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66</w:t>
            </w:r>
          </w:p>
        </w:tc>
        <w:tc>
          <w:tcPr>
            <w:tcW w:w="2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  $</w:t>
            </w:r>
          </w:p>
        </w:tc>
        <w:tc>
          <w:tcPr>
            <w:tcW w:w="880" w:type="dxa"/>
            <w:vAlign w:val="bottom"/>
          </w:tcPr>
          <w:p>
            <w:pPr>
              <w:jc w:val="right"/>
              <w:ind w:right="13"/>
              <w:spacing w:after="0"/>
              <w:rPr>
                <w:sz w:val="20"/>
                <w:szCs w:val="20"/>
                <w:color w:val="auto"/>
              </w:rPr>
            </w:pPr>
            <w:r>
              <w:rPr>
                <w:rFonts w:ascii="Arial" w:cs="Arial" w:eastAsia="Arial" w:hAnsi="Arial"/>
                <w:sz w:val="18"/>
                <w:szCs w:val="18"/>
                <w:color w:val="auto"/>
              </w:rPr>
              <w:t>1,389</w:t>
            </w:r>
          </w:p>
        </w:tc>
        <w:tc>
          <w:tcPr>
            <w:tcW w:w="800" w:type="dxa"/>
            <w:vAlign w:val="bottom"/>
          </w:tcPr>
          <w:p>
            <w:pPr>
              <w:jc w:val="right"/>
              <w:spacing w:after="0"/>
              <w:rPr>
                <w:sz w:val="20"/>
                <w:szCs w:val="20"/>
                <w:color w:val="auto"/>
              </w:rPr>
            </w:pPr>
            <w:r>
              <w:rPr>
                <w:rFonts w:ascii="Arial" w:cs="Arial" w:eastAsia="Arial" w:hAnsi="Arial"/>
                <w:sz w:val="18"/>
                <w:szCs w:val="18"/>
                <w:color w:val="auto"/>
              </w:rPr>
              <w:t>$  1,521</w:t>
            </w:r>
          </w:p>
        </w:tc>
      </w:tr>
      <w:tr>
        <w:trPr>
          <w:trHeight w:val="251"/>
        </w:trPr>
        <w:tc>
          <w:tcPr>
            <w:tcW w:w="3400" w:type="dxa"/>
            <w:vAlign w:val="bottom"/>
            <w:shd w:val="clear" w:color="auto" w:fill="C0C0C0"/>
          </w:tcPr>
          <w:p>
            <w:pPr>
              <w:ind w:left="20"/>
              <w:spacing w:after="0"/>
              <w:rPr>
                <w:sz w:val="20"/>
                <w:szCs w:val="20"/>
                <w:color w:val="auto"/>
              </w:rPr>
            </w:pPr>
            <w:r>
              <w:rPr>
                <w:rFonts w:ascii="Arial" w:cs="Arial" w:eastAsia="Arial" w:hAnsi="Arial"/>
                <w:sz w:val="18"/>
                <w:szCs w:val="18"/>
                <w:color w:val="auto"/>
              </w:rPr>
              <w:t>Interest on debt (1)</w:t>
            </w:r>
          </w:p>
        </w:tc>
        <w:tc>
          <w:tcPr>
            <w:tcW w:w="300" w:type="dxa"/>
            <w:vAlign w:val="bottom"/>
            <w:shd w:val="clear" w:color="auto" w:fill="C0C0C0"/>
          </w:tcPr>
          <w:p>
            <w:pPr>
              <w:spacing w:after="0"/>
              <w:rPr>
                <w:sz w:val="21"/>
                <w:szCs w:val="21"/>
                <w:color w:val="auto"/>
              </w:rPr>
            </w:pPr>
          </w:p>
        </w:tc>
        <w:tc>
          <w:tcPr>
            <w:tcW w:w="540" w:type="dxa"/>
            <w:vAlign w:val="bottom"/>
            <w:shd w:val="clear" w:color="auto" w:fill="C0C0C0"/>
          </w:tcPr>
          <w:p>
            <w:pPr>
              <w:jc w:val="right"/>
              <w:ind w:right="13"/>
              <w:spacing w:after="0"/>
              <w:rPr>
                <w:sz w:val="20"/>
                <w:szCs w:val="20"/>
                <w:color w:val="auto"/>
              </w:rPr>
            </w:pPr>
            <w:r>
              <w:rPr>
                <w:rFonts w:ascii="Arial" w:cs="Arial" w:eastAsia="Arial" w:hAnsi="Arial"/>
                <w:sz w:val="18"/>
                <w:szCs w:val="18"/>
                <w:color w:val="auto"/>
              </w:rPr>
              <w:t>78</w:t>
            </w:r>
          </w:p>
        </w:tc>
        <w:tc>
          <w:tcPr>
            <w:tcW w:w="280" w:type="dxa"/>
            <w:vAlign w:val="bottom"/>
            <w:shd w:val="clear" w:color="auto" w:fill="C0C0C0"/>
          </w:tcPr>
          <w:p>
            <w:pPr>
              <w:spacing w:after="0"/>
              <w:rPr>
                <w:sz w:val="21"/>
                <w:szCs w:val="21"/>
                <w:color w:val="auto"/>
              </w:rPr>
            </w:pPr>
          </w:p>
        </w:tc>
        <w:tc>
          <w:tcPr>
            <w:tcW w:w="54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145</w:t>
            </w:r>
          </w:p>
        </w:tc>
        <w:tc>
          <w:tcPr>
            <w:tcW w:w="280" w:type="dxa"/>
            <w:vAlign w:val="bottom"/>
            <w:shd w:val="clear" w:color="auto" w:fill="C0C0C0"/>
          </w:tcPr>
          <w:p>
            <w:pPr>
              <w:spacing w:after="0"/>
              <w:rPr>
                <w:sz w:val="21"/>
                <w:szCs w:val="21"/>
                <w:color w:val="auto"/>
              </w:rPr>
            </w:pPr>
          </w:p>
        </w:tc>
        <w:tc>
          <w:tcPr>
            <w:tcW w:w="740" w:type="dxa"/>
            <w:vAlign w:val="bottom"/>
            <w:shd w:val="clear" w:color="auto" w:fill="C0C0C0"/>
          </w:tcPr>
          <w:p>
            <w:pPr>
              <w:jc w:val="right"/>
              <w:ind w:right="193"/>
              <w:spacing w:after="0"/>
              <w:rPr>
                <w:sz w:val="20"/>
                <w:szCs w:val="20"/>
                <w:color w:val="auto"/>
              </w:rPr>
            </w:pPr>
            <w:r>
              <w:rPr>
                <w:rFonts w:ascii="Arial" w:cs="Arial" w:eastAsia="Arial" w:hAnsi="Arial"/>
                <w:sz w:val="18"/>
                <w:szCs w:val="18"/>
                <w:color w:val="auto"/>
              </w:rPr>
              <w:t>152</w:t>
            </w:r>
          </w:p>
        </w:tc>
        <w:tc>
          <w:tcPr>
            <w:tcW w:w="880" w:type="dxa"/>
            <w:vAlign w:val="bottom"/>
            <w:shd w:val="clear" w:color="auto" w:fill="C0C0C0"/>
          </w:tcPr>
          <w:p>
            <w:pPr>
              <w:jc w:val="right"/>
              <w:ind w:right="13"/>
              <w:spacing w:after="0"/>
              <w:rPr>
                <w:sz w:val="20"/>
                <w:szCs w:val="20"/>
                <w:color w:val="auto"/>
              </w:rPr>
            </w:pPr>
            <w:r>
              <w:rPr>
                <w:rFonts w:ascii="Arial" w:cs="Arial" w:eastAsia="Arial" w:hAnsi="Arial"/>
                <w:sz w:val="18"/>
                <w:szCs w:val="18"/>
                <w:color w:val="auto"/>
              </w:rPr>
              <w:t>1,687</w:t>
            </w:r>
          </w:p>
        </w:tc>
        <w:tc>
          <w:tcPr>
            <w:tcW w:w="800" w:type="dxa"/>
            <w:vAlign w:val="bottom"/>
            <w:shd w:val="clear" w:color="auto" w:fill="C0C0C0"/>
          </w:tcPr>
          <w:p>
            <w:pPr>
              <w:jc w:val="right"/>
              <w:spacing w:after="0"/>
              <w:rPr>
                <w:sz w:val="20"/>
                <w:szCs w:val="20"/>
                <w:color w:val="auto"/>
              </w:rPr>
            </w:pPr>
            <w:r>
              <w:rPr>
                <w:rFonts w:ascii="Arial" w:cs="Arial" w:eastAsia="Arial" w:hAnsi="Arial"/>
                <w:sz w:val="18"/>
                <w:szCs w:val="18"/>
                <w:color w:val="auto"/>
              </w:rPr>
              <w:t>2,062</w:t>
            </w:r>
          </w:p>
        </w:tc>
      </w:tr>
      <w:tr>
        <w:trPr>
          <w:trHeight w:val="235"/>
        </w:trPr>
        <w:tc>
          <w:tcPr>
            <w:tcW w:w="3400" w:type="dxa"/>
            <w:vAlign w:val="bottom"/>
          </w:tcPr>
          <w:p>
            <w:pPr>
              <w:ind w:left="20"/>
              <w:spacing w:after="0"/>
              <w:rPr>
                <w:sz w:val="20"/>
                <w:szCs w:val="20"/>
                <w:color w:val="auto"/>
              </w:rPr>
            </w:pPr>
            <w:r>
              <w:rPr>
                <w:rFonts w:ascii="Arial" w:cs="Arial" w:eastAsia="Arial" w:hAnsi="Arial"/>
                <w:sz w:val="18"/>
                <w:szCs w:val="18"/>
                <w:color w:val="auto"/>
              </w:rPr>
              <w:t>Operating leases</w:t>
            </w:r>
          </w:p>
        </w:tc>
        <w:tc>
          <w:tcPr>
            <w:tcW w:w="300" w:type="dxa"/>
            <w:vAlign w:val="bottom"/>
          </w:tcPr>
          <w:p>
            <w:pPr>
              <w:spacing w:after="0"/>
              <w:rPr>
                <w:sz w:val="20"/>
                <w:szCs w:val="20"/>
                <w:color w:val="auto"/>
              </w:rPr>
            </w:pPr>
          </w:p>
        </w:tc>
        <w:tc>
          <w:tcPr>
            <w:tcW w:w="540" w:type="dxa"/>
            <w:vAlign w:val="bottom"/>
          </w:tcPr>
          <w:p>
            <w:pPr>
              <w:jc w:val="right"/>
              <w:ind w:right="13"/>
              <w:spacing w:after="0"/>
              <w:rPr>
                <w:sz w:val="20"/>
                <w:szCs w:val="20"/>
                <w:color w:val="auto"/>
              </w:rPr>
            </w:pPr>
            <w:r>
              <w:rPr>
                <w:rFonts w:ascii="Arial" w:cs="Arial" w:eastAsia="Arial" w:hAnsi="Arial"/>
                <w:sz w:val="18"/>
                <w:szCs w:val="18"/>
                <w:color w:val="auto"/>
              </w:rPr>
              <w:t>19</w:t>
            </w:r>
          </w:p>
        </w:tc>
        <w:tc>
          <w:tcPr>
            <w:tcW w:w="28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29</w:t>
            </w:r>
          </w:p>
        </w:tc>
        <w:tc>
          <w:tcPr>
            <w:tcW w:w="280" w:type="dxa"/>
            <w:vAlign w:val="bottom"/>
          </w:tcPr>
          <w:p>
            <w:pPr>
              <w:spacing w:after="0"/>
              <w:rPr>
                <w:sz w:val="20"/>
                <w:szCs w:val="20"/>
                <w:color w:val="auto"/>
              </w:rPr>
            </w:pPr>
          </w:p>
        </w:tc>
        <w:tc>
          <w:tcPr>
            <w:tcW w:w="740" w:type="dxa"/>
            <w:vAlign w:val="bottom"/>
          </w:tcPr>
          <w:p>
            <w:pPr>
              <w:jc w:val="right"/>
              <w:ind w:right="193"/>
              <w:spacing w:after="0"/>
              <w:rPr>
                <w:sz w:val="20"/>
                <w:szCs w:val="20"/>
                <w:color w:val="auto"/>
              </w:rPr>
            </w:pPr>
            <w:r>
              <w:rPr>
                <w:rFonts w:ascii="Arial" w:cs="Arial" w:eastAsia="Arial" w:hAnsi="Arial"/>
                <w:sz w:val="18"/>
                <w:szCs w:val="18"/>
                <w:color w:val="auto"/>
              </w:rPr>
              <w:t>17</w:t>
            </w:r>
          </w:p>
        </w:tc>
        <w:tc>
          <w:tcPr>
            <w:tcW w:w="880" w:type="dxa"/>
            <w:vAlign w:val="bottom"/>
          </w:tcPr>
          <w:p>
            <w:pPr>
              <w:jc w:val="right"/>
              <w:ind w:right="13"/>
              <w:spacing w:after="0"/>
              <w:rPr>
                <w:sz w:val="20"/>
                <w:szCs w:val="20"/>
                <w:color w:val="auto"/>
              </w:rPr>
            </w:pPr>
            <w:r>
              <w:rPr>
                <w:rFonts w:ascii="Arial" w:cs="Arial" w:eastAsia="Arial" w:hAnsi="Arial"/>
                <w:sz w:val="18"/>
                <w:szCs w:val="18"/>
                <w:color w:val="auto"/>
              </w:rPr>
              <w:t>19</w:t>
            </w:r>
          </w:p>
        </w:tc>
        <w:tc>
          <w:tcPr>
            <w:tcW w:w="800" w:type="dxa"/>
            <w:vAlign w:val="bottom"/>
          </w:tcPr>
          <w:p>
            <w:pPr>
              <w:jc w:val="right"/>
              <w:spacing w:after="0"/>
              <w:rPr>
                <w:sz w:val="20"/>
                <w:szCs w:val="20"/>
                <w:color w:val="auto"/>
              </w:rPr>
            </w:pPr>
            <w:r>
              <w:rPr>
                <w:rFonts w:ascii="Arial" w:cs="Arial" w:eastAsia="Arial" w:hAnsi="Arial"/>
                <w:sz w:val="18"/>
                <w:szCs w:val="18"/>
                <w:color w:val="auto"/>
              </w:rPr>
              <w:t>84</w:t>
            </w:r>
          </w:p>
        </w:tc>
      </w:tr>
      <w:tr>
        <w:trPr>
          <w:trHeight w:val="251"/>
        </w:trPr>
        <w:tc>
          <w:tcPr>
            <w:tcW w:w="3400" w:type="dxa"/>
            <w:vAlign w:val="bottom"/>
            <w:shd w:val="clear" w:color="auto" w:fill="C0C0C0"/>
          </w:tcPr>
          <w:p>
            <w:pPr>
              <w:ind w:left="20"/>
              <w:spacing w:after="0"/>
              <w:rPr>
                <w:sz w:val="20"/>
                <w:szCs w:val="20"/>
                <w:color w:val="auto"/>
              </w:rPr>
            </w:pPr>
            <w:r>
              <w:rPr>
                <w:rFonts w:ascii="Arial" w:cs="Arial" w:eastAsia="Arial" w:hAnsi="Arial"/>
                <w:sz w:val="18"/>
                <w:szCs w:val="18"/>
                <w:color w:val="auto"/>
              </w:rPr>
              <w:t>Litigation reserve</w:t>
            </w:r>
          </w:p>
        </w:tc>
        <w:tc>
          <w:tcPr>
            <w:tcW w:w="300" w:type="dxa"/>
            <w:vAlign w:val="bottom"/>
            <w:shd w:val="clear" w:color="auto" w:fill="C0C0C0"/>
          </w:tcPr>
          <w:p>
            <w:pPr>
              <w:spacing w:after="0"/>
              <w:rPr>
                <w:sz w:val="21"/>
                <w:szCs w:val="21"/>
                <w:color w:val="auto"/>
              </w:rPr>
            </w:pPr>
          </w:p>
        </w:tc>
        <w:tc>
          <w:tcPr>
            <w:tcW w:w="540" w:type="dxa"/>
            <w:vAlign w:val="bottom"/>
            <w:shd w:val="clear" w:color="auto" w:fill="C0C0C0"/>
          </w:tcPr>
          <w:p>
            <w:pPr>
              <w:jc w:val="right"/>
              <w:ind w:right="13"/>
              <w:spacing w:after="0"/>
              <w:rPr>
                <w:sz w:val="20"/>
                <w:szCs w:val="20"/>
                <w:color w:val="auto"/>
              </w:rPr>
            </w:pPr>
            <w:r>
              <w:rPr>
                <w:rFonts w:ascii="Arial" w:cs="Arial" w:eastAsia="Arial" w:hAnsi="Arial"/>
                <w:sz w:val="18"/>
                <w:szCs w:val="18"/>
                <w:color w:val="auto"/>
              </w:rPr>
              <w:t>25</w:t>
            </w:r>
          </w:p>
        </w:tc>
        <w:tc>
          <w:tcPr>
            <w:tcW w:w="280" w:type="dxa"/>
            <w:vAlign w:val="bottom"/>
            <w:shd w:val="clear" w:color="auto" w:fill="C0C0C0"/>
          </w:tcPr>
          <w:p>
            <w:pPr>
              <w:spacing w:after="0"/>
              <w:rPr>
                <w:sz w:val="21"/>
                <w:szCs w:val="21"/>
                <w:color w:val="auto"/>
              </w:rPr>
            </w:pPr>
          </w:p>
        </w:tc>
        <w:tc>
          <w:tcPr>
            <w:tcW w:w="540" w:type="dxa"/>
            <w:vAlign w:val="bottom"/>
            <w:shd w:val="clear" w:color="auto" w:fill="C0C0C0"/>
          </w:tcPr>
          <w:p>
            <w:pPr>
              <w:jc w:val="right"/>
              <w:spacing w:after="0"/>
              <w:rPr>
                <w:sz w:val="20"/>
                <w:szCs w:val="20"/>
                <w:color w:val="auto"/>
              </w:rPr>
            </w:pPr>
            <w:r>
              <w:rPr>
                <w:rFonts w:ascii="Arial" w:cs="Arial" w:eastAsia="Arial" w:hAnsi="Arial"/>
                <w:sz w:val="18"/>
                <w:szCs w:val="18"/>
                <w:color w:val="auto"/>
              </w:rPr>
              <w:t>50</w:t>
            </w:r>
          </w:p>
        </w:tc>
        <w:tc>
          <w:tcPr>
            <w:tcW w:w="280" w:type="dxa"/>
            <w:vAlign w:val="bottom"/>
            <w:shd w:val="clear" w:color="auto" w:fill="C0C0C0"/>
          </w:tcPr>
          <w:p>
            <w:pPr>
              <w:spacing w:after="0"/>
              <w:rPr>
                <w:sz w:val="21"/>
                <w:szCs w:val="21"/>
                <w:color w:val="auto"/>
              </w:rPr>
            </w:pPr>
          </w:p>
        </w:tc>
        <w:tc>
          <w:tcPr>
            <w:tcW w:w="740" w:type="dxa"/>
            <w:vAlign w:val="bottom"/>
            <w:shd w:val="clear" w:color="auto" w:fill="C0C0C0"/>
          </w:tcPr>
          <w:p>
            <w:pPr>
              <w:jc w:val="right"/>
              <w:ind w:right="193"/>
              <w:spacing w:after="0"/>
              <w:rPr>
                <w:sz w:val="20"/>
                <w:szCs w:val="20"/>
                <w:color w:val="auto"/>
              </w:rPr>
            </w:pPr>
            <w:r>
              <w:rPr>
                <w:rFonts w:ascii="Arial" w:cs="Arial" w:eastAsia="Arial" w:hAnsi="Arial"/>
                <w:sz w:val="18"/>
                <w:szCs w:val="18"/>
                <w:color w:val="auto"/>
              </w:rPr>
              <w:t>--</w:t>
            </w:r>
          </w:p>
        </w:tc>
        <w:tc>
          <w:tcPr>
            <w:tcW w:w="880" w:type="dxa"/>
            <w:vAlign w:val="bottom"/>
            <w:shd w:val="clear" w:color="auto" w:fill="C0C0C0"/>
          </w:tcPr>
          <w:p>
            <w:pPr>
              <w:jc w:val="right"/>
              <w:ind w:right="13"/>
              <w:spacing w:after="0"/>
              <w:rPr>
                <w:sz w:val="20"/>
                <w:szCs w:val="20"/>
                <w:color w:val="auto"/>
              </w:rPr>
            </w:pPr>
            <w:r>
              <w:rPr>
                <w:rFonts w:ascii="Arial" w:cs="Arial" w:eastAsia="Arial" w:hAnsi="Arial"/>
                <w:sz w:val="18"/>
                <w:szCs w:val="18"/>
                <w:color w:val="auto"/>
              </w:rPr>
              <w:t>--</w:t>
            </w:r>
          </w:p>
        </w:tc>
        <w:tc>
          <w:tcPr>
            <w:tcW w:w="800" w:type="dxa"/>
            <w:vAlign w:val="bottom"/>
            <w:shd w:val="clear" w:color="auto" w:fill="C0C0C0"/>
          </w:tcPr>
          <w:p>
            <w:pPr>
              <w:jc w:val="right"/>
              <w:spacing w:after="0"/>
              <w:rPr>
                <w:sz w:val="20"/>
                <w:szCs w:val="20"/>
                <w:color w:val="auto"/>
              </w:rPr>
            </w:pPr>
            <w:r>
              <w:rPr>
                <w:rFonts w:ascii="Arial" w:cs="Arial" w:eastAsia="Arial" w:hAnsi="Arial"/>
                <w:sz w:val="18"/>
                <w:szCs w:val="18"/>
                <w:color w:val="auto"/>
              </w:rPr>
              <w:t>75</w:t>
            </w:r>
          </w:p>
        </w:tc>
      </w:tr>
      <w:tr>
        <w:trPr>
          <w:trHeight w:val="235"/>
        </w:trPr>
        <w:tc>
          <w:tcPr>
            <w:tcW w:w="3400" w:type="dxa"/>
            <w:vAlign w:val="bottom"/>
          </w:tcPr>
          <w:p>
            <w:pPr>
              <w:ind w:left="20"/>
              <w:spacing w:after="0"/>
              <w:rPr>
                <w:sz w:val="20"/>
                <w:szCs w:val="20"/>
                <w:color w:val="auto"/>
              </w:rPr>
            </w:pPr>
            <w:r>
              <w:rPr>
                <w:rFonts w:ascii="Arial" w:cs="Arial" w:eastAsia="Arial" w:hAnsi="Arial"/>
                <w:sz w:val="18"/>
                <w:szCs w:val="18"/>
                <w:color w:val="auto"/>
              </w:rPr>
              <w:t>Purchased-power contracts</w:t>
            </w:r>
          </w:p>
        </w:tc>
        <w:tc>
          <w:tcPr>
            <w:tcW w:w="300" w:type="dxa"/>
            <w:vAlign w:val="bottom"/>
          </w:tcPr>
          <w:p>
            <w:pPr>
              <w:spacing w:after="0"/>
              <w:rPr>
                <w:sz w:val="20"/>
                <w:szCs w:val="20"/>
                <w:color w:val="auto"/>
              </w:rPr>
            </w:pPr>
          </w:p>
        </w:tc>
        <w:tc>
          <w:tcPr>
            <w:tcW w:w="540" w:type="dxa"/>
            <w:vAlign w:val="bottom"/>
          </w:tcPr>
          <w:p>
            <w:pPr>
              <w:jc w:val="right"/>
              <w:ind w:right="13"/>
              <w:spacing w:after="0"/>
              <w:rPr>
                <w:sz w:val="20"/>
                <w:szCs w:val="20"/>
                <w:color w:val="auto"/>
              </w:rPr>
            </w:pPr>
            <w:r>
              <w:rPr>
                <w:rFonts w:ascii="Arial" w:cs="Arial" w:eastAsia="Arial" w:hAnsi="Arial"/>
                <w:sz w:val="18"/>
                <w:szCs w:val="18"/>
                <w:color w:val="auto"/>
              </w:rPr>
              <w:t>247</w:t>
            </w:r>
          </w:p>
        </w:tc>
        <w:tc>
          <w:tcPr>
            <w:tcW w:w="28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536</w:t>
            </w:r>
          </w:p>
        </w:tc>
        <w:tc>
          <w:tcPr>
            <w:tcW w:w="280" w:type="dxa"/>
            <w:vAlign w:val="bottom"/>
          </w:tcPr>
          <w:p>
            <w:pPr>
              <w:spacing w:after="0"/>
              <w:rPr>
                <w:sz w:val="20"/>
                <w:szCs w:val="20"/>
                <w:color w:val="auto"/>
              </w:rPr>
            </w:pPr>
          </w:p>
        </w:tc>
        <w:tc>
          <w:tcPr>
            <w:tcW w:w="740" w:type="dxa"/>
            <w:vAlign w:val="bottom"/>
          </w:tcPr>
          <w:p>
            <w:pPr>
              <w:jc w:val="right"/>
              <w:ind w:right="193"/>
              <w:spacing w:after="0"/>
              <w:rPr>
                <w:sz w:val="20"/>
                <w:szCs w:val="20"/>
                <w:color w:val="auto"/>
              </w:rPr>
            </w:pPr>
            <w:r>
              <w:rPr>
                <w:rFonts w:ascii="Arial" w:cs="Arial" w:eastAsia="Arial" w:hAnsi="Arial"/>
                <w:sz w:val="18"/>
                <w:szCs w:val="18"/>
                <w:color w:val="auto"/>
              </w:rPr>
              <w:t>565</w:t>
            </w:r>
          </w:p>
        </w:tc>
        <w:tc>
          <w:tcPr>
            <w:tcW w:w="880" w:type="dxa"/>
            <w:vAlign w:val="bottom"/>
          </w:tcPr>
          <w:p>
            <w:pPr>
              <w:jc w:val="right"/>
              <w:ind w:right="13"/>
              <w:spacing w:after="0"/>
              <w:rPr>
                <w:sz w:val="20"/>
                <w:szCs w:val="20"/>
                <w:color w:val="auto"/>
              </w:rPr>
            </w:pPr>
            <w:r>
              <w:rPr>
                <w:rFonts w:ascii="Arial" w:cs="Arial" w:eastAsia="Arial" w:hAnsi="Arial"/>
                <w:sz w:val="18"/>
                <w:szCs w:val="18"/>
                <w:color w:val="auto"/>
              </w:rPr>
              <w:t>2,627</w:t>
            </w:r>
          </w:p>
        </w:tc>
        <w:tc>
          <w:tcPr>
            <w:tcW w:w="800" w:type="dxa"/>
            <w:vAlign w:val="bottom"/>
          </w:tcPr>
          <w:p>
            <w:pPr>
              <w:jc w:val="right"/>
              <w:spacing w:after="0"/>
              <w:rPr>
                <w:sz w:val="20"/>
                <w:szCs w:val="20"/>
                <w:color w:val="auto"/>
              </w:rPr>
            </w:pPr>
            <w:r>
              <w:rPr>
                <w:rFonts w:ascii="Arial" w:cs="Arial" w:eastAsia="Arial" w:hAnsi="Arial"/>
                <w:sz w:val="18"/>
                <w:szCs w:val="18"/>
                <w:color w:val="auto"/>
              </w:rPr>
              <w:t>3,975</w:t>
            </w:r>
          </w:p>
        </w:tc>
      </w:tr>
      <w:tr>
        <w:trPr>
          <w:trHeight w:val="251"/>
        </w:trPr>
        <w:tc>
          <w:tcPr>
            <w:tcW w:w="3400" w:type="dxa"/>
            <w:vAlign w:val="bottom"/>
            <w:shd w:val="clear" w:color="auto" w:fill="C0C0C0"/>
          </w:tcPr>
          <w:p>
            <w:pPr>
              <w:ind w:left="20"/>
              <w:spacing w:after="0"/>
              <w:rPr>
                <w:sz w:val="20"/>
                <w:szCs w:val="20"/>
                <w:color w:val="auto"/>
              </w:rPr>
            </w:pPr>
            <w:r>
              <w:rPr>
                <w:rFonts w:ascii="Arial" w:cs="Arial" w:eastAsia="Arial" w:hAnsi="Arial"/>
                <w:sz w:val="18"/>
                <w:szCs w:val="18"/>
                <w:color w:val="auto"/>
              </w:rPr>
              <w:t>Natural gas contracts</w:t>
            </w:r>
          </w:p>
        </w:tc>
        <w:tc>
          <w:tcPr>
            <w:tcW w:w="300" w:type="dxa"/>
            <w:vAlign w:val="bottom"/>
            <w:shd w:val="clear" w:color="auto" w:fill="C0C0C0"/>
          </w:tcPr>
          <w:p>
            <w:pPr>
              <w:spacing w:after="0"/>
              <w:rPr>
                <w:sz w:val="21"/>
                <w:szCs w:val="21"/>
                <w:color w:val="auto"/>
              </w:rPr>
            </w:pPr>
          </w:p>
        </w:tc>
        <w:tc>
          <w:tcPr>
            <w:tcW w:w="540" w:type="dxa"/>
            <w:vAlign w:val="bottom"/>
            <w:shd w:val="clear" w:color="auto" w:fill="C0C0C0"/>
          </w:tcPr>
          <w:p>
            <w:pPr>
              <w:jc w:val="right"/>
              <w:ind w:right="13"/>
              <w:spacing w:after="0"/>
              <w:rPr>
                <w:sz w:val="20"/>
                <w:szCs w:val="20"/>
                <w:color w:val="auto"/>
              </w:rPr>
            </w:pPr>
            <w:r>
              <w:rPr>
                <w:rFonts w:ascii="Arial" w:cs="Arial" w:eastAsia="Arial" w:hAnsi="Arial"/>
                <w:sz w:val="18"/>
                <w:szCs w:val="18"/>
                <w:color w:val="auto"/>
              </w:rPr>
              <w:t>22</w:t>
            </w:r>
          </w:p>
        </w:tc>
        <w:tc>
          <w:tcPr>
            <w:tcW w:w="280" w:type="dxa"/>
            <w:vAlign w:val="bottom"/>
            <w:shd w:val="clear" w:color="auto" w:fill="C0C0C0"/>
          </w:tcPr>
          <w:p>
            <w:pPr>
              <w:spacing w:after="0"/>
              <w:rPr>
                <w:sz w:val="21"/>
                <w:szCs w:val="21"/>
                <w:color w:val="auto"/>
              </w:rPr>
            </w:pPr>
          </w:p>
        </w:tc>
        <w:tc>
          <w:tcPr>
            <w:tcW w:w="540" w:type="dxa"/>
            <w:vAlign w:val="bottom"/>
            <w:shd w:val="clear" w:color="auto" w:fill="C0C0C0"/>
          </w:tcPr>
          <w:p>
            <w:pPr>
              <w:jc w:val="right"/>
              <w:spacing w:after="0"/>
              <w:rPr>
                <w:sz w:val="20"/>
                <w:szCs w:val="20"/>
                <w:color w:val="auto"/>
              </w:rPr>
            </w:pPr>
            <w:r>
              <w:rPr>
                <w:rFonts w:ascii="Arial" w:cs="Arial" w:eastAsia="Arial" w:hAnsi="Arial"/>
                <w:sz w:val="18"/>
                <w:szCs w:val="18"/>
                <w:color w:val="auto"/>
              </w:rPr>
              <w:t>28</w:t>
            </w:r>
          </w:p>
        </w:tc>
        <w:tc>
          <w:tcPr>
            <w:tcW w:w="280" w:type="dxa"/>
            <w:vAlign w:val="bottom"/>
            <w:shd w:val="clear" w:color="auto" w:fill="C0C0C0"/>
          </w:tcPr>
          <w:p>
            <w:pPr>
              <w:spacing w:after="0"/>
              <w:rPr>
                <w:sz w:val="21"/>
                <w:szCs w:val="21"/>
                <w:color w:val="auto"/>
              </w:rPr>
            </w:pPr>
          </w:p>
        </w:tc>
        <w:tc>
          <w:tcPr>
            <w:tcW w:w="740" w:type="dxa"/>
            <w:vAlign w:val="bottom"/>
            <w:shd w:val="clear" w:color="auto" w:fill="C0C0C0"/>
          </w:tcPr>
          <w:p>
            <w:pPr>
              <w:jc w:val="right"/>
              <w:ind w:right="193"/>
              <w:spacing w:after="0"/>
              <w:rPr>
                <w:sz w:val="20"/>
                <w:szCs w:val="20"/>
                <w:color w:val="auto"/>
              </w:rPr>
            </w:pPr>
            <w:r>
              <w:rPr>
                <w:rFonts w:ascii="Arial" w:cs="Arial" w:eastAsia="Arial" w:hAnsi="Arial"/>
                <w:sz w:val="18"/>
                <w:szCs w:val="18"/>
                <w:color w:val="auto"/>
              </w:rPr>
              <w:t>20</w:t>
            </w:r>
          </w:p>
        </w:tc>
        <w:tc>
          <w:tcPr>
            <w:tcW w:w="880" w:type="dxa"/>
            <w:vAlign w:val="bottom"/>
            <w:shd w:val="clear" w:color="auto" w:fill="C0C0C0"/>
          </w:tcPr>
          <w:p>
            <w:pPr>
              <w:jc w:val="right"/>
              <w:ind w:right="13"/>
              <w:spacing w:after="0"/>
              <w:rPr>
                <w:sz w:val="20"/>
                <w:szCs w:val="20"/>
                <w:color w:val="auto"/>
              </w:rPr>
            </w:pPr>
            <w:r>
              <w:rPr>
                <w:rFonts w:ascii="Arial" w:cs="Arial" w:eastAsia="Arial" w:hAnsi="Arial"/>
                <w:sz w:val="18"/>
                <w:szCs w:val="18"/>
                <w:color w:val="auto"/>
              </w:rPr>
              <w:t>112</w:t>
            </w:r>
          </w:p>
        </w:tc>
        <w:tc>
          <w:tcPr>
            <w:tcW w:w="80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182</w:t>
            </w:r>
          </w:p>
        </w:tc>
      </w:tr>
      <w:tr>
        <w:trPr>
          <w:trHeight w:val="221"/>
        </w:trPr>
        <w:tc>
          <w:tcPr>
            <w:tcW w:w="3400" w:type="dxa"/>
            <w:vAlign w:val="bottom"/>
          </w:tcPr>
          <w:p>
            <w:pPr>
              <w:ind w:left="20"/>
              <w:spacing w:after="0"/>
              <w:rPr>
                <w:sz w:val="20"/>
                <w:szCs w:val="20"/>
                <w:color w:val="auto"/>
              </w:rPr>
            </w:pPr>
            <w:r>
              <w:rPr>
                <w:rFonts w:ascii="Arial" w:cs="Arial" w:eastAsia="Arial" w:hAnsi="Arial"/>
                <w:sz w:val="18"/>
                <w:szCs w:val="18"/>
                <w:color w:val="auto"/>
              </w:rPr>
              <w:t>Preferred stock subject to mandatory</w:t>
            </w:r>
          </w:p>
        </w:tc>
        <w:tc>
          <w:tcPr>
            <w:tcW w:w="3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230"/>
        </w:trPr>
        <w:tc>
          <w:tcPr>
            <w:tcW w:w="3400" w:type="dxa"/>
            <w:vAlign w:val="bottom"/>
          </w:tcPr>
          <w:p>
            <w:pPr>
              <w:ind w:left="20"/>
              <w:spacing w:after="0"/>
              <w:rPr>
                <w:sz w:val="20"/>
                <w:szCs w:val="20"/>
                <w:color w:val="auto"/>
              </w:rPr>
            </w:pPr>
            <w:r>
              <w:rPr>
                <w:rFonts w:ascii="Arial" w:cs="Arial" w:eastAsia="Arial" w:hAnsi="Arial"/>
                <w:sz w:val="18"/>
                <w:szCs w:val="18"/>
                <w:color w:val="auto"/>
              </w:rPr>
              <w:t>redemption</w:t>
            </w:r>
          </w:p>
        </w:tc>
        <w:tc>
          <w:tcPr>
            <w:tcW w:w="300" w:type="dxa"/>
            <w:vAlign w:val="bottom"/>
          </w:tcPr>
          <w:p>
            <w:pPr>
              <w:spacing w:after="0"/>
              <w:rPr>
                <w:sz w:val="20"/>
                <w:szCs w:val="20"/>
                <w:color w:val="auto"/>
              </w:rPr>
            </w:pPr>
          </w:p>
        </w:tc>
        <w:tc>
          <w:tcPr>
            <w:tcW w:w="540" w:type="dxa"/>
            <w:vAlign w:val="bottom"/>
          </w:tcPr>
          <w:p>
            <w:pPr>
              <w:jc w:val="right"/>
              <w:ind w:right="13"/>
              <w:spacing w:after="0"/>
              <w:rPr>
                <w:sz w:val="20"/>
                <w:szCs w:val="20"/>
                <w:color w:val="auto"/>
              </w:rPr>
            </w:pPr>
            <w:r>
              <w:rPr>
                <w:rFonts w:ascii="Arial" w:cs="Arial" w:eastAsia="Arial" w:hAnsi="Arial"/>
                <w:sz w:val="18"/>
                <w:szCs w:val="18"/>
                <w:color w:val="auto"/>
              </w:rPr>
              <w:t>3</w:t>
            </w:r>
          </w:p>
        </w:tc>
        <w:tc>
          <w:tcPr>
            <w:tcW w:w="28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16</w:t>
            </w:r>
          </w:p>
        </w:tc>
        <w:tc>
          <w:tcPr>
            <w:tcW w:w="280" w:type="dxa"/>
            <w:vAlign w:val="bottom"/>
          </w:tcPr>
          <w:p>
            <w:pPr>
              <w:spacing w:after="0"/>
              <w:rPr>
                <w:sz w:val="20"/>
                <w:szCs w:val="20"/>
                <w:color w:val="auto"/>
              </w:rPr>
            </w:pPr>
          </w:p>
        </w:tc>
        <w:tc>
          <w:tcPr>
            <w:tcW w:w="740" w:type="dxa"/>
            <w:vAlign w:val="bottom"/>
          </w:tcPr>
          <w:p>
            <w:pPr>
              <w:jc w:val="right"/>
              <w:ind w:right="193"/>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51"/>
        </w:trPr>
        <w:tc>
          <w:tcPr>
            <w:tcW w:w="3400" w:type="dxa"/>
            <w:vAlign w:val="bottom"/>
            <w:shd w:val="clear" w:color="auto" w:fill="C0C0C0"/>
          </w:tcPr>
          <w:p>
            <w:pPr>
              <w:ind w:left="20"/>
              <w:spacing w:after="0"/>
              <w:rPr>
                <w:sz w:val="20"/>
                <w:szCs w:val="20"/>
                <w:color w:val="auto"/>
              </w:rPr>
            </w:pPr>
            <w:r>
              <w:rPr>
                <w:rFonts w:ascii="Arial" w:cs="Arial" w:eastAsia="Arial" w:hAnsi="Arial"/>
                <w:sz w:val="18"/>
                <w:szCs w:val="18"/>
                <w:color w:val="auto"/>
              </w:rPr>
              <w:t>Construction commitments</w:t>
            </w:r>
          </w:p>
        </w:tc>
        <w:tc>
          <w:tcPr>
            <w:tcW w:w="300" w:type="dxa"/>
            <w:vAlign w:val="bottom"/>
            <w:shd w:val="clear" w:color="auto" w:fill="C0C0C0"/>
          </w:tcPr>
          <w:p>
            <w:pPr>
              <w:spacing w:after="0"/>
              <w:rPr>
                <w:sz w:val="21"/>
                <w:szCs w:val="21"/>
                <w:color w:val="auto"/>
              </w:rPr>
            </w:pPr>
          </w:p>
        </w:tc>
        <w:tc>
          <w:tcPr>
            <w:tcW w:w="540" w:type="dxa"/>
            <w:vAlign w:val="bottom"/>
            <w:shd w:val="clear" w:color="auto" w:fill="C0C0C0"/>
          </w:tcPr>
          <w:p>
            <w:pPr>
              <w:jc w:val="right"/>
              <w:ind w:right="13"/>
              <w:spacing w:after="0"/>
              <w:rPr>
                <w:sz w:val="20"/>
                <w:szCs w:val="20"/>
                <w:color w:val="auto"/>
              </w:rPr>
            </w:pPr>
            <w:r>
              <w:rPr>
                <w:rFonts w:ascii="Arial" w:cs="Arial" w:eastAsia="Arial" w:hAnsi="Arial"/>
                <w:sz w:val="18"/>
                <w:szCs w:val="18"/>
                <w:color w:val="auto"/>
              </w:rPr>
              <w:t>16</w:t>
            </w:r>
          </w:p>
        </w:tc>
        <w:tc>
          <w:tcPr>
            <w:tcW w:w="280" w:type="dxa"/>
            <w:vAlign w:val="bottom"/>
            <w:shd w:val="clear" w:color="auto" w:fill="C0C0C0"/>
          </w:tcPr>
          <w:p>
            <w:pPr>
              <w:spacing w:after="0"/>
              <w:rPr>
                <w:sz w:val="21"/>
                <w:szCs w:val="21"/>
                <w:color w:val="auto"/>
              </w:rPr>
            </w:pPr>
          </w:p>
        </w:tc>
        <w:tc>
          <w:tcPr>
            <w:tcW w:w="540" w:type="dxa"/>
            <w:vAlign w:val="bottom"/>
            <w:shd w:val="clear" w:color="auto" w:fill="C0C0C0"/>
          </w:tcPr>
          <w:p>
            <w:pPr>
              <w:jc w:val="right"/>
              <w:spacing w:after="0"/>
              <w:rPr>
                <w:sz w:val="20"/>
                <w:szCs w:val="20"/>
                <w:color w:val="auto"/>
              </w:rPr>
            </w:pPr>
            <w:r>
              <w:rPr>
                <w:rFonts w:ascii="Arial" w:cs="Arial" w:eastAsia="Arial" w:hAnsi="Arial"/>
                <w:sz w:val="18"/>
                <w:szCs w:val="18"/>
                <w:color w:val="auto"/>
              </w:rPr>
              <w:t>24</w:t>
            </w:r>
          </w:p>
        </w:tc>
        <w:tc>
          <w:tcPr>
            <w:tcW w:w="280" w:type="dxa"/>
            <w:vAlign w:val="bottom"/>
            <w:shd w:val="clear" w:color="auto" w:fill="C0C0C0"/>
          </w:tcPr>
          <w:p>
            <w:pPr>
              <w:spacing w:after="0"/>
              <w:rPr>
                <w:sz w:val="21"/>
                <w:szCs w:val="21"/>
                <w:color w:val="auto"/>
              </w:rPr>
            </w:pPr>
          </w:p>
        </w:tc>
        <w:tc>
          <w:tcPr>
            <w:tcW w:w="740" w:type="dxa"/>
            <w:vAlign w:val="bottom"/>
            <w:shd w:val="clear" w:color="auto" w:fill="C0C0C0"/>
          </w:tcPr>
          <w:p>
            <w:pPr>
              <w:jc w:val="right"/>
              <w:ind w:right="193"/>
              <w:spacing w:after="0"/>
              <w:rPr>
                <w:sz w:val="20"/>
                <w:szCs w:val="20"/>
                <w:color w:val="auto"/>
              </w:rPr>
            </w:pPr>
            <w:r>
              <w:rPr>
                <w:rFonts w:ascii="Arial" w:cs="Arial" w:eastAsia="Arial" w:hAnsi="Arial"/>
                <w:sz w:val="18"/>
                <w:szCs w:val="18"/>
                <w:color w:val="auto"/>
              </w:rPr>
              <w:t>7</w:t>
            </w:r>
          </w:p>
        </w:tc>
        <w:tc>
          <w:tcPr>
            <w:tcW w:w="880" w:type="dxa"/>
            <w:vAlign w:val="bottom"/>
            <w:shd w:val="clear" w:color="auto" w:fill="C0C0C0"/>
          </w:tcPr>
          <w:p>
            <w:pPr>
              <w:jc w:val="right"/>
              <w:ind w:right="13"/>
              <w:spacing w:after="0"/>
              <w:rPr>
                <w:sz w:val="20"/>
                <w:szCs w:val="20"/>
                <w:color w:val="auto"/>
              </w:rPr>
            </w:pPr>
            <w:r>
              <w:rPr>
                <w:rFonts w:ascii="Arial" w:cs="Arial" w:eastAsia="Arial" w:hAnsi="Arial"/>
                <w:sz w:val="18"/>
                <w:szCs w:val="18"/>
                <w:color w:val="auto"/>
              </w:rPr>
              <w:t>20</w:t>
            </w:r>
          </w:p>
        </w:tc>
        <w:tc>
          <w:tcPr>
            <w:tcW w:w="800" w:type="dxa"/>
            <w:vAlign w:val="bottom"/>
            <w:shd w:val="clear" w:color="auto" w:fill="C0C0C0"/>
          </w:tcPr>
          <w:p>
            <w:pPr>
              <w:jc w:val="right"/>
              <w:spacing w:after="0"/>
              <w:rPr>
                <w:sz w:val="20"/>
                <w:szCs w:val="20"/>
                <w:color w:val="auto"/>
              </w:rPr>
            </w:pPr>
            <w:r>
              <w:rPr>
                <w:rFonts w:ascii="Arial" w:cs="Arial" w:eastAsia="Arial" w:hAnsi="Arial"/>
                <w:sz w:val="18"/>
                <w:szCs w:val="18"/>
                <w:color w:val="auto"/>
              </w:rPr>
              <w:t>67</w:t>
            </w:r>
          </w:p>
        </w:tc>
      </w:tr>
      <w:tr>
        <w:trPr>
          <w:trHeight w:val="235"/>
        </w:trPr>
        <w:tc>
          <w:tcPr>
            <w:tcW w:w="3400" w:type="dxa"/>
            <w:vAlign w:val="bottom"/>
          </w:tcPr>
          <w:p>
            <w:pPr>
              <w:ind w:left="20"/>
              <w:spacing w:after="0"/>
              <w:rPr>
                <w:sz w:val="20"/>
                <w:szCs w:val="20"/>
                <w:color w:val="auto"/>
              </w:rPr>
            </w:pPr>
            <w:r>
              <w:rPr>
                <w:rFonts w:ascii="Arial" w:cs="Arial" w:eastAsia="Arial" w:hAnsi="Arial"/>
                <w:sz w:val="18"/>
                <w:szCs w:val="18"/>
                <w:color w:val="auto"/>
              </w:rPr>
              <w:t>SONGS decommissioning</w:t>
            </w:r>
          </w:p>
        </w:tc>
        <w:tc>
          <w:tcPr>
            <w:tcW w:w="300" w:type="dxa"/>
            <w:vAlign w:val="bottom"/>
          </w:tcPr>
          <w:p>
            <w:pPr>
              <w:spacing w:after="0"/>
              <w:rPr>
                <w:sz w:val="20"/>
                <w:szCs w:val="20"/>
                <w:color w:val="auto"/>
              </w:rPr>
            </w:pPr>
          </w:p>
        </w:tc>
        <w:tc>
          <w:tcPr>
            <w:tcW w:w="540" w:type="dxa"/>
            <w:vAlign w:val="bottom"/>
          </w:tcPr>
          <w:p>
            <w:pPr>
              <w:jc w:val="right"/>
              <w:ind w:right="13"/>
              <w:spacing w:after="0"/>
              <w:rPr>
                <w:sz w:val="20"/>
                <w:szCs w:val="20"/>
                <w:color w:val="auto"/>
              </w:rPr>
            </w:pPr>
            <w:r>
              <w:rPr>
                <w:rFonts w:ascii="Arial" w:cs="Arial" w:eastAsia="Arial" w:hAnsi="Arial"/>
                <w:sz w:val="18"/>
                <w:szCs w:val="18"/>
                <w:color w:val="auto"/>
              </w:rPr>
              <w:t>14</w:t>
            </w:r>
          </w:p>
        </w:tc>
        <w:tc>
          <w:tcPr>
            <w:tcW w:w="28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11</w:t>
            </w:r>
          </w:p>
        </w:tc>
        <w:tc>
          <w:tcPr>
            <w:tcW w:w="280" w:type="dxa"/>
            <w:vAlign w:val="bottom"/>
          </w:tcPr>
          <w:p>
            <w:pPr>
              <w:spacing w:after="0"/>
              <w:rPr>
                <w:sz w:val="20"/>
                <w:szCs w:val="20"/>
                <w:color w:val="auto"/>
              </w:rPr>
            </w:pPr>
          </w:p>
        </w:tc>
        <w:tc>
          <w:tcPr>
            <w:tcW w:w="740" w:type="dxa"/>
            <w:vAlign w:val="bottom"/>
          </w:tcPr>
          <w:p>
            <w:pPr>
              <w:jc w:val="right"/>
              <w:ind w:right="193"/>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3"/>
              <w:spacing w:after="0"/>
              <w:rPr>
                <w:sz w:val="20"/>
                <w:szCs w:val="20"/>
                <w:color w:val="auto"/>
              </w:rPr>
            </w:pPr>
            <w:r>
              <w:rPr>
                <w:rFonts w:ascii="Arial" w:cs="Arial" w:eastAsia="Arial" w:hAnsi="Arial"/>
                <w:sz w:val="18"/>
                <w:szCs w:val="18"/>
                <w:color w:val="auto"/>
              </w:rPr>
              <w:t>314</w:t>
            </w:r>
          </w:p>
        </w:tc>
        <w:tc>
          <w:tcPr>
            <w:tcW w:w="800" w:type="dxa"/>
            <w:vAlign w:val="bottom"/>
          </w:tcPr>
          <w:p>
            <w:pPr>
              <w:jc w:val="right"/>
              <w:spacing w:after="0"/>
              <w:rPr>
                <w:sz w:val="20"/>
                <w:szCs w:val="20"/>
                <w:color w:val="auto"/>
              </w:rPr>
            </w:pPr>
            <w:r>
              <w:rPr>
                <w:rFonts w:ascii="Arial" w:cs="Arial" w:eastAsia="Arial" w:hAnsi="Arial"/>
                <w:sz w:val="18"/>
                <w:szCs w:val="18"/>
                <w:color w:val="auto"/>
              </w:rPr>
              <w:t>339</w:t>
            </w:r>
          </w:p>
        </w:tc>
      </w:tr>
      <w:tr>
        <w:trPr>
          <w:trHeight w:val="251"/>
        </w:trPr>
        <w:tc>
          <w:tcPr>
            <w:tcW w:w="3400" w:type="dxa"/>
            <w:vAlign w:val="bottom"/>
            <w:shd w:val="clear" w:color="auto" w:fill="C0C0C0"/>
          </w:tcPr>
          <w:p>
            <w:pPr>
              <w:ind w:left="20"/>
              <w:spacing w:after="0"/>
              <w:rPr>
                <w:sz w:val="20"/>
                <w:szCs w:val="20"/>
                <w:color w:val="auto"/>
              </w:rPr>
            </w:pPr>
            <w:r>
              <w:rPr>
                <w:rFonts w:ascii="Arial" w:cs="Arial" w:eastAsia="Arial" w:hAnsi="Arial"/>
                <w:sz w:val="18"/>
                <w:szCs w:val="18"/>
                <w:color w:val="auto"/>
              </w:rPr>
              <w:t>Other asset retirement obligations</w:t>
            </w:r>
          </w:p>
        </w:tc>
        <w:tc>
          <w:tcPr>
            <w:tcW w:w="300" w:type="dxa"/>
            <w:vAlign w:val="bottom"/>
            <w:shd w:val="clear" w:color="auto" w:fill="C0C0C0"/>
          </w:tcPr>
          <w:p>
            <w:pPr>
              <w:spacing w:after="0"/>
              <w:rPr>
                <w:sz w:val="21"/>
                <w:szCs w:val="21"/>
                <w:color w:val="auto"/>
              </w:rPr>
            </w:pPr>
          </w:p>
        </w:tc>
        <w:tc>
          <w:tcPr>
            <w:tcW w:w="540" w:type="dxa"/>
            <w:vAlign w:val="bottom"/>
            <w:shd w:val="clear" w:color="auto" w:fill="C0C0C0"/>
          </w:tcPr>
          <w:p>
            <w:pPr>
              <w:jc w:val="right"/>
              <w:ind w:right="13"/>
              <w:spacing w:after="0"/>
              <w:rPr>
                <w:sz w:val="20"/>
                <w:szCs w:val="20"/>
                <w:color w:val="auto"/>
              </w:rPr>
            </w:pPr>
            <w:r>
              <w:rPr>
                <w:rFonts w:ascii="Arial" w:cs="Arial" w:eastAsia="Arial" w:hAnsi="Arial"/>
                <w:sz w:val="18"/>
                <w:szCs w:val="18"/>
                <w:color w:val="auto"/>
              </w:rPr>
              <w:t>4</w:t>
            </w:r>
          </w:p>
        </w:tc>
        <w:tc>
          <w:tcPr>
            <w:tcW w:w="280" w:type="dxa"/>
            <w:vAlign w:val="bottom"/>
            <w:shd w:val="clear" w:color="auto" w:fill="C0C0C0"/>
          </w:tcPr>
          <w:p>
            <w:pPr>
              <w:spacing w:after="0"/>
              <w:rPr>
                <w:sz w:val="21"/>
                <w:szCs w:val="21"/>
                <w:color w:val="auto"/>
              </w:rPr>
            </w:pPr>
          </w:p>
        </w:tc>
        <w:tc>
          <w:tcPr>
            <w:tcW w:w="540" w:type="dxa"/>
            <w:vAlign w:val="bottom"/>
            <w:shd w:val="clear" w:color="auto" w:fill="C0C0C0"/>
          </w:tcPr>
          <w:p>
            <w:pPr>
              <w:jc w:val="right"/>
              <w:spacing w:after="0"/>
              <w:rPr>
                <w:sz w:val="20"/>
                <w:szCs w:val="20"/>
                <w:color w:val="auto"/>
              </w:rPr>
            </w:pPr>
            <w:r>
              <w:rPr>
                <w:rFonts w:ascii="Arial" w:cs="Arial" w:eastAsia="Arial" w:hAnsi="Arial"/>
                <w:sz w:val="18"/>
                <w:szCs w:val="18"/>
                <w:color w:val="auto"/>
              </w:rPr>
              <w:t>9</w:t>
            </w:r>
          </w:p>
        </w:tc>
        <w:tc>
          <w:tcPr>
            <w:tcW w:w="280" w:type="dxa"/>
            <w:vAlign w:val="bottom"/>
            <w:shd w:val="clear" w:color="auto" w:fill="C0C0C0"/>
          </w:tcPr>
          <w:p>
            <w:pPr>
              <w:spacing w:after="0"/>
              <w:rPr>
                <w:sz w:val="21"/>
                <w:szCs w:val="21"/>
                <w:color w:val="auto"/>
              </w:rPr>
            </w:pPr>
          </w:p>
        </w:tc>
        <w:tc>
          <w:tcPr>
            <w:tcW w:w="740" w:type="dxa"/>
            <w:vAlign w:val="bottom"/>
            <w:shd w:val="clear" w:color="auto" w:fill="C0C0C0"/>
          </w:tcPr>
          <w:p>
            <w:pPr>
              <w:jc w:val="right"/>
              <w:ind w:right="193"/>
              <w:spacing w:after="0"/>
              <w:rPr>
                <w:sz w:val="20"/>
                <w:szCs w:val="20"/>
                <w:color w:val="auto"/>
              </w:rPr>
            </w:pPr>
            <w:r>
              <w:rPr>
                <w:rFonts w:ascii="Arial" w:cs="Arial" w:eastAsia="Arial" w:hAnsi="Arial"/>
                <w:sz w:val="18"/>
                <w:szCs w:val="18"/>
                <w:color w:val="auto"/>
              </w:rPr>
              <w:t>5</w:t>
            </w:r>
          </w:p>
        </w:tc>
        <w:tc>
          <w:tcPr>
            <w:tcW w:w="880" w:type="dxa"/>
            <w:vAlign w:val="bottom"/>
            <w:shd w:val="clear" w:color="auto" w:fill="C0C0C0"/>
          </w:tcPr>
          <w:p>
            <w:pPr>
              <w:jc w:val="right"/>
              <w:ind w:right="13"/>
              <w:spacing w:after="0"/>
              <w:rPr>
                <w:sz w:val="20"/>
                <w:szCs w:val="20"/>
                <w:color w:val="auto"/>
              </w:rPr>
            </w:pPr>
            <w:r>
              <w:rPr>
                <w:rFonts w:ascii="Arial" w:cs="Arial" w:eastAsia="Arial" w:hAnsi="Arial"/>
                <w:sz w:val="18"/>
                <w:szCs w:val="18"/>
                <w:color w:val="auto"/>
              </w:rPr>
              <w:t>105</w:t>
            </w:r>
          </w:p>
        </w:tc>
        <w:tc>
          <w:tcPr>
            <w:tcW w:w="80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123</w:t>
            </w:r>
          </w:p>
        </w:tc>
      </w:tr>
      <w:tr>
        <w:trPr>
          <w:trHeight w:val="221"/>
        </w:trPr>
        <w:tc>
          <w:tcPr>
            <w:tcW w:w="3400" w:type="dxa"/>
            <w:vAlign w:val="bottom"/>
          </w:tcPr>
          <w:p>
            <w:pPr>
              <w:ind w:left="20"/>
              <w:spacing w:after="0"/>
              <w:rPr>
                <w:sz w:val="20"/>
                <w:szCs w:val="20"/>
                <w:color w:val="auto"/>
              </w:rPr>
            </w:pPr>
            <w:r>
              <w:rPr>
                <w:rFonts w:ascii="Arial" w:cs="Arial" w:eastAsia="Arial" w:hAnsi="Arial"/>
                <w:sz w:val="18"/>
                <w:szCs w:val="18"/>
                <w:color w:val="auto"/>
                <w:w w:val="90"/>
              </w:rPr>
              <w:t>Pension and postretirement benefit obligations</w:t>
            </w:r>
          </w:p>
        </w:tc>
        <w:tc>
          <w:tcPr>
            <w:tcW w:w="3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230"/>
        </w:trPr>
        <w:tc>
          <w:tcPr>
            <w:tcW w:w="3400" w:type="dxa"/>
            <w:vAlign w:val="bottom"/>
          </w:tcPr>
          <w:p>
            <w:pPr>
              <w:ind w:left="20"/>
              <w:spacing w:after="0"/>
              <w:rPr>
                <w:sz w:val="20"/>
                <w:szCs w:val="20"/>
                <w:color w:val="auto"/>
              </w:rPr>
            </w:pPr>
            <w:r>
              <w:rPr>
                <w:rFonts w:ascii="Arial" w:cs="Arial" w:eastAsia="Arial" w:hAnsi="Arial"/>
                <w:sz w:val="18"/>
                <w:szCs w:val="18"/>
                <w:color w:val="auto"/>
              </w:rPr>
              <w:t>(2)</w:t>
            </w:r>
          </w:p>
        </w:tc>
        <w:tc>
          <w:tcPr>
            <w:tcW w:w="300" w:type="dxa"/>
            <w:vAlign w:val="bottom"/>
          </w:tcPr>
          <w:p>
            <w:pPr>
              <w:spacing w:after="0"/>
              <w:rPr>
                <w:sz w:val="20"/>
                <w:szCs w:val="20"/>
                <w:color w:val="auto"/>
              </w:rPr>
            </w:pPr>
          </w:p>
        </w:tc>
        <w:tc>
          <w:tcPr>
            <w:tcW w:w="540" w:type="dxa"/>
            <w:vAlign w:val="bottom"/>
          </w:tcPr>
          <w:p>
            <w:pPr>
              <w:jc w:val="right"/>
              <w:ind w:right="13"/>
              <w:spacing w:after="0"/>
              <w:rPr>
                <w:sz w:val="20"/>
                <w:szCs w:val="20"/>
                <w:color w:val="auto"/>
              </w:rPr>
            </w:pPr>
            <w:r>
              <w:rPr>
                <w:rFonts w:ascii="Arial" w:cs="Arial" w:eastAsia="Arial" w:hAnsi="Arial"/>
                <w:sz w:val="18"/>
                <w:szCs w:val="18"/>
                <w:color w:val="auto"/>
              </w:rPr>
              <w:t>41</w:t>
            </w:r>
          </w:p>
        </w:tc>
        <w:tc>
          <w:tcPr>
            <w:tcW w:w="28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106</w:t>
            </w:r>
          </w:p>
        </w:tc>
        <w:tc>
          <w:tcPr>
            <w:tcW w:w="280" w:type="dxa"/>
            <w:vAlign w:val="bottom"/>
          </w:tcPr>
          <w:p>
            <w:pPr>
              <w:spacing w:after="0"/>
              <w:rPr>
                <w:sz w:val="20"/>
                <w:szCs w:val="20"/>
                <w:color w:val="auto"/>
              </w:rPr>
            </w:pPr>
          </w:p>
        </w:tc>
        <w:tc>
          <w:tcPr>
            <w:tcW w:w="740" w:type="dxa"/>
            <w:vAlign w:val="bottom"/>
          </w:tcPr>
          <w:p>
            <w:pPr>
              <w:jc w:val="right"/>
              <w:ind w:right="193"/>
              <w:spacing w:after="0"/>
              <w:rPr>
                <w:sz w:val="20"/>
                <w:szCs w:val="20"/>
                <w:color w:val="auto"/>
              </w:rPr>
            </w:pPr>
            <w:r>
              <w:rPr>
                <w:rFonts w:ascii="Arial" w:cs="Arial" w:eastAsia="Arial" w:hAnsi="Arial"/>
                <w:sz w:val="18"/>
                <w:szCs w:val="18"/>
                <w:color w:val="auto"/>
              </w:rPr>
              <w:t>89</w:t>
            </w:r>
          </w:p>
        </w:tc>
        <w:tc>
          <w:tcPr>
            <w:tcW w:w="880" w:type="dxa"/>
            <w:vAlign w:val="bottom"/>
          </w:tcPr>
          <w:p>
            <w:pPr>
              <w:jc w:val="right"/>
              <w:ind w:right="13"/>
              <w:spacing w:after="0"/>
              <w:rPr>
                <w:sz w:val="20"/>
                <w:szCs w:val="20"/>
                <w:color w:val="auto"/>
              </w:rPr>
            </w:pPr>
            <w:r>
              <w:rPr>
                <w:rFonts w:ascii="Arial" w:cs="Arial" w:eastAsia="Arial" w:hAnsi="Arial"/>
                <w:sz w:val="18"/>
                <w:szCs w:val="18"/>
                <w:color w:val="auto"/>
              </w:rPr>
              <w:t>257</w:t>
            </w:r>
          </w:p>
        </w:tc>
        <w:tc>
          <w:tcPr>
            <w:tcW w:w="800" w:type="dxa"/>
            <w:vAlign w:val="bottom"/>
          </w:tcPr>
          <w:p>
            <w:pPr>
              <w:jc w:val="right"/>
              <w:spacing w:after="0"/>
              <w:rPr>
                <w:sz w:val="20"/>
                <w:szCs w:val="20"/>
                <w:color w:val="auto"/>
              </w:rPr>
            </w:pPr>
            <w:r>
              <w:rPr>
                <w:rFonts w:ascii="Arial" w:cs="Arial" w:eastAsia="Arial" w:hAnsi="Arial"/>
                <w:sz w:val="18"/>
                <w:szCs w:val="18"/>
                <w:color w:val="auto"/>
              </w:rPr>
              <w:t>493</w:t>
            </w:r>
          </w:p>
        </w:tc>
      </w:tr>
      <w:tr>
        <w:trPr>
          <w:trHeight w:val="145"/>
        </w:trPr>
        <w:tc>
          <w:tcPr>
            <w:tcW w:w="3400" w:type="dxa"/>
            <w:vAlign w:val="bottom"/>
            <w:shd w:val="clear" w:color="auto" w:fill="C0C0C0"/>
          </w:tcPr>
          <w:p>
            <w:pPr>
              <w:ind w:left="20"/>
              <w:spacing w:after="0" w:line="125" w:lineRule="exact"/>
              <w:rPr>
                <w:sz w:val="20"/>
                <w:szCs w:val="20"/>
                <w:color w:val="auto"/>
              </w:rPr>
            </w:pPr>
            <w:r>
              <w:rPr>
                <w:rFonts w:ascii="Arial" w:cs="Arial" w:eastAsia="Arial" w:hAnsi="Arial"/>
                <w:sz w:val="14"/>
                <w:szCs w:val="14"/>
                <w:color w:val="auto"/>
              </w:rPr>
              <w:t>Environmental commitments</w:t>
            </w:r>
          </w:p>
        </w:tc>
        <w:tc>
          <w:tcPr>
            <w:tcW w:w="300" w:type="dxa"/>
            <w:vAlign w:val="bottom"/>
            <w:shd w:val="clear" w:color="auto" w:fill="C0C0C0"/>
          </w:tcPr>
          <w:p>
            <w:pPr>
              <w:spacing w:after="0"/>
              <w:rPr>
                <w:sz w:val="12"/>
                <w:szCs w:val="12"/>
                <w:color w:val="auto"/>
              </w:rPr>
            </w:pPr>
          </w:p>
        </w:tc>
        <w:tc>
          <w:tcPr>
            <w:tcW w:w="540" w:type="dxa"/>
            <w:vAlign w:val="bottom"/>
            <w:shd w:val="clear" w:color="auto" w:fill="C0C0C0"/>
          </w:tcPr>
          <w:p>
            <w:pPr>
              <w:jc w:val="right"/>
              <w:ind w:right="13"/>
              <w:spacing w:after="0" w:line="125" w:lineRule="exact"/>
              <w:rPr>
                <w:sz w:val="20"/>
                <w:szCs w:val="20"/>
                <w:color w:val="auto"/>
              </w:rPr>
            </w:pPr>
            <w:r>
              <w:rPr>
                <w:rFonts w:ascii="Arial" w:cs="Arial" w:eastAsia="Arial" w:hAnsi="Arial"/>
                <w:sz w:val="14"/>
                <w:szCs w:val="14"/>
                <w:color w:val="auto"/>
              </w:rPr>
              <w:t>9</w:t>
            </w:r>
          </w:p>
        </w:tc>
        <w:tc>
          <w:tcPr>
            <w:tcW w:w="280" w:type="dxa"/>
            <w:vAlign w:val="bottom"/>
            <w:shd w:val="clear" w:color="auto" w:fill="C0C0C0"/>
          </w:tcPr>
          <w:p>
            <w:pPr>
              <w:spacing w:after="0"/>
              <w:rPr>
                <w:sz w:val="12"/>
                <w:szCs w:val="12"/>
                <w:color w:val="auto"/>
              </w:rPr>
            </w:pPr>
          </w:p>
        </w:tc>
        <w:tc>
          <w:tcPr>
            <w:tcW w:w="540" w:type="dxa"/>
            <w:vAlign w:val="bottom"/>
            <w:shd w:val="clear" w:color="auto" w:fill="C0C0C0"/>
          </w:tcPr>
          <w:p>
            <w:pPr>
              <w:jc w:val="right"/>
              <w:spacing w:after="0" w:line="125" w:lineRule="exact"/>
              <w:rPr>
                <w:sz w:val="20"/>
                <w:szCs w:val="20"/>
                <w:color w:val="auto"/>
              </w:rPr>
            </w:pPr>
            <w:r>
              <w:rPr>
                <w:rFonts w:ascii="Arial" w:cs="Arial" w:eastAsia="Arial" w:hAnsi="Arial"/>
                <w:sz w:val="14"/>
                <w:szCs w:val="14"/>
                <w:color w:val="auto"/>
              </w:rPr>
              <w:t>9</w:t>
            </w:r>
          </w:p>
        </w:tc>
        <w:tc>
          <w:tcPr>
            <w:tcW w:w="280" w:type="dxa"/>
            <w:vAlign w:val="bottom"/>
            <w:shd w:val="clear" w:color="auto" w:fill="C0C0C0"/>
          </w:tcPr>
          <w:p>
            <w:pPr>
              <w:spacing w:after="0"/>
              <w:rPr>
                <w:sz w:val="12"/>
                <w:szCs w:val="12"/>
                <w:color w:val="auto"/>
              </w:rPr>
            </w:pPr>
          </w:p>
        </w:tc>
        <w:tc>
          <w:tcPr>
            <w:tcW w:w="740" w:type="dxa"/>
            <w:vAlign w:val="bottom"/>
            <w:shd w:val="clear" w:color="auto" w:fill="C0C0C0"/>
          </w:tcPr>
          <w:p>
            <w:pPr>
              <w:jc w:val="right"/>
              <w:ind w:right="193"/>
              <w:spacing w:after="0" w:line="125" w:lineRule="exact"/>
              <w:rPr>
                <w:sz w:val="20"/>
                <w:szCs w:val="20"/>
                <w:color w:val="auto"/>
              </w:rPr>
            </w:pPr>
            <w:r>
              <w:rPr>
                <w:rFonts w:ascii="Arial" w:cs="Arial" w:eastAsia="Arial" w:hAnsi="Arial"/>
                <w:sz w:val="14"/>
                <w:szCs w:val="14"/>
                <w:color w:val="auto"/>
              </w:rPr>
              <w:t>--</w:t>
            </w:r>
          </w:p>
        </w:tc>
        <w:tc>
          <w:tcPr>
            <w:tcW w:w="880" w:type="dxa"/>
            <w:vAlign w:val="bottom"/>
            <w:shd w:val="clear" w:color="auto" w:fill="C0C0C0"/>
          </w:tcPr>
          <w:p>
            <w:pPr>
              <w:jc w:val="right"/>
              <w:ind w:right="13"/>
              <w:spacing w:after="0" w:line="125" w:lineRule="exact"/>
              <w:rPr>
                <w:sz w:val="20"/>
                <w:szCs w:val="20"/>
                <w:color w:val="auto"/>
              </w:rPr>
            </w:pPr>
            <w:r>
              <w:rPr>
                <w:rFonts w:ascii="Arial" w:cs="Arial" w:eastAsia="Arial" w:hAnsi="Arial"/>
                <w:sz w:val="14"/>
                <w:szCs w:val="14"/>
                <w:color w:val="auto"/>
              </w:rPr>
              <w:t>--</w:t>
            </w:r>
          </w:p>
        </w:tc>
        <w:tc>
          <w:tcPr>
            <w:tcW w:w="800" w:type="dxa"/>
            <w:vAlign w:val="bottom"/>
            <w:shd w:val="clear" w:color="auto" w:fill="C0C0C0"/>
          </w:tcPr>
          <w:p>
            <w:pPr>
              <w:jc w:val="right"/>
              <w:spacing w:after="0" w:line="125" w:lineRule="exact"/>
              <w:rPr>
                <w:sz w:val="20"/>
                <w:szCs w:val="20"/>
                <w:color w:val="auto"/>
              </w:rPr>
            </w:pPr>
            <w:r>
              <w:rPr>
                <w:rFonts w:ascii="Arial" w:cs="Arial" w:eastAsia="Arial" w:hAnsi="Arial"/>
                <w:sz w:val="14"/>
                <w:szCs w:val="14"/>
                <w:color w:val="auto"/>
              </w:rPr>
              <w:t>18</w:t>
            </w:r>
          </w:p>
        </w:tc>
      </w:tr>
    </w:tbl>
    <w:p>
      <w:pPr>
        <w:sectPr>
          <w:pgSz w:w="11900" w:h="16900" w:orient="portrait"/>
          <w:cols w:equalWidth="0" w:num="1">
            <w:col w:w="11400"/>
          </w:cols>
          <w:pgMar w:left="240" w:top="118" w:right="259" w:bottom="0" w:gutter="0" w:footer="0" w:header="0"/>
        </w:sectPr>
      </w:pPr>
    </w:p>
    <w:bookmarkStart w:id="17" w:name="page18"/>
    <w:bookmarkEnd w:id="17"/>
    <w:p>
      <w:pPr>
        <w:ind w:left="1700"/>
        <w:spacing w:after="0"/>
        <w:tabs>
          <w:tab w:leader="none" w:pos="5160" w:val="left"/>
          <w:tab w:leader="none" w:pos="5540" w:val="left"/>
          <w:tab w:leader="none" w:pos="5980" w:val="left"/>
          <w:tab w:leader="none" w:pos="6240" w:val="left"/>
          <w:tab w:leader="none" w:pos="6800" w:val="left"/>
          <w:tab w:leader="none" w:pos="7200" w:val="left"/>
          <w:tab w:leader="none" w:pos="7640" w:val="left"/>
          <w:tab w:leader="none" w:pos="8120" w:val="left"/>
          <w:tab w:leader="none" w:pos="8700" w:val="left"/>
          <w:tab w:leader="none" w:pos="896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1221105</wp:posOffset>
            </wp:positionH>
            <wp:positionV relativeFrom="page">
              <wp:posOffset>88900</wp:posOffset>
            </wp:positionV>
            <wp:extent cx="4931410" cy="3003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4931410" cy="300355"/>
                    </a:xfrm>
                    <a:prstGeom prst="rect">
                      <a:avLst/>
                    </a:prstGeom>
                    <a:noFill/>
                  </pic:spPr>
                </pic:pic>
              </a:graphicData>
            </a:graphic>
          </wp:anchor>
        </w:drawing>
        <w:t>Totals</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544</w:t>
        <w:tab/>
        <w:t>$</w:t>
        <w:tab/>
        <w:t>1,029</w:t>
        <w:tab/>
        <w:t>$</w:t>
      </w:r>
      <w:r>
        <w:rPr>
          <w:sz w:val="20"/>
          <w:szCs w:val="20"/>
          <w:color w:val="auto"/>
        </w:rPr>
        <w:tab/>
      </w:r>
      <w:r>
        <w:rPr>
          <w:rFonts w:ascii="Arial" w:cs="Arial" w:eastAsia="Arial" w:hAnsi="Arial"/>
          <w:sz w:val="18"/>
          <w:szCs w:val="18"/>
          <w:color w:val="auto"/>
        </w:rPr>
        <w:t>855</w:t>
        <w:tab/>
        <w:t>$</w:t>
      </w:r>
      <w:r>
        <w:rPr>
          <w:sz w:val="20"/>
          <w:szCs w:val="20"/>
          <w:color w:val="auto"/>
        </w:rPr>
        <w:tab/>
      </w:r>
      <w:r>
        <w:rPr>
          <w:rFonts w:ascii="Arial" w:cs="Arial" w:eastAsia="Arial" w:hAnsi="Arial"/>
          <w:sz w:val="18"/>
          <w:szCs w:val="18"/>
          <w:color w:val="auto"/>
        </w:rPr>
        <w:t>6,530</w:t>
        <w:tab/>
        <w:t>$</w:t>
      </w:r>
      <w:r>
        <w:rPr>
          <w:sz w:val="20"/>
          <w:szCs w:val="20"/>
          <w:color w:val="auto"/>
        </w:rPr>
        <w:tab/>
      </w:r>
      <w:r>
        <w:rPr>
          <w:rFonts w:ascii="Arial" w:cs="Arial" w:eastAsia="Arial" w:hAnsi="Arial"/>
          <w:sz w:val="15"/>
          <w:szCs w:val="15"/>
          <w:color w:val="auto"/>
        </w:rPr>
        <w:t>8,958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1068705</wp:posOffset>
            </wp:positionH>
            <wp:positionV relativeFrom="paragraph">
              <wp:posOffset>19685</wp:posOffset>
            </wp:positionV>
            <wp:extent cx="4931410" cy="1543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4931410" cy="15430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260" w:hanging="252"/>
        <w:spacing w:after="0"/>
        <w:tabs>
          <w:tab w:leader="none" w:pos="260" w:val="left"/>
        </w:tabs>
        <w:numPr>
          <w:ilvl w:val="0"/>
          <w:numId w:val="5"/>
        </w:numPr>
        <w:rPr>
          <w:rFonts w:ascii="Arial" w:cs="Arial" w:eastAsia="Arial" w:hAnsi="Arial"/>
          <w:sz w:val="18"/>
          <w:szCs w:val="18"/>
          <w:color w:val="auto"/>
        </w:rPr>
      </w:pPr>
      <w:r>
        <w:rPr>
          <w:rFonts w:ascii="Arial" w:cs="Arial" w:eastAsia="Arial" w:hAnsi="Arial"/>
          <w:sz w:val="18"/>
          <w:szCs w:val="18"/>
          <w:color w:val="auto"/>
        </w:rPr>
        <w:t>Based on forward rates in effect at December 31, 2005.</w:t>
      </w:r>
    </w:p>
    <w:p>
      <w:pPr>
        <w:spacing w:after="0" w:line="15" w:lineRule="exact"/>
        <w:rPr>
          <w:rFonts w:ascii="Arial" w:cs="Arial" w:eastAsia="Arial" w:hAnsi="Arial"/>
          <w:sz w:val="18"/>
          <w:szCs w:val="18"/>
          <w:color w:val="auto"/>
        </w:rPr>
      </w:pPr>
    </w:p>
    <w:p>
      <w:pPr>
        <w:ind w:left="260" w:hanging="252"/>
        <w:spacing w:after="0"/>
        <w:tabs>
          <w:tab w:leader="none" w:pos="2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Amounts are after reduction for the Medicare Part D subsidy and only include expected payments to the plans for the next 10 years.</w:t>
      </w:r>
    </w:p>
    <w:p>
      <w:pPr>
        <w:spacing w:after="0" w:line="9" w:lineRule="exact"/>
        <w:rPr>
          <w:sz w:val="20"/>
          <w:szCs w:val="20"/>
          <w:color w:val="auto"/>
        </w:rPr>
      </w:pPr>
    </w:p>
    <w:p>
      <w:pPr>
        <w:ind w:right="80"/>
        <w:spacing w:after="0" w:line="261" w:lineRule="auto"/>
        <w:rPr>
          <w:sz w:val="20"/>
          <w:szCs w:val="20"/>
          <w:color w:val="auto"/>
        </w:rPr>
      </w:pPr>
      <w:r>
        <w:rPr>
          <w:rFonts w:ascii="Arial" w:cs="Arial" w:eastAsia="Arial" w:hAnsi="Arial"/>
          <w:sz w:val="18"/>
          <w:szCs w:val="18"/>
          <w:color w:val="auto"/>
        </w:rPr>
        <w:t>The table excludes contracts between affiliates, intercompany debt, individual contracts that have annual cash requirements less than $1 million and employment contracts.</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Credit Ratings</w:t>
      </w:r>
    </w:p>
    <w:p>
      <w:pPr>
        <w:spacing w:after="0" w:line="212" w:lineRule="exact"/>
        <w:rPr>
          <w:sz w:val="20"/>
          <w:szCs w:val="20"/>
          <w:color w:val="auto"/>
        </w:rPr>
      </w:pPr>
    </w:p>
    <w:p>
      <w:pPr>
        <w:ind w:right="260"/>
        <w:spacing w:after="0" w:line="251" w:lineRule="auto"/>
        <w:rPr>
          <w:sz w:val="20"/>
          <w:szCs w:val="20"/>
          <w:color w:val="auto"/>
        </w:rPr>
      </w:pPr>
      <w:r>
        <w:rPr>
          <w:rFonts w:ascii="Arial" w:cs="Arial" w:eastAsia="Arial" w:hAnsi="Arial"/>
          <w:sz w:val="22"/>
          <w:szCs w:val="22"/>
          <w:color w:val="auto"/>
        </w:rPr>
        <w:t>Credit ratings of the company remained at investment grade levels in 2005. As of January 31, 2006, company credit ratings were still as follows:</w:t>
      </w:r>
    </w:p>
    <w:p>
      <w:pPr>
        <w:spacing w:after="0" w:line="173" w:lineRule="exact"/>
        <w:rPr>
          <w:sz w:val="20"/>
          <w:szCs w:val="20"/>
          <w:color w:val="auto"/>
        </w:rPr>
      </w:pPr>
    </w:p>
    <w:tbl>
      <w:tblPr>
        <w:tblLayout w:type="fixed"/>
        <w:tblInd w:w="1820" w:type="dxa"/>
        <w:tblCellMar>
          <w:top w:w="0" w:type="dxa"/>
          <w:left w:w="0" w:type="dxa"/>
          <w:bottom w:w="0" w:type="dxa"/>
          <w:right w:w="0" w:type="dxa"/>
        </w:tblCellMar>
      </w:tblPr>
      <w:tr>
        <w:trPr>
          <w:trHeight w:val="222"/>
        </w:trPr>
        <w:tc>
          <w:tcPr>
            <w:tcW w:w="2760" w:type="dxa"/>
            <w:vAlign w:val="bottom"/>
          </w:tcPr>
          <w:p>
            <w:pPr>
              <w:spacing w:after="0"/>
              <w:rPr>
                <w:sz w:val="19"/>
                <w:szCs w:val="19"/>
                <w:color w:val="auto"/>
              </w:rPr>
            </w:pPr>
          </w:p>
        </w:tc>
        <w:tc>
          <w:tcPr>
            <w:tcW w:w="2400" w:type="dxa"/>
            <w:vAlign w:val="bottom"/>
          </w:tcPr>
          <w:p>
            <w:pPr>
              <w:jc w:val="right"/>
              <w:ind w:right="232"/>
              <w:spacing w:after="0"/>
              <w:rPr>
                <w:sz w:val="20"/>
                <w:szCs w:val="20"/>
                <w:color w:val="auto"/>
              </w:rPr>
            </w:pPr>
            <w:r>
              <w:rPr>
                <w:rFonts w:ascii="Arial" w:cs="Arial" w:eastAsia="Arial" w:hAnsi="Arial"/>
                <w:sz w:val="18"/>
                <w:szCs w:val="18"/>
                <w:color w:val="auto"/>
              </w:rPr>
              <w:t>Standard</w:t>
            </w:r>
          </w:p>
        </w:tc>
        <w:tc>
          <w:tcPr>
            <w:tcW w:w="1900" w:type="dxa"/>
            <w:vAlign w:val="bottom"/>
          </w:tcPr>
          <w:p>
            <w:pPr>
              <w:jc w:val="right"/>
              <w:ind w:right="272"/>
              <w:spacing w:after="0"/>
              <w:rPr>
                <w:sz w:val="20"/>
                <w:szCs w:val="20"/>
                <w:color w:val="auto"/>
              </w:rPr>
            </w:pPr>
            <w:r>
              <w:rPr>
                <w:rFonts w:ascii="Arial" w:cs="Arial" w:eastAsia="Arial" w:hAnsi="Arial"/>
                <w:sz w:val="18"/>
                <w:szCs w:val="18"/>
                <w:color w:val="auto"/>
              </w:rPr>
              <w:t>Moody's Investor</w:t>
            </w:r>
          </w:p>
        </w:tc>
        <w:tc>
          <w:tcPr>
            <w:tcW w:w="740" w:type="dxa"/>
            <w:vAlign w:val="bottom"/>
          </w:tcPr>
          <w:p>
            <w:pPr>
              <w:spacing w:after="0"/>
              <w:rPr>
                <w:sz w:val="19"/>
                <w:szCs w:val="19"/>
                <w:color w:val="auto"/>
              </w:rPr>
            </w:pPr>
          </w:p>
        </w:tc>
      </w:tr>
      <w:tr>
        <w:trPr>
          <w:trHeight w:val="440"/>
        </w:trPr>
        <w:tc>
          <w:tcPr>
            <w:tcW w:w="2760" w:type="dxa"/>
            <w:vAlign w:val="bottom"/>
          </w:tcPr>
          <w:p>
            <w:pPr>
              <w:spacing w:after="0"/>
              <w:rPr>
                <w:sz w:val="24"/>
                <w:szCs w:val="24"/>
                <w:color w:val="auto"/>
              </w:rPr>
            </w:pPr>
          </w:p>
        </w:tc>
        <w:tc>
          <w:tcPr>
            <w:tcW w:w="2400" w:type="dxa"/>
            <w:vAlign w:val="bottom"/>
          </w:tcPr>
          <w:p>
            <w:pPr>
              <w:jc w:val="right"/>
              <w:ind w:right="232"/>
              <w:spacing w:after="0"/>
              <w:rPr>
                <w:sz w:val="20"/>
                <w:szCs w:val="20"/>
                <w:color w:val="auto"/>
              </w:rPr>
            </w:pPr>
            <w:r>
              <w:rPr>
                <w:rFonts w:ascii="Arial" w:cs="Arial" w:eastAsia="Arial" w:hAnsi="Arial"/>
                <w:sz w:val="18"/>
                <w:szCs w:val="18"/>
                <w:color w:val="auto"/>
              </w:rPr>
              <w:t>&amp; Poor's</w:t>
            </w:r>
          </w:p>
        </w:tc>
        <w:tc>
          <w:tcPr>
            <w:tcW w:w="1900" w:type="dxa"/>
            <w:vAlign w:val="bottom"/>
          </w:tcPr>
          <w:p>
            <w:pPr>
              <w:jc w:val="right"/>
              <w:ind w:right="272"/>
              <w:spacing w:after="0"/>
              <w:rPr>
                <w:sz w:val="20"/>
                <w:szCs w:val="20"/>
                <w:color w:val="auto"/>
              </w:rPr>
            </w:pPr>
            <w:r>
              <w:rPr>
                <w:rFonts w:ascii="Arial" w:cs="Arial" w:eastAsia="Arial" w:hAnsi="Arial"/>
                <w:sz w:val="18"/>
                <w:szCs w:val="18"/>
                <w:color w:val="auto"/>
              </w:rPr>
              <w:t>Services, Inc.</w:t>
            </w:r>
          </w:p>
        </w:tc>
        <w:tc>
          <w:tcPr>
            <w:tcW w:w="740" w:type="dxa"/>
            <w:vAlign w:val="bottom"/>
          </w:tcPr>
          <w:p>
            <w:pPr>
              <w:jc w:val="right"/>
              <w:spacing w:after="0"/>
              <w:rPr>
                <w:sz w:val="20"/>
                <w:szCs w:val="20"/>
                <w:color w:val="auto"/>
              </w:rPr>
            </w:pPr>
            <w:r>
              <w:rPr>
                <w:rFonts w:ascii="Arial" w:cs="Arial" w:eastAsia="Arial" w:hAnsi="Arial"/>
                <w:sz w:val="18"/>
                <w:szCs w:val="18"/>
                <w:color w:val="auto"/>
              </w:rPr>
              <w:t>Fitch</w:t>
            </w:r>
          </w:p>
        </w:tc>
      </w:tr>
      <w:tr>
        <w:trPr>
          <w:trHeight w:val="251"/>
        </w:trPr>
        <w:tc>
          <w:tcPr>
            <w:tcW w:w="2760" w:type="dxa"/>
            <w:vAlign w:val="bottom"/>
            <w:shd w:val="clear" w:color="auto" w:fill="000000"/>
          </w:tcPr>
          <w:p>
            <w:pPr>
              <w:spacing w:after="0"/>
              <w:rPr>
                <w:sz w:val="21"/>
                <w:szCs w:val="21"/>
                <w:color w:val="auto"/>
              </w:rPr>
            </w:pPr>
          </w:p>
        </w:tc>
        <w:tc>
          <w:tcPr>
            <w:tcW w:w="2400" w:type="dxa"/>
            <w:vAlign w:val="bottom"/>
            <w:shd w:val="clear" w:color="auto" w:fill="000000"/>
          </w:tcPr>
          <w:p>
            <w:pPr>
              <w:spacing w:after="0"/>
              <w:rPr>
                <w:sz w:val="21"/>
                <w:szCs w:val="21"/>
                <w:color w:val="auto"/>
              </w:rPr>
            </w:pPr>
          </w:p>
        </w:tc>
        <w:tc>
          <w:tcPr>
            <w:tcW w:w="1900" w:type="dxa"/>
            <w:vAlign w:val="bottom"/>
            <w:shd w:val="clear" w:color="auto" w:fill="000000"/>
          </w:tcPr>
          <w:p>
            <w:pPr>
              <w:spacing w:after="0"/>
              <w:rPr>
                <w:sz w:val="21"/>
                <w:szCs w:val="21"/>
                <w:color w:val="auto"/>
              </w:rPr>
            </w:pPr>
          </w:p>
        </w:tc>
        <w:tc>
          <w:tcPr>
            <w:tcW w:w="740" w:type="dxa"/>
            <w:vAlign w:val="bottom"/>
            <w:shd w:val="clear" w:color="auto" w:fill="000000"/>
          </w:tcPr>
          <w:p>
            <w:pPr>
              <w:spacing w:after="0"/>
              <w:rPr>
                <w:sz w:val="21"/>
                <w:szCs w:val="21"/>
                <w:color w:val="auto"/>
              </w:rPr>
            </w:pPr>
          </w:p>
        </w:tc>
      </w:tr>
      <w:tr>
        <w:trPr>
          <w:trHeight w:val="255"/>
        </w:trPr>
        <w:tc>
          <w:tcPr>
            <w:tcW w:w="2760" w:type="dxa"/>
            <w:vAlign w:val="bottom"/>
          </w:tcPr>
          <w:p>
            <w:pPr>
              <w:ind w:left="20"/>
              <w:spacing w:after="0"/>
              <w:rPr>
                <w:sz w:val="20"/>
                <w:szCs w:val="20"/>
                <w:color w:val="auto"/>
              </w:rPr>
            </w:pPr>
            <w:r>
              <w:rPr>
                <w:rFonts w:ascii="Arial" w:cs="Arial" w:eastAsia="Arial" w:hAnsi="Arial"/>
                <w:sz w:val="18"/>
                <w:szCs w:val="18"/>
                <w:color w:val="auto"/>
              </w:rPr>
              <w:t>Secured debt</w:t>
            </w:r>
          </w:p>
        </w:tc>
        <w:tc>
          <w:tcPr>
            <w:tcW w:w="2400" w:type="dxa"/>
            <w:vAlign w:val="bottom"/>
          </w:tcPr>
          <w:p>
            <w:pPr>
              <w:jc w:val="right"/>
              <w:ind w:right="232"/>
              <w:spacing w:after="0"/>
              <w:rPr>
                <w:sz w:val="20"/>
                <w:szCs w:val="20"/>
                <w:color w:val="auto"/>
              </w:rPr>
            </w:pPr>
            <w:r>
              <w:rPr>
                <w:rFonts w:ascii="Arial" w:cs="Arial" w:eastAsia="Arial" w:hAnsi="Arial"/>
                <w:sz w:val="18"/>
                <w:szCs w:val="18"/>
                <w:color w:val="auto"/>
              </w:rPr>
              <w:t>A+</w:t>
            </w:r>
          </w:p>
        </w:tc>
        <w:tc>
          <w:tcPr>
            <w:tcW w:w="1900" w:type="dxa"/>
            <w:vAlign w:val="bottom"/>
          </w:tcPr>
          <w:p>
            <w:pPr>
              <w:jc w:val="right"/>
              <w:ind w:right="272"/>
              <w:spacing w:after="0"/>
              <w:rPr>
                <w:sz w:val="20"/>
                <w:szCs w:val="20"/>
                <w:color w:val="auto"/>
              </w:rPr>
            </w:pPr>
            <w:r>
              <w:rPr>
                <w:rFonts w:ascii="Arial" w:cs="Arial" w:eastAsia="Arial" w:hAnsi="Arial"/>
                <w:sz w:val="18"/>
                <w:szCs w:val="18"/>
                <w:color w:val="auto"/>
              </w:rPr>
              <w:t>A1</w:t>
            </w:r>
          </w:p>
        </w:tc>
        <w:tc>
          <w:tcPr>
            <w:tcW w:w="740" w:type="dxa"/>
            <w:vAlign w:val="bottom"/>
          </w:tcPr>
          <w:p>
            <w:pPr>
              <w:jc w:val="right"/>
              <w:spacing w:after="0"/>
              <w:rPr>
                <w:sz w:val="20"/>
                <w:szCs w:val="20"/>
                <w:color w:val="auto"/>
              </w:rPr>
            </w:pPr>
            <w:r>
              <w:rPr>
                <w:rFonts w:ascii="Arial" w:cs="Arial" w:eastAsia="Arial" w:hAnsi="Arial"/>
                <w:sz w:val="18"/>
                <w:szCs w:val="18"/>
                <w:color w:val="auto"/>
              </w:rPr>
              <w:t>AA</w:t>
            </w:r>
          </w:p>
        </w:tc>
      </w:tr>
      <w:tr>
        <w:trPr>
          <w:trHeight w:val="270"/>
        </w:trPr>
        <w:tc>
          <w:tcPr>
            <w:tcW w:w="2760" w:type="dxa"/>
            <w:vAlign w:val="bottom"/>
          </w:tcPr>
          <w:p>
            <w:pPr>
              <w:ind w:left="20"/>
              <w:spacing w:after="0"/>
              <w:rPr>
                <w:sz w:val="20"/>
                <w:szCs w:val="20"/>
                <w:color w:val="auto"/>
              </w:rPr>
            </w:pPr>
            <w:r>
              <w:rPr>
                <w:rFonts w:ascii="Arial" w:cs="Arial" w:eastAsia="Arial" w:hAnsi="Arial"/>
                <w:sz w:val="18"/>
                <w:szCs w:val="18"/>
                <w:color w:val="auto"/>
              </w:rPr>
              <w:t>Unsecured debt</w:t>
            </w:r>
          </w:p>
        </w:tc>
        <w:tc>
          <w:tcPr>
            <w:tcW w:w="2400" w:type="dxa"/>
            <w:vAlign w:val="bottom"/>
          </w:tcPr>
          <w:p>
            <w:pPr>
              <w:jc w:val="right"/>
              <w:ind w:right="232"/>
              <w:spacing w:after="0"/>
              <w:rPr>
                <w:sz w:val="20"/>
                <w:szCs w:val="20"/>
                <w:color w:val="auto"/>
              </w:rPr>
            </w:pPr>
            <w:r>
              <w:rPr>
                <w:rFonts w:ascii="Arial" w:cs="Arial" w:eastAsia="Arial" w:hAnsi="Arial"/>
                <w:sz w:val="18"/>
                <w:szCs w:val="18"/>
                <w:color w:val="auto"/>
              </w:rPr>
              <w:t>A-</w:t>
            </w:r>
          </w:p>
        </w:tc>
        <w:tc>
          <w:tcPr>
            <w:tcW w:w="1900" w:type="dxa"/>
            <w:vAlign w:val="bottom"/>
          </w:tcPr>
          <w:p>
            <w:pPr>
              <w:jc w:val="right"/>
              <w:ind w:right="272"/>
              <w:spacing w:after="0"/>
              <w:rPr>
                <w:sz w:val="20"/>
                <w:szCs w:val="20"/>
                <w:color w:val="auto"/>
              </w:rPr>
            </w:pPr>
            <w:r>
              <w:rPr>
                <w:rFonts w:ascii="Arial" w:cs="Arial" w:eastAsia="Arial" w:hAnsi="Arial"/>
                <w:sz w:val="18"/>
                <w:szCs w:val="18"/>
                <w:color w:val="auto"/>
              </w:rPr>
              <w:t>A2</w:t>
            </w:r>
          </w:p>
        </w:tc>
        <w:tc>
          <w:tcPr>
            <w:tcW w:w="740" w:type="dxa"/>
            <w:vAlign w:val="bottom"/>
          </w:tcPr>
          <w:p>
            <w:pPr>
              <w:jc w:val="right"/>
              <w:spacing w:after="0"/>
              <w:rPr>
                <w:sz w:val="20"/>
                <w:szCs w:val="20"/>
                <w:color w:val="auto"/>
              </w:rPr>
            </w:pPr>
            <w:r>
              <w:rPr>
                <w:rFonts w:ascii="Arial" w:cs="Arial" w:eastAsia="Arial" w:hAnsi="Arial"/>
                <w:sz w:val="18"/>
                <w:szCs w:val="18"/>
                <w:color w:val="auto"/>
              </w:rPr>
              <w:t>AA-</w:t>
            </w:r>
          </w:p>
        </w:tc>
      </w:tr>
      <w:tr>
        <w:trPr>
          <w:trHeight w:val="270"/>
        </w:trPr>
        <w:tc>
          <w:tcPr>
            <w:tcW w:w="2760" w:type="dxa"/>
            <w:vAlign w:val="bottom"/>
          </w:tcPr>
          <w:p>
            <w:pPr>
              <w:ind w:left="20"/>
              <w:spacing w:after="0"/>
              <w:rPr>
                <w:sz w:val="20"/>
                <w:szCs w:val="20"/>
                <w:color w:val="auto"/>
              </w:rPr>
            </w:pPr>
            <w:r>
              <w:rPr>
                <w:rFonts w:ascii="Arial" w:cs="Arial" w:eastAsia="Arial" w:hAnsi="Arial"/>
                <w:sz w:val="18"/>
                <w:szCs w:val="18"/>
                <w:color w:val="auto"/>
              </w:rPr>
              <w:t>Preferred stock</w:t>
            </w:r>
          </w:p>
        </w:tc>
        <w:tc>
          <w:tcPr>
            <w:tcW w:w="2400" w:type="dxa"/>
            <w:vAlign w:val="bottom"/>
          </w:tcPr>
          <w:p>
            <w:pPr>
              <w:jc w:val="right"/>
              <w:ind w:right="232"/>
              <w:spacing w:after="0"/>
              <w:rPr>
                <w:sz w:val="20"/>
                <w:szCs w:val="20"/>
                <w:color w:val="auto"/>
              </w:rPr>
            </w:pPr>
            <w:r>
              <w:rPr>
                <w:rFonts w:ascii="Arial" w:cs="Arial" w:eastAsia="Arial" w:hAnsi="Arial"/>
                <w:sz w:val="18"/>
                <w:szCs w:val="18"/>
                <w:color w:val="auto"/>
              </w:rPr>
              <w:t>BBB+</w:t>
            </w:r>
          </w:p>
        </w:tc>
        <w:tc>
          <w:tcPr>
            <w:tcW w:w="1900" w:type="dxa"/>
            <w:vAlign w:val="bottom"/>
          </w:tcPr>
          <w:p>
            <w:pPr>
              <w:jc w:val="right"/>
              <w:ind w:right="272"/>
              <w:spacing w:after="0"/>
              <w:rPr>
                <w:sz w:val="20"/>
                <w:szCs w:val="20"/>
                <w:color w:val="auto"/>
              </w:rPr>
            </w:pPr>
            <w:r>
              <w:rPr>
                <w:rFonts w:ascii="Arial" w:cs="Arial" w:eastAsia="Arial" w:hAnsi="Arial"/>
                <w:sz w:val="18"/>
                <w:szCs w:val="18"/>
                <w:color w:val="auto"/>
              </w:rPr>
              <w:t>Baa1</w:t>
            </w:r>
          </w:p>
        </w:tc>
        <w:tc>
          <w:tcPr>
            <w:tcW w:w="740" w:type="dxa"/>
            <w:vAlign w:val="bottom"/>
          </w:tcPr>
          <w:p>
            <w:pPr>
              <w:jc w:val="right"/>
              <w:spacing w:after="0"/>
              <w:rPr>
                <w:sz w:val="20"/>
                <w:szCs w:val="20"/>
                <w:color w:val="auto"/>
              </w:rPr>
            </w:pPr>
            <w:r>
              <w:rPr>
                <w:rFonts w:ascii="Arial" w:cs="Arial" w:eastAsia="Arial" w:hAnsi="Arial"/>
                <w:sz w:val="18"/>
                <w:szCs w:val="18"/>
                <w:color w:val="auto"/>
              </w:rPr>
              <w:t>A+</w:t>
            </w:r>
          </w:p>
        </w:tc>
      </w:tr>
      <w:tr>
        <w:trPr>
          <w:trHeight w:val="278"/>
        </w:trPr>
        <w:tc>
          <w:tcPr>
            <w:tcW w:w="2760" w:type="dxa"/>
            <w:vAlign w:val="bottom"/>
          </w:tcPr>
          <w:p>
            <w:pPr>
              <w:ind w:left="20"/>
              <w:spacing w:after="0"/>
              <w:rPr>
                <w:sz w:val="20"/>
                <w:szCs w:val="20"/>
                <w:color w:val="auto"/>
              </w:rPr>
            </w:pPr>
            <w:r>
              <w:rPr>
                <w:rFonts w:ascii="Arial" w:cs="Arial" w:eastAsia="Arial" w:hAnsi="Arial"/>
                <w:sz w:val="18"/>
                <w:szCs w:val="18"/>
                <w:color w:val="auto"/>
              </w:rPr>
              <w:t>Commercial paper</w:t>
            </w:r>
          </w:p>
        </w:tc>
        <w:tc>
          <w:tcPr>
            <w:tcW w:w="2400" w:type="dxa"/>
            <w:vAlign w:val="bottom"/>
          </w:tcPr>
          <w:p>
            <w:pPr>
              <w:jc w:val="right"/>
              <w:ind w:right="232"/>
              <w:spacing w:after="0"/>
              <w:rPr>
                <w:sz w:val="20"/>
                <w:szCs w:val="20"/>
                <w:color w:val="auto"/>
              </w:rPr>
            </w:pPr>
            <w:r>
              <w:rPr>
                <w:rFonts w:ascii="Arial" w:cs="Arial" w:eastAsia="Arial" w:hAnsi="Arial"/>
                <w:sz w:val="18"/>
                <w:szCs w:val="18"/>
                <w:color w:val="auto"/>
              </w:rPr>
              <w:t>A-1</w:t>
            </w:r>
          </w:p>
        </w:tc>
        <w:tc>
          <w:tcPr>
            <w:tcW w:w="1900" w:type="dxa"/>
            <w:vAlign w:val="bottom"/>
          </w:tcPr>
          <w:p>
            <w:pPr>
              <w:jc w:val="right"/>
              <w:ind w:right="272"/>
              <w:spacing w:after="0"/>
              <w:rPr>
                <w:sz w:val="20"/>
                <w:szCs w:val="20"/>
                <w:color w:val="auto"/>
              </w:rPr>
            </w:pPr>
            <w:r>
              <w:rPr>
                <w:rFonts w:ascii="Arial" w:cs="Arial" w:eastAsia="Arial" w:hAnsi="Arial"/>
                <w:sz w:val="18"/>
                <w:szCs w:val="18"/>
                <w:color w:val="auto"/>
              </w:rPr>
              <w:t>P-1</w:t>
            </w:r>
          </w:p>
        </w:tc>
        <w:tc>
          <w:tcPr>
            <w:tcW w:w="740" w:type="dxa"/>
            <w:vAlign w:val="bottom"/>
          </w:tcPr>
          <w:p>
            <w:pPr>
              <w:jc w:val="right"/>
              <w:spacing w:after="0"/>
              <w:rPr>
                <w:sz w:val="20"/>
                <w:szCs w:val="20"/>
                <w:color w:val="auto"/>
              </w:rPr>
            </w:pPr>
            <w:r>
              <w:rPr>
                <w:rFonts w:ascii="Arial" w:cs="Arial" w:eastAsia="Arial" w:hAnsi="Arial"/>
                <w:sz w:val="18"/>
                <w:szCs w:val="18"/>
                <w:color w:val="auto"/>
              </w:rPr>
              <w:t>F1+</w:t>
            </w:r>
          </w:p>
        </w:tc>
      </w:tr>
      <w:tr>
        <w:trPr>
          <w:trHeight w:val="251"/>
        </w:trPr>
        <w:tc>
          <w:tcPr>
            <w:tcW w:w="2760" w:type="dxa"/>
            <w:vAlign w:val="bottom"/>
            <w:shd w:val="clear" w:color="auto" w:fill="000000"/>
          </w:tcPr>
          <w:p>
            <w:pPr>
              <w:spacing w:after="0"/>
              <w:rPr>
                <w:sz w:val="21"/>
                <w:szCs w:val="21"/>
                <w:color w:val="auto"/>
              </w:rPr>
            </w:pPr>
          </w:p>
        </w:tc>
        <w:tc>
          <w:tcPr>
            <w:tcW w:w="2400" w:type="dxa"/>
            <w:vAlign w:val="bottom"/>
            <w:shd w:val="clear" w:color="auto" w:fill="000000"/>
          </w:tcPr>
          <w:p>
            <w:pPr>
              <w:spacing w:after="0"/>
              <w:rPr>
                <w:sz w:val="21"/>
                <w:szCs w:val="21"/>
                <w:color w:val="auto"/>
              </w:rPr>
            </w:pPr>
          </w:p>
        </w:tc>
        <w:tc>
          <w:tcPr>
            <w:tcW w:w="1900" w:type="dxa"/>
            <w:vAlign w:val="bottom"/>
            <w:shd w:val="clear" w:color="auto" w:fill="000000"/>
          </w:tcPr>
          <w:p>
            <w:pPr>
              <w:spacing w:after="0"/>
              <w:rPr>
                <w:sz w:val="21"/>
                <w:szCs w:val="21"/>
                <w:color w:val="auto"/>
              </w:rPr>
            </w:pPr>
          </w:p>
        </w:tc>
        <w:tc>
          <w:tcPr>
            <w:tcW w:w="740" w:type="dxa"/>
            <w:vAlign w:val="bottom"/>
            <w:shd w:val="clear" w:color="auto" w:fill="000000"/>
          </w:tcPr>
          <w:p>
            <w:pPr>
              <w:spacing w:after="0"/>
              <w:rPr>
                <w:sz w:val="21"/>
                <w:szCs w:val="21"/>
                <w:color w:val="auto"/>
              </w:rPr>
            </w:pPr>
          </w:p>
        </w:tc>
      </w:tr>
    </w:tbl>
    <w:p>
      <w:pPr>
        <w:spacing w:after="0" w:line="195" w:lineRule="exact"/>
        <w:rPr>
          <w:sz w:val="20"/>
          <w:szCs w:val="20"/>
          <w:color w:val="auto"/>
        </w:rPr>
      </w:pPr>
    </w:p>
    <w:p>
      <w:pPr>
        <w:spacing w:after="0"/>
        <w:rPr>
          <w:sz w:val="20"/>
          <w:szCs w:val="20"/>
          <w:color w:val="auto"/>
        </w:rPr>
      </w:pPr>
      <w:r>
        <w:rPr>
          <w:rFonts w:ascii="Arial" w:cs="Arial" w:eastAsia="Arial" w:hAnsi="Arial"/>
          <w:sz w:val="22"/>
          <w:szCs w:val="22"/>
          <w:color w:val="auto"/>
        </w:rPr>
        <w:t>As of January 31, 2006, the company has a stable outlook rating from all three credit rating agencies.</w:t>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FACTORS INFLUENCING FUTURE PERFORMANCE</w:t>
      </w:r>
    </w:p>
    <w:p>
      <w:pPr>
        <w:spacing w:after="0" w:line="212" w:lineRule="exact"/>
        <w:rPr>
          <w:sz w:val="20"/>
          <w:szCs w:val="20"/>
          <w:color w:val="auto"/>
        </w:rPr>
      </w:pPr>
    </w:p>
    <w:p>
      <w:pPr>
        <w:ind w:right="360"/>
        <w:spacing w:after="0" w:line="238" w:lineRule="auto"/>
        <w:rPr>
          <w:sz w:val="20"/>
          <w:szCs w:val="20"/>
          <w:color w:val="auto"/>
        </w:rPr>
      </w:pPr>
      <w:r>
        <w:rPr>
          <w:rFonts w:ascii="Arial" w:cs="Arial" w:eastAsia="Arial" w:hAnsi="Arial"/>
          <w:sz w:val="22"/>
          <w:szCs w:val="22"/>
          <w:color w:val="auto"/>
        </w:rPr>
        <w:t>Performance of the company will depend primarily on the ratemaking and regulatory process, electric and natural gas industry restructuring, and the changing energy marketplace. Performance will also depend on the successful completion of construction programs, which are discussed in various places in this report. These factors are discussed in Notes 9 and 10 of the notes to Consolidated Financial Statements. '</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Litigation</w:t>
      </w:r>
    </w:p>
    <w:p>
      <w:pPr>
        <w:spacing w:after="0" w:line="206" w:lineRule="exact"/>
        <w:rPr>
          <w:sz w:val="20"/>
          <w:szCs w:val="20"/>
          <w:color w:val="auto"/>
        </w:rPr>
      </w:pPr>
    </w:p>
    <w:p>
      <w:pPr>
        <w:ind w:right="240"/>
        <w:spacing w:after="0" w:line="274" w:lineRule="auto"/>
        <w:rPr>
          <w:sz w:val="20"/>
          <w:szCs w:val="20"/>
          <w:color w:val="auto"/>
        </w:rPr>
      </w:pPr>
      <w:r>
        <w:rPr>
          <w:rFonts w:ascii="Arial" w:cs="Arial" w:eastAsia="Arial" w:hAnsi="Arial"/>
          <w:sz w:val="21"/>
          <w:szCs w:val="21"/>
          <w:color w:val="auto"/>
        </w:rPr>
        <w:t>Note 11 of the notes to Consolidated Financial Statements describes litigation (primarily cases arising from the California energy crisis), the ultimate resolution of which could have a material adverse effect on future performance.</w:t>
      </w:r>
    </w:p>
    <w:p>
      <w:pPr>
        <w:spacing w:after="0" w:line="151"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Industry Developments</w:t>
      </w:r>
    </w:p>
    <w:p>
      <w:pPr>
        <w:spacing w:after="0" w:line="206" w:lineRule="exact"/>
        <w:rPr>
          <w:sz w:val="20"/>
          <w:szCs w:val="20"/>
          <w:color w:val="auto"/>
        </w:rPr>
      </w:pPr>
    </w:p>
    <w:p>
      <w:pPr>
        <w:ind w:right="20"/>
        <w:spacing w:after="0" w:line="251" w:lineRule="auto"/>
        <w:rPr>
          <w:sz w:val="20"/>
          <w:szCs w:val="20"/>
          <w:color w:val="auto"/>
        </w:rPr>
      </w:pPr>
      <w:r>
        <w:rPr>
          <w:rFonts w:ascii="Arial" w:cs="Arial" w:eastAsia="Arial" w:hAnsi="Arial"/>
          <w:sz w:val="22"/>
          <w:szCs w:val="22"/>
          <w:color w:val="auto"/>
        </w:rPr>
        <w:t>Notes 9 and 10 of the notes to Consolidated Financial Statements describe electric and natural gas restructuring and rates, and other pending proceedings and investigations.</w:t>
      </w:r>
    </w:p>
    <w:p>
      <w:pPr>
        <w:spacing w:after="0" w:line="16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Market Risk</w:t>
      </w:r>
    </w:p>
    <w:p>
      <w:pPr>
        <w:spacing w:after="0" w:line="212" w:lineRule="exact"/>
        <w:rPr>
          <w:sz w:val="20"/>
          <w:szCs w:val="20"/>
          <w:color w:val="auto"/>
        </w:rPr>
      </w:pPr>
    </w:p>
    <w:p>
      <w:pPr>
        <w:ind w:right="80"/>
        <w:spacing w:after="0" w:line="251" w:lineRule="auto"/>
        <w:rPr>
          <w:sz w:val="20"/>
          <w:szCs w:val="20"/>
          <w:color w:val="auto"/>
        </w:rPr>
      </w:pPr>
      <w:r>
        <w:rPr>
          <w:rFonts w:ascii="Arial" w:cs="Arial" w:eastAsia="Arial" w:hAnsi="Arial"/>
          <w:sz w:val="22"/>
          <w:szCs w:val="22"/>
          <w:color w:val="auto"/>
        </w:rPr>
        <w:t>Market risk is the risk of erosion of the company's cash flows, net income, asset values and equity due to adverse changes in prices for various commodities, and in interest rates.</w:t>
      </w:r>
    </w:p>
    <w:p>
      <w:pPr>
        <w:spacing w:after="0" w:line="173" w:lineRule="exact"/>
        <w:rPr>
          <w:sz w:val="20"/>
          <w:szCs w:val="20"/>
          <w:color w:val="auto"/>
        </w:rPr>
      </w:pPr>
    </w:p>
    <w:p>
      <w:pPr>
        <w:ind w:right="180"/>
        <w:spacing w:after="0" w:line="234" w:lineRule="auto"/>
        <w:rPr>
          <w:sz w:val="20"/>
          <w:szCs w:val="20"/>
          <w:color w:val="auto"/>
        </w:rPr>
      </w:pPr>
      <w:r>
        <w:rPr>
          <w:rFonts w:ascii="Arial" w:cs="Arial" w:eastAsia="Arial" w:hAnsi="Arial"/>
          <w:sz w:val="22"/>
          <w:szCs w:val="22"/>
          <w:color w:val="auto"/>
        </w:rPr>
        <w:t>The company has adopted policies governing its market risk management and trading activities of all affiliates. Assisted by the company's Risk Management Department (RMD), the company's Risk Management Committee (RMC) consisting of senior officers, establishes policy for and oversees company-wide energy risk management activities and monitors the results of trading and other activities to ensure compliance with the company's stated energy risk management policies and applicable regulatory requirements. The RMD receives daily information detailing positions regarding market positions that create credit, liquidity and market risk and monitors energy price risk management and measures and reports the market and credit risk associated with these positions to the RMC.</w:t>
      </w:r>
    </w:p>
    <w:p>
      <w:pPr>
        <w:spacing w:after="0" w:line="191" w:lineRule="exact"/>
        <w:rPr>
          <w:sz w:val="20"/>
          <w:szCs w:val="20"/>
          <w:color w:val="auto"/>
        </w:rPr>
      </w:pPr>
    </w:p>
    <w:p>
      <w:pPr>
        <w:spacing w:after="0" w:line="274" w:lineRule="auto"/>
        <w:rPr>
          <w:sz w:val="20"/>
          <w:szCs w:val="20"/>
          <w:color w:val="auto"/>
        </w:rPr>
      </w:pPr>
      <w:r>
        <w:rPr>
          <w:rFonts w:ascii="Arial" w:cs="Arial" w:eastAsia="Arial" w:hAnsi="Arial"/>
          <w:sz w:val="19"/>
          <w:szCs w:val="19"/>
          <w:color w:val="auto"/>
        </w:rPr>
        <w:t>Along with other tools, the company uses Value at Risk (VaR) to measure its exposure to market risk. VaR is an estimate of the potential loss on a position or portfolio of positions over a specified holding period, based on normal market conditions and within a given statistical confidence interval. The company has adopted the variance/covariance methodology in its calculation of VaR, and uses both the 95-percent and 99-percent confidence intervals. VaR is calculated independently by the RMD for the company. Historical and implied volatilities and correlations between instruments and positions are used in the calculation. The company uses energy and natural gas derivatives to manage natural gas and energy price risk associated with servicing load requirements. The use of energy and natural gas derivatives is in compliance with risk management and trading activity plans that have been filed and approved by the CPUC. Any costs or gains/losses associated with the use of energy and natural gas derivatives, which use is in compliance with CPUC approved plans, are considered to be commodity costs that are passed on to customers in a substantially concurrent basis.</w:t>
      </w:r>
    </w:p>
    <w:p>
      <w:pPr>
        <w:spacing w:after="0" w:line="200" w:lineRule="exact"/>
        <w:rPr>
          <w:sz w:val="20"/>
          <w:szCs w:val="20"/>
          <w:color w:val="auto"/>
        </w:rPr>
      </w:pPr>
    </w:p>
    <w:p>
      <w:pPr>
        <w:spacing w:after="0" w:line="202" w:lineRule="exact"/>
        <w:rPr>
          <w:sz w:val="20"/>
          <w:szCs w:val="20"/>
          <w:color w:val="auto"/>
        </w:rPr>
      </w:pPr>
    </w:p>
    <w:p>
      <w:pPr>
        <w:spacing w:after="0" w:line="251" w:lineRule="auto"/>
        <w:rPr>
          <w:sz w:val="20"/>
          <w:szCs w:val="20"/>
          <w:color w:val="auto"/>
        </w:rPr>
      </w:pPr>
      <w:r>
        <w:rPr>
          <w:rFonts w:ascii="Arial" w:cs="Arial" w:eastAsia="Arial" w:hAnsi="Arial"/>
          <w:sz w:val="22"/>
          <w:szCs w:val="22"/>
          <w:color w:val="auto"/>
        </w:rPr>
        <w:t>Revenue recognition is discussed in Note 1 and the additional market risk information regarding derivative instruments is discussed in Note 7 of the notes to Consolidated Financial Statements.</w:t>
      </w:r>
    </w:p>
    <w:p>
      <w:pPr>
        <w:sectPr>
          <w:pgSz w:w="11900" w:h="16838" w:orient="portrait"/>
          <w:cols w:equalWidth="0" w:num="1">
            <w:col w:w="11400"/>
          </w:cols>
          <w:pgMar w:left="240" w:top="617" w:right="259" w:bottom="0" w:gutter="0" w:footer="0" w:header="0"/>
        </w:sectPr>
      </w:pPr>
    </w:p>
    <w:bookmarkStart w:id="18" w:name="page19"/>
    <w:bookmarkEnd w:id="18"/>
    <w:p>
      <w:pPr>
        <w:ind w:right="260"/>
        <w:spacing w:after="0" w:line="251" w:lineRule="auto"/>
        <w:rPr>
          <w:sz w:val="20"/>
          <w:szCs w:val="20"/>
          <w:color w:val="auto"/>
        </w:rPr>
      </w:pPr>
      <w:r>
        <w:rPr>
          <w:rFonts w:ascii="Arial" w:cs="Arial" w:eastAsia="Arial" w:hAnsi="Arial"/>
          <w:sz w:val="22"/>
          <w:szCs w:val="22"/>
          <w:color w:val="auto"/>
        </w:rPr>
        <w:t>The following discussion of the company's primary market risk exposures as of December 31, 2005 includes a discussion of how these exposures are managed.</w:t>
      </w:r>
    </w:p>
    <w:p>
      <w:pPr>
        <w:spacing w:after="0" w:line="16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Commodity Price Risk</w:t>
      </w:r>
    </w:p>
    <w:p>
      <w:pPr>
        <w:spacing w:after="0" w:line="212" w:lineRule="exact"/>
        <w:rPr>
          <w:sz w:val="20"/>
          <w:szCs w:val="20"/>
          <w:color w:val="auto"/>
        </w:rPr>
      </w:pPr>
    </w:p>
    <w:p>
      <w:pPr>
        <w:ind w:right="560"/>
        <w:spacing w:after="0" w:line="236" w:lineRule="auto"/>
        <w:rPr>
          <w:sz w:val="20"/>
          <w:szCs w:val="20"/>
          <w:color w:val="auto"/>
        </w:rPr>
      </w:pPr>
      <w:r>
        <w:rPr>
          <w:rFonts w:ascii="Arial" w:cs="Arial" w:eastAsia="Arial" w:hAnsi="Arial"/>
          <w:sz w:val="22"/>
          <w:szCs w:val="22"/>
          <w:color w:val="auto"/>
        </w:rPr>
        <w:t>Market risk related to physical commodities is created by volatility in the prices and basis of natural gas and electricity. The company's market risk is impacted by changes in volatility and liquidity in the markets in which these commodities or related financial instruments are traded. The company is exposed, in varying degrees, to price risk, primarily in the natural gas and electricity markets. The company's policy is to manage this risk within a framework that considers the unique markets, and operating and regulatory environments.</w:t>
      </w:r>
    </w:p>
    <w:p>
      <w:pPr>
        <w:spacing w:after="0" w:line="188" w:lineRule="exact"/>
        <w:rPr>
          <w:sz w:val="20"/>
          <w:szCs w:val="20"/>
          <w:color w:val="auto"/>
        </w:rPr>
      </w:pPr>
    </w:p>
    <w:p>
      <w:pPr>
        <w:ind w:right="20"/>
        <w:spacing w:after="0" w:line="247" w:lineRule="auto"/>
        <w:rPr>
          <w:sz w:val="20"/>
          <w:szCs w:val="20"/>
          <w:color w:val="auto"/>
        </w:rPr>
      </w:pPr>
      <w:r>
        <w:rPr>
          <w:rFonts w:ascii="Arial" w:cs="Arial" w:eastAsia="Arial" w:hAnsi="Arial"/>
          <w:sz w:val="21"/>
          <w:szCs w:val="21"/>
          <w:color w:val="auto"/>
        </w:rPr>
        <w:t>The company's market risk exposure is limited due to CPUC-authorized rate recovery of the costs of electric procurement and natural gas purchases and sales. However, the company may, at times, be exposed to market risk as a result of SDG&amp;E's natural gas PBR and electric procurement activities</w:t>
      </w:r>
      <w:r>
        <w:rPr>
          <w:rFonts w:ascii="Arial" w:cs="Arial" w:eastAsia="Arial" w:hAnsi="Arial"/>
          <w:sz w:val="21"/>
          <w:szCs w:val="21"/>
          <w:b w:val="1"/>
          <w:bCs w:val="1"/>
          <w:color w:val="auto"/>
        </w:rPr>
        <w:t>,</w:t>
      </w:r>
      <w:r>
        <w:rPr>
          <w:rFonts w:ascii="Arial" w:cs="Arial" w:eastAsia="Arial" w:hAnsi="Arial"/>
          <w:sz w:val="21"/>
          <w:szCs w:val="21"/>
          <w:color w:val="auto"/>
        </w:rPr>
        <w:t xml:space="preserve"> which is discussed in Note 10 of the notes to Consolidated Financial Statements. If commodity prices were to rise too rapidly, it is likely that volumes would decline. This would increase the per-unit fixed costs, which could lead to further volume declines. The company manages its risk within the parameters of its market risk management framework. As of December 31, 2005, the company's VaR was not material and the procurement activities are in compliance with the procurement plans filed with and approved by the CPUC.</w:t>
      </w:r>
    </w:p>
    <w:p>
      <w:pPr>
        <w:spacing w:after="0" w:line="17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Interest Rate Risk</w:t>
      </w:r>
    </w:p>
    <w:p>
      <w:pPr>
        <w:spacing w:after="0" w:line="212" w:lineRule="exact"/>
        <w:rPr>
          <w:sz w:val="20"/>
          <w:szCs w:val="20"/>
          <w:color w:val="auto"/>
        </w:rPr>
      </w:pPr>
    </w:p>
    <w:p>
      <w:pPr>
        <w:jc w:val="both"/>
        <w:ind w:right="380"/>
        <w:spacing w:after="0" w:line="238" w:lineRule="auto"/>
        <w:rPr>
          <w:sz w:val="20"/>
          <w:szCs w:val="20"/>
          <w:color w:val="auto"/>
        </w:rPr>
      </w:pPr>
      <w:r>
        <w:rPr>
          <w:rFonts w:ascii="Arial" w:cs="Arial" w:eastAsia="Arial" w:hAnsi="Arial"/>
          <w:sz w:val="22"/>
          <w:szCs w:val="22"/>
          <w:color w:val="auto"/>
        </w:rPr>
        <w:t>The company is exposed to fluctuations in interest rates primarily as a result of its short-term and long-term debt. The company historically has funded operations through long-term debt issues at fixed rates of interest recovered in utility rates. Some more-recent debt offerings have been issued with floating rates. Subject to regulatory constraints, interest-rate swaps may be used to adjust interest-rate exposures.</w:t>
      </w:r>
    </w:p>
    <w:p>
      <w:pPr>
        <w:spacing w:after="0" w:line="185" w:lineRule="exact"/>
        <w:rPr>
          <w:sz w:val="20"/>
          <w:szCs w:val="20"/>
          <w:color w:val="auto"/>
        </w:rPr>
      </w:pPr>
    </w:p>
    <w:p>
      <w:pPr>
        <w:jc w:val="both"/>
        <w:ind w:right="120"/>
        <w:spacing w:after="0" w:line="258" w:lineRule="auto"/>
        <w:rPr>
          <w:sz w:val="20"/>
          <w:szCs w:val="20"/>
          <w:color w:val="auto"/>
        </w:rPr>
      </w:pPr>
      <w:r>
        <w:rPr>
          <w:rFonts w:ascii="Arial" w:cs="Arial" w:eastAsia="Arial" w:hAnsi="Arial"/>
          <w:sz w:val="21"/>
          <w:szCs w:val="21"/>
          <w:color w:val="auto"/>
        </w:rPr>
        <w:t>At December 31, 2005, the company had $1.5 billion of fixed-rate debt and no variable-rate debt. Interest on fixed-rate utility debt is fully recovered in rates on a historical cost basis and interest on variable-rate debt is provided for in rates on a forecasted basis. At December 31, 2005, the company's fixed-rate debt had a one-year VaR of $171 million.</w:t>
      </w:r>
    </w:p>
    <w:p>
      <w:pPr>
        <w:spacing w:after="0" w:line="167" w:lineRule="exact"/>
        <w:rPr>
          <w:sz w:val="20"/>
          <w:szCs w:val="20"/>
          <w:color w:val="auto"/>
        </w:rPr>
      </w:pPr>
    </w:p>
    <w:p>
      <w:pPr>
        <w:ind w:right="920"/>
        <w:spacing w:after="0" w:line="328" w:lineRule="auto"/>
        <w:rPr>
          <w:sz w:val="20"/>
          <w:szCs w:val="20"/>
          <w:color w:val="auto"/>
        </w:rPr>
      </w:pPr>
      <w:r>
        <w:rPr>
          <w:rFonts w:ascii="Arial" w:cs="Arial" w:eastAsia="Arial" w:hAnsi="Arial"/>
          <w:sz w:val="19"/>
          <w:szCs w:val="19"/>
          <w:color w:val="auto"/>
        </w:rPr>
        <w:t>At December 31, 2005, the notional amount of interest-rate swap transactions totaled $251 million. Note 2 of the notes to Consolidated Financial Statements provides further information regarding interest-rate swap transactions.</w:t>
      </w:r>
    </w:p>
    <w:p>
      <w:pPr>
        <w:spacing w:after="0" w:line="105" w:lineRule="exact"/>
        <w:rPr>
          <w:sz w:val="20"/>
          <w:szCs w:val="20"/>
          <w:color w:val="auto"/>
        </w:rPr>
      </w:pPr>
    </w:p>
    <w:p>
      <w:pPr>
        <w:jc w:val="both"/>
        <w:ind w:right="180"/>
        <w:spacing w:after="0" w:line="328" w:lineRule="auto"/>
        <w:rPr>
          <w:sz w:val="20"/>
          <w:szCs w:val="20"/>
          <w:color w:val="auto"/>
        </w:rPr>
      </w:pPr>
      <w:r>
        <w:rPr>
          <w:rFonts w:ascii="Arial" w:cs="Arial" w:eastAsia="Arial" w:hAnsi="Arial"/>
          <w:sz w:val="19"/>
          <w:szCs w:val="19"/>
          <w:color w:val="auto"/>
        </w:rPr>
        <w:t>In addition, the company is subject to the effect of interest-rate fluctuations on the assets of its pension plans, other postretirement plans and the nuclear decommissioning trust. However the effects of these fluctuations are expected to be passed on to customers.</w:t>
      </w:r>
    </w:p>
    <w:p>
      <w:pPr>
        <w:spacing w:after="0" w:line="9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Credit Risk</w:t>
      </w:r>
    </w:p>
    <w:p>
      <w:pPr>
        <w:spacing w:after="0" w:line="212" w:lineRule="exact"/>
        <w:rPr>
          <w:sz w:val="20"/>
          <w:szCs w:val="20"/>
          <w:color w:val="auto"/>
        </w:rPr>
      </w:pPr>
    </w:p>
    <w:p>
      <w:pPr>
        <w:ind w:right="40"/>
        <w:spacing w:after="0" w:line="245" w:lineRule="auto"/>
        <w:rPr>
          <w:sz w:val="20"/>
          <w:szCs w:val="20"/>
          <w:color w:val="auto"/>
        </w:rPr>
      </w:pPr>
      <w:r>
        <w:rPr>
          <w:rFonts w:ascii="Arial" w:cs="Arial" w:eastAsia="Arial" w:hAnsi="Arial"/>
          <w:sz w:val="21"/>
          <w:szCs w:val="21"/>
          <w:color w:val="auto"/>
        </w:rPr>
        <w:t>Credit risk is the risk of loss that would be incurred as a result of nonperformance by counterparties of their contractual obligations. As with market risk, the company has adopted policies governing the management of credit risk. Credit risk management is performed by the company's credit department and overseen by the company's RMC. Using rigorous models, the RMD and the company calculate current and potential credit risk to counterparties on a daily basis and monitor actual balances in comparison to approved limits. The company avoids concentration of counterparties whenever possible, and management believes its credit policies associated with counterparties significantly reduce overall credit risk. These policies include an evaluation of prospective counterparties' financial condition (including credit ratings), collateral requirements under certain circumstances, the use of standardized agreements that allow for the netting of positive and negative exposures associated with a single counterparty, and other security such as lock-box liens and downgrade triggers. The company believes that adequate reserves have been provided for counterparty nonperformance.</w:t>
      </w:r>
    </w:p>
    <w:p>
      <w:pPr>
        <w:spacing w:after="0" w:line="182" w:lineRule="exact"/>
        <w:rPr>
          <w:sz w:val="20"/>
          <w:szCs w:val="20"/>
          <w:color w:val="auto"/>
        </w:rPr>
      </w:pPr>
    </w:p>
    <w:p>
      <w:pPr>
        <w:ind w:right="500"/>
        <w:spacing w:after="0" w:line="328" w:lineRule="auto"/>
        <w:rPr>
          <w:sz w:val="20"/>
          <w:szCs w:val="20"/>
          <w:color w:val="auto"/>
        </w:rPr>
      </w:pPr>
      <w:r>
        <w:rPr>
          <w:rFonts w:ascii="Arial" w:cs="Arial" w:eastAsia="Arial" w:hAnsi="Arial"/>
          <w:sz w:val="19"/>
          <w:szCs w:val="19"/>
          <w:color w:val="auto"/>
        </w:rPr>
        <w:t>The company monitors credit risk through a credit approval process and the assignment and monitoring of credit limits. These credit limits are established based on risk and return considerations under terms customarily available in the industry.</w:t>
      </w:r>
    </w:p>
    <w:p>
      <w:pPr>
        <w:spacing w:after="0" w:line="105" w:lineRule="exact"/>
        <w:rPr>
          <w:sz w:val="20"/>
          <w:szCs w:val="20"/>
          <w:color w:val="auto"/>
        </w:rPr>
      </w:pPr>
    </w:p>
    <w:p>
      <w:pPr>
        <w:ind w:right="660"/>
        <w:spacing w:after="0" w:line="258" w:lineRule="auto"/>
        <w:rPr>
          <w:sz w:val="20"/>
          <w:szCs w:val="20"/>
          <w:color w:val="auto"/>
        </w:rPr>
      </w:pPr>
      <w:r>
        <w:rPr>
          <w:rFonts w:ascii="Arial" w:cs="Arial" w:eastAsia="Arial" w:hAnsi="Arial"/>
          <w:sz w:val="21"/>
          <w:szCs w:val="21"/>
          <w:color w:val="auto"/>
        </w:rPr>
        <w:t>As noted above under "Interest Rate Risk," the company periodically enters into interest-rate swap agreements to moderate exposure to interest-rate changes and to lower the overall cost of borrowing. The company would be exposed to interest-rate fluctuations on the underlying debt should counterparties to the agreement not perform.</w:t>
      </w:r>
    </w:p>
    <w:p>
      <w:pPr>
        <w:spacing w:after="0" w:line="16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CRITICAL ACCOUNTING POLICIES AND ESTIMATES AND KEY NON-CASH PERFORMANCE INDICATORS</w:t>
      </w:r>
    </w:p>
    <w:p>
      <w:pPr>
        <w:spacing w:after="0" w:line="212" w:lineRule="exact"/>
        <w:rPr>
          <w:sz w:val="20"/>
          <w:szCs w:val="20"/>
          <w:color w:val="auto"/>
        </w:rPr>
      </w:pPr>
    </w:p>
    <w:p>
      <w:pPr>
        <w:ind w:right="100"/>
        <w:spacing w:after="0"/>
        <w:rPr>
          <w:sz w:val="20"/>
          <w:szCs w:val="20"/>
          <w:color w:val="auto"/>
        </w:rPr>
      </w:pPr>
      <w:r>
        <w:rPr>
          <w:rFonts w:ascii="Arial" w:cs="Arial" w:eastAsia="Arial" w:hAnsi="Arial"/>
          <w:sz w:val="22"/>
          <w:szCs w:val="22"/>
          <w:color w:val="auto"/>
        </w:rPr>
        <w:t>Certain accounting policies are viewed by management as critical because their application is the most relevant, judgmental and/or material to the company's financial position and results of operations, and/or because they require the use of material judgments and estimates.</w:t>
      </w:r>
    </w:p>
    <w:p>
      <w:pPr>
        <w:spacing w:after="0" w:line="186" w:lineRule="exact"/>
        <w:rPr>
          <w:sz w:val="20"/>
          <w:szCs w:val="20"/>
          <w:color w:val="auto"/>
        </w:rPr>
      </w:pPr>
    </w:p>
    <w:p>
      <w:pPr>
        <w:jc w:val="both"/>
        <w:spacing w:after="0"/>
        <w:rPr>
          <w:sz w:val="20"/>
          <w:szCs w:val="20"/>
          <w:color w:val="auto"/>
        </w:rPr>
      </w:pPr>
      <w:r>
        <w:rPr>
          <w:rFonts w:ascii="Arial" w:cs="Arial" w:eastAsia="Arial" w:hAnsi="Arial"/>
          <w:sz w:val="22"/>
          <w:szCs w:val="22"/>
          <w:color w:val="auto"/>
        </w:rPr>
        <w:t>The company's significant accounting policies are described in Note 1 of the notes to Consolidated Financial Statements. The most critical policies, all of which are mandatory under generally accepted accounting principles and the regulations of the Securities and Exchange Commission, are the following:</w:t>
      </w:r>
    </w:p>
    <w:p>
      <w:pPr>
        <w:spacing w:after="0" w:line="186" w:lineRule="exact"/>
        <w:rPr>
          <w:sz w:val="20"/>
          <w:szCs w:val="20"/>
          <w:color w:val="auto"/>
        </w:rPr>
      </w:pPr>
    </w:p>
    <w:p>
      <w:pPr>
        <w:jc w:val="both"/>
        <w:ind w:left="1080" w:right="200"/>
        <w:spacing w:after="0"/>
        <w:rPr>
          <w:sz w:val="20"/>
          <w:szCs w:val="20"/>
          <w:color w:val="auto"/>
        </w:rPr>
      </w:pPr>
      <w:r>
        <w:rPr>
          <w:rFonts w:ascii="Arial" w:cs="Arial" w:eastAsia="Arial" w:hAnsi="Arial"/>
          <w:sz w:val="22"/>
          <w:szCs w:val="22"/>
          <w:i w:val="1"/>
          <w:iCs w:val="1"/>
          <w:color w:val="auto"/>
        </w:rPr>
        <w:t xml:space="preserve">Statement of Financial Accounting Standards (SFAS) 5, "Accounting for Contingencies," </w:t>
      </w:r>
      <w:r>
        <w:rPr>
          <w:rFonts w:ascii="Arial" w:cs="Arial" w:eastAsia="Arial" w:hAnsi="Arial"/>
          <w:sz w:val="22"/>
          <w:szCs w:val="22"/>
          <w:color w:val="auto"/>
        </w:rPr>
        <w:t>establishes the amounts and</w:t>
      </w:r>
      <w:r>
        <w:rPr>
          <w:rFonts w:ascii="Arial" w:cs="Arial" w:eastAsia="Arial" w:hAnsi="Arial"/>
          <w:sz w:val="22"/>
          <w:szCs w:val="22"/>
          <w:i w:val="1"/>
          <w:iCs w:val="1"/>
          <w:color w:val="auto"/>
        </w:rPr>
        <w:t xml:space="preserve"> </w:t>
      </w:r>
      <w:r>
        <w:rPr>
          <w:rFonts w:ascii="Arial" w:cs="Arial" w:eastAsia="Arial" w:hAnsi="Arial"/>
          <w:sz w:val="22"/>
          <w:szCs w:val="22"/>
          <w:color w:val="auto"/>
        </w:rPr>
        <w:t>timing of when the company provides for contingent losses. Details of the company's issues in this area are discussed in Note 11 of the notes to Consolidated Financial Statements.</w:t>
      </w:r>
    </w:p>
    <w:p>
      <w:pPr>
        <w:sectPr>
          <w:pgSz w:w="11900" w:h="16838" w:orient="portrait"/>
          <w:cols w:equalWidth="0" w:num="1">
            <w:col w:w="11420"/>
          </w:cols>
          <w:pgMar w:left="240" w:top="118" w:right="239" w:bottom="0" w:gutter="0" w:footer="0" w:header="0"/>
        </w:sectPr>
      </w:pPr>
    </w:p>
    <w:bookmarkStart w:id="19" w:name="page20"/>
    <w:bookmarkEnd w:id="19"/>
    <w:p>
      <w:pPr>
        <w:ind w:left="1080"/>
        <w:spacing w:after="0" w:line="241" w:lineRule="auto"/>
        <w:rPr>
          <w:sz w:val="20"/>
          <w:szCs w:val="20"/>
          <w:color w:val="auto"/>
        </w:rPr>
      </w:pPr>
      <w:r>
        <w:rPr>
          <w:rFonts w:ascii="Arial" w:cs="Arial" w:eastAsia="Arial" w:hAnsi="Arial"/>
          <w:sz w:val="22"/>
          <w:szCs w:val="22"/>
          <w:i w:val="1"/>
          <w:iCs w:val="1"/>
          <w:color w:val="auto"/>
        </w:rPr>
        <w:t xml:space="preserve">SFAS 71, "Accounting for the Effects of Certain Types of Regulation," </w:t>
      </w:r>
      <w:r>
        <w:rPr>
          <w:rFonts w:ascii="Arial" w:cs="Arial" w:eastAsia="Arial" w:hAnsi="Arial"/>
          <w:sz w:val="22"/>
          <w:szCs w:val="22"/>
          <w:color w:val="auto"/>
        </w:rPr>
        <w:t>has a significant effect on the way the California</w:t>
      </w:r>
      <w:r>
        <w:rPr>
          <w:rFonts w:ascii="Arial" w:cs="Arial" w:eastAsia="Arial" w:hAnsi="Arial"/>
          <w:sz w:val="22"/>
          <w:szCs w:val="22"/>
          <w:i w:val="1"/>
          <w:iCs w:val="1"/>
          <w:color w:val="auto"/>
        </w:rPr>
        <w:t xml:space="preserve"> </w:t>
      </w:r>
      <w:r>
        <w:rPr>
          <w:rFonts w:ascii="Arial" w:cs="Arial" w:eastAsia="Arial" w:hAnsi="Arial"/>
          <w:sz w:val="22"/>
          <w:szCs w:val="22"/>
          <w:color w:val="auto"/>
        </w:rPr>
        <w:t>Utilities record assets and liabilities, and the related revenues and expenses that would not be recorded absent the principles contained in SFAS 71.</w:t>
      </w:r>
    </w:p>
    <w:p>
      <w:pPr>
        <w:spacing w:after="0" w:line="184" w:lineRule="exact"/>
        <w:rPr>
          <w:sz w:val="20"/>
          <w:szCs w:val="20"/>
          <w:color w:val="auto"/>
        </w:rPr>
      </w:pPr>
    </w:p>
    <w:p>
      <w:pPr>
        <w:ind w:left="1080" w:right="380"/>
        <w:spacing w:after="0" w:line="328" w:lineRule="auto"/>
        <w:rPr>
          <w:sz w:val="20"/>
          <w:szCs w:val="20"/>
          <w:color w:val="auto"/>
        </w:rPr>
      </w:pPr>
      <w:r>
        <w:rPr>
          <w:rFonts w:ascii="Arial" w:cs="Arial" w:eastAsia="Arial" w:hAnsi="Arial"/>
          <w:sz w:val="19"/>
          <w:szCs w:val="19"/>
          <w:i w:val="1"/>
          <w:iCs w:val="1"/>
          <w:color w:val="auto"/>
        </w:rPr>
        <w:t xml:space="preserve">SFAS 109, "Accounting for Income Taxes," </w:t>
      </w:r>
      <w:r>
        <w:rPr>
          <w:rFonts w:ascii="Arial" w:cs="Arial" w:eastAsia="Arial" w:hAnsi="Arial"/>
          <w:sz w:val="19"/>
          <w:szCs w:val="19"/>
          <w:color w:val="auto"/>
        </w:rPr>
        <w:t>governs the way the company provides for income taxes. Details of the</w:t>
      </w:r>
      <w:r>
        <w:rPr>
          <w:rFonts w:ascii="Arial" w:cs="Arial" w:eastAsia="Arial" w:hAnsi="Arial"/>
          <w:sz w:val="19"/>
          <w:szCs w:val="19"/>
          <w:i w:val="1"/>
          <w:iCs w:val="1"/>
          <w:color w:val="auto"/>
        </w:rPr>
        <w:t xml:space="preserve"> </w:t>
      </w:r>
      <w:r>
        <w:rPr>
          <w:rFonts w:ascii="Arial" w:cs="Arial" w:eastAsia="Arial" w:hAnsi="Arial"/>
          <w:sz w:val="19"/>
          <w:szCs w:val="19"/>
          <w:color w:val="auto"/>
        </w:rPr>
        <w:t>company's issues in this area are discussed in Note 4 of the notes to Consolidated Financial Statements.</w:t>
      </w:r>
    </w:p>
    <w:p>
      <w:pPr>
        <w:spacing w:after="0" w:line="105" w:lineRule="exact"/>
        <w:rPr>
          <w:sz w:val="20"/>
          <w:szCs w:val="20"/>
          <w:color w:val="auto"/>
        </w:rPr>
      </w:pPr>
    </w:p>
    <w:p>
      <w:pPr>
        <w:ind w:left="1080" w:right="160"/>
        <w:spacing w:after="0" w:line="248" w:lineRule="auto"/>
        <w:rPr>
          <w:sz w:val="20"/>
          <w:szCs w:val="20"/>
          <w:color w:val="auto"/>
        </w:rPr>
      </w:pPr>
      <w:r>
        <w:rPr>
          <w:rFonts w:ascii="Arial" w:cs="Arial" w:eastAsia="Arial" w:hAnsi="Arial"/>
          <w:sz w:val="21"/>
          <w:szCs w:val="21"/>
          <w:i w:val="1"/>
          <w:iCs w:val="1"/>
          <w:color w:val="auto"/>
        </w:rPr>
        <w:t xml:space="preserve">SFAS 133, "Accounting for Derivative Instruments and Hedging Activities," SFAS 138, "Accounting for Certain Derivative Instruments and Certain Hedging Activities," SFAS 149, "Amendment of Statement 133 on Derivative Instruments and Hedging Activities," </w:t>
      </w:r>
      <w:r>
        <w:rPr>
          <w:rFonts w:ascii="Arial" w:cs="Arial" w:eastAsia="Arial" w:hAnsi="Arial"/>
          <w:sz w:val="21"/>
          <w:szCs w:val="21"/>
          <w:color w:val="auto"/>
        </w:rPr>
        <w:t>and</w:t>
      </w:r>
      <w:r>
        <w:rPr>
          <w:rFonts w:ascii="Arial" w:cs="Arial" w:eastAsia="Arial" w:hAnsi="Arial"/>
          <w:sz w:val="21"/>
          <w:szCs w:val="21"/>
          <w:i w:val="1"/>
          <w:iCs w:val="1"/>
          <w:color w:val="auto"/>
        </w:rPr>
        <w:t xml:space="preserve"> Emerging Issues Task Force (EITF) Issue 02-3, "Issues Involved in Accounting for Derivative Contracts held for Trading Purposes and Contracts Involved in Energy Trading and Risk Management Activities," </w:t>
      </w:r>
      <w:r>
        <w:rPr>
          <w:rFonts w:ascii="Arial" w:cs="Arial" w:eastAsia="Arial" w:hAnsi="Arial"/>
          <w:sz w:val="21"/>
          <w:szCs w:val="21"/>
          <w:color w:val="auto"/>
        </w:rPr>
        <w:t>have a significant effect on the balance sheets of the company but have no significant effect</w:t>
      </w:r>
      <w:r>
        <w:rPr>
          <w:rFonts w:ascii="Arial" w:cs="Arial" w:eastAsia="Arial" w:hAnsi="Arial"/>
          <w:sz w:val="21"/>
          <w:szCs w:val="21"/>
          <w:i w:val="1"/>
          <w:iCs w:val="1"/>
          <w:color w:val="auto"/>
        </w:rPr>
        <w:t xml:space="preserve"> </w:t>
      </w:r>
      <w:r>
        <w:rPr>
          <w:rFonts w:ascii="Arial" w:cs="Arial" w:eastAsia="Arial" w:hAnsi="Arial"/>
          <w:sz w:val="21"/>
          <w:szCs w:val="21"/>
          <w:color w:val="auto"/>
        </w:rPr>
        <w:t>on its income statements because of the principles contained in SFAS 71.</w:t>
      </w:r>
    </w:p>
    <w:p>
      <w:pPr>
        <w:spacing w:after="0" w:line="177" w:lineRule="exact"/>
        <w:rPr>
          <w:sz w:val="20"/>
          <w:szCs w:val="20"/>
          <w:color w:val="auto"/>
        </w:rPr>
      </w:pPr>
    </w:p>
    <w:p>
      <w:pPr>
        <w:ind w:right="540"/>
        <w:spacing w:after="0" w:line="251" w:lineRule="auto"/>
        <w:rPr>
          <w:sz w:val="20"/>
          <w:szCs w:val="20"/>
          <w:color w:val="auto"/>
        </w:rPr>
      </w:pPr>
      <w:r>
        <w:rPr>
          <w:rFonts w:ascii="Arial" w:cs="Arial" w:eastAsia="Arial" w:hAnsi="Arial"/>
          <w:sz w:val="22"/>
          <w:szCs w:val="22"/>
          <w:color w:val="auto"/>
        </w:rPr>
        <w:t>In connection with the application of these and other accounting policies, the company makes estimates and judgments about various matters. The most significant of these involve:</w:t>
      </w:r>
    </w:p>
    <w:p>
      <w:pPr>
        <w:spacing w:after="0" w:line="173" w:lineRule="exact"/>
        <w:rPr>
          <w:sz w:val="20"/>
          <w:szCs w:val="20"/>
          <w:color w:val="auto"/>
        </w:rPr>
      </w:pPr>
    </w:p>
    <w:p>
      <w:pPr>
        <w:ind w:left="1080"/>
        <w:spacing w:after="0"/>
        <w:rPr>
          <w:sz w:val="20"/>
          <w:szCs w:val="20"/>
          <w:color w:val="auto"/>
        </w:rPr>
      </w:pPr>
      <w:r>
        <w:rPr>
          <w:rFonts w:ascii="Arial" w:cs="Arial" w:eastAsia="Arial" w:hAnsi="Arial"/>
          <w:sz w:val="22"/>
          <w:szCs w:val="22"/>
          <w:color w:val="auto"/>
        </w:rPr>
        <w:t>The calculation of fair or realizable values.</w:t>
      </w:r>
    </w:p>
    <w:p>
      <w:pPr>
        <w:spacing w:after="0" w:line="206" w:lineRule="exact"/>
        <w:rPr>
          <w:sz w:val="20"/>
          <w:szCs w:val="20"/>
          <w:color w:val="auto"/>
        </w:rPr>
      </w:pPr>
    </w:p>
    <w:p>
      <w:pPr>
        <w:ind w:left="1080"/>
        <w:spacing w:after="0"/>
        <w:rPr>
          <w:sz w:val="20"/>
          <w:szCs w:val="20"/>
          <w:color w:val="auto"/>
        </w:rPr>
      </w:pPr>
      <w:r>
        <w:rPr>
          <w:rFonts w:ascii="Arial" w:cs="Arial" w:eastAsia="Arial" w:hAnsi="Arial"/>
          <w:sz w:val="22"/>
          <w:szCs w:val="22"/>
          <w:color w:val="auto"/>
        </w:rPr>
        <w:t>The probable costs to be incurred in the resolution of litigation.</w:t>
      </w:r>
    </w:p>
    <w:p>
      <w:pPr>
        <w:spacing w:after="0" w:line="206" w:lineRule="exact"/>
        <w:rPr>
          <w:sz w:val="20"/>
          <w:szCs w:val="20"/>
          <w:color w:val="auto"/>
        </w:rPr>
      </w:pPr>
    </w:p>
    <w:p>
      <w:pPr>
        <w:ind w:left="1080"/>
        <w:spacing w:after="0"/>
        <w:rPr>
          <w:sz w:val="20"/>
          <w:szCs w:val="20"/>
          <w:color w:val="auto"/>
        </w:rPr>
      </w:pPr>
      <w:r>
        <w:rPr>
          <w:rFonts w:ascii="Arial" w:cs="Arial" w:eastAsia="Arial" w:hAnsi="Arial"/>
          <w:sz w:val="22"/>
          <w:szCs w:val="22"/>
          <w:color w:val="auto"/>
        </w:rPr>
        <w:t>The collectibility of receivables, regulatory assets, deferred tax assets and other assets.</w:t>
      </w:r>
    </w:p>
    <w:p>
      <w:pPr>
        <w:spacing w:after="0" w:line="206" w:lineRule="exact"/>
        <w:rPr>
          <w:sz w:val="20"/>
          <w:szCs w:val="20"/>
          <w:color w:val="auto"/>
        </w:rPr>
      </w:pPr>
    </w:p>
    <w:p>
      <w:pPr>
        <w:ind w:left="1080"/>
        <w:spacing w:after="0"/>
        <w:rPr>
          <w:sz w:val="20"/>
          <w:szCs w:val="20"/>
          <w:color w:val="auto"/>
        </w:rPr>
      </w:pPr>
      <w:r>
        <w:rPr>
          <w:rFonts w:ascii="Arial" w:cs="Arial" w:eastAsia="Arial" w:hAnsi="Arial"/>
          <w:sz w:val="22"/>
          <w:szCs w:val="22"/>
          <w:color w:val="auto"/>
        </w:rPr>
        <w:t>The resolution of various income tax issues between the company and the various taxing authorities.</w:t>
      </w:r>
    </w:p>
    <w:p>
      <w:pPr>
        <w:spacing w:after="0" w:line="206" w:lineRule="exact"/>
        <w:rPr>
          <w:sz w:val="20"/>
          <w:szCs w:val="20"/>
          <w:color w:val="auto"/>
        </w:rPr>
      </w:pPr>
    </w:p>
    <w:p>
      <w:pPr>
        <w:ind w:right="640"/>
        <w:spacing w:after="0" w:line="251" w:lineRule="auto"/>
        <w:rPr>
          <w:sz w:val="20"/>
          <w:szCs w:val="20"/>
          <w:color w:val="auto"/>
        </w:rPr>
      </w:pPr>
      <w:r>
        <w:rPr>
          <w:rFonts w:ascii="Arial" w:cs="Arial" w:eastAsia="Arial" w:hAnsi="Arial"/>
          <w:sz w:val="22"/>
          <w:szCs w:val="22"/>
          <w:color w:val="auto"/>
        </w:rPr>
        <w:t>Differences between estimates and actual amounts have had significant impacts in the past and are likely to have significant impacts in the future.</w:t>
      </w:r>
    </w:p>
    <w:p>
      <w:pPr>
        <w:spacing w:after="0" w:line="173" w:lineRule="exact"/>
        <w:rPr>
          <w:sz w:val="20"/>
          <w:szCs w:val="20"/>
          <w:color w:val="auto"/>
        </w:rPr>
      </w:pPr>
    </w:p>
    <w:p>
      <w:pPr>
        <w:ind w:right="20"/>
        <w:spacing w:after="0" w:line="273" w:lineRule="auto"/>
        <w:rPr>
          <w:sz w:val="20"/>
          <w:szCs w:val="20"/>
          <w:color w:val="auto"/>
        </w:rPr>
      </w:pPr>
      <w:r>
        <w:rPr>
          <w:rFonts w:ascii="Arial" w:cs="Arial" w:eastAsia="Arial" w:hAnsi="Arial"/>
          <w:sz w:val="19"/>
          <w:szCs w:val="19"/>
          <w:color w:val="auto"/>
        </w:rPr>
        <w:t>As discussed elsewhere herein, the company uses exchange quotations or other third-party pricing to estimate fair values whenever possible. When no such data is available, it uses internally developed models and other techniques. The assumed collectibility of receivables considers the aging of the receivables, the credit-worthiness of customers and the enforceability of contracts, where applicable. The assumed collectibility of regulatory assets considers legal and regulatory decisions involving the specific items or similar items. The assumed collectibility of other assets considers the nature of the item, the enforceability of contracts where applicable, the credit-worthiness of the other parties and other factors. The anticipated resolution of income tax issues considers past resolutions of the same or similar issue, the status of any income tax examination in progress and positions taken by taxing authorities with other taxpayers with similar issues. Actuarial assumptions are based on the advice of th e company's independent actuaries. The likelihood of deferred tax recovery is based on analyses of the deferred tax assets and the company's expectation of future financial and/or taxable income, based on its strategic planning.</w:t>
      </w:r>
    </w:p>
    <w:p>
      <w:pPr>
        <w:spacing w:after="0" w:line="162" w:lineRule="exact"/>
        <w:rPr>
          <w:sz w:val="20"/>
          <w:szCs w:val="20"/>
          <w:color w:val="auto"/>
        </w:rPr>
      </w:pPr>
    </w:p>
    <w:p>
      <w:pPr>
        <w:ind w:right="120"/>
        <w:spacing w:after="0" w:line="274" w:lineRule="auto"/>
        <w:rPr>
          <w:sz w:val="20"/>
          <w:szCs w:val="20"/>
          <w:color w:val="auto"/>
        </w:rPr>
      </w:pPr>
      <w:r>
        <w:rPr>
          <w:rFonts w:ascii="Arial" w:cs="Arial" w:eastAsia="Arial" w:hAnsi="Arial"/>
          <w:sz w:val="21"/>
          <w:szCs w:val="21"/>
          <w:color w:val="auto"/>
        </w:rPr>
        <w:t>Choices among alternative accounting policies that are material to the company's financial statements and information concerning significant estimates have been discussed with the audit committee of the board of directors.</w:t>
      </w:r>
    </w:p>
    <w:p>
      <w:pPr>
        <w:spacing w:after="0" w:line="151" w:lineRule="exact"/>
        <w:rPr>
          <w:sz w:val="20"/>
          <w:szCs w:val="20"/>
          <w:color w:val="auto"/>
        </w:rPr>
      </w:pPr>
    </w:p>
    <w:p>
      <w:pPr>
        <w:ind w:right="200"/>
        <w:spacing w:after="0" w:line="251" w:lineRule="auto"/>
        <w:rPr>
          <w:sz w:val="20"/>
          <w:szCs w:val="20"/>
          <w:color w:val="auto"/>
        </w:rPr>
      </w:pPr>
      <w:r>
        <w:rPr>
          <w:rFonts w:ascii="Arial" w:cs="Arial" w:eastAsia="Arial" w:hAnsi="Arial"/>
          <w:sz w:val="22"/>
          <w:szCs w:val="22"/>
          <w:color w:val="auto"/>
        </w:rPr>
        <w:t>Key non-cash performance indicators for the company include numbers of customers and quantities of natural gas and electricity sold. The information is provided in "Overview" and "Results of Operations."</w:t>
      </w:r>
    </w:p>
    <w:p>
      <w:pPr>
        <w:spacing w:after="0" w:line="16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NEW ACCOUNTING STANDARDS</w:t>
      </w:r>
    </w:p>
    <w:p>
      <w:pPr>
        <w:spacing w:after="0" w:line="212" w:lineRule="exact"/>
        <w:rPr>
          <w:sz w:val="20"/>
          <w:szCs w:val="20"/>
          <w:color w:val="auto"/>
        </w:rPr>
      </w:pPr>
    </w:p>
    <w:p>
      <w:pPr>
        <w:ind w:right="520"/>
        <w:spacing w:after="0"/>
        <w:rPr>
          <w:sz w:val="20"/>
          <w:szCs w:val="20"/>
          <w:color w:val="auto"/>
        </w:rPr>
      </w:pPr>
      <w:r>
        <w:rPr>
          <w:rFonts w:ascii="Arial" w:cs="Arial" w:eastAsia="Arial" w:hAnsi="Arial"/>
          <w:sz w:val="22"/>
          <w:szCs w:val="22"/>
          <w:color w:val="auto"/>
        </w:rPr>
        <w:t>Relevant pronouncements that have recently become effective and have had a significant effect on the company's financial statements are SFAS 143 and Financial Accounting Standards Board (FASB) Interpretation No. (FIN) 47. They are described below.</w:t>
      </w:r>
    </w:p>
    <w:p>
      <w:pPr>
        <w:spacing w:after="0" w:line="186" w:lineRule="exact"/>
        <w:rPr>
          <w:sz w:val="20"/>
          <w:szCs w:val="20"/>
          <w:color w:val="auto"/>
        </w:rPr>
      </w:pPr>
    </w:p>
    <w:p>
      <w:pPr>
        <w:spacing w:after="0" w:line="245" w:lineRule="auto"/>
        <w:rPr>
          <w:sz w:val="20"/>
          <w:szCs w:val="20"/>
          <w:color w:val="auto"/>
        </w:rPr>
      </w:pPr>
      <w:r>
        <w:rPr>
          <w:rFonts w:ascii="Arial" w:cs="Arial" w:eastAsia="Arial" w:hAnsi="Arial"/>
          <w:sz w:val="21"/>
          <w:szCs w:val="21"/>
          <w:i w:val="1"/>
          <w:iCs w:val="1"/>
          <w:color w:val="auto"/>
        </w:rPr>
        <w:t>SFAS 143</w:t>
      </w:r>
      <w:r>
        <w:rPr>
          <w:rFonts w:ascii="Arial" w:cs="Arial" w:eastAsia="Arial" w:hAnsi="Arial"/>
          <w:sz w:val="21"/>
          <w:szCs w:val="21"/>
          <w:color w:val="auto"/>
        </w:rPr>
        <w:t>,</w:t>
      </w:r>
      <w:r>
        <w:rPr>
          <w:rFonts w:ascii="Arial" w:cs="Arial" w:eastAsia="Arial" w:hAnsi="Arial"/>
          <w:sz w:val="21"/>
          <w:szCs w:val="21"/>
          <w:i w:val="1"/>
          <w:iCs w:val="1"/>
          <w:color w:val="auto"/>
        </w:rPr>
        <w:t xml:space="preserve"> "Accounting for Asset Retirement Obligations" and FIN 47, "Accounting for Conditional Asset Retirement Obligations, an interpretation of FASB Statement No. 143": </w:t>
      </w:r>
      <w:r>
        <w:rPr>
          <w:rFonts w:ascii="Arial" w:cs="Arial" w:eastAsia="Arial" w:hAnsi="Arial"/>
          <w:sz w:val="21"/>
          <w:szCs w:val="21"/>
          <w:color w:val="auto"/>
        </w:rPr>
        <w:t>SFAS 143 requires entities to record the fair value of liabilities for legal obligations</w:t>
      </w:r>
      <w:r>
        <w:rPr>
          <w:rFonts w:ascii="Arial" w:cs="Arial" w:eastAsia="Arial" w:hAnsi="Arial"/>
          <w:sz w:val="21"/>
          <w:szCs w:val="21"/>
          <w:i w:val="1"/>
          <w:iCs w:val="1"/>
          <w:color w:val="auto"/>
        </w:rPr>
        <w:t xml:space="preserve"> </w:t>
      </w:r>
      <w:r>
        <w:rPr>
          <w:rFonts w:ascii="Arial" w:cs="Arial" w:eastAsia="Arial" w:hAnsi="Arial"/>
          <w:sz w:val="21"/>
          <w:szCs w:val="21"/>
          <w:color w:val="auto"/>
        </w:rPr>
        <w:t>related to asset retirements in the period in which they are incurred. It also requires the company to reclassify amounts recovered in rates for future removal costs not covered by a legal obligation from accumulated depreciation to a regulatory liability. Issued in March 2005, FIN 47 clarifies that the term conditional asset-retirement obligation as used in SFAS 143 refers to a legal obligation to perform an asset-retirement activity in which the timing and/or method of settlement are conditional on a future event that may or may not be within the control of the entity. FIN 47 requires companies to recognize a liability for the fair value of a conditional asset-retirement obligation if the fair value of the obligation can be rea sonably estimated. FIN 47 is effective for the company's 2005 annual report.</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7A. QUANTITATIVE AND QUALITATIVE DISCLOSURES ABOUT MARKET RISK</w:t>
      </w:r>
    </w:p>
    <w:p>
      <w:pPr>
        <w:spacing w:after="0" w:line="212" w:lineRule="exact"/>
        <w:rPr>
          <w:sz w:val="20"/>
          <w:szCs w:val="20"/>
          <w:color w:val="auto"/>
        </w:rPr>
      </w:pPr>
    </w:p>
    <w:p>
      <w:pPr>
        <w:spacing w:after="0" w:line="251" w:lineRule="auto"/>
        <w:rPr>
          <w:sz w:val="20"/>
          <w:szCs w:val="20"/>
          <w:color w:val="auto"/>
        </w:rPr>
      </w:pPr>
      <w:r>
        <w:rPr>
          <w:rFonts w:ascii="Arial" w:cs="Arial" w:eastAsia="Arial" w:hAnsi="Arial"/>
          <w:sz w:val="22"/>
          <w:szCs w:val="22"/>
          <w:color w:val="auto"/>
        </w:rPr>
        <w:t>The information required by Item 7A is set forth under "Item 7. Management's Discussion and Analysis of Financial Condition and Results of Operations -- Market Risk."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522605</wp:posOffset>
            </wp:positionV>
            <wp:extent cx="72720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60"/>
          </w:cols>
          <w:pgMar w:left="240" w:top="118" w:right="299" w:bottom="744" w:gutter="0" w:footer="0" w:header="0"/>
        </w:sectPr>
      </w:pPr>
    </w:p>
    <w:bookmarkStart w:id="20" w:name="page21"/>
    <w:bookmarkEnd w:id="20"/>
    <w:p>
      <w:pPr>
        <w:spacing w:after="0"/>
        <w:rPr>
          <w:sz w:val="20"/>
          <w:szCs w:val="20"/>
          <w:color w:val="auto"/>
        </w:rPr>
      </w:pPr>
      <w:r>
        <w:rPr>
          <w:rFonts w:ascii="Arial" w:cs="Arial" w:eastAsia="Arial" w:hAnsi="Arial"/>
          <w:sz w:val="22"/>
          <w:szCs w:val="22"/>
          <w:b w:val="1"/>
          <w:bCs w:val="1"/>
          <w:color w:val="auto"/>
        </w:rPr>
        <w:t>ITEM 8. FINANCIAL STATEMENTS AND SUPPLEMENTARY DATA</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MANAGEMENT'S REPORT ON INTERNAL CONTROL OVER FINANCIAL REPORTING</w:t>
      </w:r>
    </w:p>
    <w:p>
      <w:pPr>
        <w:spacing w:after="0" w:line="212" w:lineRule="exact"/>
        <w:rPr>
          <w:sz w:val="20"/>
          <w:szCs w:val="20"/>
          <w:color w:val="auto"/>
        </w:rPr>
      </w:pPr>
    </w:p>
    <w:p>
      <w:pPr>
        <w:spacing w:after="0" w:line="275" w:lineRule="auto"/>
        <w:rPr>
          <w:sz w:val="20"/>
          <w:szCs w:val="20"/>
          <w:color w:val="auto"/>
        </w:rPr>
      </w:pPr>
      <w:r>
        <w:rPr>
          <w:rFonts w:ascii="Arial" w:cs="Arial" w:eastAsia="Arial" w:hAnsi="Arial"/>
          <w:sz w:val="19"/>
          <w:szCs w:val="19"/>
          <w:color w:val="auto"/>
        </w:rPr>
        <w:t xml:space="preserve">Company management is responsible for establishing and maintaining adequate internal control over financial reporting, as defined in Exchange Act Rules 13a-15(f). Under the supervision and with the participation of company management, including the principal executive officer and principal financial officer, the company conducted an evaluation of the effectiveness of its internal control over financial reporting based on the framework in </w:t>
      </w:r>
      <w:r>
        <w:rPr>
          <w:rFonts w:ascii="Arial" w:cs="Arial" w:eastAsia="Arial" w:hAnsi="Arial"/>
          <w:sz w:val="19"/>
          <w:szCs w:val="19"/>
          <w:i w:val="1"/>
          <w:iCs w:val="1"/>
          <w:color w:val="auto"/>
        </w:rPr>
        <w:t>Internal Control -- Integrated Framework</w:t>
      </w:r>
      <w:r>
        <w:rPr>
          <w:rFonts w:ascii="Arial" w:cs="Arial" w:eastAsia="Arial" w:hAnsi="Arial"/>
          <w:sz w:val="19"/>
          <w:szCs w:val="19"/>
          <w:color w:val="auto"/>
        </w:rPr>
        <w:t xml:space="preserve"> issued by the Committee of Sponsoring Organizations of the Treadway Commission. Based on the company's evaluation under the framework in </w:t>
      </w:r>
      <w:r>
        <w:rPr>
          <w:rFonts w:ascii="Arial" w:cs="Arial" w:eastAsia="Arial" w:hAnsi="Arial"/>
          <w:sz w:val="19"/>
          <w:szCs w:val="19"/>
          <w:i w:val="1"/>
          <w:iCs w:val="1"/>
          <w:color w:val="auto"/>
        </w:rPr>
        <w:t>Internal</w:t>
      </w:r>
      <w:r>
        <w:rPr>
          <w:rFonts w:ascii="Arial" w:cs="Arial" w:eastAsia="Arial" w:hAnsi="Arial"/>
          <w:sz w:val="19"/>
          <w:szCs w:val="19"/>
          <w:color w:val="auto"/>
        </w:rPr>
        <w:t xml:space="preserve"> </w:t>
      </w:r>
      <w:r>
        <w:rPr>
          <w:rFonts w:ascii="Arial" w:cs="Arial" w:eastAsia="Arial" w:hAnsi="Arial"/>
          <w:sz w:val="19"/>
          <w:szCs w:val="19"/>
          <w:i w:val="1"/>
          <w:iCs w:val="1"/>
          <w:color w:val="auto"/>
        </w:rPr>
        <w:t>Control -- Integrated Framework</w:t>
      </w:r>
      <w:r>
        <w:rPr>
          <w:rFonts w:ascii="Arial" w:cs="Arial" w:eastAsia="Arial" w:hAnsi="Arial"/>
          <w:sz w:val="19"/>
          <w:szCs w:val="19"/>
          <w:color w:val="auto"/>
        </w:rPr>
        <w:t>, management concluded that the company's internal control over financial reporting was effective</w:t>
      </w:r>
      <w:r>
        <w:rPr>
          <w:rFonts w:ascii="Arial" w:cs="Arial" w:eastAsia="Arial" w:hAnsi="Arial"/>
          <w:sz w:val="19"/>
          <w:szCs w:val="19"/>
          <w:i w:val="1"/>
          <w:iCs w:val="1"/>
          <w:color w:val="auto"/>
        </w:rPr>
        <w:t xml:space="preserve"> </w:t>
      </w:r>
      <w:r>
        <w:rPr>
          <w:rFonts w:ascii="Arial" w:cs="Arial" w:eastAsia="Arial" w:hAnsi="Arial"/>
          <w:sz w:val="19"/>
          <w:szCs w:val="19"/>
          <w:color w:val="auto"/>
        </w:rPr>
        <w:t>as of December 31, 2005. Management's assessment of the effectiveness of internal control over financial reporting as of December 31, 2005 has been audited by Deloitte &amp; Touche LLP, as stated in its report, which is included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513080</wp:posOffset>
            </wp:positionV>
            <wp:extent cx="72720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right="4000"/>
        <w:spacing w:after="0" w:line="507" w:lineRule="auto"/>
        <w:rPr>
          <w:sz w:val="20"/>
          <w:szCs w:val="20"/>
          <w:color w:val="auto"/>
        </w:rPr>
      </w:pPr>
      <w:r>
        <w:rPr>
          <w:rFonts w:ascii="Arial" w:cs="Arial" w:eastAsia="Arial" w:hAnsi="Arial"/>
          <w:sz w:val="19"/>
          <w:szCs w:val="19"/>
          <w:b w:val="1"/>
          <w:bCs w:val="1"/>
          <w:color w:val="auto"/>
        </w:rPr>
        <w:t xml:space="preserve">REPORT OF INDEPENDENT REGISTERED PUBLIC ACCOUNTING FIRM </w:t>
      </w:r>
      <w:r>
        <w:rPr>
          <w:rFonts w:ascii="Arial" w:cs="Arial" w:eastAsia="Arial" w:hAnsi="Arial"/>
          <w:sz w:val="19"/>
          <w:szCs w:val="19"/>
          <w:color w:val="auto"/>
        </w:rPr>
        <w:t>To the Board of Directors and Shareholders of San Diego Gas &amp; Electric Company:</w:t>
      </w:r>
    </w:p>
    <w:p>
      <w:pPr>
        <w:spacing w:after="0" w:line="1" w:lineRule="exact"/>
        <w:rPr>
          <w:sz w:val="20"/>
          <w:szCs w:val="20"/>
          <w:color w:val="auto"/>
        </w:rPr>
      </w:pPr>
    </w:p>
    <w:p>
      <w:pPr>
        <w:ind w:right="180"/>
        <w:spacing w:after="0" w:line="287" w:lineRule="auto"/>
        <w:rPr>
          <w:sz w:val="20"/>
          <w:szCs w:val="20"/>
          <w:color w:val="auto"/>
        </w:rPr>
      </w:pPr>
      <w:r>
        <w:rPr>
          <w:rFonts w:ascii="Arial" w:cs="Arial" w:eastAsia="Arial" w:hAnsi="Arial"/>
          <w:sz w:val="19"/>
          <w:szCs w:val="19"/>
          <w:color w:val="auto"/>
        </w:rPr>
        <w:t>We have audited the accompanying consolidated balance sheets of San Diego Gas &amp; Electric Company and subsidiary (the "Company") as of December 31, 2005 and 2004, and the related consolidated statements of income, shareholders' equity and cash flows for each of the three years in the period ended December 31, 2005. These financial statements are the responsibility of the Company's management. Our responsibility is to express an opinion on these financial statements based on our audits.</w:t>
      </w:r>
    </w:p>
    <w:p>
      <w:pPr>
        <w:spacing w:after="0" w:line="143" w:lineRule="exact"/>
        <w:rPr>
          <w:sz w:val="20"/>
          <w:szCs w:val="20"/>
          <w:color w:val="auto"/>
        </w:rPr>
      </w:pPr>
    </w:p>
    <w:p>
      <w:pPr>
        <w:ind w:right="80"/>
        <w:spacing w:after="0" w:line="235" w:lineRule="auto"/>
        <w:rPr>
          <w:sz w:val="20"/>
          <w:szCs w:val="20"/>
          <w:color w:val="auto"/>
        </w:rPr>
      </w:pPr>
      <w:r>
        <w:rPr>
          <w:rFonts w:ascii="Arial" w:cs="Arial" w:eastAsia="Arial" w:hAnsi="Arial"/>
          <w:sz w:val="22"/>
          <w:szCs w:val="22"/>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88" w:lineRule="exact"/>
        <w:rPr>
          <w:sz w:val="20"/>
          <w:szCs w:val="20"/>
          <w:color w:val="auto"/>
        </w:rPr>
      </w:pPr>
    </w:p>
    <w:p>
      <w:pPr>
        <w:ind w:right="100"/>
        <w:spacing w:after="0" w:line="297" w:lineRule="auto"/>
        <w:rPr>
          <w:sz w:val="20"/>
          <w:szCs w:val="20"/>
          <w:color w:val="auto"/>
        </w:rPr>
      </w:pPr>
      <w:r>
        <w:rPr>
          <w:rFonts w:ascii="Arial" w:cs="Arial" w:eastAsia="Arial" w:hAnsi="Arial"/>
          <w:sz w:val="19"/>
          <w:szCs w:val="19"/>
          <w:color w:val="auto"/>
        </w:rPr>
        <w:t>In our opinion, such consolidated financial statements present fairly, in all material respects, the financial position of the Company as of December 31, 2005 and 2004, and the results of its operations and its cash flows for each of the three years in the period ended December 31, 2005, in conformity with accounting principles generally accepted in the United States of America.</w:t>
      </w:r>
    </w:p>
    <w:p>
      <w:pPr>
        <w:spacing w:after="0" w:line="134" w:lineRule="exact"/>
        <w:rPr>
          <w:sz w:val="20"/>
          <w:szCs w:val="20"/>
          <w:color w:val="auto"/>
        </w:rPr>
      </w:pPr>
    </w:p>
    <w:p>
      <w:pPr>
        <w:jc w:val="both"/>
        <w:ind w:right="20"/>
        <w:spacing w:after="0"/>
        <w:rPr>
          <w:sz w:val="20"/>
          <w:szCs w:val="20"/>
          <w:color w:val="auto"/>
        </w:rPr>
      </w:pPr>
      <w:r>
        <w:rPr>
          <w:rFonts w:ascii="Arial" w:cs="Arial" w:eastAsia="Arial" w:hAnsi="Arial"/>
          <w:sz w:val="22"/>
          <w:szCs w:val="22"/>
          <w:color w:val="auto"/>
        </w:rPr>
        <w:t xml:space="preserve">As described in Note 1 to the financial statements, the Company adopted Financial Accounting Standards Board Interpretation No. 47, </w:t>
      </w:r>
      <w:r>
        <w:rPr>
          <w:rFonts w:ascii="Arial" w:cs="Arial" w:eastAsia="Arial" w:hAnsi="Arial"/>
          <w:sz w:val="22"/>
          <w:szCs w:val="22"/>
          <w:i w:val="1"/>
          <w:iCs w:val="1"/>
          <w:color w:val="auto"/>
        </w:rPr>
        <w:t>Accounting for Conditional Asset Retirement Obligations, an interpretation of FASB Statement No. 143,</w:t>
      </w:r>
      <w:r>
        <w:rPr>
          <w:rFonts w:ascii="Arial" w:cs="Arial" w:eastAsia="Arial" w:hAnsi="Arial"/>
          <w:sz w:val="22"/>
          <w:szCs w:val="22"/>
          <w:color w:val="auto"/>
        </w:rPr>
        <w:t xml:space="preserve"> effective December 31, 2005.</w:t>
      </w:r>
    </w:p>
    <w:p>
      <w:pPr>
        <w:spacing w:after="0" w:line="186" w:lineRule="exact"/>
        <w:rPr>
          <w:sz w:val="20"/>
          <w:szCs w:val="20"/>
          <w:color w:val="auto"/>
        </w:rPr>
      </w:pPr>
    </w:p>
    <w:p>
      <w:pPr>
        <w:ind w:right="140"/>
        <w:spacing w:after="0" w:line="248" w:lineRule="auto"/>
        <w:rPr>
          <w:sz w:val="20"/>
          <w:szCs w:val="20"/>
          <w:color w:val="auto"/>
        </w:rPr>
      </w:pPr>
      <w:r>
        <w:rPr>
          <w:rFonts w:ascii="Arial" w:cs="Arial" w:eastAsia="Arial" w:hAnsi="Arial"/>
          <w:sz w:val="21"/>
          <w:szCs w:val="21"/>
          <w:color w:val="auto"/>
        </w:rPr>
        <w:t xml:space="preserve">We have also audited, in accordance with the standards of the Public Company Accounting Oversight Board (United States), the effectiveness of the Company's internal control over financial reporting as of December 31, 2005, based on the criteria established in </w:t>
      </w:r>
      <w:r>
        <w:rPr>
          <w:rFonts w:ascii="Arial" w:cs="Arial" w:eastAsia="Arial" w:hAnsi="Arial"/>
          <w:sz w:val="21"/>
          <w:szCs w:val="21"/>
          <w:i w:val="1"/>
          <w:iCs w:val="1"/>
          <w:color w:val="auto"/>
        </w:rPr>
        <w:t>Internal Control--Integrated Framework</w:t>
      </w:r>
      <w:r>
        <w:rPr>
          <w:rFonts w:ascii="Arial" w:cs="Arial" w:eastAsia="Arial" w:hAnsi="Arial"/>
          <w:sz w:val="21"/>
          <w:szCs w:val="21"/>
          <w:color w:val="auto"/>
        </w:rPr>
        <w:t xml:space="preserve"> issued by the Committee of Sponsoring Organizations of the Treadway Commission and our report dated February 21, 2006 expressed an unqualified opinion on management's assessment of the effectiveness of the Company's internal control over financial reporting and an unqualified opinion on the effectiveness of the Company's internal control over financial reporting.</w:t>
      </w:r>
    </w:p>
    <w:p>
      <w:pPr>
        <w:spacing w:after="0" w:line="177" w:lineRule="exact"/>
        <w:rPr>
          <w:sz w:val="20"/>
          <w:szCs w:val="20"/>
          <w:color w:val="auto"/>
        </w:rPr>
      </w:pPr>
    </w:p>
    <w:p>
      <w:pPr>
        <w:spacing w:after="0"/>
        <w:rPr>
          <w:sz w:val="20"/>
          <w:szCs w:val="20"/>
          <w:color w:val="auto"/>
        </w:rPr>
      </w:pPr>
      <w:r>
        <w:rPr>
          <w:rFonts w:ascii="Arial" w:cs="Arial" w:eastAsia="Arial" w:hAnsi="Arial"/>
          <w:sz w:val="22"/>
          <w:szCs w:val="22"/>
          <w:color w:val="auto"/>
        </w:rPr>
        <w:t>/s/ DELOITTE &amp; TOUCHE LLP</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San Diego, California</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color w:val="auto"/>
        </w:rPr>
        <w:t>February 21, 2006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532130</wp:posOffset>
            </wp:positionV>
            <wp:extent cx="72720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right="4000"/>
        <w:spacing w:after="0" w:line="572" w:lineRule="auto"/>
        <w:rPr>
          <w:sz w:val="20"/>
          <w:szCs w:val="20"/>
          <w:color w:val="auto"/>
        </w:rPr>
      </w:pPr>
      <w:r>
        <w:rPr>
          <w:rFonts w:ascii="Arial" w:cs="Arial" w:eastAsia="Arial" w:hAnsi="Arial"/>
          <w:sz w:val="19"/>
          <w:szCs w:val="19"/>
          <w:b w:val="1"/>
          <w:bCs w:val="1"/>
          <w:color w:val="auto"/>
        </w:rPr>
        <w:t xml:space="preserve">REPORT OF INDEPENDENT REGISTERED PUBLIC ACCOUNTING FIRM </w:t>
      </w:r>
      <w:r>
        <w:rPr>
          <w:rFonts w:ascii="Arial" w:cs="Arial" w:eastAsia="Arial" w:hAnsi="Arial"/>
          <w:sz w:val="19"/>
          <w:szCs w:val="19"/>
          <w:color w:val="auto"/>
        </w:rPr>
        <w:t>To the Board of Directors and Shareholders of San Diego Gas &amp; Electric Company:</w:t>
      </w:r>
    </w:p>
    <w:p>
      <w:pPr>
        <w:sectPr>
          <w:pgSz w:w="11900" w:h="16838" w:orient="portrait"/>
          <w:cols w:equalWidth="0" w:num="1">
            <w:col w:w="11400"/>
          </w:cols>
          <w:pgMar w:left="240" w:top="868" w:right="259" w:bottom="0" w:gutter="0" w:footer="0" w:header="0"/>
        </w:sectPr>
      </w:pPr>
    </w:p>
    <w:bookmarkStart w:id="21" w:name="page22"/>
    <w:bookmarkEnd w:id="21"/>
    <w:p>
      <w:pPr>
        <w:spacing w:after="0" w:line="62" w:lineRule="exact"/>
        <w:rPr>
          <w:sz w:val="20"/>
          <w:szCs w:val="20"/>
          <w:color w:val="auto"/>
        </w:rPr>
      </w:pPr>
    </w:p>
    <w:p>
      <w:pPr>
        <w:spacing w:after="0" w:line="277" w:lineRule="auto"/>
        <w:rPr>
          <w:sz w:val="20"/>
          <w:szCs w:val="20"/>
          <w:color w:val="auto"/>
        </w:rPr>
      </w:pPr>
      <w:r>
        <w:rPr>
          <w:rFonts w:ascii="Arial" w:cs="Arial" w:eastAsia="Arial" w:hAnsi="Arial"/>
          <w:sz w:val="19"/>
          <w:szCs w:val="19"/>
          <w:color w:val="auto"/>
        </w:rPr>
        <w:t xml:space="preserve">We have audited management's assessment, included in the accompanying Management's Report on Internal Control over Financial Reporting, that San Diego Gas &amp; Electric and subsidiaries (the "Company") maintained effective internal control over financial reporting as of December 31, 2005, based on criteria established in </w:t>
      </w:r>
      <w:r>
        <w:rPr>
          <w:rFonts w:ascii="Arial" w:cs="Arial" w:eastAsia="Arial" w:hAnsi="Arial"/>
          <w:sz w:val="19"/>
          <w:szCs w:val="19"/>
          <w:i w:val="1"/>
          <w:iCs w:val="1"/>
          <w:color w:val="auto"/>
        </w:rPr>
        <w:t>Internal Control--Integrated Framework</w:t>
      </w:r>
      <w:r>
        <w:rPr>
          <w:rFonts w:ascii="Arial" w:cs="Arial" w:eastAsia="Arial" w:hAnsi="Arial"/>
          <w:sz w:val="19"/>
          <w:szCs w:val="19"/>
          <w:color w:val="auto"/>
        </w:rPr>
        <w:t xml:space="preserve"> issued by the Committee of Sponsoring Organizations of the Treadway Commission. The Company's management is responsible for maintaining effective internal control over financial reporting and for its assessment of the effectiveness of internal control over financial reporting. Our responsibility is to express an opinion on management's assessment and an opinion on the effectiveness of the Company's internal control over financial reporting based on our audit.</w:t>
      </w:r>
    </w:p>
    <w:p>
      <w:pPr>
        <w:spacing w:after="0" w:line="153" w:lineRule="exact"/>
        <w:rPr>
          <w:sz w:val="20"/>
          <w:szCs w:val="20"/>
          <w:color w:val="auto"/>
        </w:rPr>
      </w:pPr>
    </w:p>
    <w:p>
      <w:pPr>
        <w:ind w:right="120"/>
        <w:spacing w:after="0" w:line="248" w:lineRule="auto"/>
        <w:rPr>
          <w:sz w:val="20"/>
          <w:szCs w:val="20"/>
          <w:color w:val="auto"/>
        </w:rPr>
      </w:pPr>
      <w:r>
        <w:rPr>
          <w:rFonts w:ascii="Arial" w:cs="Arial" w:eastAsia="Arial" w:hAnsi="Arial"/>
          <w:sz w:val="21"/>
          <w:szCs w:val="21"/>
          <w:color w:val="auto"/>
        </w:rPr>
        <w:t>We conducted our audit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evaluating management's assessment, testing and evaluating the design and operating effectiveness of internal control, and performing such other procedures as we considered necessary in the circumstances. We believe that our audit provides a reasonable basis for our opinions.</w:t>
      </w:r>
    </w:p>
    <w:p>
      <w:pPr>
        <w:spacing w:after="0" w:line="177" w:lineRule="exact"/>
        <w:rPr>
          <w:sz w:val="20"/>
          <w:szCs w:val="20"/>
          <w:color w:val="auto"/>
        </w:rPr>
      </w:pPr>
    </w:p>
    <w:p>
      <w:pPr>
        <w:ind w:right="20"/>
        <w:spacing w:after="0" w:line="244" w:lineRule="auto"/>
        <w:rPr>
          <w:sz w:val="20"/>
          <w:szCs w:val="20"/>
          <w:color w:val="auto"/>
        </w:rPr>
      </w:pPr>
      <w:r>
        <w:rPr>
          <w:rFonts w:ascii="Arial" w:cs="Arial" w:eastAsia="Arial" w:hAnsi="Arial"/>
          <w:sz w:val="21"/>
          <w:szCs w:val="21"/>
          <w:color w:val="auto"/>
        </w:rPr>
        <w:t>A company's internal control over financial reporting is a process designed by, or under the supervision of, the company's principal executive and principal financial officers, or persons performing similar functions, and effected by the company's board of directors, management, and other personnel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90" w:lineRule="exact"/>
        <w:rPr>
          <w:sz w:val="20"/>
          <w:szCs w:val="20"/>
          <w:color w:val="auto"/>
        </w:rPr>
      </w:pPr>
    </w:p>
    <w:p>
      <w:pPr>
        <w:ind w:right="160"/>
        <w:spacing w:after="0" w:line="236" w:lineRule="auto"/>
        <w:rPr>
          <w:sz w:val="20"/>
          <w:szCs w:val="20"/>
          <w:color w:val="auto"/>
        </w:rPr>
      </w:pPr>
      <w:r>
        <w:rPr>
          <w:rFonts w:ascii="Arial" w:cs="Arial" w:eastAsia="Arial" w:hAnsi="Arial"/>
          <w:sz w:val="22"/>
          <w:szCs w:val="22"/>
          <w:color w:val="auto"/>
        </w:rPr>
        <w:t>Because of the inherent limitations of internal control over financial reporting, including the possibility of collusion or improper management override of controls, material misstatements due to error or fraud may not be prevented or detected on a timely basis. Also, projections of any evaluation of the effectiveness of the internal control over financial reporting to future periods are subject to the risk that the controls may become inadequate because of changes in conditions, or that the degree of compliance with the policies or procedures may deteriorate.</w:t>
      </w:r>
    </w:p>
    <w:p>
      <w:pPr>
        <w:spacing w:after="0" w:line="188" w:lineRule="exact"/>
        <w:rPr>
          <w:sz w:val="20"/>
          <w:szCs w:val="20"/>
          <w:color w:val="auto"/>
        </w:rPr>
      </w:pPr>
    </w:p>
    <w:p>
      <w:pPr>
        <w:ind w:right="80"/>
        <w:spacing w:after="0" w:line="235" w:lineRule="auto"/>
        <w:rPr>
          <w:sz w:val="20"/>
          <w:szCs w:val="20"/>
          <w:color w:val="auto"/>
        </w:rPr>
      </w:pPr>
      <w:r>
        <w:rPr>
          <w:rFonts w:ascii="Arial" w:cs="Arial" w:eastAsia="Arial" w:hAnsi="Arial"/>
          <w:sz w:val="22"/>
          <w:szCs w:val="22"/>
          <w:color w:val="auto"/>
        </w:rPr>
        <w:t xml:space="preserve">In our opinion, management's assessment that the Company maintained effective internal control over financial reporting as of December 31, 2005, is fairly stated, in all material respects, based on the criteria established in </w:t>
      </w:r>
      <w:r>
        <w:rPr>
          <w:rFonts w:ascii="Arial" w:cs="Arial" w:eastAsia="Arial" w:hAnsi="Arial"/>
          <w:sz w:val="22"/>
          <w:szCs w:val="22"/>
          <w:i w:val="1"/>
          <w:iCs w:val="1"/>
          <w:color w:val="auto"/>
        </w:rPr>
        <w:t>Internal Control--Integrated</w:t>
      </w:r>
      <w:r>
        <w:rPr>
          <w:rFonts w:ascii="Arial" w:cs="Arial" w:eastAsia="Arial" w:hAnsi="Arial"/>
          <w:sz w:val="22"/>
          <w:szCs w:val="22"/>
          <w:color w:val="auto"/>
        </w:rPr>
        <w:t xml:space="preserve"> </w:t>
      </w:r>
      <w:r>
        <w:rPr>
          <w:rFonts w:ascii="Arial" w:cs="Arial" w:eastAsia="Arial" w:hAnsi="Arial"/>
          <w:sz w:val="22"/>
          <w:szCs w:val="22"/>
          <w:i w:val="1"/>
          <w:iCs w:val="1"/>
          <w:color w:val="auto"/>
        </w:rPr>
        <w:t xml:space="preserve">Framework </w:t>
      </w:r>
      <w:r>
        <w:rPr>
          <w:rFonts w:ascii="Arial" w:cs="Arial" w:eastAsia="Arial" w:hAnsi="Arial"/>
          <w:sz w:val="22"/>
          <w:szCs w:val="22"/>
          <w:color w:val="auto"/>
        </w:rPr>
        <w:t>issued by the Committee of Sponsoring Organizations of the Treadway Commission. Also in our opinion, the</w:t>
      </w:r>
      <w:r>
        <w:rPr>
          <w:rFonts w:ascii="Arial" w:cs="Arial" w:eastAsia="Arial" w:hAnsi="Arial"/>
          <w:sz w:val="22"/>
          <w:szCs w:val="22"/>
          <w:i w:val="1"/>
          <w:iCs w:val="1"/>
          <w:color w:val="auto"/>
        </w:rPr>
        <w:t xml:space="preserve"> </w:t>
      </w:r>
      <w:r>
        <w:rPr>
          <w:rFonts w:ascii="Arial" w:cs="Arial" w:eastAsia="Arial" w:hAnsi="Arial"/>
          <w:sz w:val="22"/>
          <w:szCs w:val="22"/>
          <w:color w:val="auto"/>
        </w:rPr>
        <w:t xml:space="preserve">Company maintained, in all material respects, effective internal control over financial reporting as of December 31, 2005, based on the criteria established in </w:t>
      </w:r>
      <w:r>
        <w:rPr>
          <w:rFonts w:ascii="Arial" w:cs="Arial" w:eastAsia="Arial" w:hAnsi="Arial"/>
          <w:sz w:val="22"/>
          <w:szCs w:val="22"/>
          <w:i w:val="1"/>
          <w:iCs w:val="1"/>
          <w:color w:val="auto"/>
        </w:rPr>
        <w:t>Internal Control--Integrated Framework</w:t>
      </w:r>
      <w:r>
        <w:rPr>
          <w:rFonts w:ascii="Arial" w:cs="Arial" w:eastAsia="Arial" w:hAnsi="Arial"/>
          <w:sz w:val="22"/>
          <w:szCs w:val="22"/>
          <w:color w:val="auto"/>
        </w:rPr>
        <w:t xml:space="preserve"> issued by the Committee of Sponsoring Organizations of the Treadway Commission.</w:t>
      </w:r>
    </w:p>
    <w:p>
      <w:pPr>
        <w:spacing w:after="0" w:line="188" w:lineRule="exact"/>
        <w:rPr>
          <w:sz w:val="20"/>
          <w:szCs w:val="20"/>
          <w:color w:val="auto"/>
        </w:rPr>
      </w:pPr>
    </w:p>
    <w:p>
      <w:pPr>
        <w:ind w:right="260"/>
        <w:spacing w:after="0" w:line="238" w:lineRule="auto"/>
        <w:rPr>
          <w:sz w:val="20"/>
          <w:szCs w:val="20"/>
          <w:color w:val="auto"/>
        </w:rPr>
      </w:pPr>
      <w:r>
        <w:rPr>
          <w:rFonts w:ascii="Arial" w:cs="Arial" w:eastAsia="Arial" w:hAnsi="Arial"/>
          <w:sz w:val="22"/>
          <w:szCs w:val="22"/>
          <w:color w:val="auto"/>
        </w:rPr>
        <w:t>We have also audited, in accordance with the standards of the Public Company Accounting Oversight Board (United States), the consolidated financial statements as of and for the year ended December 31, 2005 of the Company and our report dated February 21, 2006 expressed an unqualified opinion on those financial statements and included an explanatory paragraph regarding the Company's adoption of a new accounting standard.</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color w:val="auto"/>
        </w:rPr>
        <w:t>/s/ DELOITTE &amp; TOUCHE LLP</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San Diego, California</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color w:val="auto"/>
        </w:rPr>
        <w:t>February 21, 2006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532130</wp:posOffset>
            </wp:positionV>
            <wp:extent cx="72720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SAN DIEGO GAS &amp; ELECTRIC COMPANY AND SUBSIDIARY</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STATEMENTS OF CONSOLIDATED INCOME</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(Dollars in millions)</w:t>
      </w:r>
    </w:p>
    <w:p>
      <w:pPr>
        <w:spacing w:after="0" w:line="219" w:lineRule="exact"/>
        <w:rPr>
          <w:sz w:val="20"/>
          <w:szCs w:val="20"/>
          <w:color w:val="auto"/>
        </w:rPr>
      </w:pPr>
    </w:p>
    <w:tbl>
      <w:tblPr>
        <w:tblLayout w:type="fixed"/>
        <w:tblInd w:w="1620" w:type="dxa"/>
        <w:tblCellMar>
          <w:top w:w="0" w:type="dxa"/>
          <w:left w:w="0" w:type="dxa"/>
          <w:bottom w:w="0" w:type="dxa"/>
          <w:right w:w="0" w:type="dxa"/>
        </w:tblCellMar>
      </w:tblPr>
      <w:tr>
        <w:trPr>
          <w:trHeight w:val="230"/>
        </w:trPr>
        <w:tc>
          <w:tcPr>
            <w:tcW w:w="48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940" w:type="dxa"/>
            <w:vAlign w:val="bottom"/>
            <w:gridSpan w:val="5"/>
          </w:tcPr>
          <w:p>
            <w:pPr>
              <w:jc w:val="right"/>
              <w:ind w:right="40"/>
              <w:spacing w:after="0"/>
              <w:rPr>
                <w:sz w:val="20"/>
                <w:szCs w:val="20"/>
                <w:color w:val="auto"/>
              </w:rPr>
            </w:pPr>
            <w:r>
              <w:rPr>
                <w:rFonts w:ascii="Arial" w:cs="Arial" w:eastAsia="Arial" w:hAnsi="Arial"/>
                <w:sz w:val="18"/>
                <w:szCs w:val="18"/>
                <w:color w:val="auto"/>
                <w:w w:val="85"/>
              </w:rPr>
              <w:t>Years ended December 31,</w:t>
            </w:r>
          </w:p>
        </w:tc>
        <w:tc>
          <w:tcPr>
            <w:tcW w:w="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1"/>
        </w:trPr>
        <w:tc>
          <w:tcPr>
            <w:tcW w:w="4880" w:type="dxa"/>
            <w:vAlign w:val="bottom"/>
          </w:tcPr>
          <w:p>
            <w:pPr>
              <w:spacing w:after="0"/>
              <w:rPr>
                <w:sz w:val="21"/>
                <w:szCs w:val="21"/>
                <w:color w:val="auto"/>
              </w:rPr>
            </w:pPr>
          </w:p>
        </w:tc>
        <w:tc>
          <w:tcPr>
            <w:tcW w:w="700" w:type="dxa"/>
            <w:vAlign w:val="bottom"/>
            <w:shd w:val="clear" w:color="auto" w:fill="000000"/>
          </w:tcPr>
          <w:p>
            <w:pPr>
              <w:spacing w:after="0"/>
              <w:rPr>
                <w:sz w:val="21"/>
                <w:szCs w:val="21"/>
                <w:color w:val="auto"/>
              </w:rPr>
            </w:pPr>
          </w:p>
        </w:tc>
        <w:tc>
          <w:tcPr>
            <w:tcW w:w="80" w:type="dxa"/>
            <w:vAlign w:val="bottom"/>
            <w:shd w:val="clear" w:color="auto" w:fill="000000"/>
          </w:tcPr>
          <w:p>
            <w:pPr>
              <w:spacing w:after="0"/>
              <w:rPr>
                <w:sz w:val="21"/>
                <w:szCs w:val="21"/>
                <w:color w:val="auto"/>
              </w:rPr>
            </w:pPr>
          </w:p>
        </w:tc>
        <w:tc>
          <w:tcPr>
            <w:tcW w:w="340" w:type="dxa"/>
            <w:vAlign w:val="bottom"/>
            <w:shd w:val="clear" w:color="auto" w:fill="000000"/>
          </w:tcPr>
          <w:p>
            <w:pPr>
              <w:spacing w:after="0"/>
              <w:rPr>
                <w:sz w:val="21"/>
                <w:szCs w:val="21"/>
                <w:color w:val="auto"/>
              </w:rPr>
            </w:pPr>
          </w:p>
        </w:tc>
        <w:tc>
          <w:tcPr>
            <w:tcW w:w="900" w:type="dxa"/>
            <w:vAlign w:val="bottom"/>
            <w:shd w:val="clear" w:color="auto" w:fill="000000"/>
          </w:tcPr>
          <w:p>
            <w:pPr>
              <w:spacing w:after="0"/>
              <w:rPr>
                <w:sz w:val="21"/>
                <w:szCs w:val="21"/>
                <w:color w:val="auto"/>
              </w:rPr>
            </w:pPr>
          </w:p>
        </w:tc>
        <w:tc>
          <w:tcPr>
            <w:tcW w:w="320" w:type="dxa"/>
            <w:vAlign w:val="bottom"/>
            <w:shd w:val="clear" w:color="auto" w:fill="000000"/>
          </w:tcPr>
          <w:p>
            <w:pPr>
              <w:spacing w:after="0"/>
              <w:rPr>
                <w:sz w:val="21"/>
                <w:szCs w:val="21"/>
                <w:color w:val="auto"/>
              </w:rPr>
            </w:pPr>
          </w:p>
        </w:tc>
        <w:tc>
          <w:tcPr>
            <w:tcW w:w="300" w:type="dxa"/>
            <w:vAlign w:val="bottom"/>
            <w:shd w:val="clear" w:color="auto" w:fill="000000"/>
          </w:tcPr>
          <w:p>
            <w:pPr>
              <w:spacing w:after="0"/>
              <w:rPr>
                <w:sz w:val="21"/>
                <w:szCs w:val="21"/>
                <w:color w:val="auto"/>
              </w:rPr>
            </w:pPr>
          </w:p>
        </w:tc>
        <w:tc>
          <w:tcPr>
            <w:tcW w:w="560" w:type="dxa"/>
            <w:vAlign w:val="bottom"/>
            <w:shd w:val="clear" w:color="auto" w:fill="000000"/>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4880" w:type="dxa"/>
            <w:vAlign w:val="bottom"/>
          </w:tcPr>
          <w:p>
            <w:pPr>
              <w:spacing w:after="0"/>
              <w:rPr>
                <w:sz w:val="22"/>
                <w:szCs w:val="22"/>
                <w:color w:val="auto"/>
              </w:rPr>
            </w:pPr>
          </w:p>
        </w:tc>
        <w:tc>
          <w:tcPr>
            <w:tcW w:w="700" w:type="dxa"/>
            <w:vAlign w:val="bottom"/>
          </w:tcPr>
          <w:p>
            <w:pPr>
              <w:jc w:val="right"/>
              <w:ind w:right="32"/>
              <w:spacing w:after="0"/>
              <w:rPr>
                <w:sz w:val="20"/>
                <w:szCs w:val="20"/>
                <w:color w:val="auto"/>
              </w:rPr>
            </w:pPr>
            <w:r>
              <w:rPr>
                <w:rFonts w:ascii="Arial" w:cs="Arial" w:eastAsia="Arial" w:hAnsi="Arial"/>
                <w:sz w:val="18"/>
                <w:szCs w:val="18"/>
                <w:color w:val="auto"/>
              </w:rPr>
              <w:t>2005</w:t>
            </w:r>
          </w:p>
        </w:tc>
        <w:tc>
          <w:tcPr>
            <w:tcW w:w="1320" w:type="dxa"/>
            <w:vAlign w:val="bottom"/>
            <w:gridSpan w:val="3"/>
          </w:tcPr>
          <w:p>
            <w:pPr>
              <w:jc w:val="right"/>
              <w:ind w:right="280"/>
              <w:spacing w:after="0"/>
              <w:rPr>
                <w:sz w:val="20"/>
                <w:szCs w:val="20"/>
                <w:color w:val="auto"/>
              </w:rPr>
            </w:pPr>
            <w:r>
              <w:rPr>
                <w:rFonts w:ascii="Arial" w:cs="Arial" w:eastAsia="Arial" w:hAnsi="Arial"/>
                <w:sz w:val="18"/>
                <w:szCs w:val="18"/>
                <w:color w:val="auto"/>
              </w:rPr>
              <w:t>2004</w:t>
            </w:r>
          </w:p>
        </w:tc>
        <w:tc>
          <w:tcPr>
            <w:tcW w:w="3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560" w:type="dxa"/>
            <w:vAlign w:val="bottom"/>
          </w:tcPr>
          <w:p>
            <w:pPr>
              <w:jc w:val="right"/>
              <w:ind w:right="112"/>
              <w:spacing w:after="0"/>
              <w:rPr>
                <w:sz w:val="20"/>
                <w:szCs w:val="20"/>
                <w:color w:val="auto"/>
              </w:rPr>
            </w:pPr>
            <w:r>
              <w:rPr>
                <w:rFonts w:ascii="Arial" w:cs="Arial" w:eastAsia="Arial" w:hAnsi="Arial"/>
                <w:sz w:val="18"/>
                <w:szCs w:val="18"/>
                <w:color w:val="auto"/>
                <w:w w:val="84"/>
              </w:rPr>
              <w:t>2003</w:t>
            </w: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9"/>
        </w:trPr>
        <w:tc>
          <w:tcPr>
            <w:tcW w:w="4880" w:type="dxa"/>
            <w:vAlign w:val="bottom"/>
            <w:vMerge w:val="restart"/>
          </w:tcPr>
          <w:p>
            <w:pPr>
              <w:spacing w:after="0"/>
              <w:rPr>
                <w:sz w:val="20"/>
                <w:szCs w:val="20"/>
                <w:color w:val="auto"/>
              </w:rPr>
            </w:pPr>
            <w:r>
              <w:rPr>
                <w:rFonts w:ascii="Arial" w:cs="Arial" w:eastAsia="Arial" w:hAnsi="Arial"/>
                <w:sz w:val="18"/>
                <w:szCs w:val="18"/>
                <w:color w:val="auto"/>
              </w:rPr>
              <w:t>Operating revenues</w:t>
            </w:r>
          </w:p>
        </w:tc>
        <w:tc>
          <w:tcPr>
            <w:tcW w:w="700" w:type="dxa"/>
            <w:vAlign w:val="bottom"/>
            <w:shd w:val="clear" w:color="auto" w:fill="000000"/>
          </w:tcPr>
          <w:p>
            <w:pPr>
              <w:spacing w:after="0"/>
              <w:rPr>
                <w:sz w:val="22"/>
                <w:szCs w:val="22"/>
                <w:color w:val="auto"/>
              </w:rPr>
            </w:pPr>
          </w:p>
        </w:tc>
        <w:tc>
          <w:tcPr>
            <w:tcW w:w="80" w:type="dxa"/>
            <w:vAlign w:val="bottom"/>
            <w:shd w:val="clear" w:color="auto" w:fill="000000"/>
          </w:tcPr>
          <w:p>
            <w:pPr>
              <w:spacing w:after="0"/>
              <w:rPr>
                <w:sz w:val="22"/>
                <w:szCs w:val="22"/>
                <w:color w:val="auto"/>
              </w:rPr>
            </w:pPr>
          </w:p>
        </w:tc>
        <w:tc>
          <w:tcPr>
            <w:tcW w:w="340" w:type="dxa"/>
            <w:vAlign w:val="bottom"/>
          </w:tcPr>
          <w:p>
            <w:pPr>
              <w:spacing w:after="0"/>
              <w:rPr>
                <w:sz w:val="22"/>
                <w:szCs w:val="22"/>
                <w:color w:val="auto"/>
              </w:rPr>
            </w:pPr>
          </w:p>
        </w:tc>
        <w:tc>
          <w:tcPr>
            <w:tcW w:w="900" w:type="dxa"/>
            <w:vAlign w:val="bottom"/>
            <w:shd w:val="clear" w:color="auto" w:fill="000000"/>
          </w:tcPr>
          <w:p>
            <w:pPr>
              <w:spacing w:after="0"/>
              <w:rPr>
                <w:sz w:val="22"/>
                <w:szCs w:val="22"/>
                <w:color w:val="auto"/>
              </w:rPr>
            </w:pPr>
          </w:p>
        </w:tc>
        <w:tc>
          <w:tcPr>
            <w:tcW w:w="320" w:type="dxa"/>
            <w:vAlign w:val="bottom"/>
          </w:tcPr>
          <w:p>
            <w:pPr>
              <w:spacing w:after="0"/>
              <w:rPr>
                <w:sz w:val="22"/>
                <w:szCs w:val="22"/>
                <w:color w:val="auto"/>
              </w:rPr>
            </w:pPr>
          </w:p>
        </w:tc>
        <w:tc>
          <w:tcPr>
            <w:tcW w:w="300" w:type="dxa"/>
            <w:vAlign w:val="bottom"/>
            <w:shd w:val="clear" w:color="auto" w:fill="000000"/>
          </w:tcPr>
          <w:p>
            <w:pPr>
              <w:spacing w:after="0"/>
              <w:rPr>
                <w:sz w:val="22"/>
                <w:szCs w:val="22"/>
                <w:color w:val="auto"/>
              </w:rPr>
            </w:pPr>
          </w:p>
        </w:tc>
        <w:tc>
          <w:tcPr>
            <w:tcW w:w="560" w:type="dxa"/>
            <w:vAlign w:val="bottom"/>
            <w:shd w:val="clear" w:color="auto" w:fill="000000"/>
          </w:tcPr>
          <w:p>
            <w:pPr>
              <w:spacing w:after="0"/>
              <w:rPr>
                <w:sz w:val="22"/>
                <w:szCs w:val="22"/>
                <w:color w:val="auto"/>
              </w:rPr>
            </w:pPr>
          </w:p>
        </w:tc>
        <w:tc>
          <w:tcPr>
            <w:tcW w:w="120" w:type="dxa"/>
            <w:vAlign w:val="bottom"/>
            <w:shd w:val="clear" w:color="auto" w:fill="000000"/>
          </w:tcPr>
          <w:p>
            <w:pPr>
              <w:spacing w:after="0"/>
              <w:rPr>
                <w:sz w:val="22"/>
                <w:szCs w:val="22"/>
                <w:color w:val="auto"/>
              </w:rPr>
            </w:pPr>
          </w:p>
        </w:tc>
        <w:tc>
          <w:tcPr>
            <w:tcW w:w="0" w:type="dxa"/>
            <w:vAlign w:val="bottom"/>
          </w:tcPr>
          <w:p>
            <w:pPr>
              <w:spacing w:after="0"/>
              <w:rPr>
                <w:sz w:val="1"/>
                <w:szCs w:val="1"/>
                <w:color w:val="auto"/>
              </w:rPr>
            </w:pPr>
          </w:p>
        </w:tc>
      </w:tr>
      <w:tr>
        <w:trPr>
          <w:trHeight w:val="525"/>
        </w:trPr>
        <w:tc>
          <w:tcPr>
            <w:tcW w:w="4880" w:type="dxa"/>
            <w:vAlign w:val="bottom"/>
            <w:vMerge w:val="continue"/>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4880" w:type="dxa"/>
            <w:vAlign w:val="bottom"/>
          </w:tcPr>
          <w:p>
            <w:pPr>
              <w:ind w:left="240"/>
              <w:spacing w:after="0"/>
              <w:rPr>
                <w:sz w:val="20"/>
                <w:szCs w:val="20"/>
                <w:color w:val="auto"/>
              </w:rPr>
            </w:pPr>
            <w:r>
              <w:rPr>
                <w:rFonts w:ascii="Arial" w:cs="Arial" w:eastAsia="Arial" w:hAnsi="Arial"/>
                <w:sz w:val="18"/>
                <w:szCs w:val="18"/>
                <w:color w:val="auto"/>
              </w:rPr>
              <w:t>Electric</w:t>
            </w:r>
          </w:p>
        </w:tc>
        <w:tc>
          <w:tcPr>
            <w:tcW w:w="700" w:type="dxa"/>
            <w:vAlign w:val="bottom"/>
          </w:tcPr>
          <w:p>
            <w:pPr>
              <w:jc w:val="right"/>
              <w:spacing w:after="0"/>
              <w:rPr>
                <w:sz w:val="20"/>
                <w:szCs w:val="20"/>
                <w:color w:val="auto"/>
              </w:rPr>
            </w:pPr>
            <w:r>
              <w:rPr>
                <w:rFonts w:ascii="Arial" w:cs="Arial" w:eastAsia="Arial" w:hAnsi="Arial"/>
                <w:sz w:val="18"/>
                <w:szCs w:val="18"/>
                <w:color w:val="auto"/>
              </w:rPr>
              <w:t>$  1,803</w:t>
            </w:r>
          </w:p>
        </w:tc>
        <w:tc>
          <w:tcPr>
            <w:tcW w:w="1320" w:type="dxa"/>
            <w:vAlign w:val="bottom"/>
            <w:gridSpan w:val="3"/>
          </w:tcPr>
          <w:p>
            <w:pPr>
              <w:jc w:val="right"/>
              <w:ind w:right="120"/>
              <w:spacing w:after="0"/>
              <w:rPr>
                <w:sz w:val="20"/>
                <w:szCs w:val="20"/>
                <w:color w:val="auto"/>
              </w:rPr>
            </w:pPr>
            <w:r>
              <w:rPr>
                <w:rFonts w:ascii="Arial" w:cs="Arial" w:eastAsia="Arial" w:hAnsi="Arial"/>
                <w:sz w:val="18"/>
                <w:szCs w:val="18"/>
                <w:color w:val="auto"/>
              </w:rPr>
              <w:t>$   1,678</w:t>
            </w:r>
          </w:p>
        </w:tc>
        <w:tc>
          <w:tcPr>
            <w:tcW w:w="6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560" w:type="dxa"/>
            <w:vAlign w:val="bottom"/>
          </w:tcPr>
          <w:p>
            <w:pPr>
              <w:jc w:val="right"/>
              <w:ind w:right="12"/>
              <w:spacing w:after="0"/>
              <w:rPr>
                <w:sz w:val="20"/>
                <w:szCs w:val="20"/>
                <w:color w:val="auto"/>
              </w:rPr>
            </w:pPr>
            <w:r>
              <w:rPr>
                <w:rFonts w:ascii="Arial" w:cs="Arial" w:eastAsia="Arial" w:hAnsi="Arial"/>
                <w:sz w:val="18"/>
                <w:szCs w:val="18"/>
                <w:color w:val="auto"/>
                <w:w w:val="97"/>
              </w:rPr>
              <w:t>1,801</w:t>
            </w: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8"/>
        </w:trPr>
        <w:tc>
          <w:tcPr>
            <w:tcW w:w="4880" w:type="dxa"/>
            <w:vAlign w:val="bottom"/>
          </w:tcPr>
          <w:p>
            <w:pPr>
              <w:ind w:left="240"/>
              <w:spacing w:after="0"/>
              <w:rPr>
                <w:sz w:val="20"/>
                <w:szCs w:val="20"/>
                <w:color w:val="auto"/>
              </w:rPr>
            </w:pPr>
            <w:r>
              <w:rPr>
                <w:rFonts w:ascii="Arial" w:cs="Arial" w:eastAsia="Arial" w:hAnsi="Arial"/>
                <w:sz w:val="18"/>
                <w:szCs w:val="18"/>
                <w:color w:val="auto"/>
              </w:rPr>
              <w:t>Natural gas</w:t>
            </w:r>
          </w:p>
        </w:tc>
        <w:tc>
          <w:tcPr>
            <w:tcW w:w="700" w:type="dxa"/>
            <w:vAlign w:val="bottom"/>
          </w:tcPr>
          <w:p>
            <w:pPr>
              <w:jc w:val="right"/>
              <w:spacing w:after="0"/>
              <w:rPr>
                <w:sz w:val="20"/>
                <w:szCs w:val="20"/>
                <w:color w:val="auto"/>
              </w:rPr>
            </w:pPr>
            <w:r>
              <w:rPr>
                <w:rFonts w:ascii="Arial" w:cs="Arial" w:eastAsia="Arial" w:hAnsi="Arial"/>
                <w:sz w:val="18"/>
                <w:szCs w:val="18"/>
                <w:color w:val="auto"/>
              </w:rPr>
              <w:t>709</w:t>
            </w:r>
          </w:p>
        </w:tc>
        <w:tc>
          <w:tcPr>
            <w:tcW w:w="1320" w:type="dxa"/>
            <w:vAlign w:val="bottom"/>
            <w:gridSpan w:val="3"/>
          </w:tcPr>
          <w:p>
            <w:pPr>
              <w:jc w:val="right"/>
              <w:ind w:right="120"/>
              <w:spacing w:after="0"/>
              <w:rPr>
                <w:sz w:val="20"/>
                <w:szCs w:val="20"/>
                <w:color w:val="auto"/>
              </w:rPr>
            </w:pPr>
            <w:r>
              <w:rPr>
                <w:rFonts w:ascii="Arial" w:cs="Arial" w:eastAsia="Arial" w:hAnsi="Arial"/>
                <w:sz w:val="18"/>
                <w:szCs w:val="18"/>
                <w:color w:val="auto"/>
              </w:rPr>
              <w:t>596</w:t>
            </w: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60" w:type="dxa"/>
            <w:vAlign w:val="bottom"/>
          </w:tcPr>
          <w:p>
            <w:pPr>
              <w:jc w:val="right"/>
              <w:ind w:right="12"/>
              <w:spacing w:after="0"/>
              <w:rPr>
                <w:sz w:val="20"/>
                <w:szCs w:val="20"/>
                <w:color w:val="auto"/>
              </w:rPr>
            </w:pPr>
            <w:r>
              <w:rPr>
                <w:rFonts w:ascii="Arial" w:cs="Arial" w:eastAsia="Arial" w:hAnsi="Arial"/>
                <w:sz w:val="18"/>
                <w:szCs w:val="18"/>
                <w:color w:val="auto"/>
              </w:rPr>
              <w:t>507</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2"/>
        </w:trPr>
        <w:tc>
          <w:tcPr>
            <w:tcW w:w="4880" w:type="dxa"/>
            <w:vAlign w:val="bottom"/>
          </w:tcPr>
          <w:p>
            <w:pPr>
              <w:spacing w:after="0"/>
              <w:rPr>
                <w:sz w:val="14"/>
                <w:szCs w:val="14"/>
                <w:color w:val="auto"/>
              </w:rPr>
            </w:pPr>
          </w:p>
        </w:tc>
        <w:tc>
          <w:tcPr>
            <w:tcW w:w="700" w:type="dxa"/>
            <w:vAlign w:val="bottom"/>
            <w:shd w:val="clear" w:color="auto" w:fill="000000"/>
          </w:tcPr>
          <w:p>
            <w:pPr>
              <w:spacing w:after="0"/>
              <w:rPr>
                <w:sz w:val="14"/>
                <w:szCs w:val="14"/>
                <w:color w:val="auto"/>
              </w:rPr>
            </w:pPr>
          </w:p>
        </w:tc>
        <w:tc>
          <w:tcPr>
            <w:tcW w:w="80" w:type="dxa"/>
            <w:vAlign w:val="bottom"/>
            <w:shd w:val="clear" w:color="auto" w:fill="000000"/>
          </w:tcPr>
          <w:p>
            <w:pPr>
              <w:spacing w:after="0"/>
              <w:rPr>
                <w:sz w:val="14"/>
                <w:szCs w:val="14"/>
                <w:color w:val="auto"/>
              </w:rPr>
            </w:pPr>
          </w:p>
        </w:tc>
        <w:tc>
          <w:tcPr>
            <w:tcW w:w="340" w:type="dxa"/>
            <w:vAlign w:val="bottom"/>
          </w:tcPr>
          <w:p>
            <w:pPr>
              <w:spacing w:after="0"/>
              <w:rPr>
                <w:sz w:val="14"/>
                <w:szCs w:val="14"/>
                <w:color w:val="auto"/>
              </w:rPr>
            </w:pPr>
          </w:p>
        </w:tc>
        <w:tc>
          <w:tcPr>
            <w:tcW w:w="900" w:type="dxa"/>
            <w:vAlign w:val="bottom"/>
            <w:shd w:val="clear" w:color="auto" w:fill="000000"/>
          </w:tcPr>
          <w:p>
            <w:pPr>
              <w:spacing w:after="0"/>
              <w:rPr>
                <w:sz w:val="14"/>
                <w:szCs w:val="14"/>
                <w:color w:val="auto"/>
              </w:rPr>
            </w:pPr>
          </w:p>
        </w:tc>
        <w:tc>
          <w:tcPr>
            <w:tcW w:w="320" w:type="dxa"/>
            <w:vAlign w:val="bottom"/>
          </w:tcPr>
          <w:p>
            <w:pPr>
              <w:spacing w:after="0"/>
              <w:rPr>
                <w:sz w:val="14"/>
                <w:szCs w:val="14"/>
                <w:color w:val="auto"/>
              </w:rPr>
            </w:pPr>
          </w:p>
        </w:tc>
        <w:tc>
          <w:tcPr>
            <w:tcW w:w="300" w:type="dxa"/>
            <w:vAlign w:val="bottom"/>
            <w:shd w:val="clear" w:color="auto" w:fill="000000"/>
          </w:tcPr>
          <w:p>
            <w:pPr>
              <w:spacing w:after="0"/>
              <w:rPr>
                <w:sz w:val="14"/>
                <w:szCs w:val="14"/>
                <w:color w:val="auto"/>
              </w:rPr>
            </w:pPr>
          </w:p>
        </w:tc>
        <w:tc>
          <w:tcPr>
            <w:tcW w:w="560" w:type="dxa"/>
            <w:vAlign w:val="bottom"/>
            <w:shd w:val="clear" w:color="auto" w:fill="000000"/>
          </w:tcPr>
          <w:p>
            <w:pPr>
              <w:spacing w:after="0"/>
              <w:rPr>
                <w:sz w:val="14"/>
                <w:szCs w:val="14"/>
                <w:color w:val="auto"/>
              </w:rPr>
            </w:pPr>
          </w:p>
        </w:tc>
        <w:tc>
          <w:tcPr>
            <w:tcW w:w="120" w:type="dxa"/>
            <w:vAlign w:val="bottom"/>
            <w:shd w:val="clear" w:color="auto" w:fill="000000"/>
          </w:tcPr>
          <w:p>
            <w:pPr>
              <w:spacing w:after="0"/>
              <w:rPr>
                <w:sz w:val="14"/>
                <w:szCs w:val="14"/>
                <w:color w:val="auto"/>
              </w:rPr>
            </w:pPr>
          </w:p>
        </w:tc>
        <w:tc>
          <w:tcPr>
            <w:tcW w:w="0" w:type="dxa"/>
            <w:vAlign w:val="bottom"/>
          </w:tcPr>
          <w:p>
            <w:pPr>
              <w:spacing w:after="0"/>
              <w:rPr>
                <w:sz w:val="1"/>
                <w:szCs w:val="1"/>
                <w:color w:val="auto"/>
              </w:rPr>
            </w:pPr>
          </w:p>
        </w:tc>
      </w:tr>
    </w:tbl>
    <w:p>
      <w:pPr>
        <w:sectPr>
          <w:pgSz w:w="11900" w:h="16900" w:orient="portrait"/>
          <w:cols w:equalWidth="0" w:num="1">
            <w:col w:w="11420"/>
          </w:cols>
          <w:pgMar w:left="240" w:top="118" w:right="239" w:bottom="0" w:gutter="0" w:footer="0" w:header="0"/>
        </w:sectPr>
      </w:pPr>
    </w:p>
    <w:bookmarkStart w:id="22" w:name="page23"/>
    <w:bookmarkEnd w:id="22"/>
    <w:p>
      <w:pPr>
        <w:spacing w:after="0" w:line="13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4282440</wp:posOffset>
            </wp:positionH>
            <wp:positionV relativeFrom="page">
              <wp:posOffset>88900</wp:posOffset>
            </wp:positionV>
            <wp:extent cx="210947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109470" cy="8255"/>
                    </a:xfrm>
                    <a:prstGeom prst="rect">
                      <a:avLst/>
                    </a:prstGeom>
                    <a:noFill/>
                  </pic:spPr>
                </pic:pic>
              </a:graphicData>
            </a:graphic>
          </wp:anchor>
        </w:drawing>
      </w:r>
    </w:p>
    <w:tbl>
      <w:tblPr>
        <w:tblLayout w:type="fixed"/>
        <w:tblInd w:w="420" w:type="dxa"/>
        <w:tblCellMar>
          <w:top w:w="0" w:type="dxa"/>
          <w:left w:w="0" w:type="dxa"/>
          <w:bottom w:w="0" w:type="dxa"/>
          <w:right w:w="0" w:type="dxa"/>
        </w:tblCellMar>
      </w:tblPr>
      <w:tr>
        <w:trPr>
          <w:trHeight w:val="222"/>
        </w:trPr>
        <w:tc>
          <w:tcPr>
            <w:tcW w:w="4880" w:type="dxa"/>
            <w:vAlign w:val="bottom"/>
          </w:tcPr>
          <w:p>
            <w:pPr>
              <w:ind w:left="560"/>
              <w:spacing w:after="0"/>
              <w:rPr>
                <w:sz w:val="20"/>
                <w:szCs w:val="20"/>
                <w:color w:val="auto"/>
              </w:rPr>
            </w:pPr>
            <w:r>
              <w:rPr>
                <w:rFonts w:ascii="Arial" w:cs="Arial" w:eastAsia="Arial" w:hAnsi="Arial"/>
                <w:sz w:val="18"/>
                <w:szCs w:val="18"/>
                <w:color w:val="auto"/>
              </w:rPr>
              <w:t>Total operating revenues</w:t>
            </w:r>
          </w:p>
        </w:tc>
        <w:tc>
          <w:tcPr>
            <w:tcW w:w="200" w:type="dxa"/>
            <w:vAlign w:val="bottom"/>
          </w:tcPr>
          <w:p>
            <w:pPr>
              <w:spacing w:after="0"/>
              <w:rPr>
                <w:sz w:val="19"/>
                <w:szCs w:val="19"/>
                <w:color w:val="auto"/>
              </w:rPr>
            </w:pPr>
          </w:p>
        </w:tc>
        <w:tc>
          <w:tcPr>
            <w:tcW w:w="580" w:type="dxa"/>
            <w:vAlign w:val="bottom"/>
          </w:tcPr>
          <w:p>
            <w:pPr>
              <w:jc w:val="right"/>
              <w:ind w:right="12"/>
              <w:spacing w:after="0"/>
              <w:rPr>
                <w:sz w:val="20"/>
                <w:szCs w:val="20"/>
                <w:color w:val="auto"/>
              </w:rPr>
            </w:pPr>
            <w:r>
              <w:rPr>
                <w:rFonts w:ascii="Arial" w:cs="Arial" w:eastAsia="Arial" w:hAnsi="Arial"/>
                <w:sz w:val="18"/>
                <w:szCs w:val="18"/>
                <w:color w:val="auto"/>
              </w:rPr>
              <w:t>2,512</w:t>
            </w: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40" w:type="dxa"/>
            <w:vAlign w:val="bottom"/>
          </w:tcPr>
          <w:p>
            <w:pPr>
              <w:jc w:val="right"/>
              <w:ind w:right="32"/>
              <w:spacing w:after="0"/>
              <w:rPr>
                <w:sz w:val="20"/>
                <w:szCs w:val="20"/>
                <w:color w:val="auto"/>
              </w:rPr>
            </w:pPr>
            <w:r>
              <w:rPr>
                <w:rFonts w:ascii="Arial" w:cs="Arial" w:eastAsia="Arial" w:hAnsi="Arial"/>
                <w:sz w:val="18"/>
                <w:szCs w:val="18"/>
                <w:color w:val="auto"/>
              </w:rPr>
              <w:t>2,274</w:t>
            </w: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40" w:type="dxa"/>
            <w:vAlign w:val="bottom"/>
          </w:tcPr>
          <w:p>
            <w:pPr>
              <w:jc w:val="right"/>
              <w:ind w:right="132"/>
              <w:spacing w:after="0"/>
              <w:rPr>
                <w:sz w:val="20"/>
                <w:szCs w:val="20"/>
                <w:color w:val="auto"/>
              </w:rPr>
            </w:pPr>
            <w:r>
              <w:rPr>
                <w:rFonts w:ascii="Arial" w:cs="Arial" w:eastAsia="Arial" w:hAnsi="Arial"/>
                <w:sz w:val="18"/>
                <w:szCs w:val="18"/>
                <w:color w:val="auto"/>
              </w:rPr>
              <w:t>2,308</w:t>
            </w:r>
          </w:p>
        </w:tc>
        <w:tc>
          <w:tcPr>
            <w:tcW w:w="0" w:type="dxa"/>
            <w:vAlign w:val="bottom"/>
          </w:tcPr>
          <w:p>
            <w:pPr>
              <w:spacing w:after="0"/>
              <w:rPr>
                <w:sz w:val="1"/>
                <w:szCs w:val="1"/>
                <w:color w:val="auto"/>
              </w:rPr>
            </w:pPr>
          </w:p>
        </w:tc>
      </w:tr>
      <w:tr>
        <w:trPr>
          <w:trHeight w:val="259"/>
        </w:trPr>
        <w:tc>
          <w:tcPr>
            <w:tcW w:w="4880" w:type="dxa"/>
            <w:vAlign w:val="bottom"/>
            <w:vMerge w:val="restart"/>
          </w:tcPr>
          <w:p>
            <w:pPr>
              <w:spacing w:after="0"/>
              <w:rPr>
                <w:sz w:val="20"/>
                <w:szCs w:val="20"/>
                <w:color w:val="auto"/>
              </w:rPr>
            </w:pPr>
            <w:r>
              <w:rPr>
                <w:rFonts w:ascii="Arial" w:cs="Arial" w:eastAsia="Arial" w:hAnsi="Arial"/>
                <w:sz w:val="18"/>
                <w:szCs w:val="18"/>
                <w:color w:val="auto"/>
              </w:rPr>
              <w:t>Operating expenses</w:t>
            </w:r>
          </w:p>
        </w:tc>
        <w:tc>
          <w:tcPr>
            <w:tcW w:w="200" w:type="dxa"/>
            <w:vAlign w:val="bottom"/>
            <w:shd w:val="clear" w:color="auto" w:fill="000000"/>
          </w:tcPr>
          <w:p>
            <w:pPr>
              <w:spacing w:after="0"/>
              <w:rPr>
                <w:sz w:val="22"/>
                <w:szCs w:val="22"/>
                <w:color w:val="auto"/>
              </w:rPr>
            </w:pPr>
          </w:p>
        </w:tc>
        <w:tc>
          <w:tcPr>
            <w:tcW w:w="580" w:type="dxa"/>
            <w:vAlign w:val="bottom"/>
            <w:shd w:val="clear" w:color="auto" w:fill="000000"/>
          </w:tcPr>
          <w:p>
            <w:pPr>
              <w:spacing w:after="0"/>
              <w:rPr>
                <w:sz w:val="22"/>
                <w:szCs w:val="22"/>
                <w:color w:val="auto"/>
              </w:rPr>
            </w:pPr>
          </w:p>
        </w:tc>
        <w:tc>
          <w:tcPr>
            <w:tcW w:w="340" w:type="dxa"/>
            <w:vAlign w:val="bottom"/>
          </w:tcPr>
          <w:p>
            <w:pPr>
              <w:spacing w:after="0"/>
              <w:rPr>
                <w:sz w:val="22"/>
                <w:szCs w:val="22"/>
                <w:color w:val="auto"/>
              </w:rPr>
            </w:pPr>
          </w:p>
        </w:tc>
        <w:tc>
          <w:tcPr>
            <w:tcW w:w="260" w:type="dxa"/>
            <w:vAlign w:val="bottom"/>
            <w:shd w:val="clear" w:color="auto" w:fill="000000"/>
          </w:tcPr>
          <w:p>
            <w:pPr>
              <w:spacing w:after="0"/>
              <w:rPr>
                <w:sz w:val="22"/>
                <w:szCs w:val="22"/>
                <w:color w:val="auto"/>
              </w:rPr>
            </w:pPr>
          </w:p>
        </w:tc>
        <w:tc>
          <w:tcPr>
            <w:tcW w:w="640" w:type="dxa"/>
            <w:vAlign w:val="bottom"/>
            <w:shd w:val="clear" w:color="auto" w:fill="000000"/>
          </w:tcPr>
          <w:p>
            <w:pPr>
              <w:spacing w:after="0"/>
              <w:rPr>
                <w:sz w:val="22"/>
                <w:szCs w:val="22"/>
                <w:color w:val="auto"/>
              </w:rPr>
            </w:pPr>
          </w:p>
        </w:tc>
        <w:tc>
          <w:tcPr>
            <w:tcW w:w="320" w:type="dxa"/>
            <w:vAlign w:val="bottom"/>
          </w:tcPr>
          <w:p>
            <w:pPr>
              <w:spacing w:after="0"/>
              <w:rPr>
                <w:sz w:val="22"/>
                <w:szCs w:val="22"/>
                <w:color w:val="auto"/>
              </w:rPr>
            </w:pPr>
          </w:p>
        </w:tc>
        <w:tc>
          <w:tcPr>
            <w:tcW w:w="240" w:type="dxa"/>
            <w:vAlign w:val="bottom"/>
            <w:shd w:val="clear" w:color="auto" w:fill="000000"/>
          </w:tcPr>
          <w:p>
            <w:pPr>
              <w:spacing w:after="0"/>
              <w:rPr>
                <w:sz w:val="22"/>
                <w:szCs w:val="22"/>
                <w:color w:val="auto"/>
              </w:rPr>
            </w:pPr>
          </w:p>
        </w:tc>
        <w:tc>
          <w:tcPr>
            <w:tcW w:w="740" w:type="dxa"/>
            <w:vAlign w:val="bottom"/>
            <w:shd w:val="clear" w:color="auto" w:fill="000000"/>
          </w:tcPr>
          <w:p>
            <w:pPr>
              <w:spacing w:after="0"/>
              <w:rPr>
                <w:sz w:val="22"/>
                <w:szCs w:val="22"/>
                <w:color w:val="auto"/>
              </w:rPr>
            </w:pPr>
          </w:p>
        </w:tc>
        <w:tc>
          <w:tcPr>
            <w:tcW w:w="0" w:type="dxa"/>
            <w:vAlign w:val="bottom"/>
          </w:tcPr>
          <w:p>
            <w:pPr>
              <w:spacing w:after="0"/>
              <w:rPr>
                <w:sz w:val="1"/>
                <w:szCs w:val="1"/>
                <w:color w:val="auto"/>
              </w:rPr>
            </w:pPr>
          </w:p>
        </w:tc>
      </w:tr>
      <w:tr>
        <w:trPr>
          <w:trHeight w:val="525"/>
        </w:trPr>
        <w:tc>
          <w:tcPr>
            <w:tcW w:w="488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4880" w:type="dxa"/>
            <w:vAlign w:val="bottom"/>
          </w:tcPr>
          <w:p>
            <w:pPr>
              <w:ind w:left="160"/>
              <w:spacing w:after="0"/>
              <w:rPr>
                <w:sz w:val="20"/>
                <w:szCs w:val="20"/>
                <w:color w:val="auto"/>
              </w:rPr>
            </w:pPr>
            <w:r>
              <w:rPr>
                <w:rFonts w:ascii="Arial" w:cs="Arial" w:eastAsia="Arial" w:hAnsi="Arial"/>
                <w:sz w:val="18"/>
                <w:szCs w:val="18"/>
                <w:color w:val="auto"/>
              </w:rPr>
              <w:t>Cost of electric fuel and purchased power</w:t>
            </w:r>
          </w:p>
        </w:tc>
        <w:tc>
          <w:tcPr>
            <w:tcW w:w="200" w:type="dxa"/>
            <w:vAlign w:val="bottom"/>
          </w:tcPr>
          <w:p>
            <w:pPr>
              <w:spacing w:after="0"/>
              <w:rPr>
                <w:sz w:val="23"/>
                <w:szCs w:val="23"/>
                <w:color w:val="auto"/>
              </w:rPr>
            </w:pPr>
          </w:p>
        </w:tc>
        <w:tc>
          <w:tcPr>
            <w:tcW w:w="580" w:type="dxa"/>
            <w:vAlign w:val="bottom"/>
          </w:tcPr>
          <w:p>
            <w:pPr>
              <w:jc w:val="right"/>
              <w:ind w:right="12"/>
              <w:spacing w:after="0"/>
              <w:rPr>
                <w:sz w:val="20"/>
                <w:szCs w:val="20"/>
                <w:color w:val="auto"/>
              </w:rPr>
            </w:pPr>
            <w:r>
              <w:rPr>
                <w:rFonts w:ascii="Arial" w:cs="Arial" w:eastAsia="Arial" w:hAnsi="Arial"/>
                <w:sz w:val="18"/>
                <w:szCs w:val="18"/>
                <w:color w:val="auto"/>
              </w:rPr>
              <w:t>624</w:t>
            </w:r>
          </w:p>
        </w:tc>
        <w:tc>
          <w:tcPr>
            <w:tcW w:w="3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40" w:type="dxa"/>
            <w:vAlign w:val="bottom"/>
          </w:tcPr>
          <w:p>
            <w:pPr>
              <w:jc w:val="right"/>
              <w:ind w:right="32"/>
              <w:spacing w:after="0"/>
              <w:rPr>
                <w:sz w:val="20"/>
                <w:szCs w:val="20"/>
                <w:color w:val="auto"/>
              </w:rPr>
            </w:pPr>
            <w:r>
              <w:rPr>
                <w:rFonts w:ascii="Arial" w:cs="Arial" w:eastAsia="Arial" w:hAnsi="Arial"/>
                <w:sz w:val="18"/>
                <w:szCs w:val="18"/>
                <w:color w:val="auto"/>
              </w:rPr>
              <w:t>576</w:t>
            </w:r>
          </w:p>
        </w:tc>
        <w:tc>
          <w:tcPr>
            <w:tcW w:w="3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40" w:type="dxa"/>
            <w:vAlign w:val="bottom"/>
          </w:tcPr>
          <w:p>
            <w:pPr>
              <w:jc w:val="right"/>
              <w:ind w:right="132"/>
              <w:spacing w:after="0"/>
              <w:rPr>
                <w:sz w:val="20"/>
                <w:szCs w:val="20"/>
                <w:color w:val="auto"/>
              </w:rPr>
            </w:pPr>
            <w:r>
              <w:rPr>
                <w:rFonts w:ascii="Arial" w:cs="Arial" w:eastAsia="Arial" w:hAnsi="Arial"/>
                <w:sz w:val="18"/>
                <w:szCs w:val="18"/>
                <w:color w:val="auto"/>
              </w:rPr>
              <w:t>541</w:t>
            </w:r>
          </w:p>
        </w:tc>
        <w:tc>
          <w:tcPr>
            <w:tcW w:w="0" w:type="dxa"/>
            <w:vAlign w:val="bottom"/>
          </w:tcPr>
          <w:p>
            <w:pPr>
              <w:spacing w:after="0"/>
              <w:rPr>
                <w:sz w:val="1"/>
                <w:szCs w:val="1"/>
                <w:color w:val="auto"/>
              </w:rPr>
            </w:pPr>
          </w:p>
        </w:tc>
      </w:tr>
      <w:tr>
        <w:trPr>
          <w:trHeight w:val="270"/>
        </w:trPr>
        <w:tc>
          <w:tcPr>
            <w:tcW w:w="4880" w:type="dxa"/>
            <w:vAlign w:val="bottom"/>
          </w:tcPr>
          <w:p>
            <w:pPr>
              <w:ind w:left="160"/>
              <w:spacing w:after="0"/>
              <w:rPr>
                <w:sz w:val="20"/>
                <w:szCs w:val="20"/>
                <w:color w:val="auto"/>
              </w:rPr>
            </w:pPr>
            <w:r>
              <w:rPr>
                <w:rFonts w:ascii="Arial" w:cs="Arial" w:eastAsia="Arial" w:hAnsi="Arial"/>
                <w:sz w:val="18"/>
                <w:szCs w:val="18"/>
                <w:color w:val="auto"/>
              </w:rPr>
              <w:t>Cost of natural gas</w:t>
            </w:r>
          </w:p>
        </w:tc>
        <w:tc>
          <w:tcPr>
            <w:tcW w:w="200" w:type="dxa"/>
            <w:vAlign w:val="bottom"/>
          </w:tcPr>
          <w:p>
            <w:pPr>
              <w:spacing w:after="0"/>
              <w:rPr>
                <w:sz w:val="23"/>
                <w:szCs w:val="23"/>
                <w:color w:val="auto"/>
              </w:rPr>
            </w:pPr>
          </w:p>
        </w:tc>
        <w:tc>
          <w:tcPr>
            <w:tcW w:w="580" w:type="dxa"/>
            <w:vAlign w:val="bottom"/>
          </w:tcPr>
          <w:p>
            <w:pPr>
              <w:jc w:val="right"/>
              <w:ind w:right="12"/>
              <w:spacing w:after="0"/>
              <w:rPr>
                <w:sz w:val="20"/>
                <w:szCs w:val="20"/>
                <w:color w:val="auto"/>
              </w:rPr>
            </w:pPr>
            <w:r>
              <w:rPr>
                <w:rFonts w:ascii="Arial" w:cs="Arial" w:eastAsia="Arial" w:hAnsi="Arial"/>
                <w:sz w:val="18"/>
                <w:szCs w:val="18"/>
                <w:color w:val="auto"/>
              </w:rPr>
              <w:t>456</w:t>
            </w:r>
          </w:p>
        </w:tc>
        <w:tc>
          <w:tcPr>
            <w:tcW w:w="3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40" w:type="dxa"/>
            <w:vAlign w:val="bottom"/>
          </w:tcPr>
          <w:p>
            <w:pPr>
              <w:jc w:val="right"/>
              <w:ind w:right="32"/>
              <w:spacing w:after="0"/>
              <w:rPr>
                <w:sz w:val="20"/>
                <w:szCs w:val="20"/>
                <w:color w:val="auto"/>
              </w:rPr>
            </w:pPr>
            <w:r>
              <w:rPr>
                <w:rFonts w:ascii="Arial" w:cs="Arial" w:eastAsia="Arial" w:hAnsi="Arial"/>
                <w:sz w:val="18"/>
                <w:szCs w:val="18"/>
                <w:color w:val="auto"/>
              </w:rPr>
              <w:t>347</w:t>
            </w:r>
          </w:p>
        </w:tc>
        <w:tc>
          <w:tcPr>
            <w:tcW w:w="3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40" w:type="dxa"/>
            <w:vAlign w:val="bottom"/>
          </w:tcPr>
          <w:p>
            <w:pPr>
              <w:jc w:val="right"/>
              <w:ind w:right="132"/>
              <w:spacing w:after="0"/>
              <w:rPr>
                <w:sz w:val="20"/>
                <w:szCs w:val="20"/>
                <w:color w:val="auto"/>
              </w:rPr>
            </w:pPr>
            <w:r>
              <w:rPr>
                <w:rFonts w:ascii="Arial" w:cs="Arial" w:eastAsia="Arial" w:hAnsi="Arial"/>
                <w:sz w:val="18"/>
                <w:szCs w:val="18"/>
                <w:color w:val="auto"/>
              </w:rPr>
              <w:t>274</w:t>
            </w:r>
          </w:p>
        </w:tc>
        <w:tc>
          <w:tcPr>
            <w:tcW w:w="0" w:type="dxa"/>
            <w:vAlign w:val="bottom"/>
          </w:tcPr>
          <w:p>
            <w:pPr>
              <w:spacing w:after="0"/>
              <w:rPr>
                <w:sz w:val="1"/>
                <w:szCs w:val="1"/>
                <w:color w:val="auto"/>
              </w:rPr>
            </w:pPr>
          </w:p>
        </w:tc>
      </w:tr>
      <w:tr>
        <w:trPr>
          <w:trHeight w:val="270"/>
        </w:trPr>
        <w:tc>
          <w:tcPr>
            <w:tcW w:w="4880" w:type="dxa"/>
            <w:vAlign w:val="bottom"/>
          </w:tcPr>
          <w:p>
            <w:pPr>
              <w:ind w:left="160"/>
              <w:spacing w:after="0"/>
              <w:rPr>
                <w:sz w:val="20"/>
                <w:szCs w:val="20"/>
                <w:color w:val="auto"/>
              </w:rPr>
            </w:pPr>
            <w:r>
              <w:rPr>
                <w:rFonts w:ascii="Arial" w:cs="Arial" w:eastAsia="Arial" w:hAnsi="Arial"/>
                <w:sz w:val="18"/>
                <w:szCs w:val="18"/>
                <w:color w:val="auto"/>
              </w:rPr>
              <w:t>Other operating expenses</w:t>
            </w:r>
          </w:p>
        </w:tc>
        <w:tc>
          <w:tcPr>
            <w:tcW w:w="200" w:type="dxa"/>
            <w:vAlign w:val="bottom"/>
          </w:tcPr>
          <w:p>
            <w:pPr>
              <w:spacing w:after="0"/>
              <w:rPr>
                <w:sz w:val="23"/>
                <w:szCs w:val="23"/>
                <w:color w:val="auto"/>
              </w:rPr>
            </w:pPr>
          </w:p>
        </w:tc>
        <w:tc>
          <w:tcPr>
            <w:tcW w:w="580" w:type="dxa"/>
            <w:vAlign w:val="bottom"/>
          </w:tcPr>
          <w:p>
            <w:pPr>
              <w:jc w:val="right"/>
              <w:ind w:right="12"/>
              <w:spacing w:after="0"/>
              <w:rPr>
                <w:sz w:val="20"/>
                <w:szCs w:val="20"/>
                <w:color w:val="auto"/>
              </w:rPr>
            </w:pPr>
            <w:r>
              <w:rPr>
                <w:rFonts w:ascii="Arial" w:cs="Arial" w:eastAsia="Arial" w:hAnsi="Arial"/>
                <w:sz w:val="18"/>
                <w:szCs w:val="18"/>
                <w:color w:val="auto"/>
              </w:rPr>
              <w:t>603</w:t>
            </w:r>
          </w:p>
        </w:tc>
        <w:tc>
          <w:tcPr>
            <w:tcW w:w="3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40" w:type="dxa"/>
            <w:vAlign w:val="bottom"/>
          </w:tcPr>
          <w:p>
            <w:pPr>
              <w:jc w:val="right"/>
              <w:ind w:right="32"/>
              <w:spacing w:after="0"/>
              <w:rPr>
                <w:sz w:val="20"/>
                <w:szCs w:val="20"/>
                <w:color w:val="auto"/>
              </w:rPr>
            </w:pPr>
            <w:r>
              <w:rPr>
                <w:rFonts w:ascii="Arial" w:cs="Arial" w:eastAsia="Arial" w:hAnsi="Arial"/>
                <w:sz w:val="18"/>
                <w:szCs w:val="18"/>
                <w:color w:val="auto"/>
              </w:rPr>
              <w:t>574</w:t>
            </w:r>
          </w:p>
        </w:tc>
        <w:tc>
          <w:tcPr>
            <w:tcW w:w="3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40" w:type="dxa"/>
            <w:vAlign w:val="bottom"/>
          </w:tcPr>
          <w:p>
            <w:pPr>
              <w:jc w:val="right"/>
              <w:ind w:right="132"/>
              <w:spacing w:after="0"/>
              <w:rPr>
                <w:sz w:val="20"/>
                <w:szCs w:val="20"/>
                <w:color w:val="auto"/>
              </w:rPr>
            </w:pPr>
            <w:r>
              <w:rPr>
                <w:rFonts w:ascii="Arial" w:cs="Arial" w:eastAsia="Arial" w:hAnsi="Arial"/>
                <w:sz w:val="18"/>
                <w:szCs w:val="18"/>
                <w:color w:val="auto"/>
              </w:rPr>
              <w:t>611</w:t>
            </w:r>
          </w:p>
        </w:tc>
        <w:tc>
          <w:tcPr>
            <w:tcW w:w="0" w:type="dxa"/>
            <w:vAlign w:val="bottom"/>
          </w:tcPr>
          <w:p>
            <w:pPr>
              <w:spacing w:after="0"/>
              <w:rPr>
                <w:sz w:val="1"/>
                <w:szCs w:val="1"/>
                <w:color w:val="auto"/>
              </w:rPr>
            </w:pPr>
          </w:p>
        </w:tc>
      </w:tr>
      <w:tr>
        <w:trPr>
          <w:trHeight w:val="270"/>
        </w:trPr>
        <w:tc>
          <w:tcPr>
            <w:tcW w:w="4880" w:type="dxa"/>
            <w:vAlign w:val="bottom"/>
          </w:tcPr>
          <w:p>
            <w:pPr>
              <w:ind w:left="160"/>
              <w:spacing w:after="0"/>
              <w:rPr>
                <w:sz w:val="20"/>
                <w:szCs w:val="20"/>
                <w:color w:val="auto"/>
              </w:rPr>
            </w:pPr>
            <w:r>
              <w:rPr>
                <w:rFonts w:ascii="Arial" w:cs="Arial" w:eastAsia="Arial" w:hAnsi="Arial"/>
                <w:sz w:val="18"/>
                <w:szCs w:val="18"/>
                <w:color w:val="auto"/>
              </w:rPr>
              <w:t>Depreciation and amortization</w:t>
            </w:r>
          </w:p>
        </w:tc>
        <w:tc>
          <w:tcPr>
            <w:tcW w:w="200" w:type="dxa"/>
            <w:vAlign w:val="bottom"/>
          </w:tcPr>
          <w:p>
            <w:pPr>
              <w:spacing w:after="0"/>
              <w:rPr>
                <w:sz w:val="23"/>
                <w:szCs w:val="23"/>
                <w:color w:val="auto"/>
              </w:rPr>
            </w:pPr>
          </w:p>
        </w:tc>
        <w:tc>
          <w:tcPr>
            <w:tcW w:w="580" w:type="dxa"/>
            <w:vAlign w:val="bottom"/>
          </w:tcPr>
          <w:p>
            <w:pPr>
              <w:jc w:val="right"/>
              <w:ind w:right="12"/>
              <w:spacing w:after="0"/>
              <w:rPr>
                <w:sz w:val="20"/>
                <w:szCs w:val="20"/>
                <w:color w:val="auto"/>
              </w:rPr>
            </w:pPr>
            <w:r>
              <w:rPr>
                <w:rFonts w:ascii="Arial" w:cs="Arial" w:eastAsia="Arial" w:hAnsi="Arial"/>
                <w:sz w:val="18"/>
                <w:szCs w:val="18"/>
                <w:color w:val="auto"/>
              </w:rPr>
              <w:t>264</w:t>
            </w:r>
          </w:p>
        </w:tc>
        <w:tc>
          <w:tcPr>
            <w:tcW w:w="3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40" w:type="dxa"/>
            <w:vAlign w:val="bottom"/>
          </w:tcPr>
          <w:p>
            <w:pPr>
              <w:jc w:val="right"/>
              <w:ind w:right="32"/>
              <w:spacing w:after="0"/>
              <w:rPr>
                <w:sz w:val="20"/>
                <w:szCs w:val="20"/>
                <w:color w:val="auto"/>
              </w:rPr>
            </w:pPr>
            <w:r>
              <w:rPr>
                <w:rFonts w:ascii="Arial" w:cs="Arial" w:eastAsia="Arial" w:hAnsi="Arial"/>
                <w:sz w:val="18"/>
                <w:szCs w:val="18"/>
                <w:color w:val="auto"/>
              </w:rPr>
              <w:t>259</w:t>
            </w:r>
          </w:p>
        </w:tc>
        <w:tc>
          <w:tcPr>
            <w:tcW w:w="3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40" w:type="dxa"/>
            <w:vAlign w:val="bottom"/>
          </w:tcPr>
          <w:p>
            <w:pPr>
              <w:jc w:val="right"/>
              <w:ind w:right="132"/>
              <w:spacing w:after="0"/>
              <w:rPr>
                <w:sz w:val="20"/>
                <w:szCs w:val="20"/>
                <w:color w:val="auto"/>
              </w:rPr>
            </w:pPr>
            <w:r>
              <w:rPr>
                <w:rFonts w:ascii="Arial" w:cs="Arial" w:eastAsia="Arial" w:hAnsi="Arial"/>
                <w:sz w:val="18"/>
                <w:szCs w:val="18"/>
                <w:color w:val="auto"/>
              </w:rPr>
              <w:t>242</w:t>
            </w:r>
          </w:p>
        </w:tc>
        <w:tc>
          <w:tcPr>
            <w:tcW w:w="0" w:type="dxa"/>
            <w:vAlign w:val="bottom"/>
          </w:tcPr>
          <w:p>
            <w:pPr>
              <w:spacing w:after="0"/>
              <w:rPr>
                <w:sz w:val="1"/>
                <w:szCs w:val="1"/>
                <w:color w:val="auto"/>
              </w:rPr>
            </w:pPr>
          </w:p>
        </w:tc>
      </w:tr>
      <w:tr>
        <w:trPr>
          <w:trHeight w:val="270"/>
        </w:trPr>
        <w:tc>
          <w:tcPr>
            <w:tcW w:w="4880" w:type="dxa"/>
            <w:vAlign w:val="bottom"/>
          </w:tcPr>
          <w:p>
            <w:pPr>
              <w:ind w:left="160"/>
              <w:spacing w:after="0"/>
              <w:rPr>
                <w:sz w:val="20"/>
                <w:szCs w:val="20"/>
                <w:color w:val="auto"/>
              </w:rPr>
            </w:pPr>
            <w:r>
              <w:rPr>
                <w:rFonts w:ascii="Arial" w:cs="Arial" w:eastAsia="Arial" w:hAnsi="Arial"/>
                <w:sz w:val="18"/>
                <w:szCs w:val="18"/>
                <w:color w:val="auto"/>
              </w:rPr>
              <w:t>Income taxes</w:t>
            </w:r>
          </w:p>
        </w:tc>
        <w:tc>
          <w:tcPr>
            <w:tcW w:w="200" w:type="dxa"/>
            <w:vAlign w:val="bottom"/>
          </w:tcPr>
          <w:p>
            <w:pPr>
              <w:spacing w:after="0"/>
              <w:rPr>
                <w:sz w:val="23"/>
                <w:szCs w:val="23"/>
                <w:color w:val="auto"/>
              </w:rPr>
            </w:pPr>
          </w:p>
        </w:tc>
        <w:tc>
          <w:tcPr>
            <w:tcW w:w="580" w:type="dxa"/>
            <w:vAlign w:val="bottom"/>
          </w:tcPr>
          <w:p>
            <w:pPr>
              <w:jc w:val="right"/>
              <w:ind w:right="12"/>
              <w:spacing w:after="0"/>
              <w:rPr>
                <w:sz w:val="20"/>
                <w:szCs w:val="20"/>
                <w:color w:val="auto"/>
              </w:rPr>
            </w:pPr>
            <w:r>
              <w:rPr>
                <w:rFonts w:ascii="Arial" w:cs="Arial" w:eastAsia="Arial" w:hAnsi="Arial"/>
                <w:sz w:val="18"/>
                <w:szCs w:val="18"/>
                <w:color w:val="auto"/>
              </w:rPr>
              <w:t>110</w:t>
            </w:r>
          </w:p>
        </w:tc>
        <w:tc>
          <w:tcPr>
            <w:tcW w:w="3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40" w:type="dxa"/>
            <w:vAlign w:val="bottom"/>
          </w:tcPr>
          <w:p>
            <w:pPr>
              <w:jc w:val="right"/>
              <w:ind w:right="32"/>
              <w:spacing w:after="0"/>
              <w:rPr>
                <w:sz w:val="20"/>
                <w:szCs w:val="20"/>
                <w:color w:val="auto"/>
              </w:rPr>
            </w:pPr>
            <w:r>
              <w:rPr>
                <w:rFonts w:ascii="Arial" w:cs="Arial" w:eastAsia="Arial" w:hAnsi="Arial"/>
                <w:sz w:val="18"/>
                <w:szCs w:val="18"/>
                <w:color w:val="auto"/>
              </w:rPr>
              <w:t>137</w:t>
            </w:r>
          </w:p>
        </w:tc>
        <w:tc>
          <w:tcPr>
            <w:tcW w:w="3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40" w:type="dxa"/>
            <w:vAlign w:val="bottom"/>
          </w:tcPr>
          <w:p>
            <w:pPr>
              <w:jc w:val="right"/>
              <w:ind w:right="132"/>
              <w:spacing w:after="0"/>
              <w:rPr>
                <w:sz w:val="20"/>
                <w:szCs w:val="20"/>
                <w:color w:val="auto"/>
              </w:rPr>
            </w:pPr>
            <w:r>
              <w:rPr>
                <w:rFonts w:ascii="Arial" w:cs="Arial" w:eastAsia="Arial" w:hAnsi="Arial"/>
                <w:sz w:val="18"/>
                <w:szCs w:val="18"/>
                <w:color w:val="auto"/>
              </w:rPr>
              <w:t>127</w:t>
            </w:r>
          </w:p>
        </w:tc>
        <w:tc>
          <w:tcPr>
            <w:tcW w:w="0" w:type="dxa"/>
            <w:vAlign w:val="bottom"/>
          </w:tcPr>
          <w:p>
            <w:pPr>
              <w:spacing w:after="0"/>
              <w:rPr>
                <w:sz w:val="1"/>
                <w:szCs w:val="1"/>
                <w:color w:val="auto"/>
              </w:rPr>
            </w:pPr>
          </w:p>
        </w:tc>
      </w:tr>
      <w:tr>
        <w:trPr>
          <w:trHeight w:val="270"/>
        </w:trPr>
        <w:tc>
          <w:tcPr>
            <w:tcW w:w="4880" w:type="dxa"/>
            <w:vAlign w:val="bottom"/>
          </w:tcPr>
          <w:p>
            <w:pPr>
              <w:ind w:left="160"/>
              <w:spacing w:after="0"/>
              <w:rPr>
                <w:sz w:val="20"/>
                <w:szCs w:val="20"/>
                <w:color w:val="auto"/>
              </w:rPr>
            </w:pPr>
            <w:r>
              <w:rPr>
                <w:rFonts w:ascii="Arial" w:cs="Arial" w:eastAsia="Arial" w:hAnsi="Arial"/>
                <w:sz w:val="18"/>
                <w:szCs w:val="18"/>
                <w:color w:val="auto"/>
              </w:rPr>
              <w:t>Franchise fees and other taxes</w:t>
            </w:r>
          </w:p>
        </w:tc>
        <w:tc>
          <w:tcPr>
            <w:tcW w:w="200" w:type="dxa"/>
            <w:vAlign w:val="bottom"/>
          </w:tcPr>
          <w:p>
            <w:pPr>
              <w:spacing w:after="0"/>
              <w:rPr>
                <w:sz w:val="23"/>
                <w:szCs w:val="23"/>
                <w:color w:val="auto"/>
              </w:rPr>
            </w:pPr>
          </w:p>
        </w:tc>
        <w:tc>
          <w:tcPr>
            <w:tcW w:w="580" w:type="dxa"/>
            <w:vAlign w:val="bottom"/>
          </w:tcPr>
          <w:p>
            <w:pPr>
              <w:jc w:val="right"/>
              <w:ind w:right="12"/>
              <w:spacing w:after="0"/>
              <w:rPr>
                <w:sz w:val="20"/>
                <w:szCs w:val="20"/>
                <w:color w:val="auto"/>
              </w:rPr>
            </w:pPr>
            <w:r>
              <w:rPr>
                <w:rFonts w:ascii="Arial" w:cs="Arial" w:eastAsia="Arial" w:hAnsi="Arial"/>
                <w:sz w:val="18"/>
                <w:szCs w:val="18"/>
                <w:color w:val="auto"/>
              </w:rPr>
              <w:t>119</w:t>
            </w:r>
          </w:p>
        </w:tc>
        <w:tc>
          <w:tcPr>
            <w:tcW w:w="3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40" w:type="dxa"/>
            <w:vAlign w:val="bottom"/>
          </w:tcPr>
          <w:p>
            <w:pPr>
              <w:jc w:val="right"/>
              <w:ind w:right="32"/>
              <w:spacing w:after="0"/>
              <w:rPr>
                <w:sz w:val="20"/>
                <w:szCs w:val="20"/>
                <w:color w:val="auto"/>
              </w:rPr>
            </w:pPr>
            <w:r>
              <w:rPr>
                <w:rFonts w:ascii="Arial" w:cs="Arial" w:eastAsia="Arial" w:hAnsi="Arial"/>
                <w:sz w:val="18"/>
                <w:szCs w:val="18"/>
                <w:color w:val="auto"/>
              </w:rPr>
              <w:t>113</w:t>
            </w:r>
          </w:p>
        </w:tc>
        <w:tc>
          <w:tcPr>
            <w:tcW w:w="3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40" w:type="dxa"/>
            <w:vAlign w:val="bottom"/>
          </w:tcPr>
          <w:p>
            <w:pPr>
              <w:jc w:val="right"/>
              <w:ind w:right="132"/>
              <w:spacing w:after="0"/>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r>
        <w:trPr>
          <w:trHeight w:val="270"/>
        </w:trPr>
        <w:tc>
          <w:tcPr>
            <w:tcW w:w="4880" w:type="dxa"/>
            <w:vAlign w:val="bottom"/>
          </w:tcPr>
          <w:p>
            <w:pPr>
              <w:ind w:left="160"/>
              <w:spacing w:after="0"/>
              <w:rPr>
                <w:sz w:val="20"/>
                <w:szCs w:val="20"/>
                <w:color w:val="auto"/>
              </w:rPr>
            </w:pPr>
            <w:r>
              <w:rPr>
                <w:rFonts w:ascii="Arial" w:cs="Arial" w:eastAsia="Arial" w:hAnsi="Arial"/>
                <w:sz w:val="18"/>
                <w:szCs w:val="18"/>
                <w:color w:val="auto"/>
              </w:rPr>
              <w:t>Litigation expense</w:t>
            </w:r>
          </w:p>
        </w:tc>
        <w:tc>
          <w:tcPr>
            <w:tcW w:w="200" w:type="dxa"/>
            <w:vAlign w:val="bottom"/>
          </w:tcPr>
          <w:p>
            <w:pPr>
              <w:spacing w:after="0"/>
              <w:rPr>
                <w:sz w:val="23"/>
                <w:szCs w:val="23"/>
                <w:color w:val="auto"/>
              </w:rPr>
            </w:pPr>
          </w:p>
        </w:tc>
        <w:tc>
          <w:tcPr>
            <w:tcW w:w="580" w:type="dxa"/>
            <w:vAlign w:val="bottom"/>
          </w:tcPr>
          <w:p>
            <w:pPr>
              <w:jc w:val="right"/>
              <w:ind w:right="12"/>
              <w:spacing w:after="0"/>
              <w:rPr>
                <w:sz w:val="20"/>
                <w:szCs w:val="20"/>
                <w:color w:val="auto"/>
              </w:rPr>
            </w:pPr>
            <w:r>
              <w:rPr>
                <w:rFonts w:ascii="Arial" w:cs="Arial" w:eastAsia="Arial" w:hAnsi="Arial"/>
                <w:sz w:val="18"/>
                <w:szCs w:val="18"/>
                <w:color w:val="auto"/>
              </w:rPr>
              <w:t>52</w:t>
            </w:r>
          </w:p>
        </w:tc>
        <w:tc>
          <w:tcPr>
            <w:tcW w:w="3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40" w:type="dxa"/>
            <w:vAlign w:val="bottom"/>
          </w:tcPr>
          <w:p>
            <w:pPr>
              <w:jc w:val="right"/>
              <w:ind w:right="32"/>
              <w:spacing w:after="0"/>
              <w:rPr>
                <w:sz w:val="20"/>
                <w:szCs w:val="20"/>
                <w:color w:val="auto"/>
              </w:rPr>
            </w:pPr>
            <w:r>
              <w:rPr>
                <w:rFonts w:ascii="Arial" w:cs="Arial" w:eastAsia="Arial" w:hAnsi="Arial"/>
                <w:sz w:val="18"/>
                <w:szCs w:val="18"/>
                <w:color w:val="auto"/>
              </w:rPr>
              <w:t>19</w:t>
            </w:r>
          </w:p>
        </w:tc>
        <w:tc>
          <w:tcPr>
            <w:tcW w:w="3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40" w:type="dxa"/>
            <w:vAlign w:val="bottom"/>
          </w:tcPr>
          <w:p>
            <w:pPr>
              <w:jc w:val="right"/>
              <w:ind w:right="132"/>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70"/>
        </w:trPr>
        <w:tc>
          <w:tcPr>
            <w:tcW w:w="4880" w:type="dxa"/>
            <w:vAlign w:val="bottom"/>
          </w:tcPr>
          <w:p>
            <w:pPr>
              <w:ind w:left="160"/>
              <w:spacing w:after="0"/>
              <w:rPr>
                <w:sz w:val="20"/>
                <w:szCs w:val="20"/>
                <w:color w:val="auto"/>
              </w:rPr>
            </w:pPr>
            <w:r>
              <w:rPr>
                <w:rFonts w:ascii="Arial" w:cs="Arial" w:eastAsia="Arial" w:hAnsi="Arial"/>
                <w:sz w:val="18"/>
                <w:szCs w:val="18"/>
                <w:color w:val="auto"/>
              </w:rPr>
              <w:t>Gain on sale of assets</w:t>
            </w:r>
          </w:p>
        </w:tc>
        <w:tc>
          <w:tcPr>
            <w:tcW w:w="20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(1 )</w:t>
            </w:r>
          </w:p>
        </w:tc>
        <w:tc>
          <w:tcPr>
            <w:tcW w:w="3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(1 )</w:t>
            </w:r>
          </w:p>
        </w:tc>
        <w:tc>
          <w:tcPr>
            <w:tcW w:w="3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40" w:type="dxa"/>
            <w:vAlign w:val="bottom"/>
          </w:tcPr>
          <w:p>
            <w:pPr>
              <w:jc w:val="right"/>
              <w:ind w:right="52"/>
              <w:spacing w:after="0"/>
              <w:rPr>
                <w:sz w:val="20"/>
                <w:szCs w:val="20"/>
                <w:color w:val="auto"/>
              </w:rPr>
            </w:pPr>
            <w:r>
              <w:rPr>
                <w:rFonts w:ascii="Arial" w:cs="Arial" w:eastAsia="Arial" w:hAnsi="Arial"/>
                <w:sz w:val="18"/>
                <w:szCs w:val="18"/>
                <w:color w:val="auto"/>
              </w:rPr>
              <w:t>(9 )</w:t>
            </w:r>
          </w:p>
        </w:tc>
        <w:tc>
          <w:tcPr>
            <w:tcW w:w="0" w:type="dxa"/>
            <w:vAlign w:val="bottom"/>
          </w:tcPr>
          <w:p>
            <w:pPr>
              <w:spacing w:after="0"/>
              <w:rPr>
                <w:sz w:val="1"/>
                <w:szCs w:val="1"/>
                <w:color w:val="auto"/>
              </w:rPr>
            </w:pPr>
          </w:p>
        </w:tc>
      </w:tr>
      <w:tr>
        <w:trPr>
          <w:trHeight w:val="278"/>
        </w:trPr>
        <w:tc>
          <w:tcPr>
            <w:tcW w:w="4880" w:type="dxa"/>
            <w:vAlign w:val="bottom"/>
          </w:tcPr>
          <w:p>
            <w:pPr>
              <w:ind w:left="160"/>
              <w:spacing w:after="0"/>
              <w:rPr>
                <w:sz w:val="20"/>
                <w:szCs w:val="20"/>
                <w:color w:val="auto"/>
              </w:rPr>
            </w:pPr>
            <w:r>
              <w:rPr>
                <w:rFonts w:ascii="Arial" w:cs="Arial" w:eastAsia="Arial" w:hAnsi="Arial"/>
                <w:sz w:val="18"/>
                <w:szCs w:val="18"/>
                <w:color w:val="auto"/>
              </w:rPr>
              <w:t>Impairment losses (adjustments)</w:t>
            </w:r>
          </w:p>
        </w:tc>
        <w:tc>
          <w:tcPr>
            <w:tcW w:w="200" w:type="dxa"/>
            <w:vAlign w:val="bottom"/>
          </w:tcPr>
          <w:p>
            <w:pPr>
              <w:spacing w:after="0"/>
              <w:rPr>
                <w:sz w:val="24"/>
                <w:szCs w:val="24"/>
                <w:color w:val="auto"/>
              </w:rPr>
            </w:pPr>
          </w:p>
        </w:tc>
        <w:tc>
          <w:tcPr>
            <w:tcW w:w="580" w:type="dxa"/>
            <w:vAlign w:val="bottom"/>
          </w:tcPr>
          <w:p>
            <w:pPr>
              <w:jc w:val="right"/>
              <w:ind w:right="12"/>
              <w:spacing w:after="0"/>
              <w:rPr>
                <w:sz w:val="20"/>
                <w:szCs w:val="20"/>
                <w:color w:val="auto"/>
              </w:rPr>
            </w:pPr>
            <w:r>
              <w:rPr>
                <w:rFonts w:ascii="Arial" w:cs="Arial" w:eastAsia="Arial" w:hAnsi="Arial"/>
                <w:sz w:val="18"/>
                <w:szCs w:val="18"/>
                <w:color w:val="auto"/>
              </w:rPr>
              <w:t>2</w:t>
            </w: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(6 )</w:t>
            </w: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40" w:type="dxa"/>
            <w:vAlign w:val="bottom"/>
          </w:tcPr>
          <w:p>
            <w:pPr>
              <w:jc w:val="right"/>
              <w:ind w:right="132"/>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51"/>
        </w:trPr>
        <w:tc>
          <w:tcPr>
            <w:tcW w:w="4880" w:type="dxa"/>
            <w:vAlign w:val="bottom"/>
          </w:tcPr>
          <w:p>
            <w:pPr>
              <w:spacing w:after="0"/>
              <w:rPr>
                <w:sz w:val="21"/>
                <w:szCs w:val="21"/>
                <w:color w:val="auto"/>
              </w:rPr>
            </w:pPr>
          </w:p>
        </w:tc>
        <w:tc>
          <w:tcPr>
            <w:tcW w:w="200" w:type="dxa"/>
            <w:vAlign w:val="bottom"/>
            <w:shd w:val="clear" w:color="auto" w:fill="000000"/>
          </w:tcPr>
          <w:p>
            <w:pPr>
              <w:spacing w:after="0"/>
              <w:rPr>
                <w:sz w:val="21"/>
                <w:szCs w:val="21"/>
                <w:color w:val="auto"/>
              </w:rPr>
            </w:pPr>
          </w:p>
        </w:tc>
        <w:tc>
          <w:tcPr>
            <w:tcW w:w="580" w:type="dxa"/>
            <w:vAlign w:val="bottom"/>
            <w:shd w:val="clear" w:color="auto" w:fill="000000"/>
          </w:tcPr>
          <w:p>
            <w:pPr>
              <w:spacing w:after="0"/>
              <w:rPr>
                <w:sz w:val="21"/>
                <w:szCs w:val="21"/>
                <w:color w:val="auto"/>
              </w:rPr>
            </w:pPr>
          </w:p>
        </w:tc>
        <w:tc>
          <w:tcPr>
            <w:tcW w:w="340" w:type="dxa"/>
            <w:vAlign w:val="bottom"/>
          </w:tcPr>
          <w:p>
            <w:pPr>
              <w:spacing w:after="0"/>
              <w:rPr>
                <w:sz w:val="21"/>
                <w:szCs w:val="21"/>
                <w:color w:val="auto"/>
              </w:rPr>
            </w:pPr>
          </w:p>
        </w:tc>
        <w:tc>
          <w:tcPr>
            <w:tcW w:w="260" w:type="dxa"/>
            <w:vAlign w:val="bottom"/>
            <w:shd w:val="clear" w:color="auto" w:fill="000000"/>
          </w:tcPr>
          <w:p>
            <w:pPr>
              <w:spacing w:after="0"/>
              <w:rPr>
                <w:sz w:val="21"/>
                <w:szCs w:val="21"/>
                <w:color w:val="auto"/>
              </w:rPr>
            </w:pPr>
          </w:p>
        </w:tc>
        <w:tc>
          <w:tcPr>
            <w:tcW w:w="640" w:type="dxa"/>
            <w:vAlign w:val="bottom"/>
            <w:shd w:val="clear" w:color="auto" w:fill="000000"/>
          </w:tcPr>
          <w:p>
            <w:pPr>
              <w:spacing w:after="0"/>
              <w:rPr>
                <w:sz w:val="21"/>
                <w:szCs w:val="21"/>
                <w:color w:val="auto"/>
              </w:rPr>
            </w:pPr>
          </w:p>
        </w:tc>
        <w:tc>
          <w:tcPr>
            <w:tcW w:w="320" w:type="dxa"/>
            <w:vAlign w:val="bottom"/>
          </w:tcPr>
          <w:p>
            <w:pPr>
              <w:spacing w:after="0"/>
              <w:rPr>
                <w:sz w:val="21"/>
                <w:szCs w:val="21"/>
                <w:color w:val="auto"/>
              </w:rPr>
            </w:pPr>
          </w:p>
        </w:tc>
        <w:tc>
          <w:tcPr>
            <w:tcW w:w="240" w:type="dxa"/>
            <w:vAlign w:val="bottom"/>
            <w:shd w:val="clear" w:color="auto" w:fill="000000"/>
          </w:tcPr>
          <w:p>
            <w:pPr>
              <w:spacing w:after="0"/>
              <w:rPr>
                <w:sz w:val="21"/>
                <w:szCs w:val="21"/>
                <w:color w:val="auto"/>
              </w:rPr>
            </w:pPr>
          </w:p>
        </w:tc>
        <w:tc>
          <w:tcPr>
            <w:tcW w:w="740" w:type="dxa"/>
            <w:vAlign w:val="bottom"/>
            <w:shd w:val="clear" w:color="auto" w:fill="000000"/>
          </w:tcPr>
          <w:p>
            <w:pPr>
              <w:spacing w:after="0"/>
              <w:rPr>
                <w:sz w:val="21"/>
                <w:szCs w:val="21"/>
                <w:color w:val="auto"/>
              </w:rPr>
            </w:pPr>
          </w:p>
        </w:tc>
        <w:tc>
          <w:tcPr>
            <w:tcW w:w="0" w:type="dxa"/>
            <w:vAlign w:val="bottom"/>
          </w:tcPr>
          <w:p>
            <w:pPr>
              <w:spacing w:after="0"/>
              <w:rPr>
                <w:sz w:val="1"/>
                <w:szCs w:val="1"/>
                <w:color w:val="auto"/>
              </w:rPr>
            </w:pPr>
          </w:p>
        </w:tc>
      </w:tr>
      <w:tr>
        <w:trPr>
          <w:trHeight w:val="262"/>
        </w:trPr>
        <w:tc>
          <w:tcPr>
            <w:tcW w:w="4880" w:type="dxa"/>
            <w:vAlign w:val="bottom"/>
          </w:tcPr>
          <w:p>
            <w:pPr>
              <w:ind w:left="560"/>
              <w:spacing w:after="0"/>
              <w:rPr>
                <w:sz w:val="20"/>
                <w:szCs w:val="20"/>
                <w:color w:val="auto"/>
              </w:rPr>
            </w:pPr>
            <w:r>
              <w:rPr>
                <w:rFonts w:ascii="Arial" w:cs="Arial" w:eastAsia="Arial" w:hAnsi="Arial"/>
                <w:sz w:val="18"/>
                <w:szCs w:val="18"/>
                <w:color w:val="auto"/>
              </w:rPr>
              <w:t>Total operating expenses</w:t>
            </w:r>
          </w:p>
        </w:tc>
        <w:tc>
          <w:tcPr>
            <w:tcW w:w="200" w:type="dxa"/>
            <w:vAlign w:val="bottom"/>
          </w:tcPr>
          <w:p>
            <w:pPr>
              <w:spacing w:after="0"/>
              <w:rPr>
                <w:sz w:val="22"/>
                <w:szCs w:val="22"/>
                <w:color w:val="auto"/>
              </w:rPr>
            </w:pPr>
          </w:p>
        </w:tc>
        <w:tc>
          <w:tcPr>
            <w:tcW w:w="580" w:type="dxa"/>
            <w:vAlign w:val="bottom"/>
          </w:tcPr>
          <w:p>
            <w:pPr>
              <w:jc w:val="right"/>
              <w:ind w:right="12"/>
              <w:spacing w:after="0"/>
              <w:rPr>
                <w:sz w:val="20"/>
                <w:szCs w:val="20"/>
                <w:color w:val="auto"/>
              </w:rPr>
            </w:pPr>
            <w:r>
              <w:rPr>
                <w:rFonts w:ascii="Arial" w:cs="Arial" w:eastAsia="Arial" w:hAnsi="Arial"/>
                <w:sz w:val="18"/>
                <w:szCs w:val="18"/>
                <w:color w:val="auto"/>
              </w:rPr>
              <w:t>2,229</w:t>
            </w:r>
          </w:p>
        </w:tc>
        <w:tc>
          <w:tcPr>
            <w:tcW w:w="3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40" w:type="dxa"/>
            <w:vAlign w:val="bottom"/>
          </w:tcPr>
          <w:p>
            <w:pPr>
              <w:jc w:val="right"/>
              <w:ind w:right="32"/>
              <w:spacing w:after="0"/>
              <w:rPr>
                <w:sz w:val="20"/>
                <w:szCs w:val="20"/>
                <w:color w:val="auto"/>
              </w:rPr>
            </w:pPr>
            <w:r>
              <w:rPr>
                <w:rFonts w:ascii="Arial" w:cs="Arial" w:eastAsia="Arial" w:hAnsi="Arial"/>
                <w:sz w:val="18"/>
                <w:szCs w:val="18"/>
                <w:color w:val="auto"/>
              </w:rPr>
              <w:t>2,018</w:t>
            </w:r>
          </w:p>
        </w:tc>
        <w:tc>
          <w:tcPr>
            <w:tcW w:w="3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40" w:type="dxa"/>
            <w:vAlign w:val="bottom"/>
          </w:tcPr>
          <w:p>
            <w:pPr>
              <w:jc w:val="right"/>
              <w:ind w:right="132"/>
              <w:spacing w:after="0"/>
              <w:rPr>
                <w:sz w:val="20"/>
                <w:szCs w:val="20"/>
                <w:color w:val="auto"/>
              </w:rPr>
            </w:pPr>
            <w:r>
              <w:rPr>
                <w:rFonts w:ascii="Arial" w:cs="Arial" w:eastAsia="Arial" w:hAnsi="Arial"/>
                <w:sz w:val="18"/>
                <w:szCs w:val="18"/>
                <w:color w:val="auto"/>
              </w:rPr>
              <w:t>1,920</w:t>
            </w:r>
          </w:p>
        </w:tc>
        <w:tc>
          <w:tcPr>
            <w:tcW w:w="0" w:type="dxa"/>
            <w:vAlign w:val="bottom"/>
          </w:tcPr>
          <w:p>
            <w:pPr>
              <w:spacing w:after="0"/>
              <w:rPr>
                <w:sz w:val="1"/>
                <w:szCs w:val="1"/>
                <w:color w:val="auto"/>
              </w:rPr>
            </w:pPr>
          </w:p>
        </w:tc>
      </w:tr>
      <w:tr>
        <w:trPr>
          <w:trHeight w:val="251"/>
        </w:trPr>
        <w:tc>
          <w:tcPr>
            <w:tcW w:w="4880" w:type="dxa"/>
            <w:vAlign w:val="bottom"/>
          </w:tcPr>
          <w:p>
            <w:pPr>
              <w:spacing w:after="0"/>
              <w:rPr>
                <w:sz w:val="21"/>
                <w:szCs w:val="21"/>
                <w:color w:val="auto"/>
              </w:rPr>
            </w:pPr>
          </w:p>
        </w:tc>
        <w:tc>
          <w:tcPr>
            <w:tcW w:w="200" w:type="dxa"/>
            <w:vAlign w:val="bottom"/>
            <w:shd w:val="clear" w:color="auto" w:fill="000000"/>
          </w:tcPr>
          <w:p>
            <w:pPr>
              <w:spacing w:after="0"/>
              <w:rPr>
                <w:sz w:val="21"/>
                <w:szCs w:val="21"/>
                <w:color w:val="auto"/>
              </w:rPr>
            </w:pPr>
          </w:p>
        </w:tc>
        <w:tc>
          <w:tcPr>
            <w:tcW w:w="580" w:type="dxa"/>
            <w:vAlign w:val="bottom"/>
            <w:shd w:val="clear" w:color="auto" w:fill="000000"/>
          </w:tcPr>
          <w:p>
            <w:pPr>
              <w:spacing w:after="0"/>
              <w:rPr>
                <w:sz w:val="21"/>
                <w:szCs w:val="21"/>
                <w:color w:val="auto"/>
              </w:rPr>
            </w:pPr>
          </w:p>
        </w:tc>
        <w:tc>
          <w:tcPr>
            <w:tcW w:w="340" w:type="dxa"/>
            <w:vAlign w:val="bottom"/>
          </w:tcPr>
          <w:p>
            <w:pPr>
              <w:spacing w:after="0"/>
              <w:rPr>
                <w:sz w:val="21"/>
                <w:szCs w:val="21"/>
                <w:color w:val="auto"/>
              </w:rPr>
            </w:pPr>
          </w:p>
        </w:tc>
        <w:tc>
          <w:tcPr>
            <w:tcW w:w="260" w:type="dxa"/>
            <w:vAlign w:val="bottom"/>
            <w:shd w:val="clear" w:color="auto" w:fill="000000"/>
          </w:tcPr>
          <w:p>
            <w:pPr>
              <w:spacing w:after="0"/>
              <w:rPr>
                <w:sz w:val="21"/>
                <w:szCs w:val="21"/>
                <w:color w:val="auto"/>
              </w:rPr>
            </w:pPr>
          </w:p>
        </w:tc>
        <w:tc>
          <w:tcPr>
            <w:tcW w:w="640" w:type="dxa"/>
            <w:vAlign w:val="bottom"/>
            <w:shd w:val="clear" w:color="auto" w:fill="000000"/>
          </w:tcPr>
          <w:p>
            <w:pPr>
              <w:spacing w:after="0"/>
              <w:rPr>
                <w:sz w:val="21"/>
                <w:szCs w:val="21"/>
                <w:color w:val="auto"/>
              </w:rPr>
            </w:pPr>
          </w:p>
        </w:tc>
        <w:tc>
          <w:tcPr>
            <w:tcW w:w="320" w:type="dxa"/>
            <w:vAlign w:val="bottom"/>
          </w:tcPr>
          <w:p>
            <w:pPr>
              <w:spacing w:after="0"/>
              <w:rPr>
                <w:sz w:val="21"/>
                <w:szCs w:val="21"/>
                <w:color w:val="auto"/>
              </w:rPr>
            </w:pPr>
          </w:p>
        </w:tc>
        <w:tc>
          <w:tcPr>
            <w:tcW w:w="240" w:type="dxa"/>
            <w:vAlign w:val="bottom"/>
            <w:shd w:val="clear" w:color="auto" w:fill="000000"/>
          </w:tcPr>
          <w:p>
            <w:pPr>
              <w:spacing w:after="0"/>
              <w:rPr>
                <w:sz w:val="21"/>
                <w:szCs w:val="21"/>
                <w:color w:val="auto"/>
              </w:rPr>
            </w:pPr>
          </w:p>
        </w:tc>
        <w:tc>
          <w:tcPr>
            <w:tcW w:w="740" w:type="dxa"/>
            <w:vAlign w:val="bottom"/>
            <w:shd w:val="clear" w:color="auto" w:fill="000000"/>
          </w:tcPr>
          <w:p>
            <w:pPr>
              <w:spacing w:after="0"/>
              <w:rPr>
                <w:sz w:val="21"/>
                <w:szCs w:val="21"/>
                <w:color w:val="auto"/>
              </w:rPr>
            </w:pPr>
          </w:p>
        </w:tc>
        <w:tc>
          <w:tcPr>
            <w:tcW w:w="0" w:type="dxa"/>
            <w:vAlign w:val="bottom"/>
          </w:tcPr>
          <w:p>
            <w:pPr>
              <w:spacing w:after="0"/>
              <w:rPr>
                <w:sz w:val="1"/>
                <w:szCs w:val="1"/>
                <w:color w:val="auto"/>
              </w:rPr>
            </w:pPr>
          </w:p>
        </w:tc>
      </w:tr>
      <w:tr>
        <w:trPr>
          <w:trHeight w:val="532"/>
        </w:trPr>
        <w:tc>
          <w:tcPr>
            <w:tcW w:w="4880" w:type="dxa"/>
            <w:vAlign w:val="bottom"/>
          </w:tcPr>
          <w:p>
            <w:pPr>
              <w:spacing w:after="0"/>
              <w:rPr>
                <w:sz w:val="20"/>
                <w:szCs w:val="20"/>
                <w:color w:val="auto"/>
              </w:rPr>
            </w:pPr>
            <w:r>
              <w:rPr>
                <w:rFonts w:ascii="Arial" w:cs="Arial" w:eastAsia="Arial" w:hAnsi="Arial"/>
                <w:sz w:val="18"/>
                <w:szCs w:val="18"/>
                <w:color w:val="auto"/>
              </w:rPr>
              <w:t>Operating income</w:t>
            </w:r>
          </w:p>
        </w:tc>
        <w:tc>
          <w:tcPr>
            <w:tcW w:w="200" w:type="dxa"/>
            <w:vAlign w:val="bottom"/>
          </w:tcPr>
          <w:p>
            <w:pPr>
              <w:spacing w:after="0"/>
              <w:rPr>
                <w:sz w:val="24"/>
                <w:szCs w:val="24"/>
                <w:color w:val="auto"/>
              </w:rPr>
            </w:pPr>
          </w:p>
        </w:tc>
        <w:tc>
          <w:tcPr>
            <w:tcW w:w="580" w:type="dxa"/>
            <w:vAlign w:val="bottom"/>
          </w:tcPr>
          <w:p>
            <w:pPr>
              <w:jc w:val="right"/>
              <w:ind w:right="12"/>
              <w:spacing w:after="0"/>
              <w:rPr>
                <w:sz w:val="20"/>
                <w:szCs w:val="20"/>
                <w:color w:val="auto"/>
              </w:rPr>
            </w:pPr>
            <w:r>
              <w:rPr>
                <w:rFonts w:ascii="Arial" w:cs="Arial" w:eastAsia="Arial" w:hAnsi="Arial"/>
                <w:sz w:val="18"/>
                <w:szCs w:val="18"/>
                <w:color w:val="auto"/>
              </w:rPr>
              <w:t>283</w:t>
            </w: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Pr>
          <w:p>
            <w:pPr>
              <w:jc w:val="right"/>
              <w:ind w:right="32"/>
              <w:spacing w:after="0"/>
              <w:rPr>
                <w:sz w:val="20"/>
                <w:szCs w:val="20"/>
                <w:color w:val="auto"/>
              </w:rPr>
            </w:pPr>
            <w:r>
              <w:rPr>
                <w:rFonts w:ascii="Arial" w:cs="Arial" w:eastAsia="Arial" w:hAnsi="Arial"/>
                <w:sz w:val="18"/>
                <w:szCs w:val="18"/>
                <w:color w:val="auto"/>
              </w:rPr>
              <w:t>256</w:t>
            </w: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40" w:type="dxa"/>
            <w:vAlign w:val="bottom"/>
          </w:tcPr>
          <w:p>
            <w:pPr>
              <w:jc w:val="right"/>
              <w:ind w:right="132"/>
              <w:spacing w:after="0"/>
              <w:rPr>
                <w:sz w:val="20"/>
                <w:szCs w:val="20"/>
                <w:color w:val="auto"/>
              </w:rPr>
            </w:pPr>
            <w:r>
              <w:rPr>
                <w:rFonts w:ascii="Arial" w:cs="Arial" w:eastAsia="Arial" w:hAnsi="Arial"/>
                <w:sz w:val="18"/>
                <w:szCs w:val="18"/>
                <w:color w:val="auto"/>
              </w:rPr>
              <w:t>388</w:t>
            </w:r>
          </w:p>
        </w:tc>
        <w:tc>
          <w:tcPr>
            <w:tcW w:w="0" w:type="dxa"/>
            <w:vAlign w:val="bottom"/>
          </w:tcPr>
          <w:p>
            <w:pPr>
              <w:spacing w:after="0"/>
              <w:rPr>
                <w:sz w:val="1"/>
                <w:szCs w:val="1"/>
                <w:color w:val="auto"/>
              </w:rPr>
            </w:pPr>
          </w:p>
        </w:tc>
      </w:tr>
      <w:tr>
        <w:trPr>
          <w:trHeight w:val="251"/>
        </w:trPr>
        <w:tc>
          <w:tcPr>
            <w:tcW w:w="4880" w:type="dxa"/>
            <w:vAlign w:val="bottom"/>
          </w:tcPr>
          <w:p>
            <w:pPr>
              <w:spacing w:after="0"/>
              <w:rPr>
                <w:sz w:val="21"/>
                <w:szCs w:val="21"/>
                <w:color w:val="auto"/>
              </w:rPr>
            </w:pPr>
          </w:p>
        </w:tc>
        <w:tc>
          <w:tcPr>
            <w:tcW w:w="200" w:type="dxa"/>
            <w:vAlign w:val="bottom"/>
            <w:shd w:val="clear" w:color="auto" w:fill="000000"/>
          </w:tcPr>
          <w:p>
            <w:pPr>
              <w:spacing w:after="0"/>
              <w:rPr>
                <w:sz w:val="21"/>
                <w:szCs w:val="21"/>
                <w:color w:val="auto"/>
              </w:rPr>
            </w:pPr>
          </w:p>
        </w:tc>
        <w:tc>
          <w:tcPr>
            <w:tcW w:w="580" w:type="dxa"/>
            <w:vAlign w:val="bottom"/>
            <w:shd w:val="clear" w:color="auto" w:fill="000000"/>
          </w:tcPr>
          <w:p>
            <w:pPr>
              <w:spacing w:after="0"/>
              <w:rPr>
                <w:sz w:val="21"/>
                <w:szCs w:val="21"/>
                <w:color w:val="auto"/>
              </w:rPr>
            </w:pPr>
          </w:p>
        </w:tc>
        <w:tc>
          <w:tcPr>
            <w:tcW w:w="340" w:type="dxa"/>
            <w:vAlign w:val="bottom"/>
          </w:tcPr>
          <w:p>
            <w:pPr>
              <w:spacing w:after="0"/>
              <w:rPr>
                <w:sz w:val="21"/>
                <w:szCs w:val="21"/>
                <w:color w:val="auto"/>
              </w:rPr>
            </w:pPr>
          </w:p>
        </w:tc>
        <w:tc>
          <w:tcPr>
            <w:tcW w:w="260" w:type="dxa"/>
            <w:vAlign w:val="bottom"/>
            <w:shd w:val="clear" w:color="auto" w:fill="000000"/>
          </w:tcPr>
          <w:p>
            <w:pPr>
              <w:spacing w:after="0"/>
              <w:rPr>
                <w:sz w:val="21"/>
                <w:szCs w:val="21"/>
                <w:color w:val="auto"/>
              </w:rPr>
            </w:pPr>
          </w:p>
        </w:tc>
        <w:tc>
          <w:tcPr>
            <w:tcW w:w="640" w:type="dxa"/>
            <w:vAlign w:val="bottom"/>
            <w:shd w:val="clear" w:color="auto" w:fill="000000"/>
          </w:tcPr>
          <w:p>
            <w:pPr>
              <w:spacing w:after="0"/>
              <w:rPr>
                <w:sz w:val="21"/>
                <w:szCs w:val="21"/>
                <w:color w:val="auto"/>
              </w:rPr>
            </w:pPr>
          </w:p>
        </w:tc>
        <w:tc>
          <w:tcPr>
            <w:tcW w:w="320" w:type="dxa"/>
            <w:vAlign w:val="bottom"/>
          </w:tcPr>
          <w:p>
            <w:pPr>
              <w:spacing w:after="0"/>
              <w:rPr>
                <w:sz w:val="21"/>
                <w:szCs w:val="21"/>
                <w:color w:val="auto"/>
              </w:rPr>
            </w:pPr>
          </w:p>
        </w:tc>
        <w:tc>
          <w:tcPr>
            <w:tcW w:w="240" w:type="dxa"/>
            <w:vAlign w:val="bottom"/>
            <w:shd w:val="clear" w:color="auto" w:fill="000000"/>
          </w:tcPr>
          <w:p>
            <w:pPr>
              <w:spacing w:after="0"/>
              <w:rPr>
                <w:sz w:val="21"/>
                <w:szCs w:val="21"/>
                <w:color w:val="auto"/>
              </w:rPr>
            </w:pPr>
          </w:p>
        </w:tc>
        <w:tc>
          <w:tcPr>
            <w:tcW w:w="740" w:type="dxa"/>
            <w:vAlign w:val="bottom"/>
            <w:shd w:val="clear" w:color="auto" w:fill="000000"/>
          </w:tcPr>
          <w:p>
            <w:pPr>
              <w:spacing w:after="0"/>
              <w:rPr>
                <w:sz w:val="21"/>
                <w:szCs w:val="21"/>
                <w:color w:val="auto"/>
              </w:rPr>
            </w:pPr>
          </w:p>
        </w:tc>
        <w:tc>
          <w:tcPr>
            <w:tcW w:w="0" w:type="dxa"/>
            <w:vAlign w:val="bottom"/>
          </w:tcPr>
          <w:p>
            <w:pPr>
              <w:spacing w:after="0"/>
              <w:rPr>
                <w:sz w:val="1"/>
                <w:szCs w:val="1"/>
                <w:color w:val="auto"/>
              </w:rPr>
            </w:pPr>
          </w:p>
        </w:tc>
      </w:tr>
      <w:tr>
        <w:trPr>
          <w:trHeight w:val="525"/>
        </w:trPr>
        <w:tc>
          <w:tcPr>
            <w:tcW w:w="4880" w:type="dxa"/>
            <w:vAlign w:val="bottom"/>
          </w:tcPr>
          <w:p>
            <w:pPr>
              <w:spacing w:after="0"/>
              <w:rPr>
                <w:sz w:val="20"/>
                <w:szCs w:val="20"/>
                <w:color w:val="auto"/>
              </w:rPr>
            </w:pPr>
            <w:r>
              <w:rPr>
                <w:rFonts w:ascii="Arial" w:cs="Arial" w:eastAsia="Arial" w:hAnsi="Arial"/>
                <w:sz w:val="18"/>
                <w:szCs w:val="18"/>
                <w:color w:val="auto"/>
              </w:rPr>
              <w:t>Other income, net (Note 1)</w:t>
            </w:r>
          </w:p>
        </w:tc>
        <w:tc>
          <w:tcPr>
            <w:tcW w:w="200" w:type="dxa"/>
            <w:vAlign w:val="bottom"/>
          </w:tcPr>
          <w:p>
            <w:pPr>
              <w:spacing w:after="0"/>
              <w:rPr>
                <w:sz w:val="24"/>
                <w:szCs w:val="24"/>
                <w:color w:val="auto"/>
              </w:rPr>
            </w:pPr>
          </w:p>
        </w:tc>
        <w:tc>
          <w:tcPr>
            <w:tcW w:w="580" w:type="dxa"/>
            <w:vAlign w:val="bottom"/>
          </w:tcPr>
          <w:p>
            <w:pPr>
              <w:jc w:val="right"/>
              <w:ind w:right="12"/>
              <w:spacing w:after="0"/>
              <w:rPr>
                <w:sz w:val="20"/>
                <w:szCs w:val="20"/>
                <w:color w:val="auto"/>
              </w:rPr>
            </w:pPr>
            <w:r>
              <w:rPr>
                <w:rFonts w:ascii="Arial" w:cs="Arial" w:eastAsia="Arial" w:hAnsi="Arial"/>
                <w:sz w:val="18"/>
                <w:szCs w:val="18"/>
                <w:color w:val="auto"/>
              </w:rPr>
              <w:t>58</w:t>
            </w: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Pr>
          <w:p>
            <w:pPr>
              <w:jc w:val="right"/>
              <w:ind w:right="32"/>
              <w:spacing w:after="0"/>
              <w:rPr>
                <w:sz w:val="20"/>
                <w:szCs w:val="20"/>
                <w:color w:val="auto"/>
              </w:rPr>
            </w:pPr>
            <w:r>
              <w:rPr>
                <w:rFonts w:ascii="Arial" w:cs="Arial" w:eastAsia="Arial" w:hAnsi="Arial"/>
                <w:sz w:val="18"/>
                <w:szCs w:val="18"/>
                <w:color w:val="auto"/>
              </w:rPr>
              <w:t>25</w:t>
            </w: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40" w:type="dxa"/>
            <w:vAlign w:val="bottom"/>
          </w:tcPr>
          <w:p>
            <w:pPr>
              <w:jc w:val="right"/>
              <w:ind w:right="132"/>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59"/>
        </w:trPr>
        <w:tc>
          <w:tcPr>
            <w:tcW w:w="4880" w:type="dxa"/>
            <w:vAlign w:val="bottom"/>
            <w:vMerge w:val="restart"/>
          </w:tcPr>
          <w:p>
            <w:pPr>
              <w:spacing w:after="0"/>
              <w:rPr>
                <w:sz w:val="20"/>
                <w:szCs w:val="20"/>
                <w:color w:val="auto"/>
              </w:rPr>
            </w:pPr>
            <w:r>
              <w:rPr>
                <w:rFonts w:ascii="Arial" w:cs="Arial" w:eastAsia="Arial" w:hAnsi="Arial"/>
                <w:sz w:val="18"/>
                <w:szCs w:val="18"/>
                <w:color w:val="auto"/>
              </w:rPr>
              <w:t>Interest charges</w:t>
            </w:r>
          </w:p>
        </w:tc>
        <w:tc>
          <w:tcPr>
            <w:tcW w:w="200" w:type="dxa"/>
            <w:vAlign w:val="bottom"/>
            <w:shd w:val="clear" w:color="auto" w:fill="000000"/>
          </w:tcPr>
          <w:p>
            <w:pPr>
              <w:spacing w:after="0"/>
              <w:rPr>
                <w:sz w:val="22"/>
                <w:szCs w:val="22"/>
                <w:color w:val="auto"/>
              </w:rPr>
            </w:pPr>
          </w:p>
        </w:tc>
        <w:tc>
          <w:tcPr>
            <w:tcW w:w="580" w:type="dxa"/>
            <w:vAlign w:val="bottom"/>
            <w:shd w:val="clear" w:color="auto" w:fill="000000"/>
          </w:tcPr>
          <w:p>
            <w:pPr>
              <w:spacing w:after="0"/>
              <w:rPr>
                <w:sz w:val="22"/>
                <w:szCs w:val="22"/>
                <w:color w:val="auto"/>
              </w:rPr>
            </w:pPr>
          </w:p>
        </w:tc>
        <w:tc>
          <w:tcPr>
            <w:tcW w:w="340" w:type="dxa"/>
            <w:vAlign w:val="bottom"/>
          </w:tcPr>
          <w:p>
            <w:pPr>
              <w:spacing w:after="0"/>
              <w:rPr>
                <w:sz w:val="22"/>
                <w:szCs w:val="22"/>
                <w:color w:val="auto"/>
              </w:rPr>
            </w:pPr>
          </w:p>
        </w:tc>
        <w:tc>
          <w:tcPr>
            <w:tcW w:w="260" w:type="dxa"/>
            <w:vAlign w:val="bottom"/>
            <w:shd w:val="clear" w:color="auto" w:fill="000000"/>
          </w:tcPr>
          <w:p>
            <w:pPr>
              <w:spacing w:after="0"/>
              <w:rPr>
                <w:sz w:val="22"/>
                <w:szCs w:val="22"/>
                <w:color w:val="auto"/>
              </w:rPr>
            </w:pPr>
          </w:p>
        </w:tc>
        <w:tc>
          <w:tcPr>
            <w:tcW w:w="640" w:type="dxa"/>
            <w:vAlign w:val="bottom"/>
            <w:shd w:val="clear" w:color="auto" w:fill="000000"/>
          </w:tcPr>
          <w:p>
            <w:pPr>
              <w:spacing w:after="0"/>
              <w:rPr>
                <w:sz w:val="22"/>
                <w:szCs w:val="22"/>
                <w:color w:val="auto"/>
              </w:rPr>
            </w:pPr>
          </w:p>
        </w:tc>
        <w:tc>
          <w:tcPr>
            <w:tcW w:w="320" w:type="dxa"/>
            <w:vAlign w:val="bottom"/>
          </w:tcPr>
          <w:p>
            <w:pPr>
              <w:spacing w:after="0"/>
              <w:rPr>
                <w:sz w:val="22"/>
                <w:szCs w:val="22"/>
                <w:color w:val="auto"/>
              </w:rPr>
            </w:pPr>
          </w:p>
        </w:tc>
        <w:tc>
          <w:tcPr>
            <w:tcW w:w="240" w:type="dxa"/>
            <w:vAlign w:val="bottom"/>
            <w:shd w:val="clear" w:color="auto" w:fill="000000"/>
          </w:tcPr>
          <w:p>
            <w:pPr>
              <w:spacing w:after="0"/>
              <w:rPr>
                <w:sz w:val="22"/>
                <w:szCs w:val="22"/>
                <w:color w:val="auto"/>
              </w:rPr>
            </w:pPr>
          </w:p>
        </w:tc>
        <w:tc>
          <w:tcPr>
            <w:tcW w:w="740" w:type="dxa"/>
            <w:vAlign w:val="bottom"/>
            <w:shd w:val="clear" w:color="auto" w:fill="000000"/>
          </w:tcPr>
          <w:p>
            <w:pPr>
              <w:spacing w:after="0"/>
              <w:rPr>
                <w:sz w:val="22"/>
                <w:szCs w:val="22"/>
                <w:color w:val="auto"/>
              </w:rPr>
            </w:pPr>
          </w:p>
        </w:tc>
        <w:tc>
          <w:tcPr>
            <w:tcW w:w="0" w:type="dxa"/>
            <w:vAlign w:val="bottom"/>
          </w:tcPr>
          <w:p>
            <w:pPr>
              <w:spacing w:after="0"/>
              <w:rPr>
                <w:sz w:val="1"/>
                <w:szCs w:val="1"/>
                <w:color w:val="auto"/>
              </w:rPr>
            </w:pPr>
          </w:p>
        </w:tc>
      </w:tr>
      <w:tr>
        <w:trPr>
          <w:trHeight w:val="525"/>
        </w:trPr>
        <w:tc>
          <w:tcPr>
            <w:tcW w:w="488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4880" w:type="dxa"/>
            <w:vAlign w:val="bottom"/>
          </w:tcPr>
          <w:p>
            <w:pPr>
              <w:ind w:left="240"/>
              <w:spacing w:after="0"/>
              <w:rPr>
                <w:sz w:val="20"/>
                <w:szCs w:val="20"/>
                <w:color w:val="auto"/>
              </w:rPr>
            </w:pPr>
            <w:r>
              <w:rPr>
                <w:rFonts w:ascii="Arial" w:cs="Arial" w:eastAsia="Arial" w:hAnsi="Arial"/>
                <w:sz w:val="18"/>
                <w:szCs w:val="18"/>
                <w:color w:val="auto"/>
              </w:rPr>
              <w:t>Long-term debt</w:t>
            </w:r>
          </w:p>
        </w:tc>
        <w:tc>
          <w:tcPr>
            <w:tcW w:w="200" w:type="dxa"/>
            <w:vAlign w:val="bottom"/>
          </w:tcPr>
          <w:p>
            <w:pPr>
              <w:spacing w:after="0"/>
              <w:rPr>
                <w:sz w:val="23"/>
                <w:szCs w:val="23"/>
                <w:color w:val="auto"/>
              </w:rPr>
            </w:pPr>
          </w:p>
        </w:tc>
        <w:tc>
          <w:tcPr>
            <w:tcW w:w="580" w:type="dxa"/>
            <w:vAlign w:val="bottom"/>
          </w:tcPr>
          <w:p>
            <w:pPr>
              <w:jc w:val="right"/>
              <w:ind w:right="12"/>
              <w:spacing w:after="0"/>
              <w:rPr>
                <w:sz w:val="20"/>
                <w:szCs w:val="20"/>
                <w:color w:val="auto"/>
              </w:rPr>
            </w:pPr>
            <w:r>
              <w:rPr>
                <w:rFonts w:ascii="Arial" w:cs="Arial" w:eastAsia="Arial" w:hAnsi="Arial"/>
                <w:sz w:val="18"/>
                <w:szCs w:val="18"/>
                <w:color w:val="auto"/>
              </w:rPr>
              <w:t>65</w:t>
            </w:r>
          </w:p>
        </w:tc>
        <w:tc>
          <w:tcPr>
            <w:tcW w:w="3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40" w:type="dxa"/>
            <w:vAlign w:val="bottom"/>
          </w:tcPr>
          <w:p>
            <w:pPr>
              <w:jc w:val="right"/>
              <w:ind w:right="32"/>
              <w:spacing w:after="0"/>
              <w:rPr>
                <w:sz w:val="20"/>
                <w:szCs w:val="20"/>
                <w:color w:val="auto"/>
              </w:rPr>
            </w:pPr>
            <w:r>
              <w:rPr>
                <w:rFonts w:ascii="Arial" w:cs="Arial" w:eastAsia="Arial" w:hAnsi="Arial"/>
                <w:sz w:val="18"/>
                <w:szCs w:val="18"/>
                <w:color w:val="auto"/>
              </w:rPr>
              <w:t>61</w:t>
            </w:r>
          </w:p>
        </w:tc>
        <w:tc>
          <w:tcPr>
            <w:tcW w:w="3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40" w:type="dxa"/>
            <w:vAlign w:val="bottom"/>
          </w:tcPr>
          <w:p>
            <w:pPr>
              <w:jc w:val="right"/>
              <w:ind w:right="132"/>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70"/>
        </w:trPr>
        <w:tc>
          <w:tcPr>
            <w:tcW w:w="4880" w:type="dxa"/>
            <w:vAlign w:val="bottom"/>
          </w:tcPr>
          <w:p>
            <w:pPr>
              <w:ind w:left="240"/>
              <w:spacing w:after="0"/>
              <w:rPr>
                <w:sz w:val="20"/>
                <w:szCs w:val="20"/>
                <w:color w:val="auto"/>
              </w:rPr>
            </w:pPr>
            <w:r>
              <w:rPr>
                <w:rFonts w:ascii="Arial" w:cs="Arial" w:eastAsia="Arial" w:hAnsi="Arial"/>
                <w:sz w:val="18"/>
                <w:szCs w:val="18"/>
                <w:color w:val="auto"/>
              </w:rPr>
              <w:t>Other</w:t>
            </w:r>
          </w:p>
        </w:tc>
        <w:tc>
          <w:tcPr>
            <w:tcW w:w="200" w:type="dxa"/>
            <w:vAlign w:val="bottom"/>
          </w:tcPr>
          <w:p>
            <w:pPr>
              <w:spacing w:after="0"/>
              <w:rPr>
                <w:sz w:val="23"/>
                <w:szCs w:val="23"/>
                <w:color w:val="auto"/>
              </w:rPr>
            </w:pPr>
          </w:p>
        </w:tc>
        <w:tc>
          <w:tcPr>
            <w:tcW w:w="580" w:type="dxa"/>
            <w:vAlign w:val="bottom"/>
          </w:tcPr>
          <w:p>
            <w:pPr>
              <w:jc w:val="right"/>
              <w:ind w:right="12"/>
              <w:spacing w:after="0"/>
              <w:rPr>
                <w:sz w:val="20"/>
                <w:szCs w:val="20"/>
                <w:color w:val="auto"/>
              </w:rPr>
            </w:pPr>
            <w:r>
              <w:rPr>
                <w:rFonts w:ascii="Arial" w:cs="Arial" w:eastAsia="Arial" w:hAnsi="Arial"/>
                <w:sz w:val="18"/>
                <w:szCs w:val="18"/>
                <w:color w:val="auto"/>
              </w:rPr>
              <w:t>12</w:t>
            </w:r>
          </w:p>
        </w:tc>
        <w:tc>
          <w:tcPr>
            <w:tcW w:w="3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40" w:type="dxa"/>
            <w:vAlign w:val="bottom"/>
          </w:tcPr>
          <w:p>
            <w:pPr>
              <w:jc w:val="right"/>
              <w:ind w:right="32"/>
              <w:spacing w:after="0"/>
              <w:rPr>
                <w:sz w:val="20"/>
                <w:szCs w:val="20"/>
                <w:color w:val="auto"/>
              </w:rPr>
            </w:pPr>
            <w:r>
              <w:rPr>
                <w:rFonts w:ascii="Arial" w:cs="Arial" w:eastAsia="Arial" w:hAnsi="Arial"/>
                <w:sz w:val="18"/>
                <w:szCs w:val="18"/>
                <w:color w:val="auto"/>
              </w:rPr>
              <w:t>10</w:t>
            </w:r>
          </w:p>
        </w:tc>
        <w:tc>
          <w:tcPr>
            <w:tcW w:w="3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40" w:type="dxa"/>
            <w:vAlign w:val="bottom"/>
          </w:tcPr>
          <w:p>
            <w:pPr>
              <w:jc w:val="right"/>
              <w:ind w:right="132"/>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78"/>
        </w:trPr>
        <w:tc>
          <w:tcPr>
            <w:tcW w:w="4880" w:type="dxa"/>
            <w:vAlign w:val="bottom"/>
          </w:tcPr>
          <w:p>
            <w:pPr>
              <w:ind w:left="240"/>
              <w:spacing w:after="0"/>
              <w:rPr>
                <w:sz w:val="20"/>
                <w:szCs w:val="20"/>
                <w:color w:val="auto"/>
              </w:rPr>
            </w:pPr>
            <w:r>
              <w:rPr>
                <w:rFonts w:ascii="Arial" w:cs="Arial" w:eastAsia="Arial" w:hAnsi="Arial"/>
                <w:sz w:val="18"/>
                <w:szCs w:val="18"/>
                <w:color w:val="auto"/>
              </w:rPr>
              <w:t>Allowance for borrowed funds used during construction</w:t>
            </w:r>
          </w:p>
        </w:tc>
        <w:tc>
          <w:tcPr>
            <w:tcW w:w="20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(3 )</w:t>
            </w: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(3 )</w:t>
            </w: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40" w:type="dxa"/>
            <w:vAlign w:val="bottom"/>
          </w:tcPr>
          <w:p>
            <w:pPr>
              <w:jc w:val="right"/>
              <w:ind w:right="52"/>
              <w:spacing w:after="0"/>
              <w:rPr>
                <w:sz w:val="20"/>
                <w:szCs w:val="20"/>
                <w:color w:val="auto"/>
              </w:rPr>
            </w:pPr>
            <w:r>
              <w:rPr>
                <w:rFonts w:ascii="Arial" w:cs="Arial" w:eastAsia="Arial" w:hAnsi="Arial"/>
                <w:sz w:val="18"/>
                <w:szCs w:val="18"/>
                <w:color w:val="auto"/>
              </w:rPr>
              <w:t>(5 )</w:t>
            </w:r>
          </w:p>
        </w:tc>
        <w:tc>
          <w:tcPr>
            <w:tcW w:w="0" w:type="dxa"/>
            <w:vAlign w:val="bottom"/>
          </w:tcPr>
          <w:p>
            <w:pPr>
              <w:spacing w:after="0"/>
              <w:rPr>
                <w:sz w:val="1"/>
                <w:szCs w:val="1"/>
                <w:color w:val="auto"/>
              </w:rPr>
            </w:pPr>
          </w:p>
        </w:tc>
      </w:tr>
      <w:tr>
        <w:trPr>
          <w:trHeight w:val="251"/>
        </w:trPr>
        <w:tc>
          <w:tcPr>
            <w:tcW w:w="4880" w:type="dxa"/>
            <w:vAlign w:val="bottom"/>
          </w:tcPr>
          <w:p>
            <w:pPr>
              <w:spacing w:after="0"/>
              <w:rPr>
                <w:sz w:val="21"/>
                <w:szCs w:val="21"/>
                <w:color w:val="auto"/>
              </w:rPr>
            </w:pPr>
          </w:p>
        </w:tc>
        <w:tc>
          <w:tcPr>
            <w:tcW w:w="200" w:type="dxa"/>
            <w:vAlign w:val="bottom"/>
            <w:shd w:val="clear" w:color="auto" w:fill="000000"/>
          </w:tcPr>
          <w:p>
            <w:pPr>
              <w:spacing w:after="0"/>
              <w:rPr>
                <w:sz w:val="21"/>
                <w:szCs w:val="21"/>
                <w:color w:val="auto"/>
              </w:rPr>
            </w:pPr>
          </w:p>
        </w:tc>
        <w:tc>
          <w:tcPr>
            <w:tcW w:w="580" w:type="dxa"/>
            <w:vAlign w:val="bottom"/>
            <w:shd w:val="clear" w:color="auto" w:fill="000000"/>
          </w:tcPr>
          <w:p>
            <w:pPr>
              <w:spacing w:after="0"/>
              <w:rPr>
                <w:sz w:val="21"/>
                <w:szCs w:val="21"/>
                <w:color w:val="auto"/>
              </w:rPr>
            </w:pPr>
          </w:p>
        </w:tc>
        <w:tc>
          <w:tcPr>
            <w:tcW w:w="340" w:type="dxa"/>
            <w:vAlign w:val="bottom"/>
          </w:tcPr>
          <w:p>
            <w:pPr>
              <w:spacing w:after="0"/>
              <w:rPr>
                <w:sz w:val="21"/>
                <w:szCs w:val="21"/>
                <w:color w:val="auto"/>
              </w:rPr>
            </w:pPr>
          </w:p>
        </w:tc>
        <w:tc>
          <w:tcPr>
            <w:tcW w:w="260" w:type="dxa"/>
            <w:vAlign w:val="bottom"/>
            <w:shd w:val="clear" w:color="auto" w:fill="000000"/>
          </w:tcPr>
          <w:p>
            <w:pPr>
              <w:spacing w:after="0"/>
              <w:rPr>
                <w:sz w:val="21"/>
                <w:szCs w:val="21"/>
                <w:color w:val="auto"/>
              </w:rPr>
            </w:pPr>
          </w:p>
        </w:tc>
        <w:tc>
          <w:tcPr>
            <w:tcW w:w="640" w:type="dxa"/>
            <w:vAlign w:val="bottom"/>
            <w:shd w:val="clear" w:color="auto" w:fill="000000"/>
          </w:tcPr>
          <w:p>
            <w:pPr>
              <w:spacing w:after="0"/>
              <w:rPr>
                <w:sz w:val="21"/>
                <w:szCs w:val="21"/>
                <w:color w:val="auto"/>
              </w:rPr>
            </w:pPr>
          </w:p>
        </w:tc>
        <w:tc>
          <w:tcPr>
            <w:tcW w:w="320" w:type="dxa"/>
            <w:vAlign w:val="bottom"/>
          </w:tcPr>
          <w:p>
            <w:pPr>
              <w:spacing w:after="0"/>
              <w:rPr>
                <w:sz w:val="21"/>
                <w:szCs w:val="21"/>
                <w:color w:val="auto"/>
              </w:rPr>
            </w:pPr>
          </w:p>
        </w:tc>
        <w:tc>
          <w:tcPr>
            <w:tcW w:w="240" w:type="dxa"/>
            <w:vAlign w:val="bottom"/>
            <w:shd w:val="clear" w:color="auto" w:fill="000000"/>
          </w:tcPr>
          <w:p>
            <w:pPr>
              <w:spacing w:after="0"/>
              <w:rPr>
                <w:sz w:val="21"/>
                <w:szCs w:val="21"/>
                <w:color w:val="auto"/>
              </w:rPr>
            </w:pPr>
          </w:p>
        </w:tc>
        <w:tc>
          <w:tcPr>
            <w:tcW w:w="740" w:type="dxa"/>
            <w:vAlign w:val="bottom"/>
            <w:shd w:val="clear" w:color="auto" w:fill="000000"/>
          </w:tcPr>
          <w:p>
            <w:pPr>
              <w:spacing w:after="0"/>
              <w:rPr>
                <w:sz w:val="21"/>
                <w:szCs w:val="21"/>
                <w:color w:val="auto"/>
              </w:rPr>
            </w:pPr>
          </w:p>
        </w:tc>
        <w:tc>
          <w:tcPr>
            <w:tcW w:w="0" w:type="dxa"/>
            <w:vAlign w:val="bottom"/>
          </w:tcPr>
          <w:p>
            <w:pPr>
              <w:spacing w:after="0"/>
              <w:rPr>
                <w:sz w:val="1"/>
                <w:szCs w:val="1"/>
                <w:color w:val="auto"/>
              </w:rPr>
            </w:pPr>
          </w:p>
        </w:tc>
      </w:tr>
      <w:tr>
        <w:trPr>
          <w:trHeight w:val="262"/>
        </w:trPr>
        <w:tc>
          <w:tcPr>
            <w:tcW w:w="4880" w:type="dxa"/>
            <w:vAlign w:val="bottom"/>
          </w:tcPr>
          <w:p>
            <w:pPr>
              <w:ind w:left="560"/>
              <w:spacing w:after="0"/>
              <w:rPr>
                <w:sz w:val="20"/>
                <w:szCs w:val="20"/>
                <w:color w:val="auto"/>
              </w:rPr>
            </w:pPr>
            <w:r>
              <w:rPr>
                <w:rFonts w:ascii="Arial" w:cs="Arial" w:eastAsia="Arial" w:hAnsi="Arial"/>
                <w:sz w:val="18"/>
                <w:szCs w:val="18"/>
                <w:color w:val="auto"/>
              </w:rPr>
              <w:t>Total</w:t>
            </w:r>
          </w:p>
        </w:tc>
        <w:tc>
          <w:tcPr>
            <w:tcW w:w="200" w:type="dxa"/>
            <w:vAlign w:val="bottom"/>
          </w:tcPr>
          <w:p>
            <w:pPr>
              <w:spacing w:after="0"/>
              <w:rPr>
                <w:sz w:val="22"/>
                <w:szCs w:val="22"/>
                <w:color w:val="auto"/>
              </w:rPr>
            </w:pPr>
          </w:p>
        </w:tc>
        <w:tc>
          <w:tcPr>
            <w:tcW w:w="580" w:type="dxa"/>
            <w:vAlign w:val="bottom"/>
          </w:tcPr>
          <w:p>
            <w:pPr>
              <w:jc w:val="right"/>
              <w:ind w:right="12"/>
              <w:spacing w:after="0"/>
              <w:rPr>
                <w:sz w:val="20"/>
                <w:szCs w:val="20"/>
                <w:color w:val="auto"/>
              </w:rPr>
            </w:pPr>
            <w:r>
              <w:rPr>
                <w:rFonts w:ascii="Arial" w:cs="Arial" w:eastAsia="Arial" w:hAnsi="Arial"/>
                <w:sz w:val="18"/>
                <w:szCs w:val="18"/>
                <w:color w:val="auto"/>
              </w:rPr>
              <w:t>74</w:t>
            </w:r>
          </w:p>
        </w:tc>
        <w:tc>
          <w:tcPr>
            <w:tcW w:w="3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40" w:type="dxa"/>
            <w:vAlign w:val="bottom"/>
          </w:tcPr>
          <w:p>
            <w:pPr>
              <w:jc w:val="right"/>
              <w:ind w:right="32"/>
              <w:spacing w:after="0"/>
              <w:rPr>
                <w:sz w:val="20"/>
                <w:szCs w:val="20"/>
                <w:color w:val="auto"/>
              </w:rPr>
            </w:pPr>
            <w:r>
              <w:rPr>
                <w:rFonts w:ascii="Arial" w:cs="Arial" w:eastAsia="Arial" w:hAnsi="Arial"/>
                <w:sz w:val="18"/>
                <w:szCs w:val="18"/>
                <w:color w:val="auto"/>
              </w:rPr>
              <w:t>68</w:t>
            </w:r>
          </w:p>
        </w:tc>
        <w:tc>
          <w:tcPr>
            <w:tcW w:w="3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40" w:type="dxa"/>
            <w:vAlign w:val="bottom"/>
          </w:tcPr>
          <w:p>
            <w:pPr>
              <w:jc w:val="right"/>
              <w:ind w:right="132"/>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51"/>
        </w:trPr>
        <w:tc>
          <w:tcPr>
            <w:tcW w:w="4880" w:type="dxa"/>
            <w:vAlign w:val="bottom"/>
          </w:tcPr>
          <w:p>
            <w:pPr>
              <w:spacing w:after="0"/>
              <w:rPr>
                <w:sz w:val="21"/>
                <w:szCs w:val="21"/>
                <w:color w:val="auto"/>
              </w:rPr>
            </w:pPr>
          </w:p>
        </w:tc>
        <w:tc>
          <w:tcPr>
            <w:tcW w:w="200" w:type="dxa"/>
            <w:vAlign w:val="bottom"/>
            <w:shd w:val="clear" w:color="auto" w:fill="000000"/>
          </w:tcPr>
          <w:p>
            <w:pPr>
              <w:spacing w:after="0"/>
              <w:rPr>
                <w:sz w:val="21"/>
                <w:szCs w:val="21"/>
                <w:color w:val="auto"/>
              </w:rPr>
            </w:pPr>
          </w:p>
        </w:tc>
        <w:tc>
          <w:tcPr>
            <w:tcW w:w="580" w:type="dxa"/>
            <w:vAlign w:val="bottom"/>
            <w:shd w:val="clear" w:color="auto" w:fill="000000"/>
          </w:tcPr>
          <w:p>
            <w:pPr>
              <w:spacing w:after="0"/>
              <w:rPr>
                <w:sz w:val="21"/>
                <w:szCs w:val="21"/>
                <w:color w:val="auto"/>
              </w:rPr>
            </w:pPr>
          </w:p>
        </w:tc>
        <w:tc>
          <w:tcPr>
            <w:tcW w:w="340" w:type="dxa"/>
            <w:vAlign w:val="bottom"/>
          </w:tcPr>
          <w:p>
            <w:pPr>
              <w:spacing w:after="0"/>
              <w:rPr>
                <w:sz w:val="21"/>
                <w:szCs w:val="21"/>
                <w:color w:val="auto"/>
              </w:rPr>
            </w:pPr>
          </w:p>
        </w:tc>
        <w:tc>
          <w:tcPr>
            <w:tcW w:w="260" w:type="dxa"/>
            <w:vAlign w:val="bottom"/>
            <w:shd w:val="clear" w:color="auto" w:fill="000000"/>
          </w:tcPr>
          <w:p>
            <w:pPr>
              <w:spacing w:after="0"/>
              <w:rPr>
                <w:sz w:val="21"/>
                <w:szCs w:val="21"/>
                <w:color w:val="auto"/>
              </w:rPr>
            </w:pPr>
          </w:p>
        </w:tc>
        <w:tc>
          <w:tcPr>
            <w:tcW w:w="640" w:type="dxa"/>
            <w:vAlign w:val="bottom"/>
            <w:shd w:val="clear" w:color="auto" w:fill="000000"/>
          </w:tcPr>
          <w:p>
            <w:pPr>
              <w:spacing w:after="0"/>
              <w:rPr>
                <w:sz w:val="21"/>
                <w:szCs w:val="21"/>
                <w:color w:val="auto"/>
              </w:rPr>
            </w:pPr>
          </w:p>
        </w:tc>
        <w:tc>
          <w:tcPr>
            <w:tcW w:w="320" w:type="dxa"/>
            <w:vAlign w:val="bottom"/>
          </w:tcPr>
          <w:p>
            <w:pPr>
              <w:spacing w:after="0"/>
              <w:rPr>
                <w:sz w:val="21"/>
                <w:szCs w:val="21"/>
                <w:color w:val="auto"/>
              </w:rPr>
            </w:pPr>
          </w:p>
        </w:tc>
        <w:tc>
          <w:tcPr>
            <w:tcW w:w="240" w:type="dxa"/>
            <w:vAlign w:val="bottom"/>
            <w:shd w:val="clear" w:color="auto" w:fill="000000"/>
          </w:tcPr>
          <w:p>
            <w:pPr>
              <w:spacing w:after="0"/>
              <w:rPr>
                <w:sz w:val="21"/>
                <w:szCs w:val="21"/>
                <w:color w:val="auto"/>
              </w:rPr>
            </w:pPr>
          </w:p>
        </w:tc>
        <w:tc>
          <w:tcPr>
            <w:tcW w:w="740" w:type="dxa"/>
            <w:vAlign w:val="bottom"/>
            <w:shd w:val="clear" w:color="auto" w:fill="000000"/>
          </w:tcPr>
          <w:p>
            <w:pPr>
              <w:spacing w:after="0"/>
              <w:rPr>
                <w:sz w:val="21"/>
                <w:szCs w:val="21"/>
                <w:color w:val="auto"/>
              </w:rPr>
            </w:pPr>
          </w:p>
        </w:tc>
        <w:tc>
          <w:tcPr>
            <w:tcW w:w="0" w:type="dxa"/>
            <w:vAlign w:val="bottom"/>
          </w:tcPr>
          <w:p>
            <w:pPr>
              <w:spacing w:after="0"/>
              <w:rPr>
                <w:sz w:val="1"/>
                <w:szCs w:val="1"/>
                <w:color w:val="auto"/>
              </w:rPr>
            </w:pPr>
          </w:p>
        </w:tc>
      </w:tr>
      <w:tr>
        <w:trPr>
          <w:trHeight w:val="525"/>
        </w:trPr>
        <w:tc>
          <w:tcPr>
            <w:tcW w:w="4880" w:type="dxa"/>
            <w:vAlign w:val="bottom"/>
          </w:tcPr>
          <w:p>
            <w:pPr>
              <w:spacing w:after="0"/>
              <w:rPr>
                <w:sz w:val="20"/>
                <w:szCs w:val="20"/>
                <w:color w:val="auto"/>
              </w:rPr>
            </w:pPr>
            <w:r>
              <w:rPr>
                <w:rFonts w:ascii="Arial" w:cs="Arial" w:eastAsia="Arial" w:hAnsi="Arial"/>
                <w:sz w:val="18"/>
                <w:szCs w:val="18"/>
                <w:color w:val="auto"/>
              </w:rPr>
              <w:t>Net income</w:t>
            </w:r>
          </w:p>
        </w:tc>
        <w:tc>
          <w:tcPr>
            <w:tcW w:w="200" w:type="dxa"/>
            <w:vAlign w:val="bottom"/>
          </w:tcPr>
          <w:p>
            <w:pPr>
              <w:spacing w:after="0"/>
              <w:rPr>
                <w:sz w:val="24"/>
                <w:szCs w:val="24"/>
                <w:color w:val="auto"/>
              </w:rPr>
            </w:pPr>
          </w:p>
        </w:tc>
        <w:tc>
          <w:tcPr>
            <w:tcW w:w="580" w:type="dxa"/>
            <w:vAlign w:val="bottom"/>
          </w:tcPr>
          <w:p>
            <w:pPr>
              <w:jc w:val="right"/>
              <w:ind w:right="12"/>
              <w:spacing w:after="0"/>
              <w:rPr>
                <w:sz w:val="20"/>
                <w:szCs w:val="20"/>
                <w:color w:val="auto"/>
              </w:rPr>
            </w:pPr>
            <w:r>
              <w:rPr>
                <w:rFonts w:ascii="Arial" w:cs="Arial" w:eastAsia="Arial" w:hAnsi="Arial"/>
                <w:sz w:val="18"/>
                <w:szCs w:val="18"/>
                <w:color w:val="auto"/>
              </w:rPr>
              <w:t>267</w:t>
            </w: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Pr>
          <w:p>
            <w:pPr>
              <w:jc w:val="right"/>
              <w:ind w:right="32"/>
              <w:spacing w:after="0"/>
              <w:rPr>
                <w:sz w:val="20"/>
                <w:szCs w:val="20"/>
                <w:color w:val="auto"/>
              </w:rPr>
            </w:pPr>
            <w:r>
              <w:rPr>
                <w:rFonts w:ascii="Arial" w:cs="Arial" w:eastAsia="Arial" w:hAnsi="Arial"/>
                <w:sz w:val="18"/>
                <w:szCs w:val="18"/>
                <w:color w:val="auto"/>
              </w:rPr>
              <w:t>213</w:t>
            </w: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40" w:type="dxa"/>
            <w:vAlign w:val="bottom"/>
          </w:tcPr>
          <w:p>
            <w:pPr>
              <w:jc w:val="right"/>
              <w:ind w:right="132"/>
              <w:spacing w:after="0"/>
              <w:rPr>
                <w:sz w:val="20"/>
                <w:szCs w:val="20"/>
                <w:color w:val="auto"/>
              </w:rPr>
            </w:pPr>
            <w:r>
              <w:rPr>
                <w:rFonts w:ascii="Arial" w:cs="Arial" w:eastAsia="Arial" w:hAnsi="Arial"/>
                <w:sz w:val="18"/>
                <w:szCs w:val="18"/>
                <w:color w:val="auto"/>
              </w:rPr>
              <w:t>340</w:t>
            </w:r>
          </w:p>
        </w:tc>
        <w:tc>
          <w:tcPr>
            <w:tcW w:w="0" w:type="dxa"/>
            <w:vAlign w:val="bottom"/>
          </w:tcPr>
          <w:p>
            <w:pPr>
              <w:spacing w:after="0"/>
              <w:rPr>
                <w:sz w:val="1"/>
                <w:szCs w:val="1"/>
                <w:color w:val="auto"/>
              </w:rPr>
            </w:pPr>
          </w:p>
        </w:tc>
      </w:tr>
      <w:tr>
        <w:trPr>
          <w:trHeight w:val="278"/>
        </w:trPr>
        <w:tc>
          <w:tcPr>
            <w:tcW w:w="4880" w:type="dxa"/>
            <w:vAlign w:val="bottom"/>
          </w:tcPr>
          <w:p>
            <w:pPr>
              <w:spacing w:after="0"/>
              <w:rPr>
                <w:sz w:val="20"/>
                <w:szCs w:val="20"/>
                <w:color w:val="auto"/>
              </w:rPr>
            </w:pPr>
            <w:r>
              <w:rPr>
                <w:rFonts w:ascii="Arial" w:cs="Arial" w:eastAsia="Arial" w:hAnsi="Arial"/>
                <w:sz w:val="18"/>
                <w:szCs w:val="18"/>
                <w:color w:val="auto"/>
              </w:rPr>
              <w:t>Preferred dividend requirements</w:t>
            </w:r>
          </w:p>
        </w:tc>
        <w:tc>
          <w:tcPr>
            <w:tcW w:w="200" w:type="dxa"/>
            <w:vAlign w:val="bottom"/>
          </w:tcPr>
          <w:p>
            <w:pPr>
              <w:spacing w:after="0"/>
              <w:rPr>
                <w:sz w:val="24"/>
                <w:szCs w:val="24"/>
                <w:color w:val="auto"/>
              </w:rPr>
            </w:pPr>
          </w:p>
        </w:tc>
        <w:tc>
          <w:tcPr>
            <w:tcW w:w="580" w:type="dxa"/>
            <w:vAlign w:val="bottom"/>
          </w:tcPr>
          <w:p>
            <w:pPr>
              <w:jc w:val="right"/>
              <w:ind w:right="12"/>
              <w:spacing w:after="0"/>
              <w:rPr>
                <w:sz w:val="20"/>
                <w:szCs w:val="20"/>
                <w:color w:val="auto"/>
              </w:rPr>
            </w:pPr>
            <w:r>
              <w:rPr>
                <w:rFonts w:ascii="Arial" w:cs="Arial" w:eastAsia="Arial" w:hAnsi="Arial"/>
                <w:sz w:val="18"/>
                <w:szCs w:val="18"/>
                <w:color w:val="auto"/>
              </w:rPr>
              <w:t>5</w:t>
            </w: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Pr>
          <w:p>
            <w:pPr>
              <w:jc w:val="right"/>
              <w:ind w:right="32"/>
              <w:spacing w:after="0"/>
              <w:rPr>
                <w:sz w:val="20"/>
                <w:szCs w:val="20"/>
                <w:color w:val="auto"/>
              </w:rPr>
            </w:pPr>
            <w:r>
              <w:rPr>
                <w:rFonts w:ascii="Arial" w:cs="Arial" w:eastAsia="Arial" w:hAnsi="Arial"/>
                <w:sz w:val="18"/>
                <w:szCs w:val="18"/>
                <w:color w:val="auto"/>
              </w:rPr>
              <w:t>5</w:t>
            </w: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40" w:type="dxa"/>
            <w:vAlign w:val="bottom"/>
          </w:tcPr>
          <w:p>
            <w:pPr>
              <w:jc w:val="right"/>
              <w:ind w:right="132"/>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51"/>
        </w:trPr>
        <w:tc>
          <w:tcPr>
            <w:tcW w:w="4880" w:type="dxa"/>
            <w:vAlign w:val="bottom"/>
          </w:tcPr>
          <w:p>
            <w:pPr>
              <w:spacing w:after="0"/>
              <w:rPr>
                <w:sz w:val="21"/>
                <w:szCs w:val="21"/>
                <w:color w:val="auto"/>
              </w:rPr>
            </w:pPr>
          </w:p>
        </w:tc>
        <w:tc>
          <w:tcPr>
            <w:tcW w:w="200" w:type="dxa"/>
            <w:vAlign w:val="bottom"/>
            <w:shd w:val="clear" w:color="auto" w:fill="000000"/>
          </w:tcPr>
          <w:p>
            <w:pPr>
              <w:spacing w:after="0"/>
              <w:rPr>
                <w:sz w:val="21"/>
                <w:szCs w:val="21"/>
                <w:color w:val="auto"/>
              </w:rPr>
            </w:pPr>
          </w:p>
        </w:tc>
        <w:tc>
          <w:tcPr>
            <w:tcW w:w="580" w:type="dxa"/>
            <w:vAlign w:val="bottom"/>
            <w:shd w:val="clear" w:color="auto" w:fill="000000"/>
          </w:tcPr>
          <w:p>
            <w:pPr>
              <w:spacing w:after="0"/>
              <w:rPr>
                <w:sz w:val="21"/>
                <w:szCs w:val="21"/>
                <w:color w:val="auto"/>
              </w:rPr>
            </w:pPr>
          </w:p>
        </w:tc>
        <w:tc>
          <w:tcPr>
            <w:tcW w:w="340" w:type="dxa"/>
            <w:vAlign w:val="bottom"/>
          </w:tcPr>
          <w:p>
            <w:pPr>
              <w:spacing w:after="0"/>
              <w:rPr>
                <w:sz w:val="21"/>
                <w:szCs w:val="21"/>
                <w:color w:val="auto"/>
              </w:rPr>
            </w:pPr>
          </w:p>
        </w:tc>
        <w:tc>
          <w:tcPr>
            <w:tcW w:w="260" w:type="dxa"/>
            <w:vAlign w:val="bottom"/>
            <w:shd w:val="clear" w:color="auto" w:fill="000000"/>
          </w:tcPr>
          <w:p>
            <w:pPr>
              <w:spacing w:after="0"/>
              <w:rPr>
                <w:sz w:val="21"/>
                <w:szCs w:val="21"/>
                <w:color w:val="auto"/>
              </w:rPr>
            </w:pPr>
          </w:p>
        </w:tc>
        <w:tc>
          <w:tcPr>
            <w:tcW w:w="640" w:type="dxa"/>
            <w:vAlign w:val="bottom"/>
            <w:shd w:val="clear" w:color="auto" w:fill="000000"/>
          </w:tcPr>
          <w:p>
            <w:pPr>
              <w:spacing w:after="0"/>
              <w:rPr>
                <w:sz w:val="21"/>
                <w:szCs w:val="21"/>
                <w:color w:val="auto"/>
              </w:rPr>
            </w:pPr>
          </w:p>
        </w:tc>
        <w:tc>
          <w:tcPr>
            <w:tcW w:w="320" w:type="dxa"/>
            <w:vAlign w:val="bottom"/>
          </w:tcPr>
          <w:p>
            <w:pPr>
              <w:spacing w:after="0"/>
              <w:rPr>
                <w:sz w:val="21"/>
                <w:szCs w:val="21"/>
                <w:color w:val="auto"/>
              </w:rPr>
            </w:pPr>
          </w:p>
        </w:tc>
        <w:tc>
          <w:tcPr>
            <w:tcW w:w="240" w:type="dxa"/>
            <w:vAlign w:val="bottom"/>
            <w:shd w:val="clear" w:color="auto" w:fill="000000"/>
          </w:tcPr>
          <w:p>
            <w:pPr>
              <w:spacing w:after="0"/>
              <w:rPr>
                <w:sz w:val="21"/>
                <w:szCs w:val="21"/>
                <w:color w:val="auto"/>
              </w:rPr>
            </w:pPr>
          </w:p>
        </w:tc>
        <w:tc>
          <w:tcPr>
            <w:tcW w:w="740" w:type="dxa"/>
            <w:vAlign w:val="bottom"/>
            <w:shd w:val="clear" w:color="auto" w:fill="000000"/>
          </w:tcPr>
          <w:p>
            <w:pPr>
              <w:spacing w:after="0"/>
              <w:rPr>
                <w:sz w:val="21"/>
                <w:szCs w:val="21"/>
                <w:color w:val="auto"/>
              </w:rPr>
            </w:pPr>
          </w:p>
        </w:tc>
        <w:tc>
          <w:tcPr>
            <w:tcW w:w="0" w:type="dxa"/>
            <w:vAlign w:val="bottom"/>
          </w:tcPr>
          <w:p>
            <w:pPr>
              <w:spacing w:after="0"/>
              <w:rPr>
                <w:sz w:val="1"/>
                <w:szCs w:val="1"/>
                <w:color w:val="auto"/>
              </w:rPr>
            </w:pPr>
          </w:p>
        </w:tc>
      </w:tr>
      <w:tr>
        <w:trPr>
          <w:trHeight w:val="262"/>
        </w:trPr>
        <w:tc>
          <w:tcPr>
            <w:tcW w:w="4880" w:type="dxa"/>
            <w:vAlign w:val="bottom"/>
          </w:tcPr>
          <w:p>
            <w:pPr>
              <w:spacing w:after="0"/>
              <w:rPr>
                <w:sz w:val="20"/>
                <w:szCs w:val="20"/>
                <w:color w:val="auto"/>
              </w:rPr>
            </w:pPr>
            <w:r>
              <w:rPr>
                <w:rFonts w:ascii="Arial" w:cs="Arial" w:eastAsia="Arial" w:hAnsi="Arial"/>
                <w:sz w:val="18"/>
                <w:szCs w:val="18"/>
                <w:color w:val="auto"/>
              </w:rPr>
              <w:t>Earnings applicable to common shares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580" w:type="dxa"/>
            <w:vAlign w:val="bottom"/>
          </w:tcPr>
          <w:p>
            <w:pPr>
              <w:jc w:val="right"/>
              <w:ind w:right="12"/>
              <w:spacing w:after="0"/>
              <w:rPr>
                <w:sz w:val="20"/>
                <w:szCs w:val="20"/>
                <w:color w:val="auto"/>
              </w:rPr>
            </w:pPr>
            <w:r>
              <w:rPr>
                <w:rFonts w:ascii="Arial" w:cs="Arial" w:eastAsia="Arial" w:hAnsi="Arial"/>
                <w:sz w:val="18"/>
                <w:szCs w:val="18"/>
                <w:color w:val="auto"/>
              </w:rPr>
              <w:t>262</w:t>
            </w:r>
          </w:p>
        </w:tc>
        <w:tc>
          <w:tcPr>
            <w:tcW w:w="6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40" w:type="dxa"/>
            <w:vAlign w:val="bottom"/>
          </w:tcPr>
          <w:p>
            <w:pPr>
              <w:jc w:val="right"/>
              <w:ind w:right="32"/>
              <w:spacing w:after="0"/>
              <w:rPr>
                <w:sz w:val="20"/>
                <w:szCs w:val="20"/>
                <w:color w:val="auto"/>
              </w:rPr>
            </w:pPr>
            <w:r>
              <w:rPr>
                <w:rFonts w:ascii="Arial" w:cs="Arial" w:eastAsia="Arial" w:hAnsi="Arial"/>
                <w:sz w:val="18"/>
                <w:szCs w:val="18"/>
                <w:color w:val="auto"/>
              </w:rPr>
              <w:t>208</w:t>
            </w:r>
          </w:p>
        </w:tc>
        <w:tc>
          <w:tcPr>
            <w:tcW w:w="5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132"/>
              <w:spacing w:after="0"/>
              <w:rPr>
                <w:sz w:val="20"/>
                <w:szCs w:val="20"/>
                <w:color w:val="auto"/>
              </w:rPr>
            </w:pPr>
            <w:r>
              <w:rPr>
                <w:rFonts w:ascii="Arial" w:cs="Arial" w:eastAsia="Arial" w:hAnsi="Arial"/>
                <w:sz w:val="18"/>
                <w:szCs w:val="18"/>
                <w:color w:val="auto"/>
              </w:rPr>
              <w:t>334</w:t>
            </w:r>
          </w:p>
        </w:tc>
        <w:tc>
          <w:tcPr>
            <w:tcW w:w="0" w:type="dxa"/>
            <w:vAlign w:val="bottom"/>
          </w:tcPr>
          <w:p>
            <w:pPr>
              <w:spacing w:after="0"/>
              <w:rPr>
                <w:sz w:val="1"/>
                <w:szCs w:val="1"/>
                <w:color w:val="auto"/>
              </w:rPr>
            </w:pPr>
          </w:p>
        </w:tc>
      </w:tr>
      <w:tr>
        <w:trPr>
          <w:trHeight w:val="251"/>
        </w:trPr>
        <w:tc>
          <w:tcPr>
            <w:tcW w:w="4880" w:type="dxa"/>
            <w:vAlign w:val="bottom"/>
          </w:tcPr>
          <w:p>
            <w:pPr>
              <w:spacing w:after="0"/>
              <w:rPr>
                <w:sz w:val="21"/>
                <w:szCs w:val="21"/>
                <w:color w:val="auto"/>
              </w:rPr>
            </w:pPr>
          </w:p>
        </w:tc>
        <w:tc>
          <w:tcPr>
            <w:tcW w:w="200" w:type="dxa"/>
            <w:vAlign w:val="bottom"/>
            <w:shd w:val="clear" w:color="auto" w:fill="000000"/>
          </w:tcPr>
          <w:p>
            <w:pPr>
              <w:spacing w:after="0"/>
              <w:rPr>
                <w:sz w:val="21"/>
                <w:szCs w:val="21"/>
                <w:color w:val="auto"/>
              </w:rPr>
            </w:pPr>
          </w:p>
        </w:tc>
        <w:tc>
          <w:tcPr>
            <w:tcW w:w="580" w:type="dxa"/>
            <w:vAlign w:val="bottom"/>
            <w:shd w:val="clear" w:color="auto" w:fill="000000"/>
          </w:tcPr>
          <w:p>
            <w:pPr>
              <w:spacing w:after="0"/>
              <w:rPr>
                <w:sz w:val="21"/>
                <w:szCs w:val="21"/>
                <w:color w:val="auto"/>
              </w:rPr>
            </w:pPr>
          </w:p>
        </w:tc>
        <w:tc>
          <w:tcPr>
            <w:tcW w:w="340" w:type="dxa"/>
            <w:vAlign w:val="bottom"/>
          </w:tcPr>
          <w:p>
            <w:pPr>
              <w:spacing w:after="0"/>
              <w:rPr>
                <w:sz w:val="21"/>
                <w:szCs w:val="21"/>
                <w:color w:val="auto"/>
              </w:rPr>
            </w:pPr>
          </w:p>
        </w:tc>
        <w:tc>
          <w:tcPr>
            <w:tcW w:w="260" w:type="dxa"/>
            <w:vAlign w:val="bottom"/>
            <w:shd w:val="clear" w:color="auto" w:fill="000000"/>
          </w:tcPr>
          <w:p>
            <w:pPr>
              <w:spacing w:after="0"/>
              <w:rPr>
                <w:sz w:val="21"/>
                <w:szCs w:val="21"/>
                <w:color w:val="auto"/>
              </w:rPr>
            </w:pPr>
          </w:p>
        </w:tc>
        <w:tc>
          <w:tcPr>
            <w:tcW w:w="640" w:type="dxa"/>
            <w:vAlign w:val="bottom"/>
            <w:shd w:val="clear" w:color="auto" w:fill="000000"/>
          </w:tcPr>
          <w:p>
            <w:pPr>
              <w:spacing w:after="0"/>
              <w:rPr>
                <w:sz w:val="21"/>
                <w:szCs w:val="21"/>
                <w:color w:val="auto"/>
              </w:rPr>
            </w:pPr>
          </w:p>
        </w:tc>
        <w:tc>
          <w:tcPr>
            <w:tcW w:w="320" w:type="dxa"/>
            <w:vAlign w:val="bottom"/>
          </w:tcPr>
          <w:p>
            <w:pPr>
              <w:spacing w:after="0"/>
              <w:rPr>
                <w:sz w:val="21"/>
                <w:szCs w:val="21"/>
                <w:color w:val="auto"/>
              </w:rPr>
            </w:pPr>
          </w:p>
        </w:tc>
        <w:tc>
          <w:tcPr>
            <w:tcW w:w="240" w:type="dxa"/>
            <w:vAlign w:val="bottom"/>
            <w:shd w:val="clear" w:color="auto" w:fill="000000"/>
          </w:tcPr>
          <w:p>
            <w:pPr>
              <w:spacing w:after="0"/>
              <w:rPr>
                <w:sz w:val="21"/>
                <w:szCs w:val="21"/>
                <w:color w:val="auto"/>
              </w:rPr>
            </w:pPr>
          </w:p>
        </w:tc>
        <w:tc>
          <w:tcPr>
            <w:tcW w:w="740" w:type="dxa"/>
            <w:vAlign w:val="bottom"/>
            <w:shd w:val="clear" w:color="auto" w:fill="000000"/>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8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880" w:type="dxa"/>
            <w:vAlign w:val="bottom"/>
          </w:tcPr>
          <w:p>
            <w:pPr>
              <w:spacing w:after="0"/>
              <w:rPr>
                <w:sz w:val="21"/>
                <w:szCs w:val="21"/>
                <w:color w:val="auto"/>
              </w:rPr>
            </w:pPr>
          </w:p>
        </w:tc>
        <w:tc>
          <w:tcPr>
            <w:tcW w:w="200" w:type="dxa"/>
            <w:vAlign w:val="bottom"/>
            <w:shd w:val="clear" w:color="auto" w:fill="000000"/>
          </w:tcPr>
          <w:p>
            <w:pPr>
              <w:spacing w:after="0"/>
              <w:rPr>
                <w:sz w:val="21"/>
                <w:szCs w:val="21"/>
                <w:color w:val="auto"/>
              </w:rPr>
            </w:pPr>
          </w:p>
        </w:tc>
        <w:tc>
          <w:tcPr>
            <w:tcW w:w="580" w:type="dxa"/>
            <w:vAlign w:val="bottom"/>
            <w:shd w:val="clear" w:color="auto" w:fill="000000"/>
          </w:tcPr>
          <w:p>
            <w:pPr>
              <w:spacing w:after="0"/>
              <w:rPr>
                <w:sz w:val="21"/>
                <w:szCs w:val="21"/>
                <w:color w:val="auto"/>
              </w:rPr>
            </w:pPr>
          </w:p>
        </w:tc>
        <w:tc>
          <w:tcPr>
            <w:tcW w:w="340" w:type="dxa"/>
            <w:vAlign w:val="bottom"/>
          </w:tcPr>
          <w:p>
            <w:pPr>
              <w:spacing w:after="0"/>
              <w:rPr>
                <w:sz w:val="21"/>
                <w:szCs w:val="21"/>
                <w:color w:val="auto"/>
              </w:rPr>
            </w:pPr>
          </w:p>
        </w:tc>
        <w:tc>
          <w:tcPr>
            <w:tcW w:w="260" w:type="dxa"/>
            <w:vAlign w:val="bottom"/>
            <w:shd w:val="clear" w:color="auto" w:fill="000000"/>
          </w:tcPr>
          <w:p>
            <w:pPr>
              <w:spacing w:after="0"/>
              <w:rPr>
                <w:sz w:val="21"/>
                <w:szCs w:val="21"/>
                <w:color w:val="auto"/>
              </w:rPr>
            </w:pPr>
          </w:p>
        </w:tc>
        <w:tc>
          <w:tcPr>
            <w:tcW w:w="640" w:type="dxa"/>
            <w:vAlign w:val="bottom"/>
            <w:shd w:val="clear" w:color="auto" w:fill="000000"/>
          </w:tcPr>
          <w:p>
            <w:pPr>
              <w:spacing w:after="0"/>
              <w:rPr>
                <w:sz w:val="21"/>
                <w:szCs w:val="21"/>
                <w:color w:val="auto"/>
              </w:rPr>
            </w:pPr>
          </w:p>
        </w:tc>
        <w:tc>
          <w:tcPr>
            <w:tcW w:w="320" w:type="dxa"/>
            <w:vAlign w:val="bottom"/>
          </w:tcPr>
          <w:p>
            <w:pPr>
              <w:spacing w:after="0"/>
              <w:rPr>
                <w:sz w:val="21"/>
                <w:szCs w:val="21"/>
                <w:color w:val="auto"/>
              </w:rPr>
            </w:pPr>
          </w:p>
        </w:tc>
        <w:tc>
          <w:tcPr>
            <w:tcW w:w="240" w:type="dxa"/>
            <w:vAlign w:val="bottom"/>
            <w:shd w:val="clear" w:color="auto" w:fill="000000"/>
          </w:tcPr>
          <w:p>
            <w:pPr>
              <w:spacing w:after="0"/>
              <w:rPr>
                <w:sz w:val="21"/>
                <w:szCs w:val="21"/>
                <w:color w:val="auto"/>
              </w:rPr>
            </w:pPr>
          </w:p>
        </w:tc>
        <w:tc>
          <w:tcPr>
            <w:tcW w:w="740" w:type="dxa"/>
            <w:vAlign w:val="bottom"/>
            <w:shd w:val="clear" w:color="auto" w:fill="000000"/>
          </w:tcPr>
          <w:p>
            <w:pPr>
              <w:spacing w:after="0"/>
              <w:rPr>
                <w:sz w:val="21"/>
                <w:szCs w:val="21"/>
                <w:color w:val="auto"/>
              </w:rPr>
            </w:pPr>
          </w:p>
        </w:tc>
        <w:tc>
          <w:tcPr>
            <w:tcW w:w="0" w:type="dxa"/>
            <w:vAlign w:val="bottom"/>
          </w:tcPr>
          <w:p>
            <w:pPr>
              <w:spacing w:after="0"/>
              <w:rPr>
                <w:sz w:val="1"/>
                <w:szCs w:val="1"/>
                <w:color w:val="auto"/>
              </w:rPr>
            </w:pPr>
          </w:p>
        </w:tc>
      </w:tr>
    </w:tbl>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469900</wp:posOffset>
            </wp:positionV>
            <wp:extent cx="72720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SAN DIEGO GAS &amp; ELECTRIC COMPANY AND SUBSIDIARY</w:t>
      </w:r>
    </w:p>
    <w:p>
      <w:pPr>
        <w:spacing w:after="0" w:line="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in millions)</w:t>
      </w:r>
    </w:p>
    <w:p>
      <w:pPr>
        <w:spacing w:after="0" w:line="273" w:lineRule="exact"/>
        <w:rPr>
          <w:sz w:val="20"/>
          <w:szCs w:val="20"/>
          <w:color w:val="auto"/>
        </w:rPr>
      </w:pPr>
    </w:p>
    <w:tbl>
      <w:tblPr>
        <w:tblLayout w:type="fixed"/>
        <w:tblInd w:w="520" w:type="dxa"/>
        <w:tblCellMar>
          <w:top w:w="0" w:type="dxa"/>
          <w:left w:w="0" w:type="dxa"/>
          <w:bottom w:w="0" w:type="dxa"/>
          <w:right w:w="0" w:type="dxa"/>
        </w:tblCellMar>
      </w:tblPr>
      <w:tr>
        <w:trPr>
          <w:trHeight w:val="216"/>
        </w:trPr>
        <w:tc>
          <w:tcPr>
            <w:tcW w:w="5340" w:type="dxa"/>
            <w:vAlign w:val="bottom"/>
          </w:tcPr>
          <w:p>
            <w:pPr>
              <w:spacing w:after="0"/>
              <w:rPr>
                <w:sz w:val="18"/>
                <w:szCs w:val="18"/>
                <w:color w:val="auto"/>
              </w:rPr>
            </w:pPr>
          </w:p>
        </w:tc>
        <w:tc>
          <w:tcPr>
            <w:tcW w:w="1040" w:type="dxa"/>
            <w:vAlign w:val="bottom"/>
            <w:gridSpan w:val="2"/>
          </w:tcPr>
          <w:p>
            <w:pPr>
              <w:ind w:left="20"/>
              <w:spacing w:after="0"/>
              <w:rPr>
                <w:sz w:val="20"/>
                <w:szCs w:val="20"/>
                <w:color w:val="auto"/>
              </w:rPr>
            </w:pPr>
            <w:r>
              <w:rPr>
                <w:rFonts w:ascii="Arial" w:cs="Arial" w:eastAsia="Arial" w:hAnsi="Arial"/>
                <w:sz w:val="18"/>
                <w:szCs w:val="18"/>
                <w:color w:val="auto"/>
                <w:w w:val="88"/>
              </w:rPr>
              <w:t>December 31,</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ind w:right="52"/>
              <w:spacing w:after="0"/>
              <w:rPr>
                <w:sz w:val="20"/>
                <w:szCs w:val="20"/>
                <w:color w:val="auto"/>
              </w:rPr>
            </w:pPr>
            <w:r>
              <w:rPr>
                <w:rFonts w:ascii="Arial" w:cs="Arial" w:eastAsia="Arial" w:hAnsi="Arial"/>
                <w:sz w:val="18"/>
                <w:szCs w:val="18"/>
                <w:color w:val="auto"/>
                <w:w w:val="86"/>
              </w:rPr>
              <w:t>December 31,</w:t>
            </w:r>
          </w:p>
        </w:tc>
        <w:tc>
          <w:tcPr>
            <w:tcW w:w="0" w:type="dxa"/>
            <w:vAlign w:val="bottom"/>
          </w:tcPr>
          <w:p>
            <w:pPr>
              <w:spacing w:after="0"/>
              <w:rPr>
                <w:sz w:val="1"/>
                <w:szCs w:val="1"/>
                <w:color w:val="auto"/>
              </w:rPr>
            </w:pPr>
          </w:p>
        </w:tc>
      </w:tr>
      <w:tr>
        <w:trPr>
          <w:trHeight w:val="222"/>
        </w:trPr>
        <w:tc>
          <w:tcPr>
            <w:tcW w:w="5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ind w:right="272"/>
              <w:spacing w:after="0"/>
              <w:rPr>
                <w:sz w:val="20"/>
                <w:szCs w:val="20"/>
                <w:color w:val="auto"/>
              </w:rPr>
            </w:pPr>
            <w:r>
              <w:rPr>
                <w:rFonts w:ascii="Arial" w:cs="Arial" w:eastAsia="Arial" w:hAnsi="Arial"/>
                <w:sz w:val="18"/>
                <w:szCs w:val="18"/>
                <w:color w:val="auto"/>
              </w:rPr>
              <w:t>2005</w:t>
            </w: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jc w:val="right"/>
              <w:ind w:right="372"/>
              <w:spacing w:after="0"/>
              <w:rPr>
                <w:sz w:val="20"/>
                <w:szCs w:val="20"/>
                <w:color w:val="auto"/>
              </w:rPr>
            </w:pPr>
            <w:r>
              <w:rPr>
                <w:rFonts w:ascii="Arial" w:cs="Arial" w:eastAsia="Arial" w:hAnsi="Arial"/>
                <w:sz w:val="18"/>
                <w:szCs w:val="18"/>
                <w:color w:val="auto"/>
              </w:rPr>
              <w:t>2004</w:t>
            </w:r>
          </w:p>
        </w:tc>
        <w:tc>
          <w:tcPr>
            <w:tcW w:w="0" w:type="dxa"/>
            <w:vAlign w:val="bottom"/>
          </w:tcPr>
          <w:p>
            <w:pPr>
              <w:spacing w:after="0"/>
              <w:rPr>
                <w:sz w:val="1"/>
                <w:szCs w:val="1"/>
                <w:color w:val="auto"/>
              </w:rPr>
            </w:pPr>
          </w:p>
        </w:tc>
      </w:tr>
      <w:tr>
        <w:trPr>
          <w:trHeight w:val="259"/>
        </w:trPr>
        <w:tc>
          <w:tcPr>
            <w:tcW w:w="5340" w:type="dxa"/>
            <w:vAlign w:val="bottom"/>
            <w:vMerge w:val="restart"/>
          </w:tcPr>
          <w:p>
            <w:pPr>
              <w:spacing w:after="0"/>
              <w:rPr>
                <w:sz w:val="20"/>
                <w:szCs w:val="20"/>
                <w:color w:val="auto"/>
              </w:rPr>
            </w:pPr>
            <w:r>
              <w:rPr>
                <w:rFonts w:ascii="Arial" w:cs="Arial" w:eastAsia="Arial" w:hAnsi="Arial"/>
                <w:sz w:val="18"/>
                <w:szCs w:val="18"/>
                <w:color w:val="auto"/>
              </w:rPr>
              <w:t>ASSETS</w:t>
            </w:r>
          </w:p>
        </w:tc>
        <w:tc>
          <w:tcPr>
            <w:tcW w:w="220" w:type="dxa"/>
            <w:vAlign w:val="bottom"/>
            <w:shd w:val="clear" w:color="auto" w:fill="000000"/>
          </w:tcPr>
          <w:p>
            <w:pPr>
              <w:spacing w:after="0"/>
              <w:rPr>
                <w:sz w:val="22"/>
                <w:szCs w:val="22"/>
                <w:color w:val="auto"/>
              </w:rPr>
            </w:pPr>
          </w:p>
        </w:tc>
        <w:tc>
          <w:tcPr>
            <w:tcW w:w="820" w:type="dxa"/>
            <w:vAlign w:val="bottom"/>
            <w:shd w:val="clear" w:color="auto" w:fill="000000"/>
          </w:tcPr>
          <w:p>
            <w:pPr>
              <w:spacing w:after="0"/>
              <w:rPr>
                <w:sz w:val="22"/>
                <w:szCs w:val="22"/>
                <w:color w:val="auto"/>
              </w:rPr>
            </w:pPr>
          </w:p>
        </w:tc>
        <w:tc>
          <w:tcPr>
            <w:tcW w:w="380" w:type="dxa"/>
            <w:vAlign w:val="bottom"/>
          </w:tcPr>
          <w:p>
            <w:pPr>
              <w:spacing w:after="0"/>
              <w:rPr>
                <w:sz w:val="22"/>
                <w:szCs w:val="22"/>
                <w:color w:val="auto"/>
              </w:rPr>
            </w:pPr>
          </w:p>
        </w:tc>
        <w:tc>
          <w:tcPr>
            <w:tcW w:w="120" w:type="dxa"/>
            <w:vAlign w:val="bottom"/>
            <w:shd w:val="clear" w:color="auto" w:fill="000000"/>
          </w:tcPr>
          <w:p>
            <w:pPr>
              <w:spacing w:after="0"/>
              <w:rPr>
                <w:sz w:val="22"/>
                <w:szCs w:val="22"/>
                <w:color w:val="auto"/>
              </w:rPr>
            </w:pPr>
          </w:p>
        </w:tc>
        <w:tc>
          <w:tcPr>
            <w:tcW w:w="1140" w:type="dxa"/>
            <w:vAlign w:val="bottom"/>
            <w:shd w:val="clear" w:color="auto" w:fill="000000"/>
          </w:tcPr>
          <w:p>
            <w:pPr>
              <w:spacing w:after="0"/>
              <w:rPr>
                <w:sz w:val="22"/>
                <w:szCs w:val="22"/>
                <w:color w:val="auto"/>
              </w:rPr>
            </w:pPr>
          </w:p>
        </w:tc>
        <w:tc>
          <w:tcPr>
            <w:tcW w:w="0" w:type="dxa"/>
            <w:vAlign w:val="bottom"/>
          </w:tcPr>
          <w:p>
            <w:pPr>
              <w:spacing w:after="0"/>
              <w:rPr>
                <w:sz w:val="1"/>
                <w:szCs w:val="1"/>
                <w:color w:val="auto"/>
              </w:rPr>
            </w:pPr>
          </w:p>
        </w:tc>
      </w:tr>
      <w:tr>
        <w:trPr>
          <w:trHeight w:val="525"/>
        </w:trPr>
        <w:tc>
          <w:tcPr>
            <w:tcW w:w="534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5340" w:type="dxa"/>
            <w:vAlign w:val="bottom"/>
          </w:tcPr>
          <w:p>
            <w:pPr>
              <w:spacing w:after="0"/>
              <w:rPr>
                <w:sz w:val="20"/>
                <w:szCs w:val="20"/>
                <w:color w:val="auto"/>
              </w:rPr>
            </w:pPr>
            <w:r>
              <w:rPr>
                <w:rFonts w:ascii="Arial" w:cs="Arial" w:eastAsia="Arial" w:hAnsi="Arial"/>
                <w:sz w:val="18"/>
                <w:szCs w:val="18"/>
                <w:color w:val="auto"/>
              </w:rPr>
              <w:t>Utility plant, at original cost</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32"/>
              <w:spacing w:after="0"/>
              <w:rPr>
                <w:sz w:val="20"/>
                <w:szCs w:val="20"/>
                <w:color w:val="auto"/>
              </w:rPr>
            </w:pPr>
            <w:r>
              <w:rPr>
                <w:rFonts w:ascii="Arial" w:cs="Arial" w:eastAsia="Arial" w:hAnsi="Arial"/>
                <w:sz w:val="18"/>
                <w:szCs w:val="18"/>
                <w:color w:val="auto"/>
              </w:rPr>
              <w:t>6,927</w:t>
            </w: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6,345</w:t>
            </w:r>
          </w:p>
        </w:tc>
        <w:tc>
          <w:tcPr>
            <w:tcW w:w="0" w:type="dxa"/>
            <w:vAlign w:val="bottom"/>
          </w:tcPr>
          <w:p>
            <w:pPr>
              <w:spacing w:after="0"/>
              <w:rPr>
                <w:sz w:val="1"/>
                <w:szCs w:val="1"/>
                <w:color w:val="auto"/>
              </w:rPr>
            </w:pPr>
          </w:p>
        </w:tc>
      </w:tr>
      <w:tr>
        <w:trPr>
          <w:trHeight w:val="278"/>
        </w:trPr>
        <w:tc>
          <w:tcPr>
            <w:tcW w:w="5340" w:type="dxa"/>
            <w:vAlign w:val="bottom"/>
          </w:tcPr>
          <w:p>
            <w:pPr>
              <w:spacing w:after="0"/>
              <w:rPr>
                <w:sz w:val="20"/>
                <w:szCs w:val="20"/>
                <w:color w:val="auto"/>
              </w:rPr>
            </w:pPr>
            <w:r>
              <w:rPr>
                <w:rFonts w:ascii="Arial" w:cs="Arial" w:eastAsia="Arial" w:hAnsi="Arial"/>
                <w:sz w:val="18"/>
                <w:szCs w:val="18"/>
                <w:color w:val="auto"/>
              </w:rPr>
              <w:t>Accumulated depreciation and amortization</w:t>
            </w:r>
          </w:p>
        </w:tc>
        <w:tc>
          <w:tcPr>
            <w:tcW w:w="22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(1,956 )</w:t>
            </w: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(1,821 )</w:t>
            </w:r>
          </w:p>
        </w:tc>
        <w:tc>
          <w:tcPr>
            <w:tcW w:w="0" w:type="dxa"/>
            <w:vAlign w:val="bottom"/>
          </w:tcPr>
          <w:p>
            <w:pPr>
              <w:spacing w:after="0"/>
              <w:rPr>
                <w:sz w:val="1"/>
                <w:szCs w:val="1"/>
                <w:color w:val="auto"/>
              </w:rPr>
            </w:pPr>
          </w:p>
        </w:tc>
      </w:tr>
      <w:tr>
        <w:trPr>
          <w:trHeight w:val="251"/>
        </w:trPr>
        <w:tc>
          <w:tcPr>
            <w:tcW w:w="5340" w:type="dxa"/>
            <w:vAlign w:val="bottom"/>
          </w:tcPr>
          <w:p>
            <w:pPr>
              <w:spacing w:after="0"/>
              <w:rPr>
                <w:sz w:val="21"/>
                <w:szCs w:val="21"/>
                <w:color w:val="auto"/>
              </w:rPr>
            </w:pPr>
          </w:p>
        </w:tc>
        <w:tc>
          <w:tcPr>
            <w:tcW w:w="220" w:type="dxa"/>
            <w:vAlign w:val="bottom"/>
            <w:shd w:val="clear" w:color="auto" w:fill="000000"/>
          </w:tcPr>
          <w:p>
            <w:pPr>
              <w:spacing w:after="0"/>
              <w:rPr>
                <w:sz w:val="21"/>
                <w:szCs w:val="21"/>
                <w:color w:val="auto"/>
              </w:rPr>
            </w:pPr>
          </w:p>
        </w:tc>
        <w:tc>
          <w:tcPr>
            <w:tcW w:w="820" w:type="dxa"/>
            <w:vAlign w:val="bottom"/>
            <w:shd w:val="clear" w:color="auto" w:fill="000000"/>
          </w:tcPr>
          <w:p>
            <w:pPr>
              <w:spacing w:after="0"/>
              <w:rPr>
                <w:sz w:val="21"/>
                <w:szCs w:val="21"/>
                <w:color w:val="auto"/>
              </w:rPr>
            </w:pPr>
          </w:p>
        </w:tc>
        <w:tc>
          <w:tcPr>
            <w:tcW w:w="380" w:type="dxa"/>
            <w:vAlign w:val="bottom"/>
          </w:tcPr>
          <w:p>
            <w:pPr>
              <w:spacing w:after="0"/>
              <w:rPr>
                <w:sz w:val="21"/>
                <w:szCs w:val="21"/>
                <w:color w:val="auto"/>
              </w:rPr>
            </w:pPr>
          </w:p>
        </w:tc>
        <w:tc>
          <w:tcPr>
            <w:tcW w:w="120" w:type="dxa"/>
            <w:vAlign w:val="bottom"/>
            <w:shd w:val="clear" w:color="auto" w:fill="000000"/>
          </w:tcPr>
          <w:p>
            <w:pPr>
              <w:spacing w:after="0"/>
              <w:rPr>
                <w:sz w:val="21"/>
                <w:szCs w:val="21"/>
                <w:color w:val="auto"/>
              </w:rPr>
            </w:pPr>
          </w:p>
        </w:tc>
        <w:tc>
          <w:tcPr>
            <w:tcW w:w="1140" w:type="dxa"/>
            <w:vAlign w:val="bottom"/>
            <w:shd w:val="clear" w:color="auto" w:fill="000000"/>
          </w:tcPr>
          <w:p>
            <w:pPr>
              <w:spacing w:after="0"/>
              <w:rPr>
                <w:sz w:val="21"/>
                <w:szCs w:val="21"/>
                <w:color w:val="auto"/>
              </w:rPr>
            </w:pPr>
          </w:p>
        </w:tc>
        <w:tc>
          <w:tcPr>
            <w:tcW w:w="0" w:type="dxa"/>
            <w:vAlign w:val="bottom"/>
          </w:tcPr>
          <w:p>
            <w:pPr>
              <w:spacing w:after="0"/>
              <w:rPr>
                <w:sz w:val="1"/>
                <w:szCs w:val="1"/>
                <w:color w:val="auto"/>
              </w:rPr>
            </w:pPr>
          </w:p>
        </w:tc>
      </w:tr>
      <w:tr>
        <w:trPr>
          <w:trHeight w:val="262"/>
        </w:trPr>
        <w:tc>
          <w:tcPr>
            <w:tcW w:w="5340" w:type="dxa"/>
            <w:vAlign w:val="bottom"/>
          </w:tcPr>
          <w:p>
            <w:pPr>
              <w:ind w:left="200"/>
              <w:spacing w:after="0"/>
              <w:rPr>
                <w:sz w:val="20"/>
                <w:szCs w:val="20"/>
                <w:color w:val="auto"/>
              </w:rPr>
            </w:pPr>
            <w:r>
              <w:rPr>
                <w:rFonts w:ascii="Arial" w:cs="Arial" w:eastAsia="Arial" w:hAnsi="Arial"/>
                <w:sz w:val="18"/>
                <w:szCs w:val="18"/>
                <w:color w:val="auto"/>
              </w:rPr>
              <w:t>Utility plant, net</w:t>
            </w:r>
          </w:p>
        </w:tc>
        <w:tc>
          <w:tcPr>
            <w:tcW w:w="220" w:type="dxa"/>
            <w:vAlign w:val="bottom"/>
          </w:tcPr>
          <w:p>
            <w:pPr>
              <w:spacing w:after="0"/>
              <w:rPr>
                <w:sz w:val="22"/>
                <w:szCs w:val="22"/>
                <w:color w:val="auto"/>
              </w:rPr>
            </w:pPr>
          </w:p>
        </w:tc>
        <w:tc>
          <w:tcPr>
            <w:tcW w:w="820" w:type="dxa"/>
            <w:vAlign w:val="bottom"/>
          </w:tcPr>
          <w:p>
            <w:pPr>
              <w:jc w:val="right"/>
              <w:ind w:right="32"/>
              <w:spacing w:after="0"/>
              <w:rPr>
                <w:sz w:val="20"/>
                <w:szCs w:val="20"/>
                <w:color w:val="auto"/>
              </w:rPr>
            </w:pPr>
            <w:r>
              <w:rPr>
                <w:rFonts w:ascii="Arial" w:cs="Arial" w:eastAsia="Arial" w:hAnsi="Arial"/>
                <w:sz w:val="18"/>
                <w:szCs w:val="18"/>
                <w:color w:val="auto"/>
              </w:rPr>
              <w:t>4,971</w:t>
            </w:r>
          </w:p>
        </w:tc>
        <w:tc>
          <w:tcPr>
            <w:tcW w:w="3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4,524</w:t>
            </w:r>
          </w:p>
        </w:tc>
        <w:tc>
          <w:tcPr>
            <w:tcW w:w="0" w:type="dxa"/>
            <w:vAlign w:val="bottom"/>
          </w:tcPr>
          <w:p>
            <w:pPr>
              <w:spacing w:after="0"/>
              <w:rPr>
                <w:sz w:val="1"/>
                <w:szCs w:val="1"/>
                <w:color w:val="auto"/>
              </w:rPr>
            </w:pPr>
          </w:p>
        </w:tc>
      </w:tr>
      <w:tr>
        <w:trPr>
          <w:trHeight w:val="251"/>
        </w:trPr>
        <w:tc>
          <w:tcPr>
            <w:tcW w:w="5340" w:type="dxa"/>
            <w:vAlign w:val="bottom"/>
          </w:tcPr>
          <w:p>
            <w:pPr>
              <w:spacing w:after="0"/>
              <w:rPr>
                <w:sz w:val="21"/>
                <w:szCs w:val="21"/>
                <w:color w:val="auto"/>
              </w:rPr>
            </w:pPr>
          </w:p>
        </w:tc>
        <w:tc>
          <w:tcPr>
            <w:tcW w:w="220" w:type="dxa"/>
            <w:vAlign w:val="bottom"/>
            <w:shd w:val="clear" w:color="auto" w:fill="000000"/>
          </w:tcPr>
          <w:p>
            <w:pPr>
              <w:spacing w:after="0"/>
              <w:rPr>
                <w:sz w:val="21"/>
                <w:szCs w:val="21"/>
                <w:color w:val="auto"/>
              </w:rPr>
            </w:pPr>
          </w:p>
        </w:tc>
        <w:tc>
          <w:tcPr>
            <w:tcW w:w="820" w:type="dxa"/>
            <w:vAlign w:val="bottom"/>
            <w:shd w:val="clear" w:color="auto" w:fill="000000"/>
          </w:tcPr>
          <w:p>
            <w:pPr>
              <w:spacing w:after="0"/>
              <w:rPr>
                <w:sz w:val="21"/>
                <w:szCs w:val="21"/>
                <w:color w:val="auto"/>
              </w:rPr>
            </w:pPr>
          </w:p>
        </w:tc>
        <w:tc>
          <w:tcPr>
            <w:tcW w:w="380" w:type="dxa"/>
            <w:vAlign w:val="bottom"/>
          </w:tcPr>
          <w:p>
            <w:pPr>
              <w:spacing w:after="0"/>
              <w:rPr>
                <w:sz w:val="21"/>
                <w:szCs w:val="21"/>
                <w:color w:val="auto"/>
              </w:rPr>
            </w:pPr>
          </w:p>
        </w:tc>
        <w:tc>
          <w:tcPr>
            <w:tcW w:w="120" w:type="dxa"/>
            <w:vAlign w:val="bottom"/>
            <w:shd w:val="clear" w:color="auto" w:fill="000000"/>
          </w:tcPr>
          <w:p>
            <w:pPr>
              <w:spacing w:after="0"/>
              <w:rPr>
                <w:sz w:val="21"/>
                <w:szCs w:val="21"/>
                <w:color w:val="auto"/>
              </w:rPr>
            </w:pPr>
          </w:p>
        </w:tc>
        <w:tc>
          <w:tcPr>
            <w:tcW w:w="1140" w:type="dxa"/>
            <w:vAlign w:val="bottom"/>
            <w:shd w:val="clear" w:color="auto" w:fill="000000"/>
          </w:tcPr>
          <w:p>
            <w:pPr>
              <w:spacing w:after="0"/>
              <w:rPr>
                <w:sz w:val="21"/>
                <w:szCs w:val="21"/>
                <w:color w:val="auto"/>
              </w:rPr>
            </w:pPr>
          </w:p>
        </w:tc>
        <w:tc>
          <w:tcPr>
            <w:tcW w:w="0" w:type="dxa"/>
            <w:vAlign w:val="bottom"/>
          </w:tcPr>
          <w:p>
            <w:pPr>
              <w:spacing w:after="0"/>
              <w:rPr>
                <w:sz w:val="1"/>
                <w:szCs w:val="1"/>
                <w:color w:val="auto"/>
              </w:rPr>
            </w:pPr>
          </w:p>
        </w:tc>
      </w:tr>
      <w:tr>
        <w:trPr>
          <w:trHeight w:val="525"/>
        </w:trPr>
        <w:tc>
          <w:tcPr>
            <w:tcW w:w="5340" w:type="dxa"/>
            <w:vAlign w:val="bottom"/>
          </w:tcPr>
          <w:p>
            <w:pPr>
              <w:spacing w:after="0"/>
              <w:rPr>
                <w:sz w:val="20"/>
                <w:szCs w:val="20"/>
                <w:color w:val="auto"/>
              </w:rPr>
            </w:pPr>
            <w:r>
              <w:rPr>
                <w:rFonts w:ascii="Arial" w:cs="Arial" w:eastAsia="Arial" w:hAnsi="Arial"/>
                <w:sz w:val="18"/>
                <w:szCs w:val="18"/>
                <w:color w:val="auto"/>
              </w:rPr>
              <w:t>Nuclear decommissioning trusts</w:t>
            </w:r>
          </w:p>
        </w:tc>
        <w:tc>
          <w:tcPr>
            <w:tcW w:w="220" w:type="dxa"/>
            <w:vAlign w:val="bottom"/>
          </w:tcPr>
          <w:p>
            <w:pPr>
              <w:spacing w:after="0"/>
              <w:rPr>
                <w:sz w:val="24"/>
                <w:szCs w:val="24"/>
                <w:color w:val="auto"/>
              </w:rPr>
            </w:pPr>
          </w:p>
        </w:tc>
        <w:tc>
          <w:tcPr>
            <w:tcW w:w="820" w:type="dxa"/>
            <w:vAlign w:val="bottom"/>
          </w:tcPr>
          <w:p>
            <w:pPr>
              <w:jc w:val="right"/>
              <w:ind w:right="32"/>
              <w:spacing w:after="0"/>
              <w:rPr>
                <w:sz w:val="20"/>
                <w:szCs w:val="20"/>
                <w:color w:val="auto"/>
              </w:rPr>
            </w:pPr>
            <w:r>
              <w:rPr>
                <w:rFonts w:ascii="Arial" w:cs="Arial" w:eastAsia="Arial" w:hAnsi="Arial"/>
                <w:sz w:val="18"/>
                <w:szCs w:val="18"/>
                <w:color w:val="auto"/>
              </w:rPr>
              <w:t>638</w:t>
            </w: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612</w:t>
            </w:r>
          </w:p>
        </w:tc>
        <w:tc>
          <w:tcPr>
            <w:tcW w:w="0" w:type="dxa"/>
            <w:vAlign w:val="bottom"/>
          </w:tcPr>
          <w:p>
            <w:pPr>
              <w:spacing w:after="0"/>
              <w:rPr>
                <w:sz w:val="1"/>
                <w:szCs w:val="1"/>
                <w:color w:val="auto"/>
              </w:rPr>
            </w:pPr>
          </w:p>
        </w:tc>
      </w:tr>
      <w:tr>
        <w:trPr>
          <w:trHeight w:val="259"/>
        </w:trPr>
        <w:tc>
          <w:tcPr>
            <w:tcW w:w="5340" w:type="dxa"/>
            <w:vAlign w:val="bottom"/>
            <w:vMerge w:val="restart"/>
          </w:tcPr>
          <w:p>
            <w:pPr>
              <w:spacing w:after="0"/>
              <w:rPr>
                <w:sz w:val="20"/>
                <w:szCs w:val="20"/>
                <w:color w:val="auto"/>
              </w:rPr>
            </w:pPr>
            <w:r>
              <w:rPr>
                <w:rFonts w:ascii="Arial" w:cs="Arial" w:eastAsia="Arial" w:hAnsi="Arial"/>
                <w:sz w:val="18"/>
                <w:szCs w:val="18"/>
                <w:color w:val="auto"/>
              </w:rPr>
              <w:t>Current assets:</w:t>
            </w:r>
          </w:p>
        </w:tc>
        <w:tc>
          <w:tcPr>
            <w:tcW w:w="220" w:type="dxa"/>
            <w:vAlign w:val="bottom"/>
            <w:shd w:val="clear" w:color="auto" w:fill="000000"/>
          </w:tcPr>
          <w:p>
            <w:pPr>
              <w:spacing w:after="0"/>
              <w:rPr>
                <w:sz w:val="22"/>
                <w:szCs w:val="22"/>
                <w:color w:val="auto"/>
              </w:rPr>
            </w:pPr>
          </w:p>
        </w:tc>
        <w:tc>
          <w:tcPr>
            <w:tcW w:w="820" w:type="dxa"/>
            <w:vAlign w:val="bottom"/>
            <w:shd w:val="clear" w:color="auto" w:fill="000000"/>
          </w:tcPr>
          <w:p>
            <w:pPr>
              <w:spacing w:after="0"/>
              <w:rPr>
                <w:sz w:val="22"/>
                <w:szCs w:val="22"/>
                <w:color w:val="auto"/>
              </w:rPr>
            </w:pPr>
          </w:p>
        </w:tc>
        <w:tc>
          <w:tcPr>
            <w:tcW w:w="380" w:type="dxa"/>
            <w:vAlign w:val="bottom"/>
          </w:tcPr>
          <w:p>
            <w:pPr>
              <w:spacing w:after="0"/>
              <w:rPr>
                <w:sz w:val="22"/>
                <w:szCs w:val="22"/>
                <w:color w:val="auto"/>
              </w:rPr>
            </w:pPr>
          </w:p>
        </w:tc>
        <w:tc>
          <w:tcPr>
            <w:tcW w:w="120" w:type="dxa"/>
            <w:vAlign w:val="bottom"/>
            <w:shd w:val="clear" w:color="auto" w:fill="000000"/>
          </w:tcPr>
          <w:p>
            <w:pPr>
              <w:spacing w:after="0"/>
              <w:rPr>
                <w:sz w:val="22"/>
                <w:szCs w:val="22"/>
                <w:color w:val="auto"/>
              </w:rPr>
            </w:pPr>
          </w:p>
        </w:tc>
        <w:tc>
          <w:tcPr>
            <w:tcW w:w="1140" w:type="dxa"/>
            <w:vAlign w:val="bottom"/>
            <w:shd w:val="clear" w:color="auto" w:fill="000000"/>
          </w:tcPr>
          <w:p>
            <w:pPr>
              <w:spacing w:after="0"/>
              <w:rPr>
                <w:sz w:val="22"/>
                <w:szCs w:val="22"/>
                <w:color w:val="auto"/>
              </w:rPr>
            </w:pPr>
          </w:p>
        </w:tc>
        <w:tc>
          <w:tcPr>
            <w:tcW w:w="0" w:type="dxa"/>
            <w:vAlign w:val="bottom"/>
          </w:tcPr>
          <w:p>
            <w:pPr>
              <w:spacing w:after="0"/>
              <w:rPr>
                <w:sz w:val="1"/>
                <w:szCs w:val="1"/>
                <w:color w:val="auto"/>
              </w:rPr>
            </w:pPr>
          </w:p>
        </w:tc>
      </w:tr>
      <w:tr>
        <w:trPr>
          <w:trHeight w:val="497"/>
        </w:trPr>
        <w:tc>
          <w:tcPr>
            <w:tcW w:w="534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976" w:orient="portrait"/>
          <w:cols w:equalWidth="0" w:num="1">
            <w:col w:w="9019"/>
          </w:cols>
          <w:pgMar w:left="1440" w:top="185" w:right="1440" w:bottom="0" w:gutter="0" w:footer="0" w:header="0"/>
        </w:sectPr>
      </w:pPr>
    </w:p>
    <w:bookmarkStart w:id="23" w:name="page24"/>
    <w:bookmarkEnd w:id="23"/>
    <w:p>
      <w:pPr>
        <w:spacing w:after="0" w:line="30" w:lineRule="exact"/>
        <w:rPr>
          <w:sz w:val="20"/>
          <w:szCs w:val="20"/>
          <w:color w:val="auto"/>
        </w:rPr>
      </w:pPr>
    </w:p>
    <w:tbl>
      <w:tblPr>
        <w:tblLayout w:type="fixed"/>
        <w:tblInd w:w="520" w:type="dxa"/>
        <w:tblCellMar>
          <w:top w:w="0" w:type="dxa"/>
          <w:left w:w="0" w:type="dxa"/>
          <w:bottom w:w="0" w:type="dxa"/>
          <w:right w:w="0" w:type="dxa"/>
        </w:tblCellMar>
      </w:tblPr>
      <w:tr>
        <w:trPr>
          <w:trHeight w:val="222"/>
        </w:trPr>
        <w:tc>
          <w:tcPr>
            <w:tcW w:w="5340" w:type="dxa"/>
            <w:vAlign w:val="bottom"/>
          </w:tcPr>
          <w:p>
            <w:pPr>
              <w:ind w:left="140"/>
              <w:spacing w:after="0"/>
              <w:rPr>
                <w:sz w:val="20"/>
                <w:szCs w:val="20"/>
                <w:color w:val="auto"/>
              </w:rPr>
            </w:pPr>
            <w:r>
              <w:rPr>
                <w:rFonts w:ascii="Arial" w:cs="Arial" w:eastAsia="Arial" w:hAnsi="Arial"/>
                <w:sz w:val="18"/>
                <w:szCs w:val="18"/>
                <w:color w:val="auto"/>
              </w:rPr>
              <w:t>Cash and cash equivalents</w:t>
            </w:r>
          </w:p>
        </w:tc>
        <w:tc>
          <w:tcPr>
            <w:tcW w:w="320" w:type="dxa"/>
            <w:vAlign w:val="bottom"/>
          </w:tcPr>
          <w:p>
            <w:pPr>
              <w:spacing w:after="0"/>
              <w:rPr>
                <w:sz w:val="19"/>
                <w:szCs w:val="19"/>
                <w:color w:val="auto"/>
              </w:rPr>
            </w:pPr>
          </w:p>
        </w:tc>
        <w:tc>
          <w:tcPr>
            <w:tcW w:w="720" w:type="dxa"/>
            <w:vAlign w:val="bottom"/>
          </w:tcPr>
          <w:p>
            <w:pPr>
              <w:jc w:val="right"/>
              <w:ind w:right="32"/>
              <w:spacing w:after="0"/>
              <w:rPr>
                <w:sz w:val="20"/>
                <w:szCs w:val="20"/>
                <w:color w:val="auto"/>
              </w:rPr>
            </w:pPr>
            <w:r>
              <w:rPr>
                <w:rFonts w:ascii="Arial" w:cs="Arial" w:eastAsia="Arial" w:hAnsi="Arial"/>
                <w:sz w:val="18"/>
                <w:szCs w:val="18"/>
                <w:color w:val="auto"/>
              </w:rPr>
              <w:t>236</w:t>
            </w:r>
          </w:p>
        </w:tc>
        <w:tc>
          <w:tcPr>
            <w:tcW w:w="3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40" w:type="dxa"/>
            <w:vAlign w:val="bottom"/>
          </w:tcPr>
          <w:p>
            <w:pPr>
              <w:jc w:val="right"/>
              <w:ind w:right="32"/>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70"/>
        </w:trPr>
        <w:tc>
          <w:tcPr>
            <w:tcW w:w="5340" w:type="dxa"/>
            <w:vAlign w:val="bottom"/>
          </w:tcPr>
          <w:p>
            <w:pPr>
              <w:ind w:left="140"/>
              <w:spacing w:after="0"/>
              <w:rPr>
                <w:sz w:val="20"/>
                <w:szCs w:val="20"/>
                <w:color w:val="auto"/>
              </w:rPr>
            </w:pPr>
            <w:r>
              <w:rPr>
                <w:rFonts w:ascii="Arial" w:cs="Arial" w:eastAsia="Arial" w:hAnsi="Arial"/>
                <w:sz w:val="18"/>
                <w:szCs w:val="18"/>
                <w:color w:val="auto"/>
              </w:rPr>
              <w:t>Accounts receivable - trade</w:t>
            </w:r>
          </w:p>
        </w:tc>
        <w:tc>
          <w:tcPr>
            <w:tcW w:w="320" w:type="dxa"/>
            <w:vAlign w:val="bottom"/>
          </w:tcPr>
          <w:p>
            <w:pPr>
              <w:spacing w:after="0"/>
              <w:rPr>
                <w:sz w:val="23"/>
                <w:szCs w:val="23"/>
                <w:color w:val="auto"/>
              </w:rPr>
            </w:pPr>
          </w:p>
        </w:tc>
        <w:tc>
          <w:tcPr>
            <w:tcW w:w="720" w:type="dxa"/>
            <w:vAlign w:val="bottom"/>
          </w:tcPr>
          <w:p>
            <w:pPr>
              <w:jc w:val="right"/>
              <w:ind w:right="32"/>
              <w:spacing w:after="0"/>
              <w:rPr>
                <w:sz w:val="20"/>
                <w:szCs w:val="20"/>
                <w:color w:val="auto"/>
              </w:rPr>
            </w:pPr>
            <w:r>
              <w:rPr>
                <w:rFonts w:ascii="Arial" w:cs="Arial" w:eastAsia="Arial" w:hAnsi="Arial"/>
                <w:sz w:val="18"/>
                <w:szCs w:val="18"/>
                <w:color w:val="auto"/>
              </w:rPr>
              <w:t>188</w:t>
            </w:r>
          </w:p>
        </w:tc>
        <w:tc>
          <w:tcPr>
            <w:tcW w:w="3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40" w:type="dxa"/>
            <w:vAlign w:val="bottom"/>
          </w:tcPr>
          <w:p>
            <w:pPr>
              <w:jc w:val="right"/>
              <w:ind w:right="32"/>
              <w:spacing w:after="0"/>
              <w:rPr>
                <w:sz w:val="20"/>
                <w:szCs w:val="20"/>
                <w:color w:val="auto"/>
              </w:rPr>
            </w:pPr>
            <w:r>
              <w:rPr>
                <w:rFonts w:ascii="Arial" w:cs="Arial" w:eastAsia="Arial" w:hAnsi="Arial"/>
                <w:sz w:val="18"/>
                <w:szCs w:val="18"/>
                <w:color w:val="auto"/>
              </w:rPr>
              <w:t>185</w:t>
            </w:r>
          </w:p>
        </w:tc>
        <w:tc>
          <w:tcPr>
            <w:tcW w:w="0" w:type="dxa"/>
            <w:vAlign w:val="bottom"/>
          </w:tcPr>
          <w:p>
            <w:pPr>
              <w:spacing w:after="0"/>
              <w:rPr>
                <w:sz w:val="1"/>
                <w:szCs w:val="1"/>
                <w:color w:val="auto"/>
              </w:rPr>
            </w:pPr>
          </w:p>
        </w:tc>
      </w:tr>
      <w:tr>
        <w:trPr>
          <w:trHeight w:val="270"/>
        </w:trPr>
        <w:tc>
          <w:tcPr>
            <w:tcW w:w="5340" w:type="dxa"/>
            <w:vAlign w:val="bottom"/>
          </w:tcPr>
          <w:p>
            <w:pPr>
              <w:ind w:left="140"/>
              <w:spacing w:after="0"/>
              <w:rPr>
                <w:sz w:val="20"/>
                <w:szCs w:val="20"/>
                <w:color w:val="auto"/>
              </w:rPr>
            </w:pPr>
            <w:r>
              <w:rPr>
                <w:rFonts w:ascii="Arial" w:cs="Arial" w:eastAsia="Arial" w:hAnsi="Arial"/>
                <w:sz w:val="18"/>
                <w:szCs w:val="18"/>
                <w:color w:val="auto"/>
              </w:rPr>
              <w:t>Accounts receivable - other</w:t>
            </w:r>
          </w:p>
        </w:tc>
        <w:tc>
          <w:tcPr>
            <w:tcW w:w="320" w:type="dxa"/>
            <w:vAlign w:val="bottom"/>
          </w:tcPr>
          <w:p>
            <w:pPr>
              <w:spacing w:after="0"/>
              <w:rPr>
                <w:sz w:val="23"/>
                <w:szCs w:val="23"/>
                <w:color w:val="auto"/>
              </w:rPr>
            </w:pPr>
          </w:p>
        </w:tc>
        <w:tc>
          <w:tcPr>
            <w:tcW w:w="720" w:type="dxa"/>
            <w:vAlign w:val="bottom"/>
          </w:tcPr>
          <w:p>
            <w:pPr>
              <w:jc w:val="right"/>
              <w:ind w:right="32"/>
              <w:spacing w:after="0"/>
              <w:rPr>
                <w:sz w:val="20"/>
                <w:szCs w:val="20"/>
                <w:color w:val="auto"/>
              </w:rPr>
            </w:pPr>
            <w:r>
              <w:rPr>
                <w:rFonts w:ascii="Arial" w:cs="Arial" w:eastAsia="Arial" w:hAnsi="Arial"/>
                <w:sz w:val="18"/>
                <w:szCs w:val="18"/>
                <w:color w:val="auto"/>
              </w:rPr>
              <w:t>83</w:t>
            </w:r>
          </w:p>
        </w:tc>
        <w:tc>
          <w:tcPr>
            <w:tcW w:w="3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40" w:type="dxa"/>
            <w:vAlign w:val="bottom"/>
          </w:tcPr>
          <w:p>
            <w:pPr>
              <w:jc w:val="right"/>
              <w:ind w:right="32"/>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70"/>
        </w:trPr>
        <w:tc>
          <w:tcPr>
            <w:tcW w:w="5340" w:type="dxa"/>
            <w:vAlign w:val="bottom"/>
          </w:tcPr>
          <w:p>
            <w:pPr>
              <w:ind w:left="140"/>
              <w:spacing w:after="0"/>
              <w:rPr>
                <w:sz w:val="20"/>
                <w:szCs w:val="20"/>
                <w:color w:val="auto"/>
              </w:rPr>
            </w:pPr>
            <w:r>
              <w:rPr>
                <w:rFonts w:ascii="Arial" w:cs="Arial" w:eastAsia="Arial" w:hAnsi="Arial"/>
                <w:sz w:val="18"/>
                <w:szCs w:val="18"/>
                <w:color w:val="auto"/>
              </w:rPr>
              <w:t>Interest receivable</w:t>
            </w:r>
          </w:p>
        </w:tc>
        <w:tc>
          <w:tcPr>
            <w:tcW w:w="320" w:type="dxa"/>
            <w:vAlign w:val="bottom"/>
          </w:tcPr>
          <w:p>
            <w:pPr>
              <w:spacing w:after="0"/>
              <w:rPr>
                <w:sz w:val="23"/>
                <w:szCs w:val="23"/>
                <w:color w:val="auto"/>
              </w:rPr>
            </w:pPr>
          </w:p>
        </w:tc>
        <w:tc>
          <w:tcPr>
            <w:tcW w:w="720" w:type="dxa"/>
            <w:vAlign w:val="bottom"/>
          </w:tcPr>
          <w:p>
            <w:pPr>
              <w:jc w:val="right"/>
              <w:ind w:right="32"/>
              <w:spacing w:after="0"/>
              <w:rPr>
                <w:sz w:val="20"/>
                <w:szCs w:val="20"/>
                <w:color w:val="auto"/>
              </w:rPr>
            </w:pPr>
            <w:r>
              <w:rPr>
                <w:rFonts w:ascii="Arial" w:cs="Arial" w:eastAsia="Arial" w:hAnsi="Arial"/>
                <w:sz w:val="18"/>
                <w:szCs w:val="18"/>
                <w:color w:val="auto"/>
              </w:rPr>
              <w:t>17</w:t>
            </w:r>
          </w:p>
        </w:tc>
        <w:tc>
          <w:tcPr>
            <w:tcW w:w="3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40" w:type="dxa"/>
            <w:vAlign w:val="bottom"/>
          </w:tcPr>
          <w:p>
            <w:pPr>
              <w:jc w:val="right"/>
              <w:ind w:right="32"/>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70"/>
        </w:trPr>
        <w:tc>
          <w:tcPr>
            <w:tcW w:w="5340" w:type="dxa"/>
            <w:vAlign w:val="bottom"/>
          </w:tcPr>
          <w:p>
            <w:pPr>
              <w:ind w:left="140"/>
              <w:spacing w:after="0"/>
              <w:rPr>
                <w:sz w:val="20"/>
                <w:szCs w:val="20"/>
                <w:color w:val="auto"/>
              </w:rPr>
            </w:pPr>
            <w:r>
              <w:rPr>
                <w:rFonts w:ascii="Arial" w:cs="Arial" w:eastAsia="Arial" w:hAnsi="Arial"/>
                <w:sz w:val="18"/>
                <w:szCs w:val="18"/>
                <w:color w:val="auto"/>
              </w:rPr>
              <w:t>Due from unconsolidated affiliates</w:t>
            </w:r>
          </w:p>
        </w:tc>
        <w:tc>
          <w:tcPr>
            <w:tcW w:w="320" w:type="dxa"/>
            <w:vAlign w:val="bottom"/>
          </w:tcPr>
          <w:p>
            <w:pPr>
              <w:spacing w:after="0"/>
              <w:rPr>
                <w:sz w:val="23"/>
                <w:szCs w:val="23"/>
                <w:color w:val="auto"/>
              </w:rPr>
            </w:pPr>
          </w:p>
        </w:tc>
        <w:tc>
          <w:tcPr>
            <w:tcW w:w="720" w:type="dxa"/>
            <w:vAlign w:val="bottom"/>
          </w:tcPr>
          <w:p>
            <w:pPr>
              <w:jc w:val="right"/>
              <w:ind w:right="32"/>
              <w:spacing w:after="0"/>
              <w:rPr>
                <w:sz w:val="20"/>
                <w:szCs w:val="20"/>
                <w:color w:val="auto"/>
              </w:rPr>
            </w:pPr>
            <w:r>
              <w:rPr>
                <w:rFonts w:ascii="Arial" w:cs="Arial" w:eastAsia="Arial" w:hAnsi="Arial"/>
                <w:sz w:val="18"/>
                <w:szCs w:val="18"/>
                <w:color w:val="auto"/>
              </w:rPr>
              <w:t>32</w:t>
            </w:r>
          </w:p>
        </w:tc>
        <w:tc>
          <w:tcPr>
            <w:tcW w:w="3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40" w:type="dxa"/>
            <w:vAlign w:val="bottom"/>
          </w:tcPr>
          <w:p>
            <w:pPr>
              <w:jc w:val="right"/>
              <w:ind w:right="32"/>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70"/>
        </w:trPr>
        <w:tc>
          <w:tcPr>
            <w:tcW w:w="5340" w:type="dxa"/>
            <w:vAlign w:val="bottom"/>
          </w:tcPr>
          <w:p>
            <w:pPr>
              <w:ind w:left="140"/>
              <w:spacing w:after="0"/>
              <w:rPr>
                <w:sz w:val="20"/>
                <w:szCs w:val="20"/>
                <w:color w:val="auto"/>
              </w:rPr>
            </w:pPr>
            <w:r>
              <w:rPr>
                <w:rFonts w:ascii="Arial" w:cs="Arial" w:eastAsia="Arial" w:hAnsi="Arial"/>
                <w:sz w:val="18"/>
                <w:szCs w:val="18"/>
                <w:color w:val="auto"/>
              </w:rPr>
              <w:t>Deferred income taxes</w:t>
            </w:r>
          </w:p>
        </w:tc>
        <w:tc>
          <w:tcPr>
            <w:tcW w:w="320" w:type="dxa"/>
            <w:vAlign w:val="bottom"/>
          </w:tcPr>
          <w:p>
            <w:pPr>
              <w:spacing w:after="0"/>
              <w:rPr>
                <w:sz w:val="23"/>
                <w:szCs w:val="23"/>
                <w:color w:val="auto"/>
              </w:rPr>
            </w:pPr>
          </w:p>
        </w:tc>
        <w:tc>
          <w:tcPr>
            <w:tcW w:w="720" w:type="dxa"/>
            <w:vAlign w:val="bottom"/>
          </w:tcPr>
          <w:p>
            <w:pPr>
              <w:jc w:val="right"/>
              <w:ind w:right="32"/>
              <w:spacing w:after="0"/>
              <w:rPr>
                <w:sz w:val="20"/>
                <w:szCs w:val="20"/>
                <w:color w:val="auto"/>
              </w:rPr>
            </w:pPr>
            <w:r>
              <w:rPr>
                <w:rFonts w:ascii="Arial" w:cs="Arial" w:eastAsia="Arial" w:hAnsi="Arial"/>
                <w:sz w:val="18"/>
                <w:szCs w:val="18"/>
                <w:color w:val="auto"/>
              </w:rPr>
              <w:t>7</w:t>
            </w:r>
          </w:p>
        </w:tc>
        <w:tc>
          <w:tcPr>
            <w:tcW w:w="3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4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340" w:type="dxa"/>
            <w:vAlign w:val="bottom"/>
          </w:tcPr>
          <w:p>
            <w:pPr>
              <w:ind w:left="140"/>
              <w:spacing w:after="0"/>
              <w:rPr>
                <w:sz w:val="20"/>
                <w:szCs w:val="20"/>
                <w:color w:val="auto"/>
              </w:rPr>
            </w:pPr>
            <w:r>
              <w:rPr>
                <w:rFonts w:ascii="Arial" w:cs="Arial" w:eastAsia="Arial" w:hAnsi="Arial"/>
                <w:sz w:val="18"/>
                <w:szCs w:val="18"/>
                <w:color w:val="auto"/>
              </w:rPr>
              <w:t>Regulatory assets arising from fixed-price contracts</w:t>
            </w:r>
          </w:p>
        </w:tc>
        <w:tc>
          <w:tcPr>
            <w:tcW w:w="3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340" w:type="dxa"/>
            <w:vAlign w:val="bottom"/>
          </w:tcPr>
          <w:p>
            <w:pPr>
              <w:ind w:left="320"/>
              <w:spacing w:after="0"/>
              <w:rPr>
                <w:sz w:val="20"/>
                <w:szCs w:val="20"/>
                <w:color w:val="auto"/>
              </w:rPr>
            </w:pPr>
            <w:r>
              <w:rPr>
                <w:rFonts w:ascii="Arial" w:cs="Arial" w:eastAsia="Arial" w:hAnsi="Arial"/>
                <w:sz w:val="18"/>
                <w:szCs w:val="18"/>
                <w:color w:val="auto"/>
              </w:rPr>
              <w:t>and other derivatives</w:t>
            </w:r>
          </w:p>
        </w:tc>
        <w:tc>
          <w:tcPr>
            <w:tcW w:w="320" w:type="dxa"/>
            <w:vAlign w:val="bottom"/>
          </w:tcPr>
          <w:p>
            <w:pPr>
              <w:spacing w:after="0"/>
              <w:rPr>
                <w:sz w:val="21"/>
                <w:szCs w:val="21"/>
                <w:color w:val="auto"/>
              </w:rPr>
            </w:pPr>
          </w:p>
        </w:tc>
        <w:tc>
          <w:tcPr>
            <w:tcW w:w="720" w:type="dxa"/>
            <w:vAlign w:val="bottom"/>
          </w:tcPr>
          <w:p>
            <w:pPr>
              <w:jc w:val="right"/>
              <w:ind w:right="32"/>
              <w:spacing w:after="0"/>
              <w:rPr>
                <w:sz w:val="20"/>
                <w:szCs w:val="20"/>
                <w:color w:val="auto"/>
              </w:rPr>
            </w:pPr>
            <w:r>
              <w:rPr>
                <w:rFonts w:ascii="Arial" w:cs="Arial" w:eastAsia="Arial" w:hAnsi="Arial"/>
                <w:sz w:val="18"/>
                <w:szCs w:val="18"/>
                <w:color w:val="auto"/>
              </w:rPr>
              <w:t>76</w:t>
            </w:r>
          </w:p>
        </w:tc>
        <w:tc>
          <w:tcPr>
            <w:tcW w:w="3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40" w:type="dxa"/>
            <w:vAlign w:val="bottom"/>
          </w:tcPr>
          <w:p>
            <w:pPr>
              <w:jc w:val="right"/>
              <w:ind w:right="32"/>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70"/>
        </w:trPr>
        <w:tc>
          <w:tcPr>
            <w:tcW w:w="5340" w:type="dxa"/>
            <w:vAlign w:val="bottom"/>
          </w:tcPr>
          <w:p>
            <w:pPr>
              <w:ind w:left="140"/>
              <w:spacing w:after="0"/>
              <w:rPr>
                <w:sz w:val="20"/>
                <w:szCs w:val="20"/>
                <w:color w:val="auto"/>
              </w:rPr>
            </w:pPr>
            <w:r>
              <w:rPr>
                <w:rFonts w:ascii="Arial" w:cs="Arial" w:eastAsia="Arial" w:hAnsi="Arial"/>
                <w:sz w:val="18"/>
                <w:szCs w:val="18"/>
                <w:color w:val="auto"/>
              </w:rPr>
              <w:t>Other regulatory assets</w:t>
            </w:r>
          </w:p>
        </w:tc>
        <w:tc>
          <w:tcPr>
            <w:tcW w:w="320" w:type="dxa"/>
            <w:vAlign w:val="bottom"/>
          </w:tcPr>
          <w:p>
            <w:pPr>
              <w:spacing w:after="0"/>
              <w:rPr>
                <w:sz w:val="23"/>
                <w:szCs w:val="23"/>
                <w:color w:val="auto"/>
              </w:rPr>
            </w:pPr>
          </w:p>
        </w:tc>
        <w:tc>
          <w:tcPr>
            <w:tcW w:w="720" w:type="dxa"/>
            <w:vAlign w:val="bottom"/>
          </w:tcPr>
          <w:p>
            <w:pPr>
              <w:jc w:val="right"/>
              <w:ind w:right="32"/>
              <w:spacing w:after="0"/>
              <w:rPr>
                <w:sz w:val="20"/>
                <w:szCs w:val="20"/>
                <w:color w:val="auto"/>
              </w:rPr>
            </w:pPr>
            <w:r>
              <w:rPr>
                <w:rFonts w:ascii="Arial" w:cs="Arial" w:eastAsia="Arial" w:hAnsi="Arial"/>
                <w:sz w:val="18"/>
                <w:szCs w:val="18"/>
                <w:color w:val="auto"/>
              </w:rPr>
              <w:t>91</w:t>
            </w:r>
          </w:p>
        </w:tc>
        <w:tc>
          <w:tcPr>
            <w:tcW w:w="3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40" w:type="dxa"/>
            <w:vAlign w:val="bottom"/>
          </w:tcPr>
          <w:p>
            <w:pPr>
              <w:jc w:val="right"/>
              <w:ind w:right="32"/>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70"/>
        </w:trPr>
        <w:tc>
          <w:tcPr>
            <w:tcW w:w="5340" w:type="dxa"/>
            <w:vAlign w:val="bottom"/>
          </w:tcPr>
          <w:p>
            <w:pPr>
              <w:ind w:left="140"/>
              <w:spacing w:after="0"/>
              <w:rPr>
                <w:sz w:val="20"/>
                <w:szCs w:val="20"/>
                <w:color w:val="auto"/>
              </w:rPr>
            </w:pPr>
            <w:r>
              <w:rPr>
                <w:rFonts w:ascii="Arial" w:cs="Arial" w:eastAsia="Arial" w:hAnsi="Arial"/>
                <w:sz w:val="18"/>
                <w:szCs w:val="18"/>
                <w:color w:val="auto"/>
              </w:rPr>
              <w:t>Inventories</w:t>
            </w:r>
          </w:p>
        </w:tc>
        <w:tc>
          <w:tcPr>
            <w:tcW w:w="320" w:type="dxa"/>
            <w:vAlign w:val="bottom"/>
          </w:tcPr>
          <w:p>
            <w:pPr>
              <w:spacing w:after="0"/>
              <w:rPr>
                <w:sz w:val="23"/>
                <w:szCs w:val="23"/>
                <w:color w:val="auto"/>
              </w:rPr>
            </w:pPr>
          </w:p>
        </w:tc>
        <w:tc>
          <w:tcPr>
            <w:tcW w:w="720" w:type="dxa"/>
            <w:vAlign w:val="bottom"/>
          </w:tcPr>
          <w:p>
            <w:pPr>
              <w:jc w:val="right"/>
              <w:ind w:right="32"/>
              <w:spacing w:after="0"/>
              <w:rPr>
                <w:sz w:val="20"/>
                <w:szCs w:val="20"/>
                <w:color w:val="auto"/>
              </w:rPr>
            </w:pPr>
            <w:r>
              <w:rPr>
                <w:rFonts w:ascii="Arial" w:cs="Arial" w:eastAsia="Arial" w:hAnsi="Arial"/>
                <w:sz w:val="18"/>
                <w:szCs w:val="18"/>
                <w:color w:val="auto"/>
              </w:rPr>
              <w:t>78</w:t>
            </w:r>
          </w:p>
        </w:tc>
        <w:tc>
          <w:tcPr>
            <w:tcW w:w="3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40" w:type="dxa"/>
            <w:vAlign w:val="bottom"/>
          </w:tcPr>
          <w:p>
            <w:pPr>
              <w:jc w:val="right"/>
              <w:ind w:right="32"/>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78"/>
        </w:trPr>
        <w:tc>
          <w:tcPr>
            <w:tcW w:w="5340" w:type="dxa"/>
            <w:vAlign w:val="bottom"/>
          </w:tcPr>
          <w:p>
            <w:pPr>
              <w:ind w:left="140"/>
              <w:spacing w:after="0"/>
              <w:rPr>
                <w:sz w:val="20"/>
                <w:szCs w:val="20"/>
                <w:color w:val="auto"/>
              </w:rPr>
            </w:pPr>
            <w:r>
              <w:rPr>
                <w:rFonts w:ascii="Arial" w:cs="Arial" w:eastAsia="Arial" w:hAnsi="Arial"/>
                <w:sz w:val="18"/>
                <w:szCs w:val="18"/>
                <w:color w:val="auto"/>
              </w:rPr>
              <w:t>Other</w:t>
            </w:r>
          </w:p>
        </w:tc>
        <w:tc>
          <w:tcPr>
            <w:tcW w:w="320" w:type="dxa"/>
            <w:vAlign w:val="bottom"/>
          </w:tcPr>
          <w:p>
            <w:pPr>
              <w:spacing w:after="0"/>
              <w:rPr>
                <w:sz w:val="24"/>
                <w:szCs w:val="24"/>
                <w:color w:val="auto"/>
              </w:rPr>
            </w:pPr>
          </w:p>
        </w:tc>
        <w:tc>
          <w:tcPr>
            <w:tcW w:w="720" w:type="dxa"/>
            <w:vAlign w:val="bottom"/>
          </w:tcPr>
          <w:p>
            <w:pPr>
              <w:jc w:val="right"/>
              <w:ind w:right="32"/>
              <w:spacing w:after="0"/>
              <w:rPr>
                <w:sz w:val="20"/>
                <w:szCs w:val="20"/>
                <w:color w:val="auto"/>
              </w:rPr>
            </w:pPr>
            <w:r>
              <w:rPr>
                <w:rFonts w:ascii="Arial" w:cs="Arial" w:eastAsia="Arial" w:hAnsi="Arial"/>
                <w:sz w:val="18"/>
                <w:szCs w:val="18"/>
                <w:color w:val="auto"/>
              </w:rPr>
              <w:t>39</w:t>
            </w:r>
          </w:p>
        </w:tc>
        <w:tc>
          <w:tcPr>
            <w:tcW w:w="3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40" w:type="dxa"/>
            <w:vAlign w:val="bottom"/>
          </w:tcPr>
          <w:p>
            <w:pPr>
              <w:jc w:val="right"/>
              <w:ind w:right="32"/>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51"/>
        </w:trPr>
        <w:tc>
          <w:tcPr>
            <w:tcW w:w="5340" w:type="dxa"/>
            <w:vAlign w:val="bottom"/>
          </w:tcPr>
          <w:p>
            <w:pPr>
              <w:spacing w:after="0"/>
              <w:rPr>
                <w:sz w:val="21"/>
                <w:szCs w:val="21"/>
                <w:color w:val="auto"/>
              </w:rPr>
            </w:pPr>
          </w:p>
        </w:tc>
        <w:tc>
          <w:tcPr>
            <w:tcW w:w="320" w:type="dxa"/>
            <w:vAlign w:val="bottom"/>
            <w:shd w:val="clear" w:color="auto" w:fill="000000"/>
          </w:tcPr>
          <w:p>
            <w:pPr>
              <w:spacing w:after="0"/>
              <w:rPr>
                <w:sz w:val="21"/>
                <w:szCs w:val="21"/>
                <w:color w:val="auto"/>
              </w:rPr>
            </w:pPr>
          </w:p>
        </w:tc>
        <w:tc>
          <w:tcPr>
            <w:tcW w:w="720" w:type="dxa"/>
            <w:vAlign w:val="bottom"/>
            <w:shd w:val="clear" w:color="auto" w:fill="000000"/>
          </w:tcPr>
          <w:p>
            <w:pPr>
              <w:spacing w:after="0"/>
              <w:rPr>
                <w:sz w:val="21"/>
                <w:szCs w:val="21"/>
                <w:color w:val="auto"/>
              </w:rPr>
            </w:pPr>
          </w:p>
        </w:tc>
        <w:tc>
          <w:tcPr>
            <w:tcW w:w="380" w:type="dxa"/>
            <w:vAlign w:val="bottom"/>
          </w:tcPr>
          <w:p>
            <w:pPr>
              <w:spacing w:after="0"/>
              <w:rPr>
                <w:sz w:val="21"/>
                <w:szCs w:val="21"/>
                <w:color w:val="auto"/>
              </w:rPr>
            </w:pPr>
          </w:p>
        </w:tc>
        <w:tc>
          <w:tcPr>
            <w:tcW w:w="420" w:type="dxa"/>
            <w:vAlign w:val="bottom"/>
            <w:shd w:val="clear" w:color="auto" w:fill="000000"/>
          </w:tcPr>
          <w:p>
            <w:pPr>
              <w:spacing w:after="0"/>
              <w:rPr>
                <w:sz w:val="21"/>
                <w:szCs w:val="21"/>
                <w:color w:val="auto"/>
              </w:rPr>
            </w:pPr>
          </w:p>
        </w:tc>
        <w:tc>
          <w:tcPr>
            <w:tcW w:w="840" w:type="dxa"/>
            <w:vAlign w:val="bottom"/>
            <w:shd w:val="clear" w:color="auto" w:fill="000000"/>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5340" w:type="dxa"/>
            <w:vAlign w:val="bottom"/>
          </w:tcPr>
          <w:p>
            <w:pPr>
              <w:ind w:left="260"/>
              <w:spacing w:after="0"/>
              <w:rPr>
                <w:sz w:val="20"/>
                <w:szCs w:val="20"/>
                <w:color w:val="auto"/>
              </w:rPr>
            </w:pPr>
            <w:r>
              <w:rPr>
                <w:rFonts w:ascii="Arial" w:cs="Arial" w:eastAsia="Arial" w:hAnsi="Arial"/>
                <w:sz w:val="18"/>
                <w:szCs w:val="18"/>
                <w:color w:val="auto"/>
              </w:rPr>
              <w:t>Total current assets</w:t>
            </w:r>
          </w:p>
        </w:tc>
        <w:tc>
          <w:tcPr>
            <w:tcW w:w="320" w:type="dxa"/>
            <w:vAlign w:val="bottom"/>
          </w:tcPr>
          <w:p>
            <w:pPr>
              <w:spacing w:after="0"/>
              <w:rPr>
                <w:sz w:val="22"/>
                <w:szCs w:val="22"/>
                <w:color w:val="auto"/>
              </w:rPr>
            </w:pPr>
          </w:p>
        </w:tc>
        <w:tc>
          <w:tcPr>
            <w:tcW w:w="720" w:type="dxa"/>
            <w:vAlign w:val="bottom"/>
          </w:tcPr>
          <w:p>
            <w:pPr>
              <w:jc w:val="right"/>
              <w:ind w:right="32"/>
              <w:spacing w:after="0"/>
              <w:rPr>
                <w:sz w:val="20"/>
                <w:szCs w:val="20"/>
                <w:color w:val="auto"/>
              </w:rPr>
            </w:pPr>
            <w:r>
              <w:rPr>
                <w:rFonts w:ascii="Arial" w:cs="Arial" w:eastAsia="Arial" w:hAnsi="Arial"/>
                <w:sz w:val="18"/>
                <w:szCs w:val="18"/>
                <w:color w:val="auto"/>
              </w:rPr>
              <w:t>847</w:t>
            </w:r>
          </w:p>
        </w:tc>
        <w:tc>
          <w:tcPr>
            <w:tcW w:w="3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40" w:type="dxa"/>
            <w:vAlign w:val="bottom"/>
          </w:tcPr>
          <w:p>
            <w:pPr>
              <w:jc w:val="right"/>
              <w:ind w:right="32"/>
              <w:spacing w:after="0"/>
              <w:rPr>
                <w:sz w:val="20"/>
                <w:szCs w:val="20"/>
                <w:color w:val="auto"/>
              </w:rPr>
            </w:pPr>
            <w:r>
              <w:rPr>
                <w:rFonts w:ascii="Arial" w:cs="Arial" w:eastAsia="Arial" w:hAnsi="Arial"/>
                <w:sz w:val="18"/>
                <w:szCs w:val="18"/>
                <w:color w:val="auto"/>
              </w:rPr>
              <w:t>560</w:t>
            </w:r>
          </w:p>
        </w:tc>
        <w:tc>
          <w:tcPr>
            <w:tcW w:w="0" w:type="dxa"/>
            <w:vAlign w:val="bottom"/>
          </w:tcPr>
          <w:p>
            <w:pPr>
              <w:spacing w:after="0"/>
              <w:rPr>
                <w:sz w:val="1"/>
                <w:szCs w:val="1"/>
                <w:color w:val="auto"/>
              </w:rPr>
            </w:pPr>
          </w:p>
        </w:tc>
      </w:tr>
      <w:tr>
        <w:trPr>
          <w:trHeight w:val="259"/>
        </w:trPr>
        <w:tc>
          <w:tcPr>
            <w:tcW w:w="5340" w:type="dxa"/>
            <w:vAlign w:val="bottom"/>
            <w:vMerge w:val="restart"/>
          </w:tcPr>
          <w:p>
            <w:pPr>
              <w:spacing w:after="0"/>
              <w:rPr>
                <w:sz w:val="20"/>
                <w:szCs w:val="20"/>
                <w:color w:val="auto"/>
              </w:rPr>
            </w:pPr>
            <w:r>
              <w:rPr>
                <w:rFonts w:ascii="Arial" w:cs="Arial" w:eastAsia="Arial" w:hAnsi="Arial"/>
                <w:sz w:val="18"/>
                <w:szCs w:val="18"/>
                <w:color w:val="auto"/>
              </w:rPr>
              <w:t>Other assets:</w:t>
            </w:r>
          </w:p>
        </w:tc>
        <w:tc>
          <w:tcPr>
            <w:tcW w:w="320" w:type="dxa"/>
            <w:vAlign w:val="bottom"/>
            <w:shd w:val="clear" w:color="auto" w:fill="000000"/>
          </w:tcPr>
          <w:p>
            <w:pPr>
              <w:spacing w:after="0"/>
              <w:rPr>
                <w:sz w:val="22"/>
                <w:szCs w:val="22"/>
                <w:color w:val="auto"/>
              </w:rPr>
            </w:pPr>
          </w:p>
        </w:tc>
        <w:tc>
          <w:tcPr>
            <w:tcW w:w="720" w:type="dxa"/>
            <w:vAlign w:val="bottom"/>
            <w:shd w:val="clear" w:color="auto" w:fill="000000"/>
          </w:tcPr>
          <w:p>
            <w:pPr>
              <w:spacing w:after="0"/>
              <w:rPr>
                <w:sz w:val="22"/>
                <w:szCs w:val="22"/>
                <w:color w:val="auto"/>
              </w:rPr>
            </w:pPr>
          </w:p>
        </w:tc>
        <w:tc>
          <w:tcPr>
            <w:tcW w:w="380" w:type="dxa"/>
            <w:vAlign w:val="bottom"/>
          </w:tcPr>
          <w:p>
            <w:pPr>
              <w:spacing w:after="0"/>
              <w:rPr>
                <w:sz w:val="22"/>
                <w:szCs w:val="22"/>
                <w:color w:val="auto"/>
              </w:rPr>
            </w:pPr>
          </w:p>
        </w:tc>
        <w:tc>
          <w:tcPr>
            <w:tcW w:w="420" w:type="dxa"/>
            <w:vAlign w:val="bottom"/>
            <w:shd w:val="clear" w:color="auto" w:fill="000000"/>
          </w:tcPr>
          <w:p>
            <w:pPr>
              <w:spacing w:after="0"/>
              <w:rPr>
                <w:sz w:val="22"/>
                <w:szCs w:val="22"/>
                <w:color w:val="auto"/>
              </w:rPr>
            </w:pPr>
          </w:p>
        </w:tc>
        <w:tc>
          <w:tcPr>
            <w:tcW w:w="840" w:type="dxa"/>
            <w:vAlign w:val="bottom"/>
            <w:shd w:val="clear" w:color="auto" w:fill="000000"/>
          </w:tcPr>
          <w:p>
            <w:pPr>
              <w:spacing w:after="0"/>
              <w:rPr>
                <w:sz w:val="22"/>
                <w:szCs w:val="22"/>
                <w:color w:val="auto"/>
              </w:rPr>
            </w:pPr>
          </w:p>
        </w:tc>
        <w:tc>
          <w:tcPr>
            <w:tcW w:w="0" w:type="dxa"/>
            <w:vAlign w:val="bottom"/>
          </w:tcPr>
          <w:p>
            <w:pPr>
              <w:spacing w:after="0"/>
              <w:rPr>
                <w:sz w:val="1"/>
                <w:szCs w:val="1"/>
                <w:color w:val="auto"/>
              </w:rPr>
            </w:pPr>
          </w:p>
        </w:tc>
      </w:tr>
      <w:tr>
        <w:trPr>
          <w:trHeight w:val="525"/>
        </w:trPr>
        <w:tc>
          <w:tcPr>
            <w:tcW w:w="534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5340" w:type="dxa"/>
            <w:vAlign w:val="bottom"/>
          </w:tcPr>
          <w:p>
            <w:pPr>
              <w:ind w:left="140"/>
              <w:spacing w:after="0"/>
              <w:rPr>
                <w:sz w:val="20"/>
                <w:szCs w:val="20"/>
                <w:color w:val="auto"/>
              </w:rPr>
            </w:pPr>
            <w:r>
              <w:rPr>
                <w:rFonts w:ascii="Arial" w:cs="Arial" w:eastAsia="Arial" w:hAnsi="Arial"/>
                <w:sz w:val="18"/>
                <w:szCs w:val="18"/>
                <w:color w:val="auto"/>
              </w:rPr>
              <w:t>Deferred taxes recoverable in rates</w:t>
            </w:r>
          </w:p>
        </w:tc>
        <w:tc>
          <w:tcPr>
            <w:tcW w:w="320" w:type="dxa"/>
            <w:vAlign w:val="bottom"/>
          </w:tcPr>
          <w:p>
            <w:pPr>
              <w:spacing w:after="0"/>
              <w:rPr>
                <w:sz w:val="23"/>
                <w:szCs w:val="23"/>
                <w:color w:val="auto"/>
              </w:rPr>
            </w:pPr>
          </w:p>
        </w:tc>
        <w:tc>
          <w:tcPr>
            <w:tcW w:w="720" w:type="dxa"/>
            <w:vAlign w:val="bottom"/>
          </w:tcPr>
          <w:p>
            <w:pPr>
              <w:jc w:val="right"/>
              <w:ind w:right="32"/>
              <w:spacing w:after="0"/>
              <w:rPr>
                <w:sz w:val="20"/>
                <w:szCs w:val="20"/>
                <w:color w:val="auto"/>
              </w:rPr>
            </w:pPr>
            <w:r>
              <w:rPr>
                <w:rFonts w:ascii="Arial" w:cs="Arial" w:eastAsia="Arial" w:hAnsi="Arial"/>
                <w:sz w:val="18"/>
                <w:szCs w:val="18"/>
                <w:color w:val="auto"/>
              </w:rPr>
              <w:t>294</w:t>
            </w:r>
          </w:p>
        </w:tc>
        <w:tc>
          <w:tcPr>
            <w:tcW w:w="3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40" w:type="dxa"/>
            <w:vAlign w:val="bottom"/>
          </w:tcPr>
          <w:p>
            <w:pPr>
              <w:jc w:val="right"/>
              <w:ind w:right="32"/>
              <w:spacing w:after="0"/>
              <w:rPr>
                <w:sz w:val="20"/>
                <w:szCs w:val="20"/>
                <w:color w:val="auto"/>
              </w:rPr>
            </w:pPr>
            <w:r>
              <w:rPr>
                <w:rFonts w:ascii="Arial" w:cs="Arial" w:eastAsia="Arial" w:hAnsi="Arial"/>
                <w:sz w:val="18"/>
                <w:szCs w:val="18"/>
                <w:color w:val="auto"/>
              </w:rPr>
              <w:t>278</w:t>
            </w:r>
          </w:p>
        </w:tc>
        <w:tc>
          <w:tcPr>
            <w:tcW w:w="0" w:type="dxa"/>
            <w:vAlign w:val="bottom"/>
          </w:tcPr>
          <w:p>
            <w:pPr>
              <w:spacing w:after="0"/>
              <w:rPr>
                <w:sz w:val="1"/>
                <w:szCs w:val="1"/>
                <w:color w:val="auto"/>
              </w:rPr>
            </w:pPr>
          </w:p>
        </w:tc>
      </w:tr>
      <w:tr>
        <w:trPr>
          <w:trHeight w:val="243"/>
        </w:trPr>
        <w:tc>
          <w:tcPr>
            <w:tcW w:w="5340" w:type="dxa"/>
            <w:vAlign w:val="bottom"/>
          </w:tcPr>
          <w:p>
            <w:pPr>
              <w:ind w:left="140"/>
              <w:spacing w:after="0"/>
              <w:rPr>
                <w:sz w:val="20"/>
                <w:szCs w:val="20"/>
                <w:color w:val="auto"/>
              </w:rPr>
            </w:pPr>
            <w:r>
              <w:rPr>
                <w:rFonts w:ascii="Arial" w:cs="Arial" w:eastAsia="Arial" w:hAnsi="Arial"/>
                <w:sz w:val="18"/>
                <w:szCs w:val="18"/>
                <w:color w:val="auto"/>
              </w:rPr>
              <w:t>Regulatory assets arising from fixed-price contracts</w:t>
            </w:r>
          </w:p>
        </w:tc>
        <w:tc>
          <w:tcPr>
            <w:tcW w:w="3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340" w:type="dxa"/>
            <w:vAlign w:val="bottom"/>
          </w:tcPr>
          <w:p>
            <w:pPr>
              <w:ind w:left="320"/>
              <w:spacing w:after="0"/>
              <w:rPr>
                <w:sz w:val="20"/>
                <w:szCs w:val="20"/>
                <w:color w:val="auto"/>
              </w:rPr>
            </w:pPr>
            <w:r>
              <w:rPr>
                <w:rFonts w:ascii="Arial" w:cs="Arial" w:eastAsia="Arial" w:hAnsi="Arial"/>
                <w:sz w:val="18"/>
                <w:szCs w:val="18"/>
                <w:color w:val="auto"/>
              </w:rPr>
              <w:t>and other derivatives</w:t>
            </w:r>
          </w:p>
        </w:tc>
        <w:tc>
          <w:tcPr>
            <w:tcW w:w="320" w:type="dxa"/>
            <w:vAlign w:val="bottom"/>
          </w:tcPr>
          <w:p>
            <w:pPr>
              <w:spacing w:after="0"/>
              <w:rPr>
                <w:sz w:val="21"/>
                <w:szCs w:val="21"/>
                <w:color w:val="auto"/>
              </w:rPr>
            </w:pPr>
          </w:p>
        </w:tc>
        <w:tc>
          <w:tcPr>
            <w:tcW w:w="720" w:type="dxa"/>
            <w:vAlign w:val="bottom"/>
          </w:tcPr>
          <w:p>
            <w:pPr>
              <w:jc w:val="right"/>
              <w:ind w:right="32"/>
              <w:spacing w:after="0"/>
              <w:rPr>
                <w:sz w:val="20"/>
                <w:szCs w:val="20"/>
                <w:color w:val="auto"/>
              </w:rPr>
            </w:pPr>
            <w:r>
              <w:rPr>
                <w:rFonts w:ascii="Arial" w:cs="Arial" w:eastAsia="Arial" w:hAnsi="Arial"/>
                <w:sz w:val="18"/>
                <w:szCs w:val="18"/>
                <w:color w:val="auto"/>
              </w:rPr>
              <w:t>398</w:t>
            </w:r>
          </w:p>
        </w:tc>
        <w:tc>
          <w:tcPr>
            <w:tcW w:w="3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40" w:type="dxa"/>
            <w:vAlign w:val="bottom"/>
          </w:tcPr>
          <w:p>
            <w:pPr>
              <w:jc w:val="right"/>
              <w:ind w:right="32"/>
              <w:spacing w:after="0"/>
              <w:rPr>
                <w:sz w:val="20"/>
                <w:szCs w:val="20"/>
                <w:color w:val="auto"/>
              </w:rPr>
            </w:pPr>
            <w:r>
              <w:rPr>
                <w:rFonts w:ascii="Arial" w:cs="Arial" w:eastAsia="Arial" w:hAnsi="Arial"/>
                <w:sz w:val="18"/>
                <w:szCs w:val="18"/>
                <w:color w:val="auto"/>
              </w:rPr>
              <w:t>448</w:t>
            </w:r>
          </w:p>
        </w:tc>
        <w:tc>
          <w:tcPr>
            <w:tcW w:w="0" w:type="dxa"/>
            <w:vAlign w:val="bottom"/>
          </w:tcPr>
          <w:p>
            <w:pPr>
              <w:spacing w:after="0"/>
              <w:rPr>
                <w:sz w:val="1"/>
                <w:szCs w:val="1"/>
                <w:color w:val="auto"/>
              </w:rPr>
            </w:pPr>
          </w:p>
        </w:tc>
      </w:tr>
      <w:tr>
        <w:trPr>
          <w:trHeight w:val="270"/>
        </w:trPr>
        <w:tc>
          <w:tcPr>
            <w:tcW w:w="5340" w:type="dxa"/>
            <w:vAlign w:val="bottom"/>
          </w:tcPr>
          <w:p>
            <w:pPr>
              <w:ind w:left="140"/>
              <w:spacing w:after="0"/>
              <w:rPr>
                <w:sz w:val="20"/>
                <w:szCs w:val="20"/>
                <w:color w:val="auto"/>
              </w:rPr>
            </w:pPr>
            <w:r>
              <w:rPr>
                <w:rFonts w:ascii="Arial" w:cs="Arial" w:eastAsia="Arial" w:hAnsi="Arial"/>
                <w:sz w:val="18"/>
                <w:szCs w:val="18"/>
                <w:color w:val="auto"/>
              </w:rPr>
              <w:t>Other regulatory assets</w:t>
            </w:r>
          </w:p>
        </w:tc>
        <w:tc>
          <w:tcPr>
            <w:tcW w:w="320" w:type="dxa"/>
            <w:vAlign w:val="bottom"/>
          </w:tcPr>
          <w:p>
            <w:pPr>
              <w:spacing w:after="0"/>
              <w:rPr>
                <w:sz w:val="23"/>
                <w:szCs w:val="23"/>
                <w:color w:val="auto"/>
              </w:rPr>
            </w:pPr>
          </w:p>
        </w:tc>
        <w:tc>
          <w:tcPr>
            <w:tcW w:w="720" w:type="dxa"/>
            <w:vAlign w:val="bottom"/>
          </w:tcPr>
          <w:p>
            <w:pPr>
              <w:jc w:val="right"/>
              <w:ind w:right="32"/>
              <w:spacing w:after="0"/>
              <w:rPr>
                <w:sz w:val="20"/>
                <w:szCs w:val="20"/>
                <w:color w:val="auto"/>
              </w:rPr>
            </w:pPr>
            <w:r>
              <w:rPr>
                <w:rFonts w:ascii="Arial" w:cs="Arial" w:eastAsia="Arial" w:hAnsi="Arial"/>
                <w:sz w:val="18"/>
                <w:szCs w:val="18"/>
                <w:color w:val="auto"/>
              </w:rPr>
              <w:t>276</w:t>
            </w:r>
          </w:p>
        </w:tc>
        <w:tc>
          <w:tcPr>
            <w:tcW w:w="3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40" w:type="dxa"/>
            <w:vAlign w:val="bottom"/>
          </w:tcPr>
          <w:p>
            <w:pPr>
              <w:jc w:val="right"/>
              <w:ind w:right="32"/>
              <w:spacing w:after="0"/>
              <w:rPr>
                <w:sz w:val="20"/>
                <w:szCs w:val="20"/>
                <w:color w:val="auto"/>
              </w:rPr>
            </w:pPr>
            <w:r>
              <w:rPr>
                <w:rFonts w:ascii="Arial" w:cs="Arial" w:eastAsia="Arial" w:hAnsi="Arial"/>
                <w:sz w:val="18"/>
                <w:szCs w:val="18"/>
                <w:color w:val="auto"/>
              </w:rPr>
              <w:t>341</w:t>
            </w:r>
          </w:p>
        </w:tc>
        <w:tc>
          <w:tcPr>
            <w:tcW w:w="0" w:type="dxa"/>
            <w:vAlign w:val="bottom"/>
          </w:tcPr>
          <w:p>
            <w:pPr>
              <w:spacing w:after="0"/>
              <w:rPr>
                <w:sz w:val="1"/>
                <w:szCs w:val="1"/>
                <w:color w:val="auto"/>
              </w:rPr>
            </w:pPr>
          </w:p>
        </w:tc>
      </w:tr>
      <w:tr>
        <w:trPr>
          <w:trHeight w:val="278"/>
        </w:trPr>
        <w:tc>
          <w:tcPr>
            <w:tcW w:w="5340" w:type="dxa"/>
            <w:vAlign w:val="bottom"/>
          </w:tcPr>
          <w:p>
            <w:pPr>
              <w:ind w:left="140"/>
              <w:spacing w:after="0"/>
              <w:rPr>
                <w:sz w:val="20"/>
                <w:szCs w:val="20"/>
                <w:color w:val="auto"/>
              </w:rPr>
            </w:pPr>
            <w:r>
              <w:rPr>
                <w:rFonts w:ascii="Arial" w:cs="Arial" w:eastAsia="Arial" w:hAnsi="Arial"/>
                <w:sz w:val="18"/>
                <w:szCs w:val="18"/>
                <w:color w:val="auto"/>
              </w:rPr>
              <w:t>Sundry</w:t>
            </w:r>
          </w:p>
        </w:tc>
        <w:tc>
          <w:tcPr>
            <w:tcW w:w="320" w:type="dxa"/>
            <w:vAlign w:val="bottom"/>
          </w:tcPr>
          <w:p>
            <w:pPr>
              <w:spacing w:after="0"/>
              <w:rPr>
                <w:sz w:val="24"/>
                <w:szCs w:val="24"/>
                <w:color w:val="auto"/>
              </w:rPr>
            </w:pPr>
          </w:p>
        </w:tc>
        <w:tc>
          <w:tcPr>
            <w:tcW w:w="720" w:type="dxa"/>
            <w:vAlign w:val="bottom"/>
          </w:tcPr>
          <w:p>
            <w:pPr>
              <w:jc w:val="right"/>
              <w:ind w:right="32"/>
              <w:spacing w:after="0"/>
              <w:rPr>
                <w:sz w:val="20"/>
                <w:szCs w:val="20"/>
                <w:color w:val="auto"/>
              </w:rPr>
            </w:pPr>
            <w:r>
              <w:rPr>
                <w:rFonts w:ascii="Arial" w:cs="Arial" w:eastAsia="Arial" w:hAnsi="Arial"/>
                <w:sz w:val="18"/>
                <w:szCs w:val="18"/>
                <w:color w:val="auto"/>
              </w:rPr>
              <w:t>68</w:t>
            </w:r>
          </w:p>
        </w:tc>
        <w:tc>
          <w:tcPr>
            <w:tcW w:w="3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40" w:type="dxa"/>
            <w:vAlign w:val="bottom"/>
          </w:tcPr>
          <w:p>
            <w:pPr>
              <w:jc w:val="right"/>
              <w:ind w:right="32"/>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51"/>
        </w:trPr>
        <w:tc>
          <w:tcPr>
            <w:tcW w:w="5340" w:type="dxa"/>
            <w:vAlign w:val="bottom"/>
          </w:tcPr>
          <w:p>
            <w:pPr>
              <w:spacing w:after="0"/>
              <w:rPr>
                <w:sz w:val="21"/>
                <w:szCs w:val="21"/>
                <w:color w:val="auto"/>
              </w:rPr>
            </w:pPr>
          </w:p>
        </w:tc>
        <w:tc>
          <w:tcPr>
            <w:tcW w:w="320" w:type="dxa"/>
            <w:vAlign w:val="bottom"/>
            <w:shd w:val="clear" w:color="auto" w:fill="000000"/>
          </w:tcPr>
          <w:p>
            <w:pPr>
              <w:spacing w:after="0"/>
              <w:rPr>
                <w:sz w:val="21"/>
                <w:szCs w:val="21"/>
                <w:color w:val="auto"/>
              </w:rPr>
            </w:pPr>
          </w:p>
        </w:tc>
        <w:tc>
          <w:tcPr>
            <w:tcW w:w="720" w:type="dxa"/>
            <w:vAlign w:val="bottom"/>
            <w:shd w:val="clear" w:color="auto" w:fill="000000"/>
          </w:tcPr>
          <w:p>
            <w:pPr>
              <w:spacing w:after="0"/>
              <w:rPr>
                <w:sz w:val="21"/>
                <w:szCs w:val="21"/>
                <w:color w:val="auto"/>
              </w:rPr>
            </w:pPr>
          </w:p>
        </w:tc>
        <w:tc>
          <w:tcPr>
            <w:tcW w:w="380" w:type="dxa"/>
            <w:vAlign w:val="bottom"/>
          </w:tcPr>
          <w:p>
            <w:pPr>
              <w:spacing w:after="0"/>
              <w:rPr>
                <w:sz w:val="21"/>
                <w:szCs w:val="21"/>
                <w:color w:val="auto"/>
              </w:rPr>
            </w:pPr>
          </w:p>
        </w:tc>
        <w:tc>
          <w:tcPr>
            <w:tcW w:w="420" w:type="dxa"/>
            <w:vAlign w:val="bottom"/>
            <w:shd w:val="clear" w:color="auto" w:fill="000000"/>
          </w:tcPr>
          <w:p>
            <w:pPr>
              <w:spacing w:after="0"/>
              <w:rPr>
                <w:sz w:val="21"/>
                <w:szCs w:val="21"/>
                <w:color w:val="auto"/>
              </w:rPr>
            </w:pPr>
          </w:p>
        </w:tc>
        <w:tc>
          <w:tcPr>
            <w:tcW w:w="840" w:type="dxa"/>
            <w:vAlign w:val="bottom"/>
            <w:shd w:val="clear" w:color="auto" w:fill="000000"/>
          </w:tcPr>
          <w:p>
            <w:pPr>
              <w:spacing w:after="0"/>
              <w:rPr>
                <w:sz w:val="21"/>
                <w:szCs w:val="21"/>
                <w:color w:val="auto"/>
              </w:rPr>
            </w:pPr>
          </w:p>
        </w:tc>
        <w:tc>
          <w:tcPr>
            <w:tcW w:w="0" w:type="dxa"/>
            <w:vAlign w:val="bottom"/>
          </w:tcPr>
          <w:p>
            <w:pPr>
              <w:spacing w:after="0"/>
              <w:rPr>
                <w:sz w:val="1"/>
                <w:szCs w:val="1"/>
                <w:color w:val="auto"/>
              </w:rPr>
            </w:pPr>
          </w:p>
        </w:tc>
      </w:tr>
      <w:tr>
        <w:trPr>
          <w:trHeight w:val="262"/>
        </w:trPr>
        <w:tc>
          <w:tcPr>
            <w:tcW w:w="5340" w:type="dxa"/>
            <w:vAlign w:val="bottom"/>
          </w:tcPr>
          <w:p>
            <w:pPr>
              <w:ind w:left="260"/>
              <w:spacing w:after="0"/>
              <w:rPr>
                <w:sz w:val="20"/>
                <w:szCs w:val="20"/>
                <w:color w:val="auto"/>
              </w:rPr>
            </w:pPr>
            <w:r>
              <w:rPr>
                <w:rFonts w:ascii="Arial" w:cs="Arial" w:eastAsia="Arial" w:hAnsi="Arial"/>
                <w:sz w:val="18"/>
                <w:szCs w:val="18"/>
                <w:color w:val="auto"/>
              </w:rPr>
              <w:t>Total other assets</w:t>
            </w:r>
          </w:p>
        </w:tc>
        <w:tc>
          <w:tcPr>
            <w:tcW w:w="320" w:type="dxa"/>
            <w:vAlign w:val="bottom"/>
          </w:tcPr>
          <w:p>
            <w:pPr>
              <w:spacing w:after="0"/>
              <w:rPr>
                <w:sz w:val="22"/>
                <w:szCs w:val="22"/>
                <w:color w:val="auto"/>
              </w:rPr>
            </w:pPr>
          </w:p>
        </w:tc>
        <w:tc>
          <w:tcPr>
            <w:tcW w:w="720" w:type="dxa"/>
            <w:vAlign w:val="bottom"/>
          </w:tcPr>
          <w:p>
            <w:pPr>
              <w:jc w:val="right"/>
              <w:ind w:right="32"/>
              <w:spacing w:after="0"/>
              <w:rPr>
                <w:sz w:val="20"/>
                <w:szCs w:val="20"/>
                <w:color w:val="auto"/>
              </w:rPr>
            </w:pPr>
            <w:r>
              <w:rPr>
                <w:rFonts w:ascii="Arial" w:cs="Arial" w:eastAsia="Arial" w:hAnsi="Arial"/>
                <w:sz w:val="18"/>
                <w:szCs w:val="18"/>
                <w:color w:val="auto"/>
              </w:rPr>
              <w:t>1,036</w:t>
            </w:r>
          </w:p>
        </w:tc>
        <w:tc>
          <w:tcPr>
            <w:tcW w:w="3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40" w:type="dxa"/>
            <w:vAlign w:val="bottom"/>
          </w:tcPr>
          <w:p>
            <w:pPr>
              <w:jc w:val="right"/>
              <w:ind w:right="32"/>
              <w:spacing w:after="0"/>
              <w:rPr>
                <w:sz w:val="20"/>
                <w:szCs w:val="20"/>
                <w:color w:val="auto"/>
              </w:rPr>
            </w:pPr>
            <w:r>
              <w:rPr>
                <w:rFonts w:ascii="Arial" w:cs="Arial" w:eastAsia="Arial" w:hAnsi="Arial"/>
                <w:sz w:val="18"/>
                <w:szCs w:val="18"/>
                <w:color w:val="auto"/>
              </w:rPr>
              <w:t>1,138</w:t>
            </w:r>
          </w:p>
        </w:tc>
        <w:tc>
          <w:tcPr>
            <w:tcW w:w="0" w:type="dxa"/>
            <w:vAlign w:val="bottom"/>
          </w:tcPr>
          <w:p>
            <w:pPr>
              <w:spacing w:after="0"/>
              <w:rPr>
                <w:sz w:val="1"/>
                <w:szCs w:val="1"/>
                <w:color w:val="auto"/>
              </w:rPr>
            </w:pPr>
          </w:p>
        </w:tc>
      </w:tr>
      <w:tr>
        <w:trPr>
          <w:trHeight w:val="251"/>
        </w:trPr>
        <w:tc>
          <w:tcPr>
            <w:tcW w:w="5340" w:type="dxa"/>
            <w:vAlign w:val="bottom"/>
          </w:tcPr>
          <w:p>
            <w:pPr>
              <w:spacing w:after="0"/>
              <w:rPr>
                <w:sz w:val="21"/>
                <w:szCs w:val="21"/>
                <w:color w:val="auto"/>
              </w:rPr>
            </w:pPr>
          </w:p>
        </w:tc>
        <w:tc>
          <w:tcPr>
            <w:tcW w:w="320" w:type="dxa"/>
            <w:vAlign w:val="bottom"/>
            <w:shd w:val="clear" w:color="auto" w:fill="000000"/>
          </w:tcPr>
          <w:p>
            <w:pPr>
              <w:spacing w:after="0"/>
              <w:rPr>
                <w:sz w:val="21"/>
                <w:szCs w:val="21"/>
                <w:color w:val="auto"/>
              </w:rPr>
            </w:pPr>
          </w:p>
        </w:tc>
        <w:tc>
          <w:tcPr>
            <w:tcW w:w="720" w:type="dxa"/>
            <w:vAlign w:val="bottom"/>
            <w:shd w:val="clear" w:color="auto" w:fill="000000"/>
          </w:tcPr>
          <w:p>
            <w:pPr>
              <w:spacing w:after="0"/>
              <w:rPr>
                <w:sz w:val="21"/>
                <w:szCs w:val="21"/>
                <w:color w:val="auto"/>
              </w:rPr>
            </w:pPr>
          </w:p>
        </w:tc>
        <w:tc>
          <w:tcPr>
            <w:tcW w:w="380" w:type="dxa"/>
            <w:vAlign w:val="bottom"/>
          </w:tcPr>
          <w:p>
            <w:pPr>
              <w:spacing w:after="0"/>
              <w:rPr>
                <w:sz w:val="21"/>
                <w:szCs w:val="21"/>
                <w:color w:val="auto"/>
              </w:rPr>
            </w:pPr>
          </w:p>
        </w:tc>
        <w:tc>
          <w:tcPr>
            <w:tcW w:w="420" w:type="dxa"/>
            <w:vAlign w:val="bottom"/>
            <w:shd w:val="clear" w:color="auto" w:fill="000000"/>
          </w:tcPr>
          <w:p>
            <w:pPr>
              <w:spacing w:after="0"/>
              <w:rPr>
                <w:sz w:val="21"/>
                <w:szCs w:val="21"/>
                <w:color w:val="auto"/>
              </w:rPr>
            </w:pPr>
          </w:p>
        </w:tc>
        <w:tc>
          <w:tcPr>
            <w:tcW w:w="840" w:type="dxa"/>
            <w:vAlign w:val="bottom"/>
            <w:shd w:val="clear" w:color="auto" w:fill="000000"/>
          </w:tcPr>
          <w:p>
            <w:pPr>
              <w:spacing w:after="0"/>
              <w:rPr>
                <w:sz w:val="21"/>
                <w:szCs w:val="21"/>
                <w:color w:val="auto"/>
              </w:rPr>
            </w:pPr>
          </w:p>
        </w:tc>
        <w:tc>
          <w:tcPr>
            <w:tcW w:w="0" w:type="dxa"/>
            <w:vAlign w:val="bottom"/>
          </w:tcPr>
          <w:p>
            <w:pPr>
              <w:spacing w:after="0"/>
              <w:rPr>
                <w:sz w:val="1"/>
                <w:szCs w:val="1"/>
                <w:color w:val="auto"/>
              </w:rPr>
            </w:pPr>
          </w:p>
        </w:tc>
      </w:tr>
      <w:tr>
        <w:trPr>
          <w:trHeight w:val="262"/>
        </w:trPr>
        <w:tc>
          <w:tcPr>
            <w:tcW w:w="5340" w:type="dxa"/>
            <w:vAlign w:val="bottom"/>
          </w:tcPr>
          <w:p>
            <w:pPr>
              <w:spacing w:after="0"/>
              <w:rPr>
                <w:sz w:val="20"/>
                <w:szCs w:val="20"/>
                <w:color w:val="auto"/>
              </w:rPr>
            </w:pPr>
            <w:r>
              <w:rPr>
                <w:rFonts w:ascii="Arial" w:cs="Arial" w:eastAsia="Arial" w:hAnsi="Arial"/>
                <w:sz w:val="18"/>
                <w:szCs w:val="18"/>
                <w:color w:val="auto"/>
              </w:rPr>
              <w:t>Total assets</w:t>
            </w:r>
          </w:p>
        </w:tc>
        <w:tc>
          <w:tcPr>
            <w:tcW w:w="320" w:type="dxa"/>
            <w:vAlign w:val="bottom"/>
          </w:tcPr>
          <w:p>
            <w:pPr>
              <w:jc w:val="right"/>
              <w:ind w:right="132"/>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ind w:right="32"/>
              <w:spacing w:after="0"/>
              <w:rPr>
                <w:sz w:val="20"/>
                <w:szCs w:val="20"/>
                <w:color w:val="auto"/>
              </w:rPr>
            </w:pPr>
            <w:r>
              <w:rPr>
                <w:rFonts w:ascii="Arial" w:cs="Arial" w:eastAsia="Arial" w:hAnsi="Arial"/>
                <w:sz w:val="18"/>
                <w:szCs w:val="18"/>
                <w:color w:val="auto"/>
              </w:rPr>
              <w:t>7,492</w:t>
            </w:r>
          </w:p>
        </w:tc>
        <w:tc>
          <w:tcPr>
            <w:tcW w:w="8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32"/>
              <w:spacing w:after="0"/>
              <w:rPr>
                <w:sz w:val="20"/>
                <w:szCs w:val="20"/>
                <w:color w:val="auto"/>
              </w:rPr>
            </w:pPr>
            <w:r>
              <w:rPr>
                <w:rFonts w:ascii="Arial" w:cs="Arial" w:eastAsia="Arial" w:hAnsi="Arial"/>
                <w:sz w:val="18"/>
                <w:szCs w:val="18"/>
                <w:color w:val="auto"/>
              </w:rPr>
              <w:t>6,834</w:t>
            </w:r>
          </w:p>
        </w:tc>
        <w:tc>
          <w:tcPr>
            <w:tcW w:w="0" w:type="dxa"/>
            <w:vAlign w:val="bottom"/>
          </w:tcPr>
          <w:p>
            <w:pPr>
              <w:spacing w:after="0"/>
              <w:rPr>
                <w:sz w:val="1"/>
                <w:szCs w:val="1"/>
                <w:color w:val="auto"/>
              </w:rPr>
            </w:pPr>
          </w:p>
        </w:tc>
      </w:tr>
      <w:tr>
        <w:trPr>
          <w:trHeight w:val="251"/>
        </w:trPr>
        <w:tc>
          <w:tcPr>
            <w:tcW w:w="5340" w:type="dxa"/>
            <w:vAlign w:val="bottom"/>
          </w:tcPr>
          <w:p>
            <w:pPr>
              <w:spacing w:after="0"/>
              <w:rPr>
                <w:sz w:val="21"/>
                <w:szCs w:val="21"/>
                <w:color w:val="auto"/>
              </w:rPr>
            </w:pPr>
          </w:p>
        </w:tc>
        <w:tc>
          <w:tcPr>
            <w:tcW w:w="320" w:type="dxa"/>
            <w:vAlign w:val="bottom"/>
            <w:shd w:val="clear" w:color="auto" w:fill="000000"/>
          </w:tcPr>
          <w:p>
            <w:pPr>
              <w:spacing w:after="0"/>
              <w:rPr>
                <w:sz w:val="21"/>
                <w:szCs w:val="21"/>
                <w:color w:val="auto"/>
              </w:rPr>
            </w:pPr>
          </w:p>
        </w:tc>
        <w:tc>
          <w:tcPr>
            <w:tcW w:w="720" w:type="dxa"/>
            <w:vAlign w:val="bottom"/>
            <w:shd w:val="clear" w:color="auto" w:fill="000000"/>
          </w:tcPr>
          <w:p>
            <w:pPr>
              <w:spacing w:after="0"/>
              <w:rPr>
                <w:sz w:val="21"/>
                <w:szCs w:val="21"/>
                <w:color w:val="auto"/>
              </w:rPr>
            </w:pPr>
          </w:p>
        </w:tc>
        <w:tc>
          <w:tcPr>
            <w:tcW w:w="380" w:type="dxa"/>
            <w:vAlign w:val="bottom"/>
          </w:tcPr>
          <w:p>
            <w:pPr>
              <w:spacing w:after="0"/>
              <w:rPr>
                <w:sz w:val="21"/>
                <w:szCs w:val="21"/>
                <w:color w:val="auto"/>
              </w:rPr>
            </w:pPr>
          </w:p>
        </w:tc>
        <w:tc>
          <w:tcPr>
            <w:tcW w:w="420" w:type="dxa"/>
            <w:vAlign w:val="bottom"/>
            <w:shd w:val="clear" w:color="auto" w:fill="000000"/>
          </w:tcPr>
          <w:p>
            <w:pPr>
              <w:spacing w:after="0"/>
              <w:rPr>
                <w:sz w:val="21"/>
                <w:szCs w:val="21"/>
                <w:color w:val="auto"/>
              </w:rPr>
            </w:pPr>
          </w:p>
        </w:tc>
        <w:tc>
          <w:tcPr>
            <w:tcW w:w="840" w:type="dxa"/>
            <w:vAlign w:val="bottom"/>
            <w:shd w:val="clear" w:color="auto" w:fill="000000"/>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3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340" w:type="dxa"/>
            <w:vAlign w:val="bottom"/>
          </w:tcPr>
          <w:p>
            <w:pPr>
              <w:spacing w:after="0"/>
              <w:rPr>
                <w:sz w:val="21"/>
                <w:szCs w:val="21"/>
                <w:color w:val="auto"/>
              </w:rPr>
            </w:pPr>
          </w:p>
        </w:tc>
        <w:tc>
          <w:tcPr>
            <w:tcW w:w="320" w:type="dxa"/>
            <w:vAlign w:val="bottom"/>
            <w:shd w:val="clear" w:color="auto" w:fill="000000"/>
          </w:tcPr>
          <w:p>
            <w:pPr>
              <w:spacing w:after="0"/>
              <w:rPr>
                <w:sz w:val="21"/>
                <w:szCs w:val="21"/>
                <w:color w:val="auto"/>
              </w:rPr>
            </w:pPr>
          </w:p>
        </w:tc>
        <w:tc>
          <w:tcPr>
            <w:tcW w:w="720" w:type="dxa"/>
            <w:vAlign w:val="bottom"/>
            <w:shd w:val="clear" w:color="auto" w:fill="000000"/>
          </w:tcPr>
          <w:p>
            <w:pPr>
              <w:spacing w:after="0"/>
              <w:rPr>
                <w:sz w:val="21"/>
                <w:szCs w:val="21"/>
                <w:color w:val="auto"/>
              </w:rPr>
            </w:pPr>
          </w:p>
        </w:tc>
        <w:tc>
          <w:tcPr>
            <w:tcW w:w="380" w:type="dxa"/>
            <w:vAlign w:val="bottom"/>
          </w:tcPr>
          <w:p>
            <w:pPr>
              <w:spacing w:after="0"/>
              <w:rPr>
                <w:sz w:val="21"/>
                <w:szCs w:val="21"/>
                <w:color w:val="auto"/>
              </w:rPr>
            </w:pPr>
          </w:p>
        </w:tc>
        <w:tc>
          <w:tcPr>
            <w:tcW w:w="420" w:type="dxa"/>
            <w:vAlign w:val="bottom"/>
            <w:shd w:val="clear" w:color="auto" w:fill="000000"/>
          </w:tcPr>
          <w:p>
            <w:pPr>
              <w:spacing w:after="0"/>
              <w:rPr>
                <w:sz w:val="21"/>
                <w:szCs w:val="21"/>
                <w:color w:val="auto"/>
              </w:rPr>
            </w:pPr>
          </w:p>
        </w:tc>
        <w:tc>
          <w:tcPr>
            <w:tcW w:w="840" w:type="dxa"/>
            <w:vAlign w:val="bottom"/>
            <w:shd w:val="clear" w:color="auto" w:fill="000000"/>
          </w:tcPr>
          <w:p>
            <w:pPr>
              <w:spacing w:after="0"/>
              <w:rPr>
                <w:sz w:val="21"/>
                <w:szCs w:val="2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478790</wp:posOffset>
            </wp:positionV>
            <wp:extent cx="72720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SAN DIEGO GAS &amp; ELECTRIC COMPANY AND SUBSIDIARY</w:t>
      </w:r>
    </w:p>
    <w:p>
      <w:pPr>
        <w:spacing w:after="0" w:line="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in millions)</w:t>
      </w:r>
    </w:p>
    <w:p>
      <w:pPr>
        <w:spacing w:after="0" w:line="286" w:lineRule="exact"/>
        <w:rPr>
          <w:sz w:val="20"/>
          <w:szCs w:val="20"/>
          <w:color w:val="auto"/>
        </w:rPr>
      </w:pPr>
    </w:p>
    <w:tbl>
      <w:tblPr>
        <w:tblLayout w:type="fixed"/>
        <w:tblInd w:w="500" w:type="dxa"/>
        <w:tblCellMar>
          <w:top w:w="0" w:type="dxa"/>
          <w:left w:w="0" w:type="dxa"/>
          <w:bottom w:w="0" w:type="dxa"/>
          <w:right w:w="0" w:type="dxa"/>
        </w:tblCellMar>
      </w:tblPr>
      <w:tr>
        <w:trPr>
          <w:trHeight w:val="216"/>
        </w:trPr>
        <w:tc>
          <w:tcPr>
            <w:tcW w:w="546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w w:val="90"/>
              </w:rPr>
              <w:t>December 31,</w:t>
            </w:r>
          </w:p>
        </w:tc>
        <w:tc>
          <w:tcPr>
            <w:tcW w:w="40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w w:val="90"/>
              </w:rPr>
              <w:t>December 31,</w:t>
            </w:r>
          </w:p>
        </w:tc>
        <w:tc>
          <w:tcPr>
            <w:tcW w:w="0" w:type="dxa"/>
            <w:vAlign w:val="bottom"/>
          </w:tcPr>
          <w:p>
            <w:pPr>
              <w:spacing w:after="0"/>
              <w:rPr>
                <w:sz w:val="1"/>
                <w:szCs w:val="1"/>
                <w:color w:val="auto"/>
              </w:rPr>
            </w:pPr>
          </w:p>
        </w:tc>
      </w:tr>
      <w:tr>
        <w:trPr>
          <w:trHeight w:val="222"/>
        </w:trPr>
        <w:tc>
          <w:tcPr>
            <w:tcW w:w="54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ind w:right="272"/>
              <w:spacing w:after="0"/>
              <w:rPr>
                <w:sz w:val="20"/>
                <w:szCs w:val="20"/>
                <w:color w:val="auto"/>
              </w:rPr>
            </w:pPr>
            <w:r>
              <w:rPr>
                <w:rFonts w:ascii="Arial" w:cs="Arial" w:eastAsia="Arial" w:hAnsi="Arial"/>
                <w:sz w:val="18"/>
                <w:szCs w:val="18"/>
                <w:color w:val="auto"/>
              </w:rPr>
              <w:t>2005</w:t>
            </w:r>
          </w:p>
        </w:tc>
        <w:tc>
          <w:tcPr>
            <w:tcW w:w="4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ind w:right="292"/>
              <w:spacing w:after="0"/>
              <w:rPr>
                <w:sz w:val="20"/>
                <w:szCs w:val="20"/>
                <w:color w:val="auto"/>
              </w:rPr>
            </w:pPr>
            <w:r>
              <w:rPr>
                <w:rFonts w:ascii="Arial" w:cs="Arial" w:eastAsia="Arial" w:hAnsi="Arial"/>
                <w:sz w:val="18"/>
                <w:szCs w:val="18"/>
                <w:color w:val="auto"/>
              </w:rPr>
              <w:t>2004</w:t>
            </w:r>
          </w:p>
        </w:tc>
        <w:tc>
          <w:tcPr>
            <w:tcW w:w="0" w:type="dxa"/>
            <w:vAlign w:val="bottom"/>
          </w:tcPr>
          <w:p>
            <w:pPr>
              <w:spacing w:after="0"/>
              <w:rPr>
                <w:sz w:val="1"/>
                <w:szCs w:val="1"/>
                <w:color w:val="auto"/>
              </w:rPr>
            </w:pPr>
          </w:p>
        </w:tc>
      </w:tr>
      <w:tr>
        <w:trPr>
          <w:trHeight w:val="259"/>
        </w:trPr>
        <w:tc>
          <w:tcPr>
            <w:tcW w:w="5460" w:type="dxa"/>
            <w:vAlign w:val="bottom"/>
            <w:vMerge w:val="restart"/>
          </w:tcPr>
          <w:p>
            <w:pPr>
              <w:spacing w:after="0"/>
              <w:rPr>
                <w:sz w:val="20"/>
                <w:szCs w:val="20"/>
                <w:color w:val="auto"/>
              </w:rPr>
            </w:pPr>
            <w:r>
              <w:rPr>
                <w:rFonts w:ascii="Arial" w:cs="Arial" w:eastAsia="Arial" w:hAnsi="Arial"/>
                <w:sz w:val="18"/>
                <w:szCs w:val="18"/>
                <w:color w:val="auto"/>
              </w:rPr>
              <w:t>CAPITALIZATION AND LIABILITIES</w:t>
            </w:r>
          </w:p>
        </w:tc>
        <w:tc>
          <w:tcPr>
            <w:tcW w:w="240" w:type="dxa"/>
            <w:vAlign w:val="bottom"/>
            <w:shd w:val="clear" w:color="auto" w:fill="000000"/>
          </w:tcPr>
          <w:p>
            <w:pPr>
              <w:spacing w:after="0"/>
              <w:rPr>
                <w:sz w:val="22"/>
                <w:szCs w:val="22"/>
                <w:color w:val="auto"/>
              </w:rPr>
            </w:pPr>
          </w:p>
        </w:tc>
        <w:tc>
          <w:tcPr>
            <w:tcW w:w="840" w:type="dxa"/>
            <w:vAlign w:val="bottom"/>
            <w:shd w:val="clear" w:color="auto" w:fill="000000"/>
          </w:tcPr>
          <w:p>
            <w:pPr>
              <w:spacing w:after="0"/>
              <w:rPr>
                <w:sz w:val="22"/>
                <w:szCs w:val="22"/>
                <w:color w:val="auto"/>
              </w:rPr>
            </w:pPr>
          </w:p>
        </w:tc>
        <w:tc>
          <w:tcPr>
            <w:tcW w:w="400" w:type="dxa"/>
            <w:vAlign w:val="bottom"/>
          </w:tcPr>
          <w:p>
            <w:pPr>
              <w:spacing w:after="0"/>
              <w:rPr>
                <w:sz w:val="22"/>
                <w:szCs w:val="22"/>
                <w:color w:val="auto"/>
              </w:rPr>
            </w:pPr>
          </w:p>
        </w:tc>
        <w:tc>
          <w:tcPr>
            <w:tcW w:w="240" w:type="dxa"/>
            <w:vAlign w:val="bottom"/>
            <w:shd w:val="clear" w:color="auto" w:fill="000000"/>
          </w:tcPr>
          <w:p>
            <w:pPr>
              <w:spacing w:after="0"/>
              <w:rPr>
                <w:sz w:val="22"/>
                <w:szCs w:val="22"/>
                <w:color w:val="auto"/>
              </w:rPr>
            </w:pPr>
          </w:p>
        </w:tc>
        <w:tc>
          <w:tcPr>
            <w:tcW w:w="860" w:type="dxa"/>
            <w:vAlign w:val="bottom"/>
            <w:shd w:val="clear" w:color="auto" w:fill="000000"/>
          </w:tcPr>
          <w:p>
            <w:pPr>
              <w:spacing w:after="0"/>
              <w:rPr>
                <w:sz w:val="22"/>
                <w:szCs w:val="22"/>
                <w:color w:val="auto"/>
              </w:rPr>
            </w:pPr>
          </w:p>
        </w:tc>
        <w:tc>
          <w:tcPr>
            <w:tcW w:w="0" w:type="dxa"/>
            <w:vAlign w:val="bottom"/>
          </w:tcPr>
          <w:p>
            <w:pPr>
              <w:spacing w:after="0"/>
              <w:rPr>
                <w:sz w:val="1"/>
                <w:szCs w:val="1"/>
                <w:color w:val="auto"/>
              </w:rPr>
            </w:pPr>
          </w:p>
        </w:tc>
      </w:tr>
      <w:tr>
        <w:trPr>
          <w:trHeight w:val="525"/>
        </w:trPr>
        <w:tc>
          <w:tcPr>
            <w:tcW w:w="546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5460" w:type="dxa"/>
            <w:vAlign w:val="bottom"/>
          </w:tcPr>
          <w:p>
            <w:pPr>
              <w:spacing w:after="0"/>
              <w:rPr>
                <w:sz w:val="20"/>
                <w:szCs w:val="20"/>
                <w:color w:val="auto"/>
              </w:rPr>
            </w:pPr>
            <w:r>
              <w:rPr>
                <w:rFonts w:ascii="Arial" w:cs="Arial" w:eastAsia="Arial" w:hAnsi="Arial"/>
                <w:sz w:val="18"/>
                <w:szCs w:val="18"/>
                <w:color w:val="auto"/>
              </w:rPr>
              <w:t>Capitalization:</w:t>
            </w:r>
          </w:p>
        </w:tc>
        <w:tc>
          <w:tcPr>
            <w:tcW w:w="24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5460" w:type="dxa"/>
            <w:vAlign w:val="bottom"/>
          </w:tcPr>
          <w:p>
            <w:pPr>
              <w:ind w:left="160"/>
              <w:spacing w:after="0"/>
              <w:rPr>
                <w:sz w:val="20"/>
                <w:szCs w:val="20"/>
                <w:color w:val="auto"/>
              </w:rPr>
            </w:pPr>
            <w:r>
              <w:rPr>
                <w:rFonts w:ascii="Arial" w:cs="Arial" w:eastAsia="Arial" w:hAnsi="Arial"/>
                <w:sz w:val="18"/>
                <w:szCs w:val="18"/>
                <w:color w:val="auto"/>
              </w:rPr>
              <w:t>Common stock (255 million shares authorized;</w:t>
            </w:r>
          </w:p>
        </w:tc>
        <w:tc>
          <w:tcPr>
            <w:tcW w:w="2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460" w:type="dxa"/>
            <w:vAlign w:val="bottom"/>
          </w:tcPr>
          <w:p>
            <w:pPr>
              <w:ind w:left="420"/>
              <w:spacing w:after="0"/>
              <w:rPr>
                <w:sz w:val="20"/>
                <w:szCs w:val="20"/>
                <w:color w:val="auto"/>
              </w:rPr>
            </w:pPr>
            <w:r>
              <w:rPr>
                <w:rFonts w:ascii="Arial" w:cs="Arial" w:eastAsia="Arial" w:hAnsi="Arial"/>
                <w:sz w:val="18"/>
                <w:szCs w:val="18"/>
                <w:color w:val="auto"/>
              </w:rPr>
              <w:t>117 million shares outstanding)</w:t>
            </w:r>
          </w:p>
        </w:tc>
        <w:tc>
          <w:tcPr>
            <w:tcW w:w="240" w:type="dxa"/>
            <w:vAlign w:val="bottom"/>
          </w:tcPr>
          <w:p>
            <w:pPr>
              <w:jc w:val="right"/>
              <w:ind w:right="52"/>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ind w:right="32"/>
              <w:spacing w:after="0"/>
              <w:rPr>
                <w:sz w:val="20"/>
                <w:szCs w:val="20"/>
                <w:color w:val="auto"/>
              </w:rPr>
            </w:pPr>
            <w:r>
              <w:rPr>
                <w:rFonts w:ascii="Arial" w:cs="Arial" w:eastAsia="Arial" w:hAnsi="Arial"/>
                <w:sz w:val="18"/>
                <w:szCs w:val="18"/>
                <w:color w:val="auto"/>
              </w:rPr>
              <w:t>938</w:t>
            </w:r>
          </w:p>
        </w:tc>
        <w:tc>
          <w:tcPr>
            <w:tcW w:w="640" w:type="dxa"/>
            <w:vAlign w:val="bottom"/>
            <w:gridSpan w:val="2"/>
          </w:tcPr>
          <w:p>
            <w:pPr>
              <w:jc w:val="right"/>
              <w:ind w:right="52"/>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938</w:t>
            </w:r>
          </w:p>
        </w:tc>
        <w:tc>
          <w:tcPr>
            <w:tcW w:w="0" w:type="dxa"/>
            <w:vAlign w:val="bottom"/>
          </w:tcPr>
          <w:p>
            <w:pPr>
              <w:spacing w:after="0"/>
              <w:rPr>
                <w:sz w:val="1"/>
                <w:szCs w:val="1"/>
                <w:color w:val="auto"/>
              </w:rPr>
            </w:pPr>
          </w:p>
        </w:tc>
      </w:tr>
      <w:tr>
        <w:trPr>
          <w:trHeight w:val="270"/>
        </w:trPr>
        <w:tc>
          <w:tcPr>
            <w:tcW w:w="5460" w:type="dxa"/>
            <w:vAlign w:val="bottom"/>
          </w:tcPr>
          <w:p>
            <w:pPr>
              <w:ind w:left="160"/>
              <w:spacing w:after="0"/>
              <w:rPr>
                <w:sz w:val="20"/>
                <w:szCs w:val="20"/>
                <w:color w:val="auto"/>
              </w:rPr>
            </w:pPr>
            <w:r>
              <w:rPr>
                <w:rFonts w:ascii="Arial" w:cs="Arial" w:eastAsia="Arial" w:hAnsi="Arial"/>
                <w:sz w:val="18"/>
                <w:szCs w:val="18"/>
                <w:color w:val="auto"/>
              </w:rPr>
              <w:t>Retained earnings</w:t>
            </w:r>
          </w:p>
        </w:tc>
        <w:tc>
          <w:tcPr>
            <w:tcW w:w="240" w:type="dxa"/>
            <w:vAlign w:val="bottom"/>
          </w:tcPr>
          <w:p>
            <w:pPr>
              <w:spacing w:after="0"/>
              <w:rPr>
                <w:sz w:val="23"/>
                <w:szCs w:val="23"/>
                <w:color w:val="auto"/>
              </w:rPr>
            </w:pPr>
          </w:p>
        </w:tc>
        <w:tc>
          <w:tcPr>
            <w:tcW w:w="840" w:type="dxa"/>
            <w:vAlign w:val="bottom"/>
          </w:tcPr>
          <w:p>
            <w:pPr>
              <w:jc w:val="right"/>
              <w:ind w:right="32"/>
              <w:spacing w:after="0"/>
              <w:rPr>
                <w:sz w:val="20"/>
                <w:szCs w:val="20"/>
                <w:color w:val="auto"/>
              </w:rPr>
            </w:pPr>
            <w:r>
              <w:rPr>
                <w:rFonts w:ascii="Arial" w:cs="Arial" w:eastAsia="Arial" w:hAnsi="Arial"/>
                <w:sz w:val="18"/>
                <w:szCs w:val="18"/>
                <w:color w:val="auto"/>
              </w:rPr>
              <w:t>559</w:t>
            </w:r>
          </w:p>
        </w:tc>
        <w:tc>
          <w:tcPr>
            <w:tcW w:w="4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372</w:t>
            </w:r>
          </w:p>
        </w:tc>
        <w:tc>
          <w:tcPr>
            <w:tcW w:w="0" w:type="dxa"/>
            <w:vAlign w:val="bottom"/>
          </w:tcPr>
          <w:p>
            <w:pPr>
              <w:spacing w:after="0"/>
              <w:rPr>
                <w:sz w:val="1"/>
                <w:szCs w:val="1"/>
                <w:color w:val="auto"/>
              </w:rPr>
            </w:pPr>
          </w:p>
        </w:tc>
      </w:tr>
      <w:tr>
        <w:trPr>
          <w:trHeight w:val="278"/>
        </w:trPr>
        <w:tc>
          <w:tcPr>
            <w:tcW w:w="5460" w:type="dxa"/>
            <w:vAlign w:val="bottom"/>
          </w:tcPr>
          <w:p>
            <w:pPr>
              <w:ind w:left="160"/>
              <w:spacing w:after="0"/>
              <w:rPr>
                <w:sz w:val="20"/>
                <w:szCs w:val="20"/>
                <w:color w:val="auto"/>
              </w:rPr>
            </w:pPr>
            <w:r>
              <w:rPr>
                <w:rFonts w:ascii="Arial" w:cs="Arial" w:eastAsia="Arial" w:hAnsi="Arial"/>
                <w:sz w:val="18"/>
                <w:szCs w:val="18"/>
                <w:color w:val="auto"/>
              </w:rPr>
              <w:t>Accumulated other comprehensive income (loss)</w:t>
            </w:r>
          </w:p>
        </w:tc>
        <w:tc>
          <w:tcPr>
            <w:tcW w:w="24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(14 )</w:t>
            </w: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(13 )</w:t>
            </w:r>
          </w:p>
        </w:tc>
        <w:tc>
          <w:tcPr>
            <w:tcW w:w="0" w:type="dxa"/>
            <w:vAlign w:val="bottom"/>
          </w:tcPr>
          <w:p>
            <w:pPr>
              <w:spacing w:after="0"/>
              <w:rPr>
                <w:sz w:val="1"/>
                <w:szCs w:val="1"/>
                <w:color w:val="auto"/>
              </w:rPr>
            </w:pPr>
          </w:p>
        </w:tc>
      </w:tr>
      <w:tr>
        <w:trPr>
          <w:trHeight w:val="251"/>
        </w:trPr>
        <w:tc>
          <w:tcPr>
            <w:tcW w:w="5460" w:type="dxa"/>
            <w:vAlign w:val="bottom"/>
          </w:tcPr>
          <w:p>
            <w:pPr>
              <w:spacing w:after="0"/>
              <w:rPr>
                <w:sz w:val="21"/>
                <w:szCs w:val="21"/>
                <w:color w:val="auto"/>
              </w:rPr>
            </w:pPr>
          </w:p>
        </w:tc>
        <w:tc>
          <w:tcPr>
            <w:tcW w:w="240" w:type="dxa"/>
            <w:vAlign w:val="bottom"/>
            <w:shd w:val="clear" w:color="auto" w:fill="000000"/>
          </w:tcPr>
          <w:p>
            <w:pPr>
              <w:spacing w:after="0"/>
              <w:rPr>
                <w:sz w:val="21"/>
                <w:szCs w:val="21"/>
                <w:color w:val="auto"/>
              </w:rPr>
            </w:pPr>
          </w:p>
        </w:tc>
        <w:tc>
          <w:tcPr>
            <w:tcW w:w="840" w:type="dxa"/>
            <w:vAlign w:val="bottom"/>
            <w:shd w:val="clear" w:color="auto" w:fill="000000"/>
          </w:tcPr>
          <w:p>
            <w:pPr>
              <w:spacing w:after="0"/>
              <w:rPr>
                <w:sz w:val="21"/>
                <w:szCs w:val="21"/>
                <w:color w:val="auto"/>
              </w:rPr>
            </w:pPr>
          </w:p>
        </w:tc>
        <w:tc>
          <w:tcPr>
            <w:tcW w:w="400" w:type="dxa"/>
            <w:vAlign w:val="bottom"/>
          </w:tcPr>
          <w:p>
            <w:pPr>
              <w:spacing w:after="0"/>
              <w:rPr>
                <w:sz w:val="21"/>
                <w:szCs w:val="21"/>
                <w:color w:val="auto"/>
              </w:rPr>
            </w:pPr>
          </w:p>
        </w:tc>
        <w:tc>
          <w:tcPr>
            <w:tcW w:w="240" w:type="dxa"/>
            <w:vAlign w:val="bottom"/>
            <w:shd w:val="clear" w:color="auto" w:fill="000000"/>
          </w:tcPr>
          <w:p>
            <w:pPr>
              <w:spacing w:after="0"/>
              <w:rPr>
                <w:sz w:val="21"/>
                <w:szCs w:val="21"/>
                <w:color w:val="auto"/>
              </w:rPr>
            </w:pPr>
          </w:p>
        </w:tc>
        <w:tc>
          <w:tcPr>
            <w:tcW w:w="860" w:type="dxa"/>
            <w:vAlign w:val="bottom"/>
            <w:shd w:val="clear" w:color="auto" w:fill="000000"/>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5460" w:type="dxa"/>
            <w:vAlign w:val="bottom"/>
          </w:tcPr>
          <w:p>
            <w:pPr>
              <w:ind w:left="380"/>
              <w:spacing w:after="0"/>
              <w:rPr>
                <w:sz w:val="20"/>
                <w:szCs w:val="20"/>
                <w:color w:val="auto"/>
              </w:rPr>
            </w:pPr>
            <w:r>
              <w:rPr>
                <w:rFonts w:ascii="Arial" w:cs="Arial" w:eastAsia="Arial" w:hAnsi="Arial"/>
                <w:sz w:val="18"/>
                <w:szCs w:val="18"/>
                <w:color w:val="auto"/>
              </w:rPr>
              <w:t>Total common equity</w:t>
            </w:r>
          </w:p>
        </w:tc>
        <w:tc>
          <w:tcPr>
            <w:tcW w:w="240" w:type="dxa"/>
            <w:vAlign w:val="bottom"/>
          </w:tcPr>
          <w:p>
            <w:pPr>
              <w:spacing w:after="0"/>
              <w:rPr>
                <w:sz w:val="22"/>
                <w:szCs w:val="22"/>
                <w:color w:val="auto"/>
              </w:rPr>
            </w:pPr>
          </w:p>
        </w:tc>
        <w:tc>
          <w:tcPr>
            <w:tcW w:w="840" w:type="dxa"/>
            <w:vAlign w:val="bottom"/>
          </w:tcPr>
          <w:p>
            <w:pPr>
              <w:jc w:val="right"/>
              <w:ind w:right="32"/>
              <w:spacing w:after="0"/>
              <w:rPr>
                <w:sz w:val="20"/>
                <w:szCs w:val="20"/>
                <w:color w:val="auto"/>
              </w:rPr>
            </w:pPr>
            <w:r>
              <w:rPr>
                <w:rFonts w:ascii="Arial" w:cs="Arial" w:eastAsia="Arial" w:hAnsi="Arial"/>
                <w:sz w:val="18"/>
                <w:szCs w:val="18"/>
                <w:color w:val="auto"/>
              </w:rPr>
              <w:t>1,483</w:t>
            </w:r>
          </w:p>
        </w:tc>
        <w:tc>
          <w:tcPr>
            <w:tcW w:w="4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1,297</w:t>
            </w:r>
          </w:p>
        </w:tc>
        <w:tc>
          <w:tcPr>
            <w:tcW w:w="0" w:type="dxa"/>
            <w:vAlign w:val="bottom"/>
          </w:tcPr>
          <w:p>
            <w:pPr>
              <w:spacing w:after="0"/>
              <w:rPr>
                <w:sz w:val="1"/>
                <w:szCs w:val="1"/>
                <w:color w:val="auto"/>
              </w:rPr>
            </w:pPr>
          </w:p>
        </w:tc>
      </w:tr>
      <w:tr>
        <w:trPr>
          <w:trHeight w:val="278"/>
        </w:trPr>
        <w:tc>
          <w:tcPr>
            <w:tcW w:w="5460" w:type="dxa"/>
            <w:vAlign w:val="bottom"/>
          </w:tcPr>
          <w:p>
            <w:pPr>
              <w:ind w:left="160"/>
              <w:spacing w:after="0"/>
              <w:rPr>
                <w:sz w:val="20"/>
                <w:szCs w:val="20"/>
                <w:color w:val="auto"/>
              </w:rPr>
            </w:pPr>
            <w:r>
              <w:rPr>
                <w:rFonts w:ascii="Arial" w:cs="Arial" w:eastAsia="Arial" w:hAnsi="Arial"/>
                <w:sz w:val="18"/>
                <w:szCs w:val="18"/>
                <w:color w:val="auto"/>
              </w:rPr>
              <w:t>Preferred stock not subject to mandatory redemption</w:t>
            </w:r>
          </w:p>
        </w:tc>
        <w:tc>
          <w:tcPr>
            <w:tcW w:w="240" w:type="dxa"/>
            <w:vAlign w:val="bottom"/>
          </w:tcPr>
          <w:p>
            <w:pPr>
              <w:spacing w:after="0"/>
              <w:rPr>
                <w:sz w:val="24"/>
                <w:szCs w:val="24"/>
                <w:color w:val="auto"/>
              </w:rPr>
            </w:pPr>
          </w:p>
        </w:tc>
        <w:tc>
          <w:tcPr>
            <w:tcW w:w="840" w:type="dxa"/>
            <w:vAlign w:val="bottom"/>
          </w:tcPr>
          <w:p>
            <w:pPr>
              <w:jc w:val="right"/>
              <w:ind w:right="32"/>
              <w:spacing w:after="0"/>
              <w:rPr>
                <w:sz w:val="20"/>
                <w:szCs w:val="20"/>
                <w:color w:val="auto"/>
              </w:rPr>
            </w:pPr>
            <w:r>
              <w:rPr>
                <w:rFonts w:ascii="Arial" w:cs="Arial" w:eastAsia="Arial" w:hAnsi="Arial"/>
                <w:sz w:val="18"/>
                <w:szCs w:val="18"/>
                <w:color w:val="auto"/>
              </w:rPr>
              <w:t>79</w:t>
            </w: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51"/>
        </w:trPr>
        <w:tc>
          <w:tcPr>
            <w:tcW w:w="5460" w:type="dxa"/>
            <w:vAlign w:val="bottom"/>
          </w:tcPr>
          <w:p>
            <w:pPr>
              <w:spacing w:after="0"/>
              <w:rPr>
                <w:sz w:val="21"/>
                <w:szCs w:val="21"/>
                <w:color w:val="auto"/>
              </w:rPr>
            </w:pPr>
          </w:p>
        </w:tc>
        <w:tc>
          <w:tcPr>
            <w:tcW w:w="240" w:type="dxa"/>
            <w:vAlign w:val="bottom"/>
            <w:shd w:val="clear" w:color="auto" w:fill="000000"/>
          </w:tcPr>
          <w:p>
            <w:pPr>
              <w:spacing w:after="0"/>
              <w:rPr>
                <w:sz w:val="21"/>
                <w:szCs w:val="21"/>
                <w:color w:val="auto"/>
              </w:rPr>
            </w:pPr>
          </w:p>
        </w:tc>
        <w:tc>
          <w:tcPr>
            <w:tcW w:w="840" w:type="dxa"/>
            <w:vAlign w:val="bottom"/>
            <w:shd w:val="clear" w:color="auto" w:fill="000000"/>
          </w:tcPr>
          <w:p>
            <w:pPr>
              <w:spacing w:after="0"/>
              <w:rPr>
                <w:sz w:val="21"/>
                <w:szCs w:val="21"/>
                <w:color w:val="auto"/>
              </w:rPr>
            </w:pPr>
          </w:p>
        </w:tc>
        <w:tc>
          <w:tcPr>
            <w:tcW w:w="400" w:type="dxa"/>
            <w:vAlign w:val="bottom"/>
          </w:tcPr>
          <w:p>
            <w:pPr>
              <w:spacing w:after="0"/>
              <w:rPr>
                <w:sz w:val="21"/>
                <w:szCs w:val="21"/>
                <w:color w:val="auto"/>
              </w:rPr>
            </w:pPr>
          </w:p>
        </w:tc>
        <w:tc>
          <w:tcPr>
            <w:tcW w:w="240" w:type="dxa"/>
            <w:vAlign w:val="bottom"/>
            <w:shd w:val="clear" w:color="auto" w:fill="000000"/>
          </w:tcPr>
          <w:p>
            <w:pPr>
              <w:spacing w:after="0"/>
              <w:rPr>
                <w:sz w:val="21"/>
                <w:szCs w:val="21"/>
                <w:color w:val="auto"/>
              </w:rPr>
            </w:pPr>
          </w:p>
        </w:tc>
        <w:tc>
          <w:tcPr>
            <w:tcW w:w="860" w:type="dxa"/>
            <w:vAlign w:val="bottom"/>
            <w:shd w:val="clear" w:color="auto" w:fill="000000"/>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5460" w:type="dxa"/>
            <w:vAlign w:val="bottom"/>
          </w:tcPr>
          <w:p>
            <w:pPr>
              <w:ind w:left="380"/>
              <w:spacing w:after="0"/>
              <w:rPr>
                <w:sz w:val="20"/>
                <w:szCs w:val="20"/>
                <w:color w:val="auto"/>
              </w:rPr>
            </w:pPr>
            <w:r>
              <w:rPr>
                <w:rFonts w:ascii="Arial" w:cs="Arial" w:eastAsia="Arial" w:hAnsi="Arial"/>
                <w:sz w:val="18"/>
                <w:szCs w:val="18"/>
                <w:color w:val="auto"/>
              </w:rPr>
              <w:t>Total shareholders' equity</w:t>
            </w:r>
          </w:p>
        </w:tc>
        <w:tc>
          <w:tcPr>
            <w:tcW w:w="240" w:type="dxa"/>
            <w:vAlign w:val="bottom"/>
          </w:tcPr>
          <w:p>
            <w:pPr>
              <w:spacing w:after="0"/>
              <w:rPr>
                <w:sz w:val="22"/>
                <w:szCs w:val="22"/>
                <w:color w:val="auto"/>
              </w:rPr>
            </w:pPr>
          </w:p>
        </w:tc>
        <w:tc>
          <w:tcPr>
            <w:tcW w:w="840" w:type="dxa"/>
            <w:vAlign w:val="bottom"/>
          </w:tcPr>
          <w:p>
            <w:pPr>
              <w:jc w:val="right"/>
              <w:ind w:right="32"/>
              <w:spacing w:after="0"/>
              <w:rPr>
                <w:sz w:val="20"/>
                <w:szCs w:val="20"/>
                <w:color w:val="auto"/>
              </w:rPr>
            </w:pPr>
            <w:r>
              <w:rPr>
                <w:rFonts w:ascii="Arial" w:cs="Arial" w:eastAsia="Arial" w:hAnsi="Arial"/>
                <w:sz w:val="18"/>
                <w:szCs w:val="18"/>
                <w:color w:val="auto"/>
              </w:rPr>
              <w:t>1,562</w:t>
            </w:r>
          </w:p>
        </w:tc>
        <w:tc>
          <w:tcPr>
            <w:tcW w:w="4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1,376</w:t>
            </w:r>
          </w:p>
        </w:tc>
        <w:tc>
          <w:tcPr>
            <w:tcW w:w="0" w:type="dxa"/>
            <w:vAlign w:val="bottom"/>
          </w:tcPr>
          <w:p>
            <w:pPr>
              <w:spacing w:after="0"/>
              <w:rPr>
                <w:sz w:val="1"/>
                <w:szCs w:val="1"/>
                <w:color w:val="auto"/>
              </w:rPr>
            </w:pPr>
          </w:p>
        </w:tc>
      </w:tr>
      <w:tr>
        <w:trPr>
          <w:trHeight w:val="278"/>
        </w:trPr>
        <w:tc>
          <w:tcPr>
            <w:tcW w:w="5460" w:type="dxa"/>
            <w:vAlign w:val="bottom"/>
          </w:tcPr>
          <w:p>
            <w:pPr>
              <w:ind w:left="160"/>
              <w:spacing w:after="0"/>
              <w:rPr>
                <w:sz w:val="20"/>
                <w:szCs w:val="20"/>
                <w:color w:val="auto"/>
              </w:rPr>
            </w:pPr>
            <w:r>
              <w:rPr>
                <w:rFonts w:ascii="Arial" w:cs="Arial" w:eastAsia="Arial" w:hAnsi="Arial"/>
                <w:sz w:val="18"/>
                <w:szCs w:val="18"/>
                <w:color w:val="auto"/>
              </w:rPr>
              <w:t>Long-term debt</w:t>
            </w:r>
          </w:p>
        </w:tc>
        <w:tc>
          <w:tcPr>
            <w:tcW w:w="240" w:type="dxa"/>
            <w:vAlign w:val="bottom"/>
          </w:tcPr>
          <w:p>
            <w:pPr>
              <w:spacing w:after="0"/>
              <w:rPr>
                <w:sz w:val="24"/>
                <w:szCs w:val="24"/>
                <w:color w:val="auto"/>
              </w:rPr>
            </w:pPr>
          </w:p>
        </w:tc>
        <w:tc>
          <w:tcPr>
            <w:tcW w:w="840" w:type="dxa"/>
            <w:vAlign w:val="bottom"/>
          </w:tcPr>
          <w:p>
            <w:pPr>
              <w:jc w:val="right"/>
              <w:ind w:right="32"/>
              <w:spacing w:after="0"/>
              <w:rPr>
                <w:sz w:val="20"/>
                <w:szCs w:val="20"/>
                <w:color w:val="auto"/>
              </w:rPr>
            </w:pPr>
            <w:r>
              <w:rPr>
                <w:rFonts w:ascii="Arial" w:cs="Arial" w:eastAsia="Arial" w:hAnsi="Arial"/>
                <w:sz w:val="18"/>
                <w:szCs w:val="18"/>
                <w:color w:val="auto"/>
              </w:rPr>
              <w:t>1,455</w:t>
            </w: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1,022</w:t>
            </w:r>
          </w:p>
        </w:tc>
        <w:tc>
          <w:tcPr>
            <w:tcW w:w="0" w:type="dxa"/>
            <w:vAlign w:val="bottom"/>
          </w:tcPr>
          <w:p>
            <w:pPr>
              <w:spacing w:after="0"/>
              <w:rPr>
                <w:sz w:val="1"/>
                <w:szCs w:val="1"/>
                <w:color w:val="auto"/>
              </w:rPr>
            </w:pPr>
          </w:p>
        </w:tc>
      </w:tr>
      <w:tr>
        <w:trPr>
          <w:trHeight w:val="251"/>
        </w:trPr>
        <w:tc>
          <w:tcPr>
            <w:tcW w:w="5460" w:type="dxa"/>
            <w:vAlign w:val="bottom"/>
          </w:tcPr>
          <w:p>
            <w:pPr>
              <w:spacing w:after="0"/>
              <w:rPr>
                <w:sz w:val="21"/>
                <w:szCs w:val="21"/>
                <w:color w:val="auto"/>
              </w:rPr>
            </w:pPr>
          </w:p>
        </w:tc>
        <w:tc>
          <w:tcPr>
            <w:tcW w:w="240" w:type="dxa"/>
            <w:vAlign w:val="bottom"/>
            <w:shd w:val="clear" w:color="auto" w:fill="000000"/>
          </w:tcPr>
          <w:p>
            <w:pPr>
              <w:spacing w:after="0"/>
              <w:rPr>
                <w:sz w:val="21"/>
                <w:szCs w:val="21"/>
                <w:color w:val="auto"/>
              </w:rPr>
            </w:pPr>
          </w:p>
        </w:tc>
        <w:tc>
          <w:tcPr>
            <w:tcW w:w="840" w:type="dxa"/>
            <w:vAlign w:val="bottom"/>
            <w:shd w:val="clear" w:color="auto" w:fill="000000"/>
          </w:tcPr>
          <w:p>
            <w:pPr>
              <w:spacing w:after="0"/>
              <w:rPr>
                <w:sz w:val="21"/>
                <w:szCs w:val="21"/>
                <w:color w:val="auto"/>
              </w:rPr>
            </w:pPr>
          </w:p>
        </w:tc>
        <w:tc>
          <w:tcPr>
            <w:tcW w:w="400" w:type="dxa"/>
            <w:vAlign w:val="bottom"/>
          </w:tcPr>
          <w:p>
            <w:pPr>
              <w:spacing w:after="0"/>
              <w:rPr>
                <w:sz w:val="21"/>
                <w:szCs w:val="21"/>
                <w:color w:val="auto"/>
              </w:rPr>
            </w:pPr>
          </w:p>
        </w:tc>
        <w:tc>
          <w:tcPr>
            <w:tcW w:w="240" w:type="dxa"/>
            <w:vAlign w:val="bottom"/>
            <w:shd w:val="clear" w:color="auto" w:fill="000000"/>
          </w:tcPr>
          <w:p>
            <w:pPr>
              <w:spacing w:after="0"/>
              <w:rPr>
                <w:sz w:val="21"/>
                <w:szCs w:val="21"/>
                <w:color w:val="auto"/>
              </w:rPr>
            </w:pPr>
          </w:p>
        </w:tc>
        <w:tc>
          <w:tcPr>
            <w:tcW w:w="860" w:type="dxa"/>
            <w:vAlign w:val="bottom"/>
            <w:shd w:val="clear" w:color="auto" w:fill="000000"/>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5460" w:type="dxa"/>
            <w:vAlign w:val="bottom"/>
          </w:tcPr>
          <w:p>
            <w:pPr>
              <w:ind w:left="380"/>
              <w:spacing w:after="0"/>
              <w:rPr>
                <w:sz w:val="20"/>
                <w:szCs w:val="20"/>
                <w:color w:val="auto"/>
              </w:rPr>
            </w:pPr>
            <w:r>
              <w:rPr>
                <w:rFonts w:ascii="Arial" w:cs="Arial" w:eastAsia="Arial" w:hAnsi="Arial"/>
                <w:sz w:val="18"/>
                <w:szCs w:val="18"/>
                <w:color w:val="auto"/>
              </w:rPr>
              <w:t>Total capitalization</w:t>
            </w:r>
          </w:p>
        </w:tc>
        <w:tc>
          <w:tcPr>
            <w:tcW w:w="240" w:type="dxa"/>
            <w:vAlign w:val="bottom"/>
          </w:tcPr>
          <w:p>
            <w:pPr>
              <w:spacing w:after="0"/>
              <w:rPr>
                <w:sz w:val="22"/>
                <w:szCs w:val="22"/>
                <w:color w:val="auto"/>
              </w:rPr>
            </w:pPr>
          </w:p>
        </w:tc>
        <w:tc>
          <w:tcPr>
            <w:tcW w:w="840" w:type="dxa"/>
            <w:vAlign w:val="bottom"/>
          </w:tcPr>
          <w:p>
            <w:pPr>
              <w:jc w:val="right"/>
              <w:ind w:right="32"/>
              <w:spacing w:after="0"/>
              <w:rPr>
                <w:sz w:val="20"/>
                <w:szCs w:val="20"/>
                <w:color w:val="auto"/>
              </w:rPr>
            </w:pPr>
            <w:r>
              <w:rPr>
                <w:rFonts w:ascii="Arial" w:cs="Arial" w:eastAsia="Arial" w:hAnsi="Arial"/>
                <w:sz w:val="18"/>
                <w:szCs w:val="18"/>
                <w:color w:val="auto"/>
              </w:rPr>
              <w:t>3,017</w:t>
            </w:r>
          </w:p>
        </w:tc>
        <w:tc>
          <w:tcPr>
            <w:tcW w:w="4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2,398</w:t>
            </w:r>
          </w:p>
        </w:tc>
        <w:tc>
          <w:tcPr>
            <w:tcW w:w="0" w:type="dxa"/>
            <w:vAlign w:val="bottom"/>
          </w:tcPr>
          <w:p>
            <w:pPr>
              <w:spacing w:after="0"/>
              <w:rPr>
                <w:sz w:val="1"/>
                <w:szCs w:val="1"/>
                <w:color w:val="auto"/>
              </w:rPr>
            </w:pPr>
          </w:p>
        </w:tc>
      </w:tr>
      <w:tr>
        <w:trPr>
          <w:trHeight w:val="259"/>
        </w:trPr>
        <w:tc>
          <w:tcPr>
            <w:tcW w:w="5460" w:type="dxa"/>
            <w:vAlign w:val="bottom"/>
            <w:vMerge w:val="restart"/>
          </w:tcPr>
          <w:p>
            <w:pPr>
              <w:spacing w:after="0"/>
              <w:rPr>
                <w:sz w:val="20"/>
                <w:szCs w:val="20"/>
                <w:color w:val="auto"/>
              </w:rPr>
            </w:pPr>
            <w:r>
              <w:rPr>
                <w:rFonts w:ascii="Arial" w:cs="Arial" w:eastAsia="Arial" w:hAnsi="Arial"/>
                <w:sz w:val="18"/>
                <w:szCs w:val="18"/>
                <w:color w:val="auto"/>
              </w:rPr>
              <w:t>Current liabilities:</w:t>
            </w:r>
          </w:p>
        </w:tc>
        <w:tc>
          <w:tcPr>
            <w:tcW w:w="240" w:type="dxa"/>
            <w:vAlign w:val="bottom"/>
            <w:shd w:val="clear" w:color="auto" w:fill="000000"/>
          </w:tcPr>
          <w:p>
            <w:pPr>
              <w:spacing w:after="0"/>
              <w:rPr>
                <w:sz w:val="22"/>
                <w:szCs w:val="22"/>
                <w:color w:val="auto"/>
              </w:rPr>
            </w:pPr>
          </w:p>
        </w:tc>
        <w:tc>
          <w:tcPr>
            <w:tcW w:w="840" w:type="dxa"/>
            <w:vAlign w:val="bottom"/>
            <w:shd w:val="clear" w:color="auto" w:fill="000000"/>
          </w:tcPr>
          <w:p>
            <w:pPr>
              <w:spacing w:after="0"/>
              <w:rPr>
                <w:sz w:val="22"/>
                <w:szCs w:val="22"/>
                <w:color w:val="auto"/>
              </w:rPr>
            </w:pPr>
          </w:p>
        </w:tc>
        <w:tc>
          <w:tcPr>
            <w:tcW w:w="400" w:type="dxa"/>
            <w:vAlign w:val="bottom"/>
          </w:tcPr>
          <w:p>
            <w:pPr>
              <w:spacing w:after="0"/>
              <w:rPr>
                <w:sz w:val="22"/>
                <w:szCs w:val="22"/>
                <w:color w:val="auto"/>
              </w:rPr>
            </w:pPr>
          </w:p>
        </w:tc>
        <w:tc>
          <w:tcPr>
            <w:tcW w:w="240" w:type="dxa"/>
            <w:vAlign w:val="bottom"/>
            <w:shd w:val="clear" w:color="auto" w:fill="000000"/>
          </w:tcPr>
          <w:p>
            <w:pPr>
              <w:spacing w:after="0"/>
              <w:rPr>
                <w:sz w:val="22"/>
                <w:szCs w:val="22"/>
                <w:color w:val="auto"/>
              </w:rPr>
            </w:pPr>
          </w:p>
        </w:tc>
        <w:tc>
          <w:tcPr>
            <w:tcW w:w="860" w:type="dxa"/>
            <w:vAlign w:val="bottom"/>
            <w:shd w:val="clear" w:color="auto" w:fill="000000"/>
          </w:tcPr>
          <w:p>
            <w:pPr>
              <w:spacing w:after="0"/>
              <w:rPr>
                <w:sz w:val="22"/>
                <w:szCs w:val="22"/>
                <w:color w:val="auto"/>
              </w:rPr>
            </w:pPr>
          </w:p>
        </w:tc>
        <w:tc>
          <w:tcPr>
            <w:tcW w:w="0" w:type="dxa"/>
            <w:vAlign w:val="bottom"/>
          </w:tcPr>
          <w:p>
            <w:pPr>
              <w:spacing w:after="0"/>
              <w:rPr>
                <w:sz w:val="1"/>
                <w:szCs w:val="1"/>
                <w:color w:val="auto"/>
              </w:rPr>
            </w:pPr>
          </w:p>
        </w:tc>
      </w:tr>
      <w:tr>
        <w:trPr>
          <w:trHeight w:val="525"/>
        </w:trPr>
        <w:tc>
          <w:tcPr>
            <w:tcW w:w="546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5460" w:type="dxa"/>
            <w:vAlign w:val="bottom"/>
          </w:tcPr>
          <w:p>
            <w:pPr>
              <w:ind w:left="160"/>
              <w:spacing w:after="0"/>
              <w:rPr>
                <w:sz w:val="20"/>
                <w:szCs w:val="20"/>
                <w:color w:val="auto"/>
              </w:rPr>
            </w:pPr>
            <w:r>
              <w:rPr>
                <w:rFonts w:ascii="Arial" w:cs="Arial" w:eastAsia="Arial" w:hAnsi="Arial"/>
                <w:sz w:val="18"/>
                <w:szCs w:val="18"/>
                <w:color w:val="auto"/>
              </w:rPr>
              <w:t>Accounts payable</w:t>
            </w:r>
          </w:p>
        </w:tc>
        <w:tc>
          <w:tcPr>
            <w:tcW w:w="240" w:type="dxa"/>
            <w:vAlign w:val="bottom"/>
          </w:tcPr>
          <w:p>
            <w:pPr>
              <w:spacing w:after="0"/>
              <w:rPr>
                <w:sz w:val="23"/>
                <w:szCs w:val="23"/>
                <w:color w:val="auto"/>
              </w:rPr>
            </w:pPr>
          </w:p>
        </w:tc>
        <w:tc>
          <w:tcPr>
            <w:tcW w:w="840" w:type="dxa"/>
            <w:vAlign w:val="bottom"/>
          </w:tcPr>
          <w:p>
            <w:pPr>
              <w:jc w:val="right"/>
              <w:ind w:right="32"/>
              <w:spacing w:after="0"/>
              <w:rPr>
                <w:sz w:val="20"/>
                <w:szCs w:val="20"/>
                <w:color w:val="auto"/>
              </w:rPr>
            </w:pPr>
            <w:r>
              <w:rPr>
                <w:rFonts w:ascii="Arial" w:cs="Arial" w:eastAsia="Arial" w:hAnsi="Arial"/>
                <w:sz w:val="18"/>
                <w:szCs w:val="18"/>
                <w:color w:val="auto"/>
              </w:rPr>
              <w:t>243</w:t>
            </w:r>
          </w:p>
        </w:tc>
        <w:tc>
          <w:tcPr>
            <w:tcW w:w="4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270"/>
        </w:trPr>
        <w:tc>
          <w:tcPr>
            <w:tcW w:w="5460" w:type="dxa"/>
            <w:vAlign w:val="bottom"/>
          </w:tcPr>
          <w:p>
            <w:pPr>
              <w:ind w:left="160"/>
              <w:spacing w:after="0"/>
              <w:rPr>
                <w:sz w:val="20"/>
                <w:szCs w:val="20"/>
                <w:color w:val="auto"/>
              </w:rPr>
            </w:pPr>
            <w:r>
              <w:rPr>
                <w:rFonts w:ascii="Arial" w:cs="Arial" w:eastAsia="Arial" w:hAnsi="Arial"/>
                <w:sz w:val="18"/>
                <w:szCs w:val="18"/>
                <w:color w:val="auto"/>
              </w:rPr>
              <w:t>Due to unconsolidated affiliates</w:t>
            </w:r>
          </w:p>
        </w:tc>
        <w:tc>
          <w:tcPr>
            <w:tcW w:w="240" w:type="dxa"/>
            <w:vAlign w:val="bottom"/>
          </w:tcPr>
          <w:p>
            <w:pPr>
              <w:spacing w:after="0"/>
              <w:rPr>
                <w:sz w:val="23"/>
                <w:szCs w:val="23"/>
                <w:color w:val="auto"/>
              </w:rPr>
            </w:pPr>
          </w:p>
        </w:tc>
        <w:tc>
          <w:tcPr>
            <w:tcW w:w="840" w:type="dxa"/>
            <w:vAlign w:val="bottom"/>
          </w:tcPr>
          <w:p>
            <w:pPr>
              <w:jc w:val="right"/>
              <w:ind w:right="32"/>
              <w:spacing w:after="0"/>
              <w:rPr>
                <w:sz w:val="20"/>
                <w:szCs w:val="20"/>
                <w:color w:val="auto"/>
              </w:rPr>
            </w:pPr>
            <w:r>
              <w:rPr>
                <w:rFonts w:ascii="Arial" w:cs="Arial" w:eastAsia="Arial" w:hAnsi="Arial"/>
                <w:sz w:val="18"/>
                <w:szCs w:val="18"/>
                <w:color w:val="auto"/>
              </w:rPr>
              <w:t>441</w:t>
            </w:r>
          </w:p>
        </w:tc>
        <w:tc>
          <w:tcPr>
            <w:tcW w:w="4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bl>
    <w:p>
      <w:pPr>
        <w:sectPr>
          <w:pgSz w:w="11900" w:h="16868" w:orient="portrait"/>
          <w:cols w:equalWidth="0" w:num="1">
            <w:col w:w="9019"/>
          </w:cols>
          <w:pgMar w:left="1440" w:top="428" w:right="1440" w:bottom="0" w:gutter="0" w:footer="0" w:header="0"/>
        </w:sectPr>
      </w:pPr>
    </w:p>
    <w:bookmarkStart w:id="24" w:name="page25"/>
    <w:bookmarkEnd w:id="24"/>
    <w:p>
      <w:pPr>
        <w:spacing w:after="0" w:line="43" w:lineRule="exact"/>
        <w:rPr>
          <w:sz w:val="20"/>
          <w:szCs w:val="20"/>
          <w:color w:val="auto"/>
        </w:rPr>
      </w:pPr>
    </w:p>
    <w:tbl>
      <w:tblPr>
        <w:tblLayout w:type="fixed"/>
        <w:tblInd w:w="500" w:type="dxa"/>
        <w:tblCellMar>
          <w:top w:w="0" w:type="dxa"/>
          <w:left w:w="0" w:type="dxa"/>
          <w:bottom w:w="0" w:type="dxa"/>
          <w:right w:w="0" w:type="dxa"/>
        </w:tblCellMar>
      </w:tblPr>
      <w:tr>
        <w:trPr>
          <w:trHeight w:val="223"/>
        </w:trPr>
        <w:tc>
          <w:tcPr>
            <w:tcW w:w="5460" w:type="dxa"/>
            <w:vAlign w:val="bottom"/>
          </w:tcPr>
          <w:p>
            <w:pPr>
              <w:ind w:left="160"/>
              <w:spacing w:after="0"/>
              <w:rPr>
                <w:sz w:val="20"/>
                <w:szCs w:val="20"/>
                <w:color w:val="auto"/>
              </w:rPr>
            </w:pPr>
            <w:r>
              <w:rPr>
                <w:rFonts w:ascii="Arial" w:cs="Arial" w:eastAsia="Arial" w:hAnsi="Arial"/>
                <w:sz w:val="18"/>
                <w:szCs w:val="18"/>
                <w:color w:val="auto"/>
              </w:rPr>
              <w:t>Income taxes payable</w:t>
            </w:r>
          </w:p>
        </w:tc>
        <w:tc>
          <w:tcPr>
            <w:tcW w:w="340" w:type="dxa"/>
            <w:vAlign w:val="bottom"/>
          </w:tcPr>
          <w:p>
            <w:pPr>
              <w:spacing w:after="0"/>
              <w:rPr>
                <w:sz w:val="19"/>
                <w:szCs w:val="19"/>
                <w:color w:val="auto"/>
              </w:rPr>
            </w:pPr>
          </w:p>
        </w:tc>
        <w:tc>
          <w:tcPr>
            <w:tcW w:w="740" w:type="dxa"/>
            <w:vAlign w:val="bottom"/>
          </w:tcPr>
          <w:p>
            <w:pPr>
              <w:jc w:val="right"/>
              <w:ind w:right="32"/>
              <w:spacing w:after="0"/>
              <w:rPr>
                <w:sz w:val="20"/>
                <w:szCs w:val="20"/>
                <w:color w:val="auto"/>
              </w:rPr>
            </w:pPr>
            <w:r>
              <w:rPr>
                <w:rFonts w:ascii="Arial" w:cs="Arial" w:eastAsia="Arial" w:hAnsi="Arial"/>
                <w:sz w:val="18"/>
                <w:szCs w:val="18"/>
                <w:color w:val="auto"/>
              </w:rPr>
              <w:t>6</w:t>
            </w:r>
          </w:p>
        </w:tc>
        <w:tc>
          <w:tcPr>
            <w:tcW w:w="4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60" w:type="dxa"/>
            <w:vAlign w:val="bottom"/>
          </w:tcPr>
          <w:p>
            <w:pPr>
              <w:jc w:val="right"/>
              <w:ind w:right="32"/>
              <w:spacing w:after="0"/>
              <w:rPr>
                <w:sz w:val="20"/>
                <w:szCs w:val="20"/>
                <w:color w:val="auto"/>
              </w:rPr>
            </w:pPr>
            <w:r>
              <w:rPr>
                <w:rFonts w:ascii="Arial" w:cs="Arial" w:eastAsia="Arial" w:hAnsi="Arial"/>
                <w:sz w:val="18"/>
                <w:szCs w:val="18"/>
                <w:color w:val="auto"/>
              </w:rPr>
              <w:t>225</w:t>
            </w:r>
          </w:p>
        </w:tc>
        <w:tc>
          <w:tcPr>
            <w:tcW w:w="0" w:type="dxa"/>
            <w:vAlign w:val="bottom"/>
          </w:tcPr>
          <w:p>
            <w:pPr>
              <w:spacing w:after="0"/>
              <w:rPr>
                <w:sz w:val="1"/>
                <w:szCs w:val="1"/>
                <w:color w:val="auto"/>
              </w:rPr>
            </w:pPr>
          </w:p>
        </w:tc>
      </w:tr>
      <w:tr>
        <w:trPr>
          <w:trHeight w:val="311"/>
        </w:trPr>
        <w:tc>
          <w:tcPr>
            <w:tcW w:w="5460" w:type="dxa"/>
            <w:vAlign w:val="bottom"/>
          </w:tcPr>
          <w:p>
            <w:pPr>
              <w:ind w:left="160"/>
              <w:spacing w:after="0"/>
              <w:rPr>
                <w:sz w:val="20"/>
                <w:szCs w:val="20"/>
                <w:color w:val="auto"/>
              </w:rPr>
            </w:pPr>
            <w:r>
              <w:rPr>
                <w:rFonts w:ascii="Arial" w:cs="Arial" w:eastAsia="Arial" w:hAnsi="Arial"/>
                <w:sz w:val="18"/>
                <w:szCs w:val="18"/>
                <w:color w:val="auto"/>
              </w:rPr>
              <w:t>Deferred income taxes</w:t>
            </w:r>
          </w:p>
        </w:tc>
        <w:tc>
          <w:tcPr>
            <w:tcW w:w="340" w:type="dxa"/>
            <w:vAlign w:val="bottom"/>
          </w:tcPr>
          <w:p>
            <w:pPr>
              <w:spacing w:after="0"/>
              <w:rPr>
                <w:sz w:val="24"/>
                <w:szCs w:val="24"/>
                <w:color w:val="auto"/>
              </w:rPr>
            </w:pPr>
          </w:p>
        </w:tc>
        <w:tc>
          <w:tcPr>
            <w:tcW w:w="74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60" w:type="dxa"/>
            <w:vAlign w:val="bottom"/>
          </w:tcPr>
          <w:p>
            <w:pPr>
              <w:jc w:val="right"/>
              <w:ind w:right="32"/>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70"/>
        </w:trPr>
        <w:tc>
          <w:tcPr>
            <w:tcW w:w="5460" w:type="dxa"/>
            <w:vAlign w:val="bottom"/>
          </w:tcPr>
          <w:p>
            <w:pPr>
              <w:ind w:left="160"/>
              <w:spacing w:after="0"/>
              <w:rPr>
                <w:sz w:val="20"/>
                <w:szCs w:val="20"/>
                <w:color w:val="auto"/>
              </w:rPr>
            </w:pPr>
            <w:r>
              <w:rPr>
                <w:rFonts w:ascii="Arial" w:cs="Arial" w:eastAsia="Arial" w:hAnsi="Arial"/>
                <w:sz w:val="18"/>
                <w:szCs w:val="18"/>
                <w:color w:val="auto"/>
              </w:rPr>
              <w:t>Regulatory balancing accounts, net</w:t>
            </w:r>
          </w:p>
        </w:tc>
        <w:tc>
          <w:tcPr>
            <w:tcW w:w="340" w:type="dxa"/>
            <w:vAlign w:val="bottom"/>
          </w:tcPr>
          <w:p>
            <w:pPr>
              <w:spacing w:after="0"/>
              <w:rPr>
                <w:sz w:val="23"/>
                <w:szCs w:val="23"/>
                <w:color w:val="auto"/>
              </w:rPr>
            </w:pPr>
          </w:p>
        </w:tc>
        <w:tc>
          <w:tcPr>
            <w:tcW w:w="740" w:type="dxa"/>
            <w:vAlign w:val="bottom"/>
          </w:tcPr>
          <w:p>
            <w:pPr>
              <w:jc w:val="right"/>
              <w:ind w:right="32"/>
              <w:spacing w:after="0"/>
              <w:rPr>
                <w:sz w:val="20"/>
                <w:szCs w:val="20"/>
                <w:color w:val="auto"/>
              </w:rPr>
            </w:pPr>
            <w:r>
              <w:rPr>
                <w:rFonts w:ascii="Arial" w:cs="Arial" w:eastAsia="Arial" w:hAnsi="Arial"/>
                <w:sz w:val="18"/>
                <w:szCs w:val="18"/>
                <w:color w:val="auto"/>
              </w:rPr>
              <w:t>179</w:t>
            </w:r>
          </w:p>
        </w:tc>
        <w:tc>
          <w:tcPr>
            <w:tcW w:w="4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760" w:type="dxa"/>
            <w:vAlign w:val="bottom"/>
          </w:tcPr>
          <w:p>
            <w:pPr>
              <w:jc w:val="right"/>
              <w:ind w:right="32"/>
              <w:spacing w:after="0"/>
              <w:rPr>
                <w:sz w:val="20"/>
                <w:szCs w:val="20"/>
                <w:color w:val="auto"/>
              </w:rPr>
            </w:pPr>
            <w:r>
              <w:rPr>
                <w:rFonts w:ascii="Arial" w:cs="Arial" w:eastAsia="Arial" w:hAnsi="Arial"/>
                <w:sz w:val="18"/>
                <w:szCs w:val="18"/>
                <w:color w:val="auto"/>
              </w:rPr>
              <w:t>331</w:t>
            </w:r>
          </w:p>
        </w:tc>
        <w:tc>
          <w:tcPr>
            <w:tcW w:w="0" w:type="dxa"/>
            <w:vAlign w:val="bottom"/>
          </w:tcPr>
          <w:p>
            <w:pPr>
              <w:spacing w:after="0"/>
              <w:rPr>
                <w:sz w:val="1"/>
                <w:szCs w:val="1"/>
                <w:color w:val="auto"/>
              </w:rPr>
            </w:pPr>
          </w:p>
        </w:tc>
      </w:tr>
      <w:tr>
        <w:trPr>
          <w:trHeight w:val="270"/>
        </w:trPr>
        <w:tc>
          <w:tcPr>
            <w:tcW w:w="5460" w:type="dxa"/>
            <w:vAlign w:val="bottom"/>
          </w:tcPr>
          <w:p>
            <w:pPr>
              <w:ind w:left="160"/>
              <w:spacing w:after="0"/>
              <w:rPr>
                <w:sz w:val="20"/>
                <w:szCs w:val="20"/>
                <w:color w:val="auto"/>
              </w:rPr>
            </w:pPr>
            <w:r>
              <w:rPr>
                <w:rFonts w:ascii="Arial" w:cs="Arial" w:eastAsia="Arial" w:hAnsi="Arial"/>
                <w:sz w:val="18"/>
                <w:szCs w:val="18"/>
                <w:color w:val="auto"/>
              </w:rPr>
              <w:t>Fixed-price contracts and other derivatives</w:t>
            </w:r>
          </w:p>
        </w:tc>
        <w:tc>
          <w:tcPr>
            <w:tcW w:w="340" w:type="dxa"/>
            <w:vAlign w:val="bottom"/>
          </w:tcPr>
          <w:p>
            <w:pPr>
              <w:spacing w:after="0"/>
              <w:rPr>
                <w:sz w:val="23"/>
                <w:szCs w:val="23"/>
                <w:color w:val="auto"/>
              </w:rPr>
            </w:pPr>
          </w:p>
        </w:tc>
        <w:tc>
          <w:tcPr>
            <w:tcW w:w="740" w:type="dxa"/>
            <w:vAlign w:val="bottom"/>
          </w:tcPr>
          <w:p>
            <w:pPr>
              <w:jc w:val="right"/>
              <w:ind w:right="32"/>
              <w:spacing w:after="0"/>
              <w:rPr>
                <w:sz w:val="20"/>
                <w:szCs w:val="20"/>
                <w:color w:val="auto"/>
              </w:rPr>
            </w:pPr>
            <w:r>
              <w:rPr>
                <w:rFonts w:ascii="Arial" w:cs="Arial" w:eastAsia="Arial" w:hAnsi="Arial"/>
                <w:sz w:val="18"/>
                <w:szCs w:val="18"/>
                <w:color w:val="auto"/>
              </w:rPr>
              <w:t>76</w:t>
            </w:r>
          </w:p>
        </w:tc>
        <w:tc>
          <w:tcPr>
            <w:tcW w:w="4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760" w:type="dxa"/>
            <w:vAlign w:val="bottom"/>
          </w:tcPr>
          <w:p>
            <w:pPr>
              <w:jc w:val="right"/>
              <w:ind w:right="32"/>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70"/>
        </w:trPr>
        <w:tc>
          <w:tcPr>
            <w:tcW w:w="5460" w:type="dxa"/>
            <w:vAlign w:val="bottom"/>
          </w:tcPr>
          <w:p>
            <w:pPr>
              <w:ind w:left="160"/>
              <w:spacing w:after="0"/>
              <w:rPr>
                <w:sz w:val="20"/>
                <w:szCs w:val="20"/>
                <w:color w:val="auto"/>
              </w:rPr>
            </w:pPr>
            <w:r>
              <w:rPr>
                <w:rFonts w:ascii="Arial" w:cs="Arial" w:eastAsia="Arial" w:hAnsi="Arial"/>
                <w:sz w:val="18"/>
                <w:szCs w:val="18"/>
                <w:color w:val="auto"/>
              </w:rPr>
              <w:t>Customer deposits</w:t>
            </w:r>
          </w:p>
        </w:tc>
        <w:tc>
          <w:tcPr>
            <w:tcW w:w="340" w:type="dxa"/>
            <w:vAlign w:val="bottom"/>
          </w:tcPr>
          <w:p>
            <w:pPr>
              <w:spacing w:after="0"/>
              <w:rPr>
                <w:sz w:val="23"/>
                <w:szCs w:val="23"/>
                <w:color w:val="auto"/>
              </w:rPr>
            </w:pPr>
          </w:p>
        </w:tc>
        <w:tc>
          <w:tcPr>
            <w:tcW w:w="740" w:type="dxa"/>
            <w:vAlign w:val="bottom"/>
          </w:tcPr>
          <w:p>
            <w:pPr>
              <w:jc w:val="right"/>
              <w:ind w:right="32"/>
              <w:spacing w:after="0"/>
              <w:rPr>
                <w:sz w:val="20"/>
                <w:szCs w:val="20"/>
                <w:color w:val="auto"/>
              </w:rPr>
            </w:pPr>
            <w:r>
              <w:rPr>
                <w:rFonts w:ascii="Arial" w:cs="Arial" w:eastAsia="Arial" w:hAnsi="Arial"/>
                <w:sz w:val="18"/>
                <w:szCs w:val="18"/>
                <w:color w:val="auto"/>
              </w:rPr>
              <w:t>52</w:t>
            </w:r>
          </w:p>
        </w:tc>
        <w:tc>
          <w:tcPr>
            <w:tcW w:w="4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760" w:type="dxa"/>
            <w:vAlign w:val="bottom"/>
          </w:tcPr>
          <w:p>
            <w:pPr>
              <w:jc w:val="right"/>
              <w:ind w:right="32"/>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70"/>
        </w:trPr>
        <w:tc>
          <w:tcPr>
            <w:tcW w:w="5460" w:type="dxa"/>
            <w:vAlign w:val="bottom"/>
          </w:tcPr>
          <w:p>
            <w:pPr>
              <w:ind w:left="160"/>
              <w:spacing w:after="0"/>
              <w:rPr>
                <w:sz w:val="20"/>
                <w:szCs w:val="20"/>
                <w:color w:val="auto"/>
              </w:rPr>
            </w:pPr>
            <w:r>
              <w:rPr>
                <w:rFonts w:ascii="Arial" w:cs="Arial" w:eastAsia="Arial" w:hAnsi="Arial"/>
                <w:sz w:val="18"/>
                <w:szCs w:val="18"/>
                <w:color w:val="auto"/>
              </w:rPr>
              <w:t>Current portion of long-term debt</w:t>
            </w:r>
          </w:p>
        </w:tc>
        <w:tc>
          <w:tcPr>
            <w:tcW w:w="340" w:type="dxa"/>
            <w:vAlign w:val="bottom"/>
          </w:tcPr>
          <w:p>
            <w:pPr>
              <w:spacing w:after="0"/>
              <w:rPr>
                <w:sz w:val="23"/>
                <w:szCs w:val="23"/>
                <w:color w:val="auto"/>
              </w:rPr>
            </w:pPr>
          </w:p>
        </w:tc>
        <w:tc>
          <w:tcPr>
            <w:tcW w:w="740" w:type="dxa"/>
            <w:vAlign w:val="bottom"/>
          </w:tcPr>
          <w:p>
            <w:pPr>
              <w:jc w:val="right"/>
              <w:ind w:right="32"/>
              <w:spacing w:after="0"/>
              <w:rPr>
                <w:sz w:val="20"/>
                <w:szCs w:val="20"/>
                <w:color w:val="auto"/>
              </w:rPr>
            </w:pPr>
            <w:r>
              <w:rPr>
                <w:rFonts w:ascii="Arial" w:cs="Arial" w:eastAsia="Arial" w:hAnsi="Arial"/>
                <w:sz w:val="18"/>
                <w:szCs w:val="18"/>
                <w:color w:val="auto"/>
              </w:rPr>
              <w:t>66</w:t>
            </w:r>
          </w:p>
        </w:tc>
        <w:tc>
          <w:tcPr>
            <w:tcW w:w="4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760" w:type="dxa"/>
            <w:vAlign w:val="bottom"/>
          </w:tcPr>
          <w:p>
            <w:pPr>
              <w:jc w:val="right"/>
              <w:ind w:right="32"/>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78"/>
        </w:trPr>
        <w:tc>
          <w:tcPr>
            <w:tcW w:w="5460" w:type="dxa"/>
            <w:vAlign w:val="bottom"/>
          </w:tcPr>
          <w:p>
            <w:pPr>
              <w:ind w:left="160"/>
              <w:spacing w:after="0"/>
              <w:rPr>
                <w:sz w:val="20"/>
                <w:szCs w:val="20"/>
                <w:color w:val="auto"/>
              </w:rPr>
            </w:pPr>
            <w:r>
              <w:rPr>
                <w:rFonts w:ascii="Arial" w:cs="Arial" w:eastAsia="Arial" w:hAnsi="Arial"/>
                <w:sz w:val="18"/>
                <w:szCs w:val="18"/>
                <w:color w:val="auto"/>
              </w:rPr>
              <w:t>Other</w:t>
            </w:r>
          </w:p>
        </w:tc>
        <w:tc>
          <w:tcPr>
            <w:tcW w:w="340" w:type="dxa"/>
            <w:vAlign w:val="bottom"/>
          </w:tcPr>
          <w:p>
            <w:pPr>
              <w:spacing w:after="0"/>
              <w:rPr>
                <w:sz w:val="24"/>
                <w:szCs w:val="24"/>
                <w:color w:val="auto"/>
              </w:rPr>
            </w:pPr>
          </w:p>
        </w:tc>
        <w:tc>
          <w:tcPr>
            <w:tcW w:w="740" w:type="dxa"/>
            <w:vAlign w:val="bottom"/>
          </w:tcPr>
          <w:p>
            <w:pPr>
              <w:jc w:val="right"/>
              <w:ind w:right="32"/>
              <w:spacing w:after="0"/>
              <w:rPr>
                <w:sz w:val="20"/>
                <w:szCs w:val="20"/>
                <w:color w:val="auto"/>
              </w:rPr>
            </w:pPr>
            <w:r>
              <w:rPr>
                <w:rFonts w:ascii="Arial" w:cs="Arial" w:eastAsia="Arial" w:hAnsi="Arial"/>
                <w:sz w:val="18"/>
                <w:szCs w:val="18"/>
                <w:color w:val="auto"/>
              </w:rPr>
              <w:t>282</w:t>
            </w:r>
          </w:p>
        </w:tc>
        <w:tc>
          <w:tcPr>
            <w:tcW w:w="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60" w:type="dxa"/>
            <w:vAlign w:val="bottom"/>
          </w:tcPr>
          <w:p>
            <w:pPr>
              <w:jc w:val="right"/>
              <w:ind w:right="32"/>
              <w:spacing w:after="0"/>
              <w:rPr>
                <w:sz w:val="20"/>
                <w:szCs w:val="20"/>
                <w:color w:val="auto"/>
              </w:rPr>
            </w:pPr>
            <w:r>
              <w:rPr>
                <w:rFonts w:ascii="Arial" w:cs="Arial" w:eastAsia="Arial" w:hAnsi="Arial"/>
                <w:sz w:val="18"/>
                <w:szCs w:val="18"/>
                <w:color w:val="auto"/>
              </w:rPr>
              <w:t>256</w:t>
            </w:r>
          </w:p>
        </w:tc>
        <w:tc>
          <w:tcPr>
            <w:tcW w:w="0" w:type="dxa"/>
            <w:vAlign w:val="bottom"/>
          </w:tcPr>
          <w:p>
            <w:pPr>
              <w:spacing w:after="0"/>
              <w:rPr>
                <w:sz w:val="1"/>
                <w:szCs w:val="1"/>
                <w:color w:val="auto"/>
              </w:rPr>
            </w:pPr>
          </w:p>
        </w:tc>
      </w:tr>
      <w:tr>
        <w:trPr>
          <w:trHeight w:val="251"/>
        </w:trPr>
        <w:tc>
          <w:tcPr>
            <w:tcW w:w="5460" w:type="dxa"/>
            <w:vAlign w:val="bottom"/>
          </w:tcPr>
          <w:p>
            <w:pPr>
              <w:spacing w:after="0"/>
              <w:rPr>
                <w:sz w:val="21"/>
                <w:szCs w:val="21"/>
                <w:color w:val="auto"/>
              </w:rPr>
            </w:pPr>
          </w:p>
        </w:tc>
        <w:tc>
          <w:tcPr>
            <w:tcW w:w="340" w:type="dxa"/>
            <w:vAlign w:val="bottom"/>
            <w:shd w:val="clear" w:color="auto" w:fill="000000"/>
          </w:tcPr>
          <w:p>
            <w:pPr>
              <w:spacing w:after="0"/>
              <w:rPr>
                <w:sz w:val="21"/>
                <w:szCs w:val="21"/>
                <w:color w:val="auto"/>
              </w:rPr>
            </w:pPr>
          </w:p>
        </w:tc>
        <w:tc>
          <w:tcPr>
            <w:tcW w:w="740" w:type="dxa"/>
            <w:vAlign w:val="bottom"/>
            <w:shd w:val="clear" w:color="auto" w:fill="000000"/>
          </w:tcPr>
          <w:p>
            <w:pPr>
              <w:spacing w:after="0"/>
              <w:rPr>
                <w:sz w:val="21"/>
                <w:szCs w:val="21"/>
                <w:color w:val="auto"/>
              </w:rPr>
            </w:pPr>
          </w:p>
        </w:tc>
        <w:tc>
          <w:tcPr>
            <w:tcW w:w="400" w:type="dxa"/>
            <w:vAlign w:val="bottom"/>
          </w:tcPr>
          <w:p>
            <w:pPr>
              <w:spacing w:after="0"/>
              <w:rPr>
                <w:sz w:val="21"/>
                <w:szCs w:val="21"/>
                <w:color w:val="auto"/>
              </w:rPr>
            </w:pPr>
          </w:p>
        </w:tc>
        <w:tc>
          <w:tcPr>
            <w:tcW w:w="340" w:type="dxa"/>
            <w:vAlign w:val="bottom"/>
            <w:shd w:val="clear" w:color="auto" w:fill="000000"/>
          </w:tcPr>
          <w:p>
            <w:pPr>
              <w:spacing w:after="0"/>
              <w:rPr>
                <w:sz w:val="21"/>
                <w:szCs w:val="21"/>
                <w:color w:val="auto"/>
              </w:rPr>
            </w:pPr>
          </w:p>
        </w:tc>
        <w:tc>
          <w:tcPr>
            <w:tcW w:w="760" w:type="dxa"/>
            <w:vAlign w:val="bottom"/>
            <w:shd w:val="clear" w:color="auto" w:fill="000000"/>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5460" w:type="dxa"/>
            <w:vAlign w:val="bottom"/>
          </w:tcPr>
          <w:p>
            <w:pPr>
              <w:ind w:left="380"/>
              <w:spacing w:after="0"/>
              <w:rPr>
                <w:sz w:val="20"/>
                <w:szCs w:val="20"/>
                <w:color w:val="auto"/>
              </w:rPr>
            </w:pPr>
            <w:r>
              <w:rPr>
                <w:rFonts w:ascii="Arial" w:cs="Arial" w:eastAsia="Arial" w:hAnsi="Arial"/>
                <w:sz w:val="18"/>
                <w:szCs w:val="18"/>
                <w:color w:val="auto"/>
              </w:rPr>
              <w:t>Total current liabilities</w:t>
            </w:r>
          </w:p>
        </w:tc>
        <w:tc>
          <w:tcPr>
            <w:tcW w:w="340" w:type="dxa"/>
            <w:vAlign w:val="bottom"/>
          </w:tcPr>
          <w:p>
            <w:pPr>
              <w:spacing w:after="0"/>
              <w:rPr>
                <w:sz w:val="22"/>
                <w:szCs w:val="22"/>
                <w:color w:val="auto"/>
              </w:rPr>
            </w:pPr>
          </w:p>
        </w:tc>
        <w:tc>
          <w:tcPr>
            <w:tcW w:w="740" w:type="dxa"/>
            <w:vAlign w:val="bottom"/>
          </w:tcPr>
          <w:p>
            <w:pPr>
              <w:jc w:val="right"/>
              <w:ind w:right="32"/>
              <w:spacing w:after="0"/>
              <w:rPr>
                <w:sz w:val="20"/>
                <w:szCs w:val="20"/>
                <w:color w:val="auto"/>
              </w:rPr>
            </w:pPr>
            <w:r>
              <w:rPr>
                <w:rFonts w:ascii="Arial" w:cs="Arial" w:eastAsia="Arial" w:hAnsi="Arial"/>
                <w:sz w:val="18"/>
                <w:szCs w:val="18"/>
                <w:color w:val="auto"/>
              </w:rPr>
              <w:t>1,345</w:t>
            </w:r>
          </w:p>
        </w:tc>
        <w:tc>
          <w:tcPr>
            <w:tcW w:w="4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760" w:type="dxa"/>
            <w:vAlign w:val="bottom"/>
          </w:tcPr>
          <w:p>
            <w:pPr>
              <w:jc w:val="right"/>
              <w:ind w:right="32"/>
              <w:spacing w:after="0"/>
              <w:rPr>
                <w:sz w:val="20"/>
                <w:szCs w:val="20"/>
                <w:color w:val="auto"/>
              </w:rPr>
            </w:pPr>
            <w:r>
              <w:rPr>
                <w:rFonts w:ascii="Arial" w:cs="Arial" w:eastAsia="Arial" w:hAnsi="Arial"/>
                <w:sz w:val="18"/>
                <w:szCs w:val="18"/>
                <w:color w:val="auto"/>
              </w:rPr>
              <w:t>1,208</w:t>
            </w:r>
          </w:p>
        </w:tc>
        <w:tc>
          <w:tcPr>
            <w:tcW w:w="0" w:type="dxa"/>
            <w:vAlign w:val="bottom"/>
          </w:tcPr>
          <w:p>
            <w:pPr>
              <w:spacing w:after="0"/>
              <w:rPr>
                <w:sz w:val="1"/>
                <w:szCs w:val="1"/>
                <w:color w:val="auto"/>
              </w:rPr>
            </w:pPr>
          </w:p>
        </w:tc>
      </w:tr>
      <w:tr>
        <w:trPr>
          <w:trHeight w:val="259"/>
        </w:trPr>
        <w:tc>
          <w:tcPr>
            <w:tcW w:w="5460" w:type="dxa"/>
            <w:vAlign w:val="bottom"/>
            <w:vMerge w:val="restart"/>
          </w:tcPr>
          <w:p>
            <w:pPr>
              <w:spacing w:after="0"/>
              <w:rPr>
                <w:sz w:val="20"/>
                <w:szCs w:val="20"/>
                <w:color w:val="auto"/>
              </w:rPr>
            </w:pPr>
            <w:r>
              <w:rPr>
                <w:rFonts w:ascii="Arial" w:cs="Arial" w:eastAsia="Arial" w:hAnsi="Arial"/>
                <w:sz w:val="18"/>
                <w:szCs w:val="18"/>
                <w:color w:val="auto"/>
              </w:rPr>
              <w:t>Deferred credits and other liabilities:</w:t>
            </w:r>
          </w:p>
        </w:tc>
        <w:tc>
          <w:tcPr>
            <w:tcW w:w="340" w:type="dxa"/>
            <w:vAlign w:val="bottom"/>
            <w:shd w:val="clear" w:color="auto" w:fill="000000"/>
          </w:tcPr>
          <w:p>
            <w:pPr>
              <w:spacing w:after="0"/>
              <w:rPr>
                <w:sz w:val="22"/>
                <w:szCs w:val="22"/>
                <w:color w:val="auto"/>
              </w:rPr>
            </w:pPr>
          </w:p>
        </w:tc>
        <w:tc>
          <w:tcPr>
            <w:tcW w:w="740" w:type="dxa"/>
            <w:vAlign w:val="bottom"/>
            <w:shd w:val="clear" w:color="auto" w:fill="000000"/>
          </w:tcPr>
          <w:p>
            <w:pPr>
              <w:spacing w:after="0"/>
              <w:rPr>
                <w:sz w:val="22"/>
                <w:szCs w:val="22"/>
                <w:color w:val="auto"/>
              </w:rPr>
            </w:pPr>
          </w:p>
        </w:tc>
        <w:tc>
          <w:tcPr>
            <w:tcW w:w="400" w:type="dxa"/>
            <w:vAlign w:val="bottom"/>
          </w:tcPr>
          <w:p>
            <w:pPr>
              <w:spacing w:after="0"/>
              <w:rPr>
                <w:sz w:val="22"/>
                <w:szCs w:val="22"/>
                <w:color w:val="auto"/>
              </w:rPr>
            </w:pPr>
          </w:p>
        </w:tc>
        <w:tc>
          <w:tcPr>
            <w:tcW w:w="340" w:type="dxa"/>
            <w:vAlign w:val="bottom"/>
            <w:shd w:val="clear" w:color="auto" w:fill="000000"/>
          </w:tcPr>
          <w:p>
            <w:pPr>
              <w:spacing w:after="0"/>
              <w:rPr>
                <w:sz w:val="22"/>
                <w:szCs w:val="22"/>
                <w:color w:val="auto"/>
              </w:rPr>
            </w:pPr>
          </w:p>
        </w:tc>
        <w:tc>
          <w:tcPr>
            <w:tcW w:w="760" w:type="dxa"/>
            <w:vAlign w:val="bottom"/>
            <w:shd w:val="clear" w:color="auto" w:fill="000000"/>
          </w:tcPr>
          <w:p>
            <w:pPr>
              <w:spacing w:after="0"/>
              <w:rPr>
                <w:sz w:val="22"/>
                <w:szCs w:val="22"/>
                <w:color w:val="auto"/>
              </w:rPr>
            </w:pPr>
          </w:p>
        </w:tc>
        <w:tc>
          <w:tcPr>
            <w:tcW w:w="0" w:type="dxa"/>
            <w:vAlign w:val="bottom"/>
          </w:tcPr>
          <w:p>
            <w:pPr>
              <w:spacing w:after="0"/>
              <w:rPr>
                <w:sz w:val="1"/>
                <w:szCs w:val="1"/>
                <w:color w:val="auto"/>
              </w:rPr>
            </w:pPr>
          </w:p>
        </w:tc>
      </w:tr>
      <w:tr>
        <w:trPr>
          <w:trHeight w:val="525"/>
        </w:trPr>
        <w:tc>
          <w:tcPr>
            <w:tcW w:w="546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5460" w:type="dxa"/>
            <w:vAlign w:val="bottom"/>
          </w:tcPr>
          <w:p>
            <w:pPr>
              <w:ind w:left="160"/>
              <w:spacing w:after="0"/>
              <w:rPr>
                <w:sz w:val="20"/>
                <w:szCs w:val="20"/>
                <w:color w:val="auto"/>
              </w:rPr>
            </w:pPr>
            <w:r>
              <w:rPr>
                <w:rFonts w:ascii="Arial" w:cs="Arial" w:eastAsia="Arial" w:hAnsi="Arial"/>
                <w:sz w:val="18"/>
                <w:szCs w:val="18"/>
                <w:color w:val="auto"/>
              </w:rPr>
              <w:t>Due to unconsolidated affiliate</w:t>
            </w:r>
          </w:p>
        </w:tc>
        <w:tc>
          <w:tcPr>
            <w:tcW w:w="340" w:type="dxa"/>
            <w:vAlign w:val="bottom"/>
          </w:tcPr>
          <w:p>
            <w:pPr>
              <w:spacing w:after="0"/>
              <w:rPr>
                <w:sz w:val="23"/>
                <w:szCs w:val="23"/>
                <w:color w:val="auto"/>
              </w:rPr>
            </w:pPr>
          </w:p>
        </w:tc>
        <w:tc>
          <w:tcPr>
            <w:tcW w:w="74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760" w:type="dxa"/>
            <w:vAlign w:val="bottom"/>
          </w:tcPr>
          <w:p>
            <w:pPr>
              <w:jc w:val="right"/>
              <w:ind w:right="32"/>
              <w:spacing w:after="0"/>
              <w:rPr>
                <w:sz w:val="20"/>
                <w:szCs w:val="20"/>
                <w:color w:val="auto"/>
              </w:rPr>
            </w:pPr>
            <w:r>
              <w:rPr>
                <w:rFonts w:ascii="Arial" w:cs="Arial" w:eastAsia="Arial" w:hAnsi="Arial"/>
                <w:sz w:val="18"/>
                <w:szCs w:val="18"/>
                <w:color w:val="auto"/>
              </w:rPr>
              <w:t>267</w:t>
            </w:r>
          </w:p>
        </w:tc>
        <w:tc>
          <w:tcPr>
            <w:tcW w:w="0" w:type="dxa"/>
            <w:vAlign w:val="bottom"/>
          </w:tcPr>
          <w:p>
            <w:pPr>
              <w:spacing w:after="0"/>
              <w:rPr>
                <w:sz w:val="1"/>
                <w:szCs w:val="1"/>
                <w:color w:val="auto"/>
              </w:rPr>
            </w:pPr>
          </w:p>
        </w:tc>
      </w:tr>
      <w:tr>
        <w:trPr>
          <w:trHeight w:val="270"/>
        </w:trPr>
        <w:tc>
          <w:tcPr>
            <w:tcW w:w="5460" w:type="dxa"/>
            <w:vAlign w:val="bottom"/>
          </w:tcPr>
          <w:p>
            <w:pPr>
              <w:ind w:left="160"/>
              <w:spacing w:after="0"/>
              <w:rPr>
                <w:sz w:val="20"/>
                <w:szCs w:val="20"/>
                <w:color w:val="auto"/>
              </w:rPr>
            </w:pPr>
            <w:r>
              <w:rPr>
                <w:rFonts w:ascii="Arial" w:cs="Arial" w:eastAsia="Arial" w:hAnsi="Arial"/>
                <w:sz w:val="18"/>
                <w:szCs w:val="18"/>
                <w:color w:val="auto"/>
              </w:rPr>
              <w:t>Customer advances for construction</w:t>
            </w:r>
          </w:p>
        </w:tc>
        <w:tc>
          <w:tcPr>
            <w:tcW w:w="340" w:type="dxa"/>
            <w:vAlign w:val="bottom"/>
          </w:tcPr>
          <w:p>
            <w:pPr>
              <w:spacing w:after="0"/>
              <w:rPr>
                <w:sz w:val="23"/>
                <w:szCs w:val="23"/>
                <w:color w:val="auto"/>
              </w:rPr>
            </w:pPr>
          </w:p>
        </w:tc>
        <w:tc>
          <w:tcPr>
            <w:tcW w:w="740" w:type="dxa"/>
            <w:vAlign w:val="bottom"/>
          </w:tcPr>
          <w:p>
            <w:pPr>
              <w:jc w:val="right"/>
              <w:ind w:right="32"/>
              <w:spacing w:after="0"/>
              <w:rPr>
                <w:sz w:val="20"/>
                <w:szCs w:val="20"/>
                <w:color w:val="auto"/>
              </w:rPr>
            </w:pPr>
            <w:r>
              <w:rPr>
                <w:rFonts w:ascii="Arial" w:cs="Arial" w:eastAsia="Arial" w:hAnsi="Arial"/>
                <w:sz w:val="18"/>
                <w:szCs w:val="18"/>
                <w:color w:val="auto"/>
              </w:rPr>
              <w:t>39</w:t>
            </w:r>
          </w:p>
        </w:tc>
        <w:tc>
          <w:tcPr>
            <w:tcW w:w="4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760" w:type="dxa"/>
            <w:vAlign w:val="bottom"/>
          </w:tcPr>
          <w:p>
            <w:pPr>
              <w:jc w:val="right"/>
              <w:ind w:right="32"/>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70"/>
        </w:trPr>
        <w:tc>
          <w:tcPr>
            <w:tcW w:w="5460" w:type="dxa"/>
            <w:vAlign w:val="bottom"/>
          </w:tcPr>
          <w:p>
            <w:pPr>
              <w:ind w:left="160"/>
              <w:spacing w:after="0"/>
              <w:rPr>
                <w:sz w:val="20"/>
                <w:szCs w:val="20"/>
                <w:color w:val="auto"/>
              </w:rPr>
            </w:pPr>
            <w:r>
              <w:rPr>
                <w:rFonts w:ascii="Arial" w:cs="Arial" w:eastAsia="Arial" w:hAnsi="Arial"/>
                <w:sz w:val="18"/>
                <w:szCs w:val="18"/>
                <w:color w:val="auto"/>
              </w:rPr>
              <w:t>Deferred income taxes</w:t>
            </w:r>
          </w:p>
        </w:tc>
        <w:tc>
          <w:tcPr>
            <w:tcW w:w="340" w:type="dxa"/>
            <w:vAlign w:val="bottom"/>
          </w:tcPr>
          <w:p>
            <w:pPr>
              <w:spacing w:after="0"/>
              <w:rPr>
                <w:sz w:val="23"/>
                <w:szCs w:val="23"/>
                <w:color w:val="auto"/>
              </w:rPr>
            </w:pPr>
          </w:p>
        </w:tc>
        <w:tc>
          <w:tcPr>
            <w:tcW w:w="740" w:type="dxa"/>
            <w:vAlign w:val="bottom"/>
          </w:tcPr>
          <w:p>
            <w:pPr>
              <w:jc w:val="right"/>
              <w:ind w:right="32"/>
              <w:spacing w:after="0"/>
              <w:rPr>
                <w:sz w:val="20"/>
                <w:szCs w:val="20"/>
                <w:color w:val="auto"/>
              </w:rPr>
            </w:pPr>
            <w:r>
              <w:rPr>
                <w:rFonts w:ascii="Arial" w:cs="Arial" w:eastAsia="Arial" w:hAnsi="Arial"/>
                <w:sz w:val="18"/>
                <w:szCs w:val="18"/>
                <w:color w:val="auto"/>
              </w:rPr>
              <w:t>591</w:t>
            </w:r>
          </w:p>
        </w:tc>
        <w:tc>
          <w:tcPr>
            <w:tcW w:w="4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760" w:type="dxa"/>
            <w:vAlign w:val="bottom"/>
          </w:tcPr>
          <w:p>
            <w:pPr>
              <w:jc w:val="right"/>
              <w:ind w:right="32"/>
              <w:spacing w:after="0"/>
              <w:rPr>
                <w:sz w:val="20"/>
                <w:szCs w:val="20"/>
                <w:color w:val="auto"/>
              </w:rPr>
            </w:pPr>
            <w:r>
              <w:rPr>
                <w:rFonts w:ascii="Arial" w:cs="Arial" w:eastAsia="Arial" w:hAnsi="Arial"/>
                <w:sz w:val="18"/>
                <w:szCs w:val="18"/>
                <w:color w:val="auto"/>
              </w:rPr>
              <w:t>522</w:t>
            </w:r>
          </w:p>
        </w:tc>
        <w:tc>
          <w:tcPr>
            <w:tcW w:w="0" w:type="dxa"/>
            <w:vAlign w:val="bottom"/>
          </w:tcPr>
          <w:p>
            <w:pPr>
              <w:spacing w:after="0"/>
              <w:rPr>
                <w:sz w:val="1"/>
                <w:szCs w:val="1"/>
                <w:color w:val="auto"/>
              </w:rPr>
            </w:pPr>
          </w:p>
        </w:tc>
      </w:tr>
      <w:tr>
        <w:trPr>
          <w:trHeight w:val="270"/>
        </w:trPr>
        <w:tc>
          <w:tcPr>
            <w:tcW w:w="5460" w:type="dxa"/>
            <w:vAlign w:val="bottom"/>
          </w:tcPr>
          <w:p>
            <w:pPr>
              <w:ind w:left="160"/>
              <w:spacing w:after="0"/>
              <w:rPr>
                <w:sz w:val="20"/>
                <w:szCs w:val="20"/>
                <w:color w:val="auto"/>
              </w:rPr>
            </w:pPr>
            <w:r>
              <w:rPr>
                <w:rFonts w:ascii="Arial" w:cs="Arial" w:eastAsia="Arial" w:hAnsi="Arial"/>
                <w:sz w:val="18"/>
                <w:szCs w:val="18"/>
                <w:color w:val="auto"/>
              </w:rPr>
              <w:t>Deferred investment tax credits</w:t>
            </w:r>
          </w:p>
        </w:tc>
        <w:tc>
          <w:tcPr>
            <w:tcW w:w="340" w:type="dxa"/>
            <w:vAlign w:val="bottom"/>
          </w:tcPr>
          <w:p>
            <w:pPr>
              <w:spacing w:after="0"/>
              <w:rPr>
                <w:sz w:val="23"/>
                <w:szCs w:val="23"/>
                <w:color w:val="auto"/>
              </w:rPr>
            </w:pPr>
          </w:p>
        </w:tc>
        <w:tc>
          <w:tcPr>
            <w:tcW w:w="740" w:type="dxa"/>
            <w:vAlign w:val="bottom"/>
          </w:tcPr>
          <w:p>
            <w:pPr>
              <w:jc w:val="right"/>
              <w:ind w:right="32"/>
              <w:spacing w:after="0"/>
              <w:rPr>
                <w:sz w:val="20"/>
                <w:szCs w:val="20"/>
                <w:color w:val="auto"/>
              </w:rPr>
            </w:pPr>
            <w:r>
              <w:rPr>
                <w:rFonts w:ascii="Arial" w:cs="Arial" w:eastAsia="Arial" w:hAnsi="Arial"/>
                <w:sz w:val="18"/>
                <w:szCs w:val="18"/>
                <w:color w:val="auto"/>
              </w:rPr>
              <w:t>34</w:t>
            </w:r>
          </w:p>
        </w:tc>
        <w:tc>
          <w:tcPr>
            <w:tcW w:w="4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760" w:type="dxa"/>
            <w:vAlign w:val="bottom"/>
          </w:tcPr>
          <w:p>
            <w:pPr>
              <w:jc w:val="right"/>
              <w:ind w:right="32"/>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43"/>
        </w:trPr>
        <w:tc>
          <w:tcPr>
            <w:tcW w:w="5460" w:type="dxa"/>
            <w:vAlign w:val="bottom"/>
          </w:tcPr>
          <w:p>
            <w:pPr>
              <w:ind w:left="160"/>
              <w:spacing w:after="0"/>
              <w:rPr>
                <w:sz w:val="20"/>
                <w:szCs w:val="20"/>
                <w:color w:val="auto"/>
              </w:rPr>
            </w:pPr>
            <w:r>
              <w:rPr>
                <w:rFonts w:ascii="Arial" w:cs="Arial" w:eastAsia="Arial" w:hAnsi="Arial"/>
                <w:sz w:val="18"/>
                <w:szCs w:val="18"/>
                <w:color w:val="auto"/>
              </w:rPr>
              <w:t>Regulatory liabilities arising from removal obligations</w:t>
            </w:r>
          </w:p>
        </w:tc>
        <w:tc>
          <w:tcPr>
            <w:tcW w:w="340" w:type="dxa"/>
            <w:vAlign w:val="bottom"/>
          </w:tcPr>
          <w:p>
            <w:pPr>
              <w:spacing w:after="0"/>
              <w:rPr>
                <w:sz w:val="21"/>
                <w:szCs w:val="21"/>
                <w:color w:val="auto"/>
              </w:rPr>
            </w:pPr>
          </w:p>
        </w:tc>
        <w:tc>
          <w:tcPr>
            <w:tcW w:w="740" w:type="dxa"/>
            <w:vAlign w:val="bottom"/>
          </w:tcPr>
          <w:p>
            <w:pPr>
              <w:jc w:val="right"/>
              <w:ind w:right="32"/>
              <w:spacing w:after="0"/>
              <w:rPr>
                <w:sz w:val="20"/>
                <w:szCs w:val="20"/>
                <w:color w:val="auto"/>
              </w:rPr>
            </w:pPr>
            <w:r>
              <w:rPr>
                <w:rFonts w:ascii="Arial" w:cs="Arial" w:eastAsia="Arial" w:hAnsi="Arial"/>
                <w:sz w:val="18"/>
                <w:szCs w:val="18"/>
                <w:color w:val="auto"/>
              </w:rPr>
              <w:t>1,216</w:t>
            </w:r>
          </w:p>
        </w:tc>
        <w:tc>
          <w:tcPr>
            <w:tcW w:w="4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60" w:type="dxa"/>
            <w:vAlign w:val="bottom"/>
          </w:tcPr>
          <w:p>
            <w:pPr>
              <w:jc w:val="right"/>
              <w:ind w:right="32"/>
              <w:spacing w:after="0"/>
              <w:rPr>
                <w:sz w:val="20"/>
                <w:szCs w:val="20"/>
                <w:color w:val="auto"/>
              </w:rPr>
            </w:pPr>
            <w:r>
              <w:rPr>
                <w:rFonts w:ascii="Arial" w:cs="Arial" w:eastAsia="Arial" w:hAnsi="Arial"/>
                <w:sz w:val="18"/>
                <w:szCs w:val="18"/>
                <w:color w:val="auto"/>
              </w:rPr>
              <w:t>1,246</w:t>
            </w:r>
          </w:p>
        </w:tc>
        <w:tc>
          <w:tcPr>
            <w:tcW w:w="0" w:type="dxa"/>
            <w:vAlign w:val="bottom"/>
          </w:tcPr>
          <w:p>
            <w:pPr>
              <w:spacing w:after="0"/>
              <w:rPr>
                <w:sz w:val="1"/>
                <w:szCs w:val="1"/>
                <w:color w:val="auto"/>
              </w:rPr>
            </w:pPr>
          </w:p>
        </w:tc>
      </w:tr>
      <w:tr>
        <w:trPr>
          <w:trHeight w:val="270"/>
        </w:trPr>
        <w:tc>
          <w:tcPr>
            <w:tcW w:w="5460" w:type="dxa"/>
            <w:vAlign w:val="bottom"/>
          </w:tcPr>
          <w:p>
            <w:pPr>
              <w:ind w:left="160"/>
              <w:spacing w:after="0"/>
              <w:rPr>
                <w:sz w:val="20"/>
                <w:szCs w:val="20"/>
                <w:color w:val="auto"/>
              </w:rPr>
            </w:pPr>
            <w:r>
              <w:rPr>
                <w:rFonts w:ascii="Arial" w:cs="Arial" w:eastAsia="Arial" w:hAnsi="Arial"/>
                <w:sz w:val="18"/>
                <w:szCs w:val="18"/>
                <w:color w:val="auto"/>
              </w:rPr>
              <w:t>Asset retirement obligations</w:t>
            </w:r>
          </w:p>
        </w:tc>
        <w:tc>
          <w:tcPr>
            <w:tcW w:w="340" w:type="dxa"/>
            <w:vAlign w:val="bottom"/>
          </w:tcPr>
          <w:p>
            <w:pPr>
              <w:spacing w:after="0"/>
              <w:rPr>
                <w:sz w:val="23"/>
                <w:szCs w:val="23"/>
                <w:color w:val="auto"/>
              </w:rPr>
            </w:pPr>
          </w:p>
        </w:tc>
        <w:tc>
          <w:tcPr>
            <w:tcW w:w="740" w:type="dxa"/>
            <w:vAlign w:val="bottom"/>
          </w:tcPr>
          <w:p>
            <w:pPr>
              <w:jc w:val="right"/>
              <w:ind w:right="32"/>
              <w:spacing w:after="0"/>
              <w:rPr>
                <w:sz w:val="20"/>
                <w:szCs w:val="20"/>
                <w:color w:val="auto"/>
              </w:rPr>
            </w:pPr>
            <w:r>
              <w:rPr>
                <w:rFonts w:ascii="Arial" w:cs="Arial" w:eastAsia="Arial" w:hAnsi="Arial"/>
                <w:sz w:val="18"/>
                <w:szCs w:val="18"/>
                <w:color w:val="auto"/>
              </w:rPr>
              <w:t>444</w:t>
            </w:r>
          </w:p>
        </w:tc>
        <w:tc>
          <w:tcPr>
            <w:tcW w:w="4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760" w:type="dxa"/>
            <w:vAlign w:val="bottom"/>
          </w:tcPr>
          <w:p>
            <w:pPr>
              <w:jc w:val="right"/>
              <w:ind w:right="32"/>
              <w:spacing w:after="0"/>
              <w:rPr>
                <w:sz w:val="20"/>
                <w:szCs w:val="20"/>
                <w:color w:val="auto"/>
              </w:rPr>
            </w:pPr>
            <w:r>
              <w:rPr>
                <w:rFonts w:ascii="Arial" w:cs="Arial" w:eastAsia="Arial" w:hAnsi="Arial"/>
                <w:sz w:val="18"/>
                <w:szCs w:val="18"/>
                <w:color w:val="auto"/>
              </w:rPr>
              <w:t>318</w:t>
            </w:r>
          </w:p>
        </w:tc>
        <w:tc>
          <w:tcPr>
            <w:tcW w:w="0" w:type="dxa"/>
            <w:vAlign w:val="bottom"/>
          </w:tcPr>
          <w:p>
            <w:pPr>
              <w:spacing w:after="0"/>
              <w:rPr>
                <w:sz w:val="1"/>
                <w:szCs w:val="1"/>
                <w:color w:val="auto"/>
              </w:rPr>
            </w:pPr>
          </w:p>
        </w:tc>
      </w:tr>
      <w:tr>
        <w:trPr>
          <w:trHeight w:val="270"/>
        </w:trPr>
        <w:tc>
          <w:tcPr>
            <w:tcW w:w="5460" w:type="dxa"/>
            <w:vAlign w:val="bottom"/>
          </w:tcPr>
          <w:p>
            <w:pPr>
              <w:ind w:left="160"/>
              <w:spacing w:after="0"/>
              <w:rPr>
                <w:sz w:val="20"/>
                <w:szCs w:val="20"/>
                <w:color w:val="auto"/>
              </w:rPr>
            </w:pPr>
            <w:r>
              <w:rPr>
                <w:rFonts w:ascii="Arial" w:cs="Arial" w:eastAsia="Arial" w:hAnsi="Arial"/>
                <w:sz w:val="18"/>
                <w:szCs w:val="18"/>
                <w:color w:val="auto"/>
              </w:rPr>
              <w:t>Fixed-price contracts and other derivatives</w:t>
            </w:r>
          </w:p>
        </w:tc>
        <w:tc>
          <w:tcPr>
            <w:tcW w:w="340" w:type="dxa"/>
            <w:vAlign w:val="bottom"/>
          </w:tcPr>
          <w:p>
            <w:pPr>
              <w:spacing w:after="0"/>
              <w:rPr>
                <w:sz w:val="23"/>
                <w:szCs w:val="23"/>
                <w:color w:val="auto"/>
              </w:rPr>
            </w:pPr>
          </w:p>
        </w:tc>
        <w:tc>
          <w:tcPr>
            <w:tcW w:w="740" w:type="dxa"/>
            <w:vAlign w:val="bottom"/>
          </w:tcPr>
          <w:p>
            <w:pPr>
              <w:jc w:val="right"/>
              <w:ind w:right="32"/>
              <w:spacing w:after="0"/>
              <w:rPr>
                <w:sz w:val="20"/>
                <w:szCs w:val="20"/>
                <w:color w:val="auto"/>
              </w:rPr>
            </w:pPr>
            <w:r>
              <w:rPr>
                <w:rFonts w:ascii="Arial" w:cs="Arial" w:eastAsia="Arial" w:hAnsi="Arial"/>
                <w:sz w:val="18"/>
                <w:szCs w:val="18"/>
                <w:color w:val="auto"/>
              </w:rPr>
              <w:t>398</w:t>
            </w:r>
          </w:p>
        </w:tc>
        <w:tc>
          <w:tcPr>
            <w:tcW w:w="4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760" w:type="dxa"/>
            <w:vAlign w:val="bottom"/>
          </w:tcPr>
          <w:p>
            <w:pPr>
              <w:jc w:val="right"/>
              <w:ind w:right="32"/>
              <w:spacing w:after="0"/>
              <w:rPr>
                <w:sz w:val="20"/>
                <w:szCs w:val="20"/>
                <w:color w:val="auto"/>
              </w:rPr>
            </w:pPr>
            <w:r>
              <w:rPr>
                <w:rFonts w:ascii="Arial" w:cs="Arial" w:eastAsia="Arial" w:hAnsi="Arial"/>
                <w:sz w:val="18"/>
                <w:szCs w:val="18"/>
                <w:color w:val="auto"/>
              </w:rPr>
              <w:t>448</w:t>
            </w:r>
          </w:p>
        </w:tc>
        <w:tc>
          <w:tcPr>
            <w:tcW w:w="0" w:type="dxa"/>
            <w:vAlign w:val="bottom"/>
          </w:tcPr>
          <w:p>
            <w:pPr>
              <w:spacing w:after="0"/>
              <w:rPr>
                <w:sz w:val="1"/>
                <w:szCs w:val="1"/>
                <w:color w:val="auto"/>
              </w:rPr>
            </w:pPr>
          </w:p>
        </w:tc>
      </w:tr>
      <w:tr>
        <w:trPr>
          <w:trHeight w:val="270"/>
        </w:trPr>
        <w:tc>
          <w:tcPr>
            <w:tcW w:w="5460" w:type="dxa"/>
            <w:vAlign w:val="bottom"/>
          </w:tcPr>
          <w:p>
            <w:pPr>
              <w:ind w:left="160"/>
              <w:spacing w:after="0"/>
              <w:rPr>
                <w:sz w:val="20"/>
                <w:szCs w:val="20"/>
                <w:color w:val="auto"/>
              </w:rPr>
            </w:pPr>
            <w:r>
              <w:rPr>
                <w:rFonts w:ascii="Arial" w:cs="Arial" w:eastAsia="Arial" w:hAnsi="Arial"/>
                <w:sz w:val="18"/>
                <w:szCs w:val="18"/>
                <w:color w:val="auto"/>
              </w:rPr>
              <w:t>Mandatorily redeemable preferred securities</w:t>
            </w:r>
          </w:p>
        </w:tc>
        <w:tc>
          <w:tcPr>
            <w:tcW w:w="340" w:type="dxa"/>
            <w:vAlign w:val="bottom"/>
          </w:tcPr>
          <w:p>
            <w:pPr>
              <w:spacing w:after="0"/>
              <w:rPr>
                <w:sz w:val="23"/>
                <w:szCs w:val="23"/>
                <w:color w:val="auto"/>
              </w:rPr>
            </w:pPr>
          </w:p>
        </w:tc>
        <w:tc>
          <w:tcPr>
            <w:tcW w:w="740" w:type="dxa"/>
            <w:vAlign w:val="bottom"/>
          </w:tcPr>
          <w:p>
            <w:pPr>
              <w:jc w:val="right"/>
              <w:ind w:right="32"/>
              <w:spacing w:after="0"/>
              <w:rPr>
                <w:sz w:val="20"/>
                <w:szCs w:val="20"/>
                <w:color w:val="auto"/>
              </w:rPr>
            </w:pPr>
            <w:r>
              <w:rPr>
                <w:rFonts w:ascii="Arial" w:cs="Arial" w:eastAsia="Arial" w:hAnsi="Arial"/>
                <w:sz w:val="18"/>
                <w:szCs w:val="18"/>
                <w:color w:val="auto"/>
              </w:rPr>
              <w:t>16</w:t>
            </w:r>
          </w:p>
        </w:tc>
        <w:tc>
          <w:tcPr>
            <w:tcW w:w="4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760" w:type="dxa"/>
            <w:vAlign w:val="bottom"/>
          </w:tcPr>
          <w:p>
            <w:pPr>
              <w:jc w:val="right"/>
              <w:ind w:right="32"/>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78"/>
        </w:trPr>
        <w:tc>
          <w:tcPr>
            <w:tcW w:w="5460" w:type="dxa"/>
            <w:vAlign w:val="bottom"/>
          </w:tcPr>
          <w:p>
            <w:pPr>
              <w:ind w:left="160"/>
              <w:spacing w:after="0"/>
              <w:rPr>
                <w:sz w:val="20"/>
                <w:szCs w:val="20"/>
                <w:color w:val="auto"/>
              </w:rPr>
            </w:pPr>
            <w:r>
              <w:rPr>
                <w:rFonts w:ascii="Arial" w:cs="Arial" w:eastAsia="Arial" w:hAnsi="Arial"/>
                <w:sz w:val="18"/>
                <w:szCs w:val="18"/>
                <w:color w:val="auto"/>
              </w:rPr>
              <w:t>Deferred credits and other</w:t>
            </w:r>
          </w:p>
        </w:tc>
        <w:tc>
          <w:tcPr>
            <w:tcW w:w="340" w:type="dxa"/>
            <w:vAlign w:val="bottom"/>
          </w:tcPr>
          <w:p>
            <w:pPr>
              <w:spacing w:after="0"/>
              <w:rPr>
                <w:sz w:val="24"/>
                <w:szCs w:val="24"/>
                <w:color w:val="auto"/>
              </w:rPr>
            </w:pPr>
          </w:p>
        </w:tc>
        <w:tc>
          <w:tcPr>
            <w:tcW w:w="740" w:type="dxa"/>
            <w:vAlign w:val="bottom"/>
          </w:tcPr>
          <w:p>
            <w:pPr>
              <w:jc w:val="right"/>
              <w:ind w:right="32"/>
              <w:spacing w:after="0"/>
              <w:rPr>
                <w:sz w:val="20"/>
                <w:szCs w:val="20"/>
                <w:color w:val="auto"/>
              </w:rPr>
            </w:pPr>
            <w:r>
              <w:rPr>
                <w:rFonts w:ascii="Arial" w:cs="Arial" w:eastAsia="Arial" w:hAnsi="Arial"/>
                <w:sz w:val="18"/>
                <w:szCs w:val="18"/>
                <w:color w:val="auto"/>
              </w:rPr>
              <w:t>392</w:t>
            </w:r>
          </w:p>
        </w:tc>
        <w:tc>
          <w:tcPr>
            <w:tcW w:w="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60" w:type="dxa"/>
            <w:vAlign w:val="bottom"/>
          </w:tcPr>
          <w:p>
            <w:pPr>
              <w:jc w:val="right"/>
              <w:ind w:right="32"/>
              <w:spacing w:after="0"/>
              <w:rPr>
                <w:sz w:val="20"/>
                <w:szCs w:val="20"/>
                <w:color w:val="auto"/>
              </w:rPr>
            </w:pPr>
            <w:r>
              <w:rPr>
                <w:rFonts w:ascii="Arial" w:cs="Arial" w:eastAsia="Arial" w:hAnsi="Arial"/>
                <w:sz w:val="18"/>
                <w:szCs w:val="18"/>
                <w:color w:val="auto"/>
              </w:rPr>
              <w:t>326</w:t>
            </w:r>
          </w:p>
        </w:tc>
        <w:tc>
          <w:tcPr>
            <w:tcW w:w="0" w:type="dxa"/>
            <w:vAlign w:val="bottom"/>
          </w:tcPr>
          <w:p>
            <w:pPr>
              <w:spacing w:after="0"/>
              <w:rPr>
                <w:sz w:val="1"/>
                <w:szCs w:val="1"/>
                <w:color w:val="auto"/>
              </w:rPr>
            </w:pPr>
          </w:p>
        </w:tc>
      </w:tr>
      <w:tr>
        <w:trPr>
          <w:trHeight w:val="251"/>
        </w:trPr>
        <w:tc>
          <w:tcPr>
            <w:tcW w:w="5460" w:type="dxa"/>
            <w:vAlign w:val="bottom"/>
          </w:tcPr>
          <w:p>
            <w:pPr>
              <w:spacing w:after="0"/>
              <w:rPr>
                <w:sz w:val="21"/>
                <w:szCs w:val="21"/>
                <w:color w:val="auto"/>
              </w:rPr>
            </w:pPr>
          </w:p>
        </w:tc>
        <w:tc>
          <w:tcPr>
            <w:tcW w:w="340" w:type="dxa"/>
            <w:vAlign w:val="bottom"/>
            <w:shd w:val="clear" w:color="auto" w:fill="000000"/>
          </w:tcPr>
          <w:p>
            <w:pPr>
              <w:spacing w:after="0"/>
              <w:rPr>
                <w:sz w:val="21"/>
                <w:szCs w:val="21"/>
                <w:color w:val="auto"/>
              </w:rPr>
            </w:pPr>
          </w:p>
        </w:tc>
        <w:tc>
          <w:tcPr>
            <w:tcW w:w="740" w:type="dxa"/>
            <w:vAlign w:val="bottom"/>
            <w:shd w:val="clear" w:color="auto" w:fill="000000"/>
          </w:tcPr>
          <w:p>
            <w:pPr>
              <w:spacing w:after="0"/>
              <w:rPr>
                <w:sz w:val="21"/>
                <w:szCs w:val="21"/>
                <w:color w:val="auto"/>
              </w:rPr>
            </w:pPr>
          </w:p>
        </w:tc>
        <w:tc>
          <w:tcPr>
            <w:tcW w:w="400" w:type="dxa"/>
            <w:vAlign w:val="bottom"/>
          </w:tcPr>
          <w:p>
            <w:pPr>
              <w:spacing w:after="0"/>
              <w:rPr>
                <w:sz w:val="21"/>
                <w:szCs w:val="21"/>
                <w:color w:val="auto"/>
              </w:rPr>
            </w:pPr>
          </w:p>
        </w:tc>
        <w:tc>
          <w:tcPr>
            <w:tcW w:w="340" w:type="dxa"/>
            <w:vAlign w:val="bottom"/>
            <w:shd w:val="clear" w:color="auto" w:fill="000000"/>
          </w:tcPr>
          <w:p>
            <w:pPr>
              <w:spacing w:after="0"/>
              <w:rPr>
                <w:sz w:val="21"/>
                <w:szCs w:val="21"/>
                <w:color w:val="auto"/>
              </w:rPr>
            </w:pPr>
          </w:p>
        </w:tc>
        <w:tc>
          <w:tcPr>
            <w:tcW w:w="760" w:type="dxa"/>
            <w:vAlign w:val="bottom"/>
            <w:shd w:val="clear" w:color="auto" w:fill="000000"/>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5460" w:type="dxa"/>
            <w:vAlign w:val="bottom"/>
          </w:tcPr>
          <w:p>
            <w:pPr>
              <w:ind w:left="380"/>
              <w:spacing w:after="0"/>
              <w:rPr>
                <w:sz w:val="20"/>
                <w:szCs w:val="20"/>
                <w:color w:val="auto"/>
              </w:rPr>
            </w:pPr>
            <w:r>
              <w:rPr>
                <w:rFonts w:ascii="Arial" w:cs="Arial" w:eastAsia="Arial" w:hAnsi="Arial"/>
                <w:sz w:val="18"/>
                <w:szCs w:val="18"/>
                <w:color w:val="auto"/>
              </w:rPr>
              <w:t>Total deferred credits and other liabilities</w:t>
            </w:r>
          </w:p>
        </w:tc>
        <w:tc>
          <w:tcPr>
            <w:tcW w:w="340" w:type="dxa"/>
            <w:vAlign w:val="bottom"/>
          </w:tcPr>
          <w:p>
            <w:pPr>
              <w:spacing w:after="0"/>
              <w:rPr>
                <w:sz w:val="22"/>
                <w:szCs w:val="22"/>
                <w:color w:val="auto"/>
              </w:rPr>
            </w:pPr>
          </w:p>
        </w:tc>
        <w:tc>
          <w:tcPr>
            <w:tcW w:w="740" w:type="dxa"/>
            <w:vAlign w:val="bottom"/>
          </w:tcPr>
          <w:p>
            <w:pPr>
              <w:jc w:val="right"/>
              <w:ind w:right="32"/>
              <w:spacing w:after="0"/>
              <w:rPr>
                <w:sz w:val="20"/>
                <w:szCs w:val="20"/>
                <w:color w:val="auto"/>
              </w:rPr>
            </w:pPr>
            <w:r>
              <w:rPr>
                <w:rFonts w:ascii="Arial" w:cs="Arial" w:eastAsia="Arial" w:hAnsi="Arial"/>
                <w:sz w:val="18"/>
                <w:szCs w:val="18"/>
                <w:color w:val="auto"/>
              </w:rPr>
              <w:t>3,130</w:t>
            </w:r>
          </w:p>
        </w:tc>
        <w:tc>
          <w:tcPr>
            <w:tcW w:w="4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760" w:type="dxa"/>
            <w:vAlign w:val="bottom"/>
          </w:tcPr>
          <w:p>
            <w:pPr>
              <w:jc w:val="right"/>
              <w:ind w:right="32"/>
              <w:spacing w:after="0"/>
              <w:rPr>
                <w:sz w:val="20"/>
                <w:szCs w:val="20"/>
                <w:color w:val="auto"/>
              </w:rPr>
            </w:pPr>
            <w:r>
              <w:rPr>
                <w:rFonts w:ascii="Arial" w:cs="Arial" w:eastAsia="Arial" w:hAnsi="Arial"/>
                <w:sz w:val="18"/>
                <w:szCs w:val="18"/>
                <w:color w:val="auto"/>
              </w:rPr>
              <w:t>3,228</w:t>
            </w:r>
          </w:p>
        </w:tc>
        <w:tc>
          <w:tcPr>
            <w:tcW w:w="0" w:type="dxa"/>
            <w:vAlign w:val="bottom"/>
          </w:tcPr>
          <w:p>
            <w:pPr>
              <w:spacing w:after="0"/>
              <w:rPr>
                <w:sz w:val="1"/>
                <w:szCs w:val="1"/>
                <w:color w:val="auto"/>
              </w:rPr>
            </w:pPr>
          </w:p>
        </w:tc>
      </w:tr>
      <w:tr>
        <w:trPr>
          <w:trHeight w:val="259"/>
        </w:trPr>
        <w:tc>
          <w:tcPr>
            <w:tcW w:w="5460" w:type="dxa"/>
            <w:vAlign w:val="bottom"/>
            <w:vMerge w:val="restart"/>
          </w:tcPr>
          <w:p>
            <w:pPr>
              <w:spacing w:after="0"/>
              <w:rPr>
                <w:sz w:val="20"/>
                <w:szCs w:val="20"/>
                <w:color w:val="auto"/>
              </w:rPr>
            </w:pPr>
            <w:r>
              <w:rPr>
                <w:rFonts w:ascii="Arial" w:cs="Arial" w:eastAsia="Arial" w:hAnsi="Arial"/>
                <w:sz w:val="18"/>
                <w:szCs w:val="18"/>
                <w:color w:val="auto"/>
              </w:rPr>
              <w:t>Commitments and contingencies (Note 11)</w:t>
            </w:r>
          </w:p>
        </w:tc>
        <w:tc>
          <w:tcPr>
            <w:tcW w:w="340" w:type="dxa"/>
            <w:vAlign w:val="bottom"/>
            <w:shd w:val="clear" w:color="auto" w:fill="000000"/>
          </w:tcPr>
          <w:p>
            <w:pPr>
              <w:spacing w:after="0"/>
              <w:rPr>
                <w:sz w:val="22"/>
                <w:szCs w:val="22"/>
                <w:color w:val="auto"/>
              </w:rPr>
            </w:pPr>
          </w:p>
        </w:tc>
        <w:tc>
          <w:tcPr>
            <w:tcW w:w="740" w:type="dxa"/>
            <w:vAlign w:val="bottom"/>
            <w:shd w:val="clear" w:color="auto" w:fill="000000"/>
          </w:tcPr>
          <w:p>
            <w:pPr>
              <w:spacing w:after="0"/>
              <w:rPr>
                <w:sz w:val="22"/>
                <w:szCs w:val="22"/>
                <w:color w:val="auto"/>
              </w:rPr>
            </w:pPr>
          </w:p>
        </w:tc>
        <w:tc>
          <w:tcPr>
            <w:tcW w:w="400" w:type="dxa"/>
            <w:vAlign w:val="bottom"/>
          </w:tcPr>
          <w:p>
            <w:pPr>
              <w:spacing w:after="0"/>
              <w:rPr>
                <w:sz w:val="22"/>
                <w:szCs w:val="22"/>
                <w:color w:val="auto"/>
              </w:rPr>
            </w:pPr>
          </w:p>
        </w:tc>
        <w:tc>
          <w:tcPr>
            <w:tcW w:w="340" w:type="dxa"/>
            <w:vAlign w:val="bottom"/>
            <w:shd w:val="clear" w:color="auto" w:fill="000000"/>
          </w:tcPr>
          <w:p>
            <w:pPr>
              <w:spacing w:after="0"/>
              <w:rPr>
                <w:sz w:val="22"/>
                <w:szCs w:val="22"/>
                <w:color w:val="auto"/>
              </w:rPr>
            </w:pPr>
          </w:p>
        </w:tc>
        <w:tc>
          <w:tcPr>
            <w:tcW w:w="760" w:type="dxa"/>
            <w:vAlign w:val="bottom"/>
            <w:shd w:val="clear" w:color="auto" w:fill="000000"/>
          </w:tcPr>
          <w:p>
            <w:pPr>
              <w:spacing w:after="0"/>
              <w:rPr>
                <w:sz w:val="22"/>
                <w:szCs w:val="22"/>
                <w:color w:val="auto"/>
              </w:rPr>
            </w:pPr>
          </w:p>
        </w:tc>
        <w:tc>
          <w:tcPr>
            <w:tcW w:w="0" w:type="dxa"/>
            <w:vAlign w:val="bottom"/>
          </w:tcPr>
          <w:p>
            <w:pPr>
              <w:spacing w:after="0"/>
              <w:rPr>
                <w:sz w:val="1"/>
                <w:szCs w:val="1"/>
                <w:color w:val="auto"/>
              </w:rPr>
            </w:pPr>
          </w:p>
        </w:tc>
      </w:tr>
      <w:tr>
        <w:trPr>
          <w:trHeight w:val="525"/>
        </w:trPr>
        <w:tc>
          <w:tcPr>
            <w:tcW w:w="546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8"/>
        </w:trPr>
        <w:tc>
          <w:tcPr>
            <w:tcW w:w="5460" w:type="dxa"/>
            <w:vAlign w:val="bottom"/>
          </w:tcPr>
          <w:p>
            <w:pPr>
              <w:spacing w:after="0"/>
              <w:rPr>
                <w:sz w:val="20"/>
                <w:szCs w:val="20"/>
                <w:color w:val="auto"/>
              </w:rPr>
            </w:pPr>
            <w:r>
              <w:rPr>
                <w:rFonts w:ascii="Arial" w:cs="Arial" w:eastAsia="Arial" w:hAnsi="Arial"/>
                <w:sz w:val="18"/>
                <w:szCs w:val="18"/>
                <w:color w:val="auto"/>
              </w:rPr>
              <w:t>Total liabilities and shareholders' equity</w:t>
            </w:r>
          </w:p>
        </w:tc>
        <w:tc>
          <w:tcPr>
            <w:tcW w:w="340" w:type="dxa"/>
            <w:vAlign w:val="bottom"/>
          </w:tcPr>
          <w:p>
            <w:pPr>
              <w:jc w:val="right"/>
              <w:ind w:right="152"/>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ind w:right="32"/>
              <w:spacing w:after="0"/>
              <w:rPr>
                <w:sz w:val="20"/>
                <w:szCs w:val="20"/>
                <w:color w:val="auto"/>
              </w:rPr>
            </w:pPr>
            <w:r>
              <w:rPr>
                <w:rFonts w:ascii="Arial" w:cs="Arial" w:eastAsia="Arial" w:hAnsi="Arial"/>
                <w:sz w:val="18"/>
                <w:szCs w:val="18"/>
                <w:color w:val="auto"/>
              </w:rPr>
              <w:t>7,492</w:t>
            </w:r>
          </w:p>
        </w:tc>
        <w:tc>
          <w:tcPr>
            <w:tcW w:w="7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32"/>
              <w:spacing w:after="0"/>
              <w:rPr>
                <w:sz w:val="20"/>
                <w:szCs w:val="20"/>
                <w:color w:val="auto"/>
              </w:rPr>
            </w:pPr>
            <w:r>
              <w:rPr>
                <w:rFonts w:ascii="Arial" w:cs="Arial" w:eastAsia="Arial" w:hAnsi="Arial"/>
                <w:sz w:val="18"/>
                <w:szCs w:val="18"/>
                <w:color w:val="auto"/>
              </w:rPr>
              <w:t>6,834</w:t>
            </w:r>
          </w:p>
        </w:tc>
        <w:tc>
          <w:tcPr>
            <w:tcW w:w="0" w:type="dxa"/>
            <w:vAlign w:val="bottom"/>
          </w:tcPr>
          <w:p>
            <w:pPr>
              <w:spacing w:after="0"/>
              <w:rPr>
                <w:sz w:val="1"/>
                <w:szCs w:val="1"/>
                <w:color w:val="auto"/>
              </w:rPr>
            </w:pPr>
          </w:p>
        </w:tc>
      </w:tr>
      <w:tr>
        <w:trPr>
          <w:trHeight w:val="251"/>
        </w:trPr>
        <w:tc>
          <w:tcPr>
            <w:tcW w:w="5460" w:type="dxa"/>
            <w:vAlign w:val="bottom"/>
          </w:tcPr>
          <w:p>
            <w:pPr>
              <w:spacing w:after="0"/>
              <w:rPr>
                <w:sz w:val="21"/>
                <w:szCs w:val="21"/>
                <w:color w:val="auto"/>
              </w:rPr>
            </w:pPr>
          </w:p>
        </w:tc>
        <w:tc>
          <w:tcPr>
            <w:tcW w:w="340" w:type="dxa"/>
            <w:vAlign w:val="bottom"/>
            <w:shd w:val="clear" w:color="auto" w:fill="000000"/>
          </w:tcPr>
          <w:p>
            <w:pPr>
              <w:spacing w:after="0"/>
              <w:rPr>
                <w:sz w:val="21"/>
                <w:szCs w:val="21"/>
                <w:color w:val="auto"/>
              </w:rPr>
            </w:pPr>
          </w:p>
        </w:tc>
        <w:tc>
          <w:tcPr>
            <w:tcW w:w="740" w:type="dxa"/>
            <w:vAlign w:val="bottom"/>
            <w:shd w:val="clear" w:color="auto" w:fill="000000"/>
          </w:tcPr>
          <w:p>
            <w:pPr>
              <w:spacing w:after="0"/>
              <w:rPr>
                <w:sz w:val="21"/>
                <w:szCs w:val="21"/>
                <w:color w:val="auto"/>
              </w:rPr>
            </w:pPr>
          </w:p>
        </w:tc>
        <w:tc>
          <w:tcPr>
            <w:tcW w:w="400" w:type="dxa"/>
            <w:vAlign w:val="bottom"/>
          </w:tcPr>
          <w:p>
            <w:pPr>
              <w:spacing w:after="0"/>
              <w:rPr>
                <w:sz w:val="21"/>
                <w:szCs w:val="21"/>
                <w:color w:val="auto"/>
              </w:rPr>
            </w:pPr>
          </w:p>
        </w:tc>
        <w:tc>
          <w:tcPr>
            <w:tcW w:w="340" w:type="dxa"/>
            <w:vAlign w:val="bottom"/>
            <w:shd w:val="clear" w:color="auto" w:fill="000000"/>
          </w:tcPr>
          <w:p>
            <w:pPr>
              <w:spacing w:after="0"/>
              <w:rPr>
                <w:sz w:val="21"/>
                <w:szCs w:val="21"/>
                <w:color w:val="auto"/>
              </w:rPr>
            </w:pPr>
          </w:p>
        </w:tc>
        <w:tc>
          <w:tcPr>
            <w:tcW w:w="760" w:type="dxa"/>
            <w:vAlign w:val="bottom"/>
            <w:shd w:val="clear" w:color="auto" w:fill="000000"/>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4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460" w:type="dxa"/>
            <w:vAlign w:val="bottom"/>
          </w:tcPr>
          <w:p>
            <w:pPr>
              <w:spacing w:after="0"/>
              <w:rPr>
                <w:sz w:val="21"/>
                <w:szCs w:val="21"/>
                <w:color w:val="auto"/>
              </w:rPr>
            </w:pPr>
          </w:p>
        </w:tc>
        <w:tc>
          <w:tcPr>
            <w:tcW w:w="340" w:type="dxa"/>
            <w:vAlign w:val="bottom"/>
            <w:shd w:val="clear" w:color="auto" w:fill="000000"/>
          </w:tcPr>
          <w:p>
            <w:pPr>
              <w:spacing w:after="0"/>
              <w:rPr>
                <w:sz w:val="21"/>
                <w:szCs w:val="21"/>
                <w:color w:val="auto"/>
              </w:rPr>
            </w:pPr>
          </w:p>
        </w:tc>
        <w:tc>
          <w:tcPr>
            <w:tcW w:w="740" w:type="dxa"/>
            <w:vAlign w:val="bottom"/>
            <w:shd w:val="clear" w:color="auto" w:fill="000000"/>
          </w:tcPr>
          <w:p>
            <w:pPr>
              <w:spacing w:after="0"/>
              <w:rPr>
                <w:sz w:val="21"/>
                <w:szCs w:val="21"/>
                <w:color w:val="auto"/>
              </w:rPr>
            </w:pPr>
          </w:p>
        </w:tc>
        <w:tc>
          <w:tcPr>
            <w:tcW w:w="400" w:type="dxa"/>
            <w:vAlign w:val="bottom"/>
          </w:tcPr>
          <w:p>
            <w:pPr>
              <w:spacing w:after="0"/>
              <w:rPr>
                <w:sz w:val="21"/>
                <w:szCs w:val="21"/>
                <w:color w:val="auto"/>
              </w:rPr>
            </w:pPr>
          </w:p>
        </w:tc>
        <w:tc>
          <w:tcPr>
            <w:tcW w:w="340" w:type="dxa"/>
            <w:vAlign w:val="bottom"/>
            <w:shd w:val="clear" w:color="auto" w:fill="000000"/>
          </w:tcPr>
          <w:p>
            <w:pPr>
              <w:spacing w:after="0"/>
              <w:rPr>
                <w:sz w:val="21"/>
                <w:szCs w:val="21"/>
                <w:color w:val="auto"/>
              </w:rPr>
            </w:pPr>
          </w:p>
        </w:tc>
        <w:tc>
          <w:tcPr>
            <w:tcW w:w="760" w:type="dxa"/>
            <w:vAlign w:val="bottom"/>
            <w:shd w:val="clear" w:color="auto" w:fill="000000"/>
          </w:tcPr>
          <w:p>
            <w:pPr>
              <w:spacing w:after="0"/>
              <w:rPr>
                <w:sz w:val="21"/>
                <w:szCs w:val="2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469900</wp:posOffset>
            </wp:positionV>
            <wp:extent cx="72720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left="500" w:right="499"/>
        <w:spacing w:after="0" w:line="259" w:lineRule="auto"/>
        <w:rPr>
          <w:sz w:val="20"/>
          <w:szCs w:val="20"/>
          <w:color w:val="auto"/>
        </w:rPr>
      </w:pPr>
      <w:r>
        <w:rPr>
          <w:rFonts w:ascii="Arial" w:cs="Arial" w:eastAsia="Arial" w:hAnsi="Arial"/>
          <w:sz w:val="18"/>
          <w:szCs w:val="18"/>
          <w:color w:val="auto"/>
        </w:rPr>
        <w:t>SAN DIEGO GAS &amp; ELECTRIC COMPANY AND SUBSIDIARY STATEMENTS OF CONSOLIDATED CASH FLOWS (Dollars in millions)</w:t>
      </w:r>
    </w:p>
    <w:p>
      <w:pPr>
        <w:spacing w:after="0" w:line="194" w:lineRule="exact"/>
        <w:rPr>
          <w:sz w:val="20"/>
          <w:szCs w:val="20"/>
          <w:color w:val="auto"/>
        </w:rPr>
      </w:pPr>
    </w:p>
    <w:p>
      <w:pPr>
        <w:ind w:left="5920"/>
        <w:spacing w:after="0"/>
        <w:rPr>
          <w:sz w:val="20"/>
          <w:szCs w:val="20"/>
          <w:color w:val="auto"/>
        </w:rPr>
      </w:pPr>
      <w:r>
        <w:rPr>
          <w:rFonts w:ascii="Arial" w:cs="Arial" w:eastAsia="Arial" w:hAnsi="Arial"/>
          <w:sz w:val="18"/>
          <w:szCs w:val="18"/>
          <w:color w:val="auto"/>
        </w:rPr>
        <w:t>Years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3376930</wp:posOffset>
            </wp:positionH>
            <wp:positionV relativeFrom="paragraph">
              <wp:posOffset>19685</wp:posOffset>
            </wp:positionV>
            <wp:extent cx="1964055" cy="15430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964055" cy="154305"/>
                    </a:xfrm>
                    <a:prstGeom prst="rect">
                      <a:avLst/>
                    </a:prstGeom>
                    <a:noFill/>
                  </pic:spPr>
                </pic:pic>
              </a:graphicData>
            </a:graphic>
          </wp:anchor>
        </w:drawing>
      </w:r>
    </w:p>
    <w:p>
      <w:pPr>
        <w:spacing w:after="0" w:line="286" w:lineRule="exact"/>
        <w:rPr>
          <w:sz w:val="20"/>
          <w:szCs w:val="20"/>
          <w:color w:val="auto"/>
        </w:rPr>
      </w:pPr>
    </w:p>
    <w:p>
      <w:pPr>
        <w:ind w:left="5600"/>
        <w:spacing w:after="0"/>
        <w:tabs>
          <w:tab w:leader="none" w:pos="6640" w:val="left"/>
          <w:tab w:leader="none" w:pos="7720" w:val="left"/>
        </w:tabs>
        <w:rPr>
          <w:sz w:val="20"/>
          <w:szCs w:val="20"/>
          <w:color w:val="auto"/>
        </w:rPr>
      </w:pPr>
      <w:r>
        <w:rPr>
          <w:rFonts w:ascii="Arial" w:cs="Arial" w:eastAsia="Arial" w:hAnsi="Arial"/>
          <w:sz w:val="18"/>
          <w:szCs w:val="18"/>
          <w:color w:val="auto"/>
        </w:rPr>
        <w:t>2005</w:t>
      </w:r>
      <w:r>
        <w:rPr>
          <w:sz w:val="20"/>
          <w:szCs w:val="20"/>
          <w:color w:val="auto"/>
        </w:rPr>
        <w:tab/>
      </w:r>
      <w:r>
        <w:rPr>
          <w:rFonts w:ascii="Arial" w:cs="Arial" w:eastAsia="Arial" w:hAnsi="Arial"/>
          <w:sz w:val="18"/>
          <w:szCs w:val="18"/>
          <w:color w:val="auto"/>
        </w:rPr>
        <w:t>2004</w:t>
      </w:r>
      <w:r>
        <w:rPr>
          <w:sz w:val="20"/>
          <w:szCs w:val="20"/>
          <w:color w:val="auto"/>
        </w:rPr>
        <w:tab/>
      </w:r>
      <w:r>
        <w:rPr>
          <w:rFonts w:ascii="Arial" w:cs="Arial" w:eastAsia="Arial" w:hAnsi="Arial"/>
          <w:sz w:val="16"/>
          <w:szCs w:val="16"/>
          <w:color w:val="auto"/>
        </w:rPr>
        <w:t>2003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3376930</wp:posOffset>
            </wp:positionH>
            <wp:positionV relativeFrom="paragraph">
              <wp:posOffset>19685</wp:posOffset>
            </wp:positionV>
            <wp:extent cx="1964055" cy="15430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964055" cy="154305"/>
                    </a:xfrm>
                    <a:prstGeom prst="rect">
                      <a:avLst/>
                    </a:prstGeom>
                    <a:noFill/>
                  </pic:spPr>
                </pic:pic>
              </a:graphicData>
            </a:graphic>
          </wp:anchor>
        </w:drawing>
      </w:r>
    </w:p>
    <w:p>
      <w:pPr>
        <w:spacing w:after="0" w:line="200" w:lineRule="exact"/>
        <w:rPr>
          <w:sz w:val="20"/>
          <w:szCs w:val="20"/>
          <w:color w:val="auto"/>
        </w:rPr>
      </w:pPr>
    </w:p>
    <w:p>
      <w:pPr>
        <w:spacing w:after="0" w:line="302" w:lineRule="exact"/>
        <w:rPr>
          <w:sz w:val="20"/>
          <w:szCs w:val="20"/>
          <w:color w:val="auto"/>
        </w:rPr>
      </w:pPr>
    </w:p>
    <w:tbl>
      <w:tblPr>
        <w:tblLayout w:type="fixed"/>
        <w:tblInd w:w="640" w:type="dxa"/>
        <w:tblCellMar>
          <w:top w:w="0" w:type="dxa"/>
          <w:left w:w="0" w:type="dxa"/>
          <w:bottom w:w="0" w:type="dxa"/>
          <w:right w:w="0" w:type="dxa"/>
        </w:tblCellMar>
      </w:tblPr>
      <w:tr>
        <w:trPr>
          <w:trHeight w:val="222"/>
        </w:trPr>
        <w:tc>
          <w:tcPr>
            <w:tcW w:w="4500" w:type="dxa"/>
            <w:vAlign w:val="bottom"/>
          </w:tcPr>
          <w:p>
            <w:pPr>
              <w:spacing w:after="0"/>
              <w:rPr>
                <w:sz w:val="20"/>
                <w:szCs w:val="20"/>
                <w:color w:val="auto"/>
              </w:rPr>
            </w:pPr>
            <w:r>
              <w:rPr>
                <w:rFonts w:ascii="Arial" w:cs="Arial" w:eastAsia="Arial" w:hAnsi="Arial"/>
                <w:sz w:val="18"/>
                <w:szCs w:val="18"/>
                <w:color w:val="auto"/>
              </w:rPr>
              <w:t>CASH FLOWS FROM OPERATING ACTIVITIES</w:t>
            </w:r>
          </w:p>
        </w:tc>
        <w:tc>
          <w:tcPr>
            <w:tcW w:w="4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80" w:type="dxa"/>
            <w:vAlign w:val="bottom"/>
          </w:tcPr>
          <w:p>
            <w:pPr>
              <w:spacing w:after="0"/>
              <w:rPr>
                <w:sz w:val="19"/>
                <w:szCs w:val="19"/>
                <w:color w:val="auto"/>
              </w:rPr>
            </w:pPr>
          </w:p>
        </w:tc>
      </w:tr>
      <w:tr>
        <w:trPr>
          <w:trHeight w:val="270"/>
        </w:trPr>
        <w:tc>
          <w:tcPr>
            <w:tcW w:w="4500" w:type="dxa"/>
            <w:vAlign w:val="bottom"/>
          </w:tcPr>
          <w:p>
            <w:pPr>
              <w:ind w:left="240"/>
              <w:spacing w:after="0"/>
              <w:rPr>
                <w:sz w:val="20"/>
                <w:szCs w:val="20"/>
                <w:color w:val="auto"/>
              </w:rPr>
            </w:pPr>
            <w:r>
              <w:rPr>
                <w:rFonts w:ascii="Arial" w:cs="Arial" w:eastAsia="Arial" w:hAnsi="Arial"/>
                <w:sz w:val="18"/>
                <w:szCs w:val="18"/>
                <w:color w:val="auto"/>
              </w:rPr>
              <w:t>Net income</w:t>
            </w:r>
          </w:p>
        </w:tc>
        <w:tc>
          <w:tcPr>
            <w:tcW w:w="48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132"/>
              <w:spacing w:after="0"/>
              <w:rPr>
                <w:sz w:val="20"/>
                <w:szCs w:val="20"/>
                <w:color w:val="auto"/>
              </w:rPr>
            </w:pPr>
            <w:r>
              <w:rPr>
                <w:rFonts w:ascii="Arial" w:cs="Arial" w:eastAsia="Arial" w:hAnsi="Arial"/>
                <w:sz w:val="18"/>
                <w:szCs w:val="18"/>
                <w:color w:val="auto"/>
              </w:rPr>
              <w:t>267</w:t>
            </w:r>
          </w:p>
        </w:tc>
        <w:tc>
          <w:tcPr>
            <w:tcW w:w="40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132"/>
              <w:spacing w:after="0"/>
              <w:rPr>
                <w:sz w:val="20"/>
                <w:szCs w:val="20"/>
                <w:color w:val="auto"/>
              </w:rPr>
            </w:pPr>
            <w:r>
              <w:rPr>
                <w:rFonts w:ascii="Arial" w:cs="Arial" w:eastAsia="Arial" w:hAnsi="Arial"/>
                <w:sz w:val="18"/>
                <w:szCs w:val="18"/>
                <w:color w:val="auto"/>
              </w:rPr>
              <w:t>213</w:t>
            </w:r>
          </w:p>
        </w:tc>
        <w:tc>
          <w:tcPr>
            <w:tcW w:w="46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340</w:t>
            </w:r>
          </w:p>
        </w:tc>
      </w:tr>
      <w:tr>
        <w:trPr>
          <w:trHeight w:val="237"/>
        </w:trPr>
        <w:tc>
          <w:tcPr>
            <w:tcW w:w="4500" w:type="dxa"/>
            <w:vAlign w:val="bottom"/>
          </w:tcPr>
          <w:p>
            <w:pPr>
              <w:ind w:left="240"/>
              <w:spacing w:after="0"/>
              <w:rPr>
                <w:sz w:val="20"/>
                <w:szCs w:val="20"/>
                <w:color w:val="auto"/>
              </w:rPr>
            </w:pPr>
            <w:r>
              <w:rPr>
                <w:rFonts w:ascii="Arial" w:cs="Arial" w:eastAsia="Arial" w:hAnsi="Arial"/>
                <w:sz w:val="18"/>
                <w:szCs w:val="18"/>
                <w:color w:val="auto"/>
                <w:w w:val="92"/>
              </w:rPr>
              <w:t>Adjustments to reconcile net income to net cash provided</w:t>
            </w:r>
          </w:p>
        </w:tc>
        <w:tc>
          <w:tcPr>
            <w:tcW w:w="4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580" w:type="dxa"/>
            <w:vAlign w:val="bottom"/>
          </w:tcPr>
          <w:p>
            <w:pPr>
              <w:spacing w:after="0"/>
              <w:rPr>
                <w:sz w:val="20"/>
                <w:szCs w:val="20"/>
                <w:color w:val="auto"/>
              </w:rPr>
            </w:pPr>
          </w:p>
        </w:tc>
      </w:tr>
      <w:tr>
        <w:trPr>
          <w:trHeight w:val="222"/>
        </w:trPr>
        <w:tc>
          <w:tcPr>
            <w:tcW w:w="4500" w:type="dxa"/>
            <w:vAlign w:val="bottom"/>
          </w:tcPr>
          <w:p>
            <w:pPr>
              <w:ind w:left="240"/>
              <w:spacing w:after="0"/>
              <w:rPr>
                <w:sz w:val="20"/>
                <w:szCs w:val="20"/>
                <w:color w:val="auto"/>
              </w:rPr>
            </w:pPr>
            <w:r>
              <w:rPr>
                <w:rFonts w:ascii="Arial" w:cs="Arial" w:eastAsia="Arial" w:hAnsi="Arial"/>
                <w:sz w:val="18"/>
                <w:szCs w:val="18"/>
                <w:color w:val="auto"/>
              </w:rPr>
              <w:t>by operating activities:</w:t>
            </w:r>
          </w:p>
        </w:tc>
        <w:tc>
          <w:tcPr>
            <w:tcW w:w="4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80" w:type="dxa"/>
            <w:vAlign w:val="bottom"/>
          </w:tcPr>
          <w:p>
            <w:pPr>
              <w:spacing w:after="0"/>
              <w:rPr>
                <w:sz w:val="19"/>
                <w:szCs w:val="19"/>
                <w:color w:val="auto"/>
              </w:rPr>
            </w:pPr>
          </w:p>
        </w:tc>
      </w:tr>
      <w:tr>
        <w:trPr>
          <w:trHeight w:val="513"/>
        </w:trPr>
        <w:tc>
          <w:tcPr>
            <w:tcW w:w="4500" w:type="dxa"/>
            <w:vAlign w:val="bottom"/>
          </w:tcPr>
          <w:p>
            <w:pPr>
              <w:ind w:left="480"/>
              <w:spacing w:after="0"/>
              <w:rPr>
                <w:sz w:val="20"/>
                <w:szCs w:val="20"/>
                <w:color w:val="auto"/>
              </w:rPr>
            </w:pPr>
            <w:r>
              <w:rPr>
                <w:rFonts w:ascii="Arial" w:cs="Arial" w:eastAsia="Arial" w:hAnsi="Arial"/>
                <w:sz w:val="18"/>
                <w:szCs w:val="18"/>
                <w:color w:val="auto"/>
              </w:rPr>
              <w:t>Depreciation and amortization</w:t>
            </w:r>
          </w:p>
        </w:tc>
        <w:tc>
          <w:tcPr>
            <w:tcW w:w="480" w:type="dxa"/>
            <w:vAlign w:val="bottom"/>
          </w:tcPr>
          <w:p>
            <w:pPr>
              <w:spacing w:after="0"/>
              <w:rPr>
                <w:sz w:val="24"/>
                <w:szCs w:val="24"/>
                <w:color w:val="auto"/>
              </w:rPr>
            </w:pPr>
          </w:p>
        </w:tc>
        <w:tc>
          <w:tcPr>
            <w:tcW w:w="660" w:type="dxa"/>
            <w:vAlign w:val="bottom"/>
          </w:tcPr>
          <w:p>
            <w:pPr>
              <w:jc w:val="right"/>
              <w:ind w:right="132"/>
              <w:spacing w:after="0"/>
              <w:rPr>
                <w:sz w:val="20"/>
                <w:szCs w:val="20"/>
                <w:color w:val="auto"/>
              </w:rPr>
            </w:pPr>
            <w:r>
              <w:rPr>
                <w:rFonts w:ascii="Arial" w:cs="Arial" w:eastAsia="Arial" w:hAnsi="Arial"/>
                <w:sz w:val="18"/>
                <w:szCs w:val="18"/>
                <w:color w:val="auto"/>
              </w:rPr>
              <w:t>264</w:t>
            </w:r>
          </w:p>
        </w:tc>
        <w:tc>
          <w:tcPr>
            <w:tcW w:w="400" w:type="dxa"/>
            <w:vAlign w:val="bottom"/>
          </w:tcPr>
          <w:p>
            <w:pPr>
              <w:spacing w:after="0"/>
              <w:rPr>
                <w:sz w:val="24"/>
                <w:szCs w:val="24"/>
                <w:color w:val="auto"/>
              </w:rPr>
            </w:pPr>
          </w:p>
        </w:tc>
        <w:tc>
          <w:tcPr>
            <w:tcW w:w="660" w:type="dxa"/>
            <w:vAlign w:val="bottom"/>
          </w:tcPr>
          <w:p>
            <w:pPr>
              <w:jc w:val="right"/>
              <w:ind w:right="132"/>
              <w:spacing w:after="0"/>
              <w:rPr>
                <w:sz w:val="20"/>
                <w:szCs w:val="20"/>
                <w:color w:val="auto"/>
              </w:rPr>
            </w:pPr>
            <w:r>
              <w:rPr>
                <w:rFonts w:ascii="Arial" w:cs="Arial" w:eastAsia="Arial" w:hAnsi="Arial"/>
                <w:sz w:val="18"/>
                <w:szCs w:val="18"/>
                <w:color w:val="auto"/>
              </w:rPr>
              <w:t>259</w:t>
            </w:r>
          </w:p>
        </w:tc>
        <w:tc>
          <w:tcPr>
            <w:tcW w:w="46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242</w:t>
            </w:r>
          </w:p>
        </w:tc>
      </w:tr>
      <w:tr>
        <w:trPr>
          <w:trHeight w:val="270"/>
        </w:trPr>
        <w:tc>
          <w:tcPr>
            <w:tcW w:w="4500" w:type="dxa"/>
            <w:vAlign w:val="bottom"/>
          </w:tcPr>
          <w:p>
            <w:pPr>
              <w:ind w:left="480"/>
              <w:spacing w:after="0"/>
              <w:rPr>
                <w:sz w:val="20"/>
                <w:szCs w:val="20"/>
                <w:color w:val="auto"/>
              </w:rPr>
            </w:pPr>
            <w:r>
              <w:rPr>
                <w:rFonts w:ascii="Arial" w:cs="Arial" w:eastAsia="Arial" w:hAnsi="Arial"/>
                <w:sz w:val="18"/>
                <w:szCs w:val="18"/>
                <w:color w:val="auto"/>
              </w:rPr>
              <w:t>Deferred income taxes and investment tax credits</w:t>
            </w:r>
          </w:p>
        </w:tc>
        <w:tc>
          <w:tcPr>
            <w:tcW w:w="480" w:type="dxa"/>
            <w:vAlign w:val="bottom"/>
          </w:tcPr>
          <w:p>
            <w:pPr>
              <w:spacing w:after="0"/>
              <w:rPr>
                <w:sz w:val="23"/>
                <w:szCs w:val="23"/>
                <w:color w:val="auto"/>
              </w:rPr>
            </w:pPr>
          </w:p>
        </w:tc>
        <w:tc>
          <w:tcPr>
            <w:tcW w:w="660" w:type="dxa"/>
            <w:vAlign w:val="bottom"/>
          </w:tcPr>
          <w:p>
            <w:pPr>
              <w:jc w:val="right"/>
              <w:ind w:right="132"/>
              <w:spacing w:after="0"/>
              <w:rPr>
                <w:sz w:val="20"/>
                <w:szCs w:val="20"/>
                <w:color w:val="auto"/>
              </w:rPr>
            </w:pPr>
            <w:r>
              <w:rPr>
                <w:rFonts w:ascii="Arial" w:cs="Arial" w:eastAsia="Arial" w:hAnsi="Arial"/>
                <w:sz w:val="18"/>
                <w:szCs w:val="18"/>
                <w:color w:val="auto"/>
              </w:rPr>
              <w:t>37</w:t>
            </w:r>
          </w:p>
        </w:tc>
        <w:tc>
          <w:tcPr>
            <w:tcW w:w="400" w:type="dxa"/>
            <w:vAlign w:val="bottom"/>
          </w:tcPr>
          <w:p>
            <w:pPr>
              <w:spacing w:after="0"/>
              <w:rPr>
                <w:sz w:val="23"/>
                <w:szCs w:val="23"/>
                <w:color w:val="auto"/>
              </w:rPr>
            </w:pPr>
          </w:p>
        </w:tc>
        <w:tc>
          <w:tcPr>
            <w:tcW w:w="66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(29 )</w:t>
            </w:r>
          </w:p>
        </w:tc>
      </w:tr>
      <w:tr>
        <w:trPr>
          <w:trHeight w:val="270"/>
        </w:trPr>
        <w:tc>
          <w:tcPr>
            <w:tcW w:w="4500" w:type="dxa"/>
            <w:vAlign w:val="bottom"/>
          </w:tcPr>
          <w:p>
            <w:pPr>
              <w:ind w:left="480"/>
              <w:spacing w:after="0"/>
              <w:rPr>
                <w:sz w:val="20"/>
                <w:szCs w:val="20"/>
                <w:color w:val="auto"/>
              </w:rPr>
            </w:pPr>
            <w:r>
              <w:rPr>
                <w:rFonts w:ascii="Arial" w:cs="Arial" w:eastAsia="Arial" w:hAnsi="Arial"/>
                <w:sz w:val="18"/>
                <w:szCs w:val="18"/>
                <w:color w:val="auto"/>
              </w:rPr>
              <w:t>Non-cash rate reduction bond expense</w:t>
            </w:r>
          </w:p>
        </w:tc>
        <w:tc>
          <w:tcPr>
            <w:tcW w:w="480" w:type="dxa"/>
            <w:vAlign w:val="bottom"/>
          </w:tcPr>
          <w:p>
            <w:pPr>
              <w:spacing w:after="0"/>
              <w:rPr>
                <w:sz w:val="23"/>
                <w:szCs w:val="23"/>
                <w:color w:val="auto"/>
              </w:rPr>
            </w:pPr>
          </w:p>
        </w:tc>
        <w:tc>
          <w:tcPr>
            <w:tcW w:w="660" w:type="dxa"/>
            <w:vAlign w:val="bottom"/>
          </w:tcPr>
          <w:p>
            <w:pPr>
              <w:jc w:val="right"/>
              <w:ind w:right="132"/>
              <w:spacing w:after="0"/>
              <w:rPr>
                <w:sz w:val="20"/>
                <w:szCs w:val="20"/>
                <w:color w:val="auto"/>
              </w:rPr>
            </w:pPr>
            <w:r>
              <w:rPr>
                <w:rFonts w:ascii="Arial" w:cs="Arial" w:eastAsia="Arial" w:hAnsi="Arial"/>
                <w:sz w:val="18"/>
                <w:szCs w:val="18"/>
                <w:color w:val="auto"/>
              </w:rPr>
              <w:t>68</w:t>
            </w:r>
          </w:p>
        </w:tc>
        <w:tc>
          <w:tcPr>
            <w:tcW w:w="400" w:type="dxa"/>
            <w:vAlign w:val="bottom"/>
          </w:tcPr>
          <w:p>
            <w:pPr>
              <w:spacing w:after="0"/>
              <w:rPr>
                <w:sz w:val="23"/>
                <w:szCs w:val="23"/>
                <w:color w:val="auto"/>
              </w:rPr>
            </w:pPr>
          </w:p>
        </w:tc>
        <w:tc>
          <w:tcPr>
            <w:tcW w:w="660" w:type="dxa"/>
            <w:vAlign w:val="bottom"/>
          </w:tcPr>
          <w:p>
            <w:pPr>
              <w:jc w:val="right"/>
              <w:ind w:right="132"/>
              <w:spacing w:after="0"/>
              <w:rPr>
                <w:sz w:val="20"/>
                <w:szCs w:val="20"/>
                <w:color w:val="auto"/>
              </w:rPr>
            </w:pPr>
            <w:r>
              <w:rPr>
                <w:rFonts w:ascii="Arial" w:cs="Arial" w:eastAsia="Arial" w:hAnsi="Arial"/>
                <w:sz w:val="18"/>
                <w:szCs w:val="18"/>
                <w:color w:val="auto"/>
              </w:rPr>
              <w:t>75</w:t>
            </w:r>
          </w:p>
        </w:tc>
        <w:tc>
          <w:tcPr>
            <w:tcW w:w="46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68</w:t>
            </w:r>
          </w:p>
        </w:tc>
      </w:tr>
      <w:tr>
        <w:trPr>
          <w:trHeight w:val="270"/>
        </w:trPr>
        <w:tc>
          <w:tcPr>
            <w:tcW w:w="4500" w:type="dxa"/>
            <w:vAlign w:val="bottom"/>
          </w:tcPr>
          <w:p>
            <w:pPr>
              <w:ind w:left="480"/>
              <w:spacing w:after="0"/>
              <w:rPr>
                <w:sz w:val="20"/>
                <w:szCs w:val="20"/>
                <w:color w:val="auto"/>
              </w:rPr>
            </w:pPr>
            <w:r>
              <w:rPr>
                <w:rFonts w:ascii="Arial" w:cs="Arial" w:eastAsia="Arial" w:hAnsi="Arial"/>
                <w:sz w:val="18"/>
                <w:szCs w:val="18"/>
                <w:color w:val="auto"/>
              </w:rPr>
              <w:t>Other</w:t>
            </w:r>
          </w:p>
        </w:tc>
        <w:tc>
          <w:tcPr>
            <w:tcW w:w="480" w:type="dxa"/>
            <w:vAlign w:val="bottom"/>
          </w:tcPr>
          <w:p>
            <w:pPr>
              <w:spacing w:after="0"/>
              <w:rPr>
                <w:sz w:val="23"/>
                <w:szCs w:val="23"/>
                <w:color w:val="auto"/>
              </w:rPr>
            </w:pPr>
          </w:p>
        </w:tc>
        <w:tc>
          <w:tcPr>
            <w:tcW w:w="660" w:type="dxa"/>
            <w:vAlign w:val="bottom"/>
          </w:tcPr>
          <w:p>
            <w:pPr>
              <w:jc w:val="right"/>
              <w:ind w:right="32"/>
              <w:spacing w:after="0"/>
              <w:rPr>
                <w:sz w:val="20"/>
                <w:szCs w:val="20"/>
                <w:color w:val="auto"/>
              </w:rPr>
            </w:pPr>
            <w:r>
              <w:rPr>
                <w:rFonts w:ascii="Arial" w:cs="Arial" w:eastAsia="Arial" w:hAnsi="Arial"/>
                <w:sz w:val="18"/>
                <w:szCs w:val="18"/>
                <w:color w:val="auto"/>
              </w:rPr>
              <w:t>(3 )</w:t>
            </w:r>
          </w:p>
        </w:tc>
        <w:tc>
          <w:tcPr>
            <w:tcW w:w="400" w:type="dxa"/>
            <w:vAlign w:val="bottom"/>
          </w:tcPr>
          <w:p>
            <w:pPr>
              <w:spacing w:after="0"/>
              <w:rPr>
                <w:sz w:val="23"/>
                <w:szCs w:val="23"/>
                <w:color w:val="auto"/>
              </w:rPr>
            </w:pPr>
          </w:p>
        </w:tc>
        <w:tc>
          <w:tcPr>
            <w:tcW w:w="660" w:type="dxa"/>
            <w:vAlign w:val="bottom"/>
          </w:tcPr>
          <w:p>
            <w:pPr>
              <w:jc w:val="right"/>
              <w:ind w:right="52"/>
              <w:spacing w:after="0"/>
              <w:rPr>
                <w:sz w:val="20"/>
                <w:szCs w:val="20"/>
                <w:color w:val="auto"/>
              </w:rPr>
            </w:pPr>
            <w:r>
              <w:rPr>
                <w:rFonts w:ascii="Arial" w:cs="Arial" w:eastAsia="Arial" w:hAnsi="Arial"/>
                <w:sz w:val="18"/>
                <w:szCs w:val="18"/>
                <w:color w:val="auto"/>
              </w:rPr>
              <w:t>(7 )</w:t>
            </w:r>
          </w:p>
        </w:tc>
        <w:tc>
          <w:tcPr>
            <w:tcW w:w="46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(6 )</w:t>
            </w:r>
          </w:p>
        </w:tc>
      </w:tr>
      <w:tr>
        <w:trPr>
          <w:trHeight w:val="270"/>
        </w:trPr>
        <w:tc>
          <w:tcPr>
            <w:tcW w:w="4500" w:type="dxa"/>
            <w:vAlign w:val="bottom"/>
          </w:tcPr>
          <w:p>
            <w:pPr>
              <w:ind w:left="240"/>
              <w:spacing w:after="0"/>
              <w:rPr>
                <w:sz w:val="20"/>
                <w:szCs w:val="20"/>
                <w:color w:val="auto"/>
              </w:rPr>
            </w:pPr>
            <w:r>
              <w:rPr>
                <w:rFonts w:ascii="Arial" w:cs="Arial" w:eastAsia="Arial" w:hAnsi="Arial"/>
                <w:sz w:val="18"/>
                <w:szCs w:val="18"/>
                <w:color w:val="auto"/>
              </w:rPr>
              <w:t>Changes in other assets</w:t>
            </w:r>
          </w:p>
        </w:tc>
        <w:tc>
          <w:tcPr>
            <w:tcW w:w="480" w:type="dxa"/>
            <w:vAlign w:val="bottom"/>
          </w:tcPr>
          <w:p>
            <w:pPr>
              <w:spacing w:after="0"/>
              <w:rPr>
                <w:sz w:val="23"/>
                <w:szCs w:val="23"/>
                <w:color w:val="auto"/>
              </w:rPr>
            </w:pPr>
          </w:p>
        </w:tc>
        <w:tc>
          <w:tcPr>
            <w:tcW w:w="660" w:type="dxa"/>
            <w:vAlign w:val="bottom"/>
          </w:tcPr>
          <w:p>
            <w:pPr>
              <w:jc w:val="right"/>
              <w:ind w:right="132"/>
              <w:spacing w:after="0"/>
              <w:rPr>
                <w:sz w:val="20"/>
                <w:szCs w:val="20"/>
                <w:color w:val="auto"/>
              </w:rPr>
            </w:pPr>
            <w:r>
              <w:rPr>
                <w:rFonts w:ascii="Arial" w:cs="Arial" w:eastAsia="Arial" w:hAnsi="Arial"/>
                <w:sz w:val="18"/>
                <w:szCs w:val="18"/>
                <w:color w:val="auto"/>
              </w:rPr>
              <w:t>13</w:t>
            </w:r>
          </w:p>
        </w:tc>
        <w:tc>
          <w:tcPr>
            <w:tcW w:w="400" w:type="dxa"/>
            <w:vAlign w:val="bottom"/>
          </w:tcPr>
          <w:p>
            <w:pPr>
              <w:spacing w:after="0"/>
              <w:rPr>
                <w:sz w:val="23"/>
                <w:szCs w:val="23"/>
                <w:color w:val="auto"/>
              </w:rPr>
            </w:pPr>
          </w:p>
        </w:tc>
        <w:tc>
          <w:tcPr>
            <w:tcW w:w="660" w:type="dxa"/>
            <w:vAlign w:val="bottom"/>
          </w:tcPr>
          <w:p>
            <w:pPr>
              <w:jc w:val="right"/>
              <w:ind w:right="52"/>
              <w:spacing w:after="0"/>
              <w:rPr>
                <w:sz w:val="20"/>
                <w:szCs w:val="20"/>
                <w:color w:val="auto"/>
              </w:rPr>
            </w:pPr>
            <w:r>
              <w:rPr>
                <w:rFonts w:ascii="Arial" w:cs="Arial" w:eastAsia="Arial" w:hAnsi="Arial"/>
                <w:sz w:val="18"/>
                <w:szCs w:val="18"/>
                <w:color w:val="auto"/>
              </w:rPr>
              <w:t>(53 )</w:t>
            </w:r>
          </w:p>
        </w:tc>
        <w:tc>
          <w:tcPr>
            <w:tcW w:w="46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(3 )</w:t>
            </w:r>
          </w:p>
        </w:tc>
      </w:tr>
      <w:tr>
        <w:trPr>
          <w:trHeight w:val="270"/>
        </w:trPr>
        <w:tc>
          <w:tcPr>
            <w:tcW w:w="4500" w:type="dxa"/>
            <w:vAlign w:val="bottom"/>
          </w:tcPr>
          <w:p>
            <w:pPr>
              <w:ind w:left="240"/>
              <w:spacing w:after="0"/>
              <w:rPr>
                <w:sz w:val="20"/>
                <w:szCs w:val="20"/>
                <w:color w:val="auto"/>
              </w:rPr>
            </w:pPr>
            <w:r>
              <w:rPr>
                <w:rFonts w:ascii="Arial" w:cs="Arial" w:eastAsia="Arial" w:hAnsi="Arial"/>
                <w:sz w:val="18"/>
                <w:szCs w:val="18"/>
                <w:color w:val="auto"/>
              </w:rPr>
              <w:t>Changes in other liabilities</w:t>
            </w:r>
          </w:p>
        </w:tc>
        <w:tc>
          <w:tcPr>
            <w:tcW w:w="480" w:type="dxa"/>
            <w:vAlign w:val="bottom"/>
          </w:tcPr>
          <w:p>
            <w:pPr>
              <w:spacing w:after="0"/>
              <w:rPr>
                <w:sz w:val="23"/>
                <w:szCs w:val="23"/>
                <w:color w:val="auto"/>
              </w:rPr>
            </w:pPr>
          </w:p>
        </w:tc>
        <w:tc>
          <w:tcPr>
            <w:tcW w:w="660" w:type="dxa"/>
            <w:vAlign w:val="bottom"/>
          </w:tcPr>
          <w:p>
            <w:pPr>
              <w:jc w:val="right"/>
              <w:ind w:right="132"/>
              <w:spacing w:after="0"/>
              <w:rPr>
                <w:sz w:val="20"/>
                <w:szCs w:val="20"/>
                <w:color w:val="auto"/>
              </w:rPr>
            </w:pPr>
            <w:r>
              <w:rPr>
                <w:rFonts w:ascii="Arial" w:cs="Arial" w:eastAsia="Arial" w:hAnsi="Arial"/>
                <w:sz w:val="18"/>
                <w:szCs w:val="18"/>
                <w:color w:val="auto"/>
              </w:rPr>
              <w:t>37</w:t>
            </w:r>
          </w:p>
        </w:tc>
        <w:tc>
          <w:tcPr>
            <w:tcW w:w="400" w:type="dxa"/>
            <w:vAlign w:val="bottom"/>
          </w:tcPr>
          <w:p>
            <w:pPr>
              <w:spacing w:after="0"/>
              <w:rPr>
                <w:sz w:val="23"/>
                <w:szCs w:val="23"/>
                <w:color w:val="auto"/>
              </w:rPr>
            </w:pPr>
          </w:p>
        </w:tc>
        <w:tc>
          <w:tcPr>
            <w:tcW w:w="660" w:type="dxa"/>
            <w:vAlign w:val="bottom"/>
          </w:tcPr>
          <w:p>
            <w:pPr>
              <w:jc w:val="right"/>
              <w:ind w:right="52"/>
              <w:spacing w:after="0"/>
              <w:rPr>
                <w:sz w:val="20"/>
                <w:szCs w:val="20"/>
                <w:color w:val="auto"/>
              </w:rPr>
            </w:pPr>
            <w:r>
              <w:rPr>
                <w:rFonts w:ascii="Arial" w:cs="Arial" w:eastAsia="Arial" w:hAnsi="Arial"/>
                <w:sz w:val="18"/>
                <w:szCs w:val="18"/>
                <w:color w:val="auto"/>
              </w:rPr>
              <w:t>(25 )</w:t>
            </w:r>
          </w:p>
        </w:tc>
        <w:tc>
          <w:tcPr>
            <w:tcW w:w="46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(7 )</w:t>
            </w:r>
          </w:p>
        </w:tc>
      </w:tr>
      <w:tr>
        <w:trPr>
          <w:trHeight w:val="270"/>
        </w:trPr>
        <w:tc>
          <w:tcPr>
            <w:tcW w:w="4500" w:type="dxa"/>
            <w:vAlign w:val="bottom"/>
          </w:tcPr>
          <w:p>
            <w:pPr>
              <w:ind w:left="240"/>
              <w:spacing w:after="0"/>
              <w:rPr>
                <w:sz w:val="20"/>
                <w:szCs w:val="20"/>
                <w:color w:val="auto"/>
              </w:rPr>
            </w:pPr>
            <w:r>
              <w:rPr>
                <w:rFonts w:ascii="Arial" w:cs="Arial" w:eastAsia="Arial" w:hAnsi="Arial"/>
                <w:sz w:val="18"/>
                <w:szCs w:val="18"/>
                <w:color w:val="auto"/>
              </w:rPr>
              <w:t>Changes in working capital components:</w:t>
            </w:r>
          </w:p>
        </w:tc>
        <w:tc>
          <w:tcPr>
            <w:tcW w:w="4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580" w:type="dxa"/>
            <w:vAlign w:val="bottom"/>
          </w:tcPr>
          <w:p>
            <w:pPr>
              <w:spacing w:after="0"/>
              <w:rPr>
                <w:sz w:val="23"/>
                <w:szCs w:val="23"/>
                <w:color w:val="auto"/>
              </w:rPr>
            </w:pPr>
          </w:p>
        </w:tc>
      </w:tr>
      <w:tr>
        <w:trPr>
          <w:trHeight w:val="270"/>
        </w:trPr>
        <w:tc>
          <w:tcPr>
            <w:tcW w:w="4500" w:type="dxa"/>
            <w:vAlign w:val="bottom"/>
          </w:tcPr>
          <w:p>
            <w:pPr>
              <w:ind w:left="480"/>
              <w:spacing w:after="0"/>
              <w:rPr>
                <w:sz w:val="20"/>
                <w:szCs w:val="20"/>
                <w:color w:val="auto"/>
              </w:rPr>
            </w:pPr>
            <w:r>
              <w:rPr>
                <w:rFonts w:ascii="Arial" w:cs="Arial" w:eastAsia="Arial" w:hAnsi="Arial"/>
                <w:sz w:val="18"/>
                <w:szCs w:val="18"/>
                <w:color w:val="auto"/>
              </w:rPr>
              <w:t>Accounts receivable</w:t>
            </w:r>
          </w:p>
        </w:tc>
        <w:tc>
          <w:tcPr>
            <w:tcW w:w="480" w:type="dxa"/>
            <w:vAlign w:val="bottom"/>
          </w:tcPr>
          <w:p>
            <w:pPr>
              <w:spacing w:after="0"/>
              <w:rPr>
                <w:sz w:val="23"/>
                <w:szCs w:val="23"/>
                <w:color w:val="auto"/>
              </w:rPr>
            </w:pPr>
          </w:p>
        </w:tc>
        <w:tc>
          <w:tcPr>
            <w:tcW w:w="660" w:type="dxa"/>
            <w:vAlign w:val="bottom"/>
          </w:tcPr>
          <w:p>
            <w:pPr>
              <w:jc w:val="right"/>
              <w:ind w:right="32"/>
              <w:spacing w:after="0"/>
              <w:rPr>
                <w:sz w:val="20"/>
                <w:szCs w:val="20"/>
                <w:color w:val="auto"/>
              </w:rPr>
            </w:pPr>
            <w:r>
              <w:rPr>
                <w:rFonts w:ascii="Arial" w:cs="Arial" w:eastAsia="Arial" w:hAnsi="Arial"/>
                <w:sz w:val="18"/>
                <w:szCs w:val="18"/>
                <w:color w:val="auto"/>
              </w:rPr>
              <w:t>(56 )</w:t>
            </w:r>
          </w:p>
        </w:tc>
        <w:tc>
          <w:tcPr>
            <w:tcW w:w="400" w:type="dxa"/>
            <w:vAlign w:val="bottom"/>
          </w:tcPr>
          <w:p>
            <w:pPr>
              <w:spacing w:after="0"/>
              <w:rPr>
                <w:sz w:val="23"/>
                <w:szCs w:val="23"/>
                <w:color w:val="auto"/>
              </w:rPr>
            </w:pPr>
          </w:p>
        </w:tc>
        <w:tc>
          <w:tcPr>
            <w:tcW w:w="660" w:type="dxa"/>
            <w:vAlign w:val="bottom"/>
          </w:tcPr>
          <w:p>
            <w:pPr>
              <w:jc w:val="right"/>
              <w:ind w:right="52"/>
              <w:spacing w:after="0"/>
              <w:rPr>
                <w:sz w:val="20"/>
                <w:szCs w:val="20"/>
                <w:color w:val="auto"/>
              </w:rPr>
            </w:pPr>
            <w:r>
              <w:rPr>
                <w:rFonts w:ascii="Arial" w:cs="Arial" w:eastAsia="Arial" w:hAnsi="Arial"/>
                <w:sz w:val="18"/>
                <w:szCs w:val="18"/>
                <w:color w:val="auto"/>
              </w:rPr>
              <w:t>(24 )</w:t>
            </w:r>
          </w:p>
        </w:tc>
        <w:tc>
          <w:tcPr>
            <w:tcW w:w="46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(9 )</w:t>
            </w:r>
          </w:p>
        </w:tc>
      </w:tr>
      <w:tr>
        <w:trPr>
          <w:trHeight w:val="270"/>
        </w:trPr>
        <w:tc>
          <w:tcPr>
            <w:tcW w:w="4500" w:type="dxa"/>
            <w:vAlign w:val="bottom"/>
          </w:tcPr>
          <w:p>
            <w:pPr>
              <w:ind w:left="480"/>
              <w:spacing w:after="0"/>
              <w:rPr>
                <w:sz w:val="20"/>
                <w:szCs w:val="20"/>
                <w:color w:val="auto"/>
              </w:rPr>
            </w:pPr>
            <w:r>
              <w:rPr>
                <w:rFonts w:ascii="Arial" w:cs="Arial" w:eastAsia="Arial" w:hAnsi="Arial"/>
                <w:sz w:val="18"/>
                <w:szCs w:val="18"/>
                <w:color w:val="auto"/>
              </w:rPr>
              <w:t>Interest receivable</w:t>
            </w:r>
          </w:p>
        </w:tc>
        <w:tc>
          <w:tcPr>
            <w:tcW w:w="480" w:type="dxa"/>
            <w:vAlign w:val="bottom"/>
          </w:tcPr>
          <w:p>
            <w:pPr>
              <w:spacing w:after="0"/>
              <w:rPr>
                <w:sz w:val="23"/>
                <w:szCs w:val="23"/>
                <w:color w:val="auto"/>
              </w:rPr>
            </w:pPr>
          </w:p>
        </w:tc>
        <w:tc>
          <w:tcPr>
            <w:tcW w:w="660" w:type="dxa"/>
            <w:vAlign w:val="bottom"/>
          </w:tcPr>
          <w:p>
            <w:pPr>
              <w:jc w:val="right"/>
              <w:ind w:right="132"/>
              <w:spacing w:after="0"/>
              <w:rPr>
                <w:sz w:val="20"/>
                <w:szCs w:val="20"/>
                <w:color w:val="auto"/>
              </w:rPr>
            </w:pPr>
            <w:r>
              <w:rPr>
                <w:rFonts w:ascii="Arial" w:cs="Arial" w:eastAsia="Arial" w:hAnsi="Arial"/>
                <w:sz w:val="18"/>
                <w:szCs w:val="18"/>
                <w:color w:val="auto"/>
              </w:rPr>
              <w:t>39</w:t>
            </w:r>
          </w:p>
        </w:tc>
        <w:tc>
          <w:tcPr>
            <w:tcW w:w="400" w:type="dxa"/>
            <w:vAlign w:val="bottom"/>
          </w:tcPr>
          <w:p>
            <w:pPr>
              <w:spacing w:after="0"/>
              <w:rPr>
                <w:sz w:val="23"/>
                <w:szCs w:val="23"/>
                <w:color w:val="auto"/>
              </w:rPr>
            </w:pPr>
          </w:p>
        </w:tc>
        <w:tc>
          <w:tcPr>
            <w:tcW w:w="660" w:type="dxa"/>
            <w:vAlign w:val="bottom"/>
          </w:tcPr>
          <w:p>
            <w:pPr>
              <w:jc w:val="right"/>
              <w:ind w:right="52"/>
              <w:spacing w:after="0"/>
              <w:rPr>
                <w:sz w:val="20"/>
                <w:szCs w:val="20"/>
                <w:color w:val="auto"/>
              </w:rPr>
            </w:pPr>
            <w:r>
              <w:rPr>
                <w:rFonts w:ascii="Arial" w:cs="Arial" w:eastAsia="Arial" w:hAnsi="Arial"/>
                <w:sz w:val="18"/>
                <w:szCs w:val="18"/>
                <w:color w:val="auto"/>
              </w:rPr>
              <w:t>(18 )</w:t>
            </w:r>
          </w:p>
        </w:tc>
        <w:tc>
          <w:tcPr>
            <w:tcW w:w="46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(37 )</w:t>
            </w:r>
          </w:p>
        </w:tc>
      </w:tr>
      <w:tr>
        <w:trPr>
          <w:trHeight w:val="270"/>
        </w:trPr>
        <w:tc>
          <w:tcPr>
            <w:tcW w:w="4500" w:type="dxa"/>
            <w:vAlign w:val="bottom"/>
          </w:tcPr>
          <w:p>
            <w:pPr>
              <w:ind w:left="480"/>
              <w:spacing w:after="0"/>
              <w:rPr>
                <w:sz w:val="20"/>
                <w:szCs w:val="20"/>
                <w:color w:val="auto"/>
              </w:rPr>
            </w:pPr>
            <w:r>
              <w:rPr>
                <w:rFonts w:ascii="Arial" w:cs="Arial" w:eastAsia="Arial" w:hAnsi="Arial"/>
                <w:sz w:val="18"/>
                <w:szCs w:val="18"/>
                <w:color w:val="auto"/>
              </w:rPr>
              <w:t>Due to/from affiliates, net</w:t>
            </w:r>
          </w:p>
        </w:tc>
        <w:tc>
          <w:tcPr>
            <w:tcW w:w="480" w:type="dxa"/>
            <w:vAlign w:val="bottom"/>
          </w:tcPr>
          <w:p>
            <w:pPr>
              <w:spacing w:after="0"/>
              <w:rPr>
                <w:sz w:val="23"/>
                <w:szCs w:val="23"/>
                <w:color w:val="auto"/>
              </w:rPr>
            </w:pPr>
          </w:p>
        </w:tc>
        <w:tc>
          <w:tcPr>
            <w:tcW w:w="660" w:type="dxa"/>
            <w:vAlign w:val="bottom"/>
          </w:tcPr>
          <w:p>
            <w:pPr>
              <w:jc w:val="right"/>
              <w:ind w:right="32"/>
              <w:spacing w:after="0"/>
              <w:rPr>
                <w:sz w:val="20"/>
                <w:szCs w:val="20"/>
                <w:color w:val="auto"/>
              </w:rPr>
            </w:pPr>
            <w:r>
              <w:rPr>
                <w:rFonts w:ascii="Arial" w:cs="Arial" w:eastAsia="Arial" w:hAnsi="Arial"/>
                <w:sz w:val="18"/>
                <w:szCs w:val="18"/>
                <w:color w:val="auto"/>
              </w:rPr>
              <w:t>(1 )</w:t>
            </w:r>
          </w:p>
        </w:tc>
        <w:tc>
          <w:tcPr>
            <w:tcW w:w="400" w:type="dxa"/>
            <w:vAlign w:val="bottom"/>
          </w:tcPr>
          <w:p>
            <w:pPr>
              <w:spacing w:after="0"/>
              <w:rPr>
                <w:sz w:val="23"/>
                <w:szCs w:val="23"/>
                <w:color w:val="auto"/>
              </w:rPr>
            </w:pPr>
          </w:p>
        </w:tc>
        <w:tc>
          <w:tcPr>
            <w:tcW w:w="660" w:type="dxa"/>
            <w:vAlign w:val="bottom"/>
          </w:tcPr>
          <w:p>
            <w:pPr>
              <w:jc w:val="right"/>
              <w:ind w:right="132"/>
              <w:spacing w:after="0"/>
              <w:rPr>
                <w:sz w:val="20"/>
                <w:szCs w:val="20"/>
                <w:color w:val="auto"/>
              </w:rPr>
            </w:pPr>
            <w:r>
              <w:rPr>
                <w:rFonts w:ascii="Arial" w:cs="Arial" w:eastAsia="Arial" w:hAnsi="Arial"/>
                <w:sz w:val="18"/>
                <w:szCs w:val="18"/>
                <w:color w:val="auto"/>
              </w:rPr>
              <w:t>13</w:t>
            </w:r>
          </w:p>
        </w:tc>
        <w:tc>
          <w:tcPr>
            <w:tcW w:w="46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43"/>
        </w:trPr>
        <w:tc>
          <w:tcPr>
            <w:tcW w:w="4500" w:type="dxa"/>
            <w:vAlign w:val="bottom"/>
          </w:tcPr>
          <w:p>
            <w:pPr>
              <w:ind w:left="480"/>
              <w:spacing w:after="0"/>
              <w:rPr>
                <w:sz w:val="20"/>
                <w:szCs w:val="20"/>
                <w:color w:val="auto"/>
              </w:rPr>
            </w:pPr>
            <w:r>
              <w:rPr>
                <w:rFonts w:ascii="Arial" w:cs="Arial" w:eastAsia="Arial" w:hAnsi="Arial"/>
                <w:sz w:val="18"/>
                <w:szCs w:val="18"/>
                <w:color w:val="auto"/>
              </w:rPr>
              <w:t>Inventories</w:t>
            </w:r>
          </w:p>
        </w:tc>
        <w:tc>
          <w:tcPr>
            <w:tcW w:w="480" w:type="dxa"/>
            <w:vAlign w:val="bottom"/>
          </w:tcPr>
          <w:p>
            <w:pPr>
              <w:spacing w:after="0"/>
              <w:rPr>
                <w:sz w:val="21"/>
                <w:szCs w:val="21"/>
                <w:color w:val="auto"/>
              </w:rPr>
            </w:pPr>
          </w:p>
        </w:tc>
        <w:tc>
          <w:tcPr>
            <w:tcW w:w="660" w:type="dxa"/>
            <w:vAlign w:val="bottom"/>
          </w:tcPr>
          <w:p>
            <w:pPr>
              <w:jc w:val="right"/>
              <w:ind w:right="132"/>
              <w:spacing w:after="0"/>
              <w:rPr>
                <w:sz w:val="20"/>
                <w:szCs w:val="20"/>
                <w:color w:val="auto"/>
              </w:rPr>
            </w:pPr>
            <w:r>
              <w:rPr>
                <w:rFonts w:ascii="Arial" w:cs="Arial" w:eastAsia="Arial" w:hAnsi="Arial"/>
                <w:sz w:val="18"/>
                <w:szCs w:val="18"/>
                <w:color w:val="auto"/>
              </w:rPr>
              <w:t>10</w:t>
            </w:r>
          </w:p>
        </w:tc>
        <w:tc>
          <w:tcPr>
            <w:tcW w:w="400" w:type="dxa"/>
            <w:vAlign w:val="bottom"/>
          </w:tcPr>
          <w:p>
            <w:pPr>
              <w:spacing w:after="0"/>
              <w:rPr>
                <w:sz w:val="21"/>
                <w:szCs w:val="21"/>
                <w:color w:val="auto"/>
              </w:rPr>
            </w:pPr>
          </w:p>
        </w:tc>
        <w:tc>
          <w:tcPr>
            <w:tcW w:w="660" w:type="dxa"/>
            <w:vAlign w:val="bottom"/>
          </w:tcPr>
          <w:p>
            <w:pPr>
              <w:jc w:val="right"/>
              <w:ind w:right="52"/>
              <w:spacing w:after="0"/>
              <w:rPr>
                <w:sz w:val="20"/>
                <w:szCs w:val="20"/>
                <w:color w:val="auto"/>
              </w:rPr>
            </w:pPr>
            <w:r>
              <w:rPr>
                <w:rFonts w:ascii="Arial" w:cs="Arial" w:eastAsia="Arial" w:hAnsi="Arial"/>
                <w:sz w:val="18"/>
                <w:szCs w:val="18"/>
                <w:color w:val="auto"/>
              </w:rPr>
              <w:t>(27 )</w:t>
            </w:r>
          </w:p>
        </w:tc>
        <w:tc>
          <w:tcPr>
            <w:tcW w:w="46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(14 )</w:t>
            </w:r>
          </w:p>
        </w:tc>
      </w:tr>
    </w:tbl>
    <w:p>
      <w:pPr>
        <w:sectPr>
          <w:pgSz w:w="11900" w:h="16882" w:orient="portrait"/>
          <w:cols w:equalWidth="0" w:num="1">
            <w:col w:w="9019"/>
          </w:cols>
          <w:pgMar w:left="1440" w:top="118" w:right="1440" w:bottom="0" w:gutter="0" w:footer="0" w:header="0"/>
        </w:sectPr>
      </w:pPr>
    </w:p>
    <w:bookmarkStart w:id="25" w:name="page26"/>
    <w:bookmarkEnd w:id="25"/>
    <w:p>
      <w:pPr>
        <w:spacing w:after="0" w:line="1" w:lineRule="exact"/>
        <w:rPr>
          <w:sz w:val="20"/>
          <w:szCs w:val="20"/>
          <w:color w:val="auto"/>
        </w:rPr>
      </w:pPr>
    </w:p>
    <w:tbl>
      <w:tblPr>
        <w:tblLayout w:type="fixed"/>
        <w:tblInd w:w="640" w:type="dxa"/>
        <w:tblCellMar>
          <w:top w:w="0" w:type="dxa"/>
          <w:left w:w="0" w:type="dxa"/>
          <w:bottom w:w="0" w:type="dxa"/>
          <w:right w:w="0" w:type="dxa"/>
        </w:tblCellMar>
      </w:tblPr>
      <w:tr>
        <w:trPr>
          <w:trHeight w:val="222"/>
        </w:trPr>
        <w:tc>
          <w:tcPr>
            <w:tcW w:w="4680" w:type="dxa"/>
            <w:vAlign w:val="bottom"/>
          </w:tcPr>
          <w:p>
            <w:pPr>
              <w:ind w:left="480"/>
              <w:spacing w:after="0"/>
              <w:rPr>
                <w:sz w:val="20"/>
                <w:szCs w:val="20"/>
                <w:color w:val="auto"/>
              </w:rPr>
            </w:pPr>
            <w:r>
              <w:rPr>
                <w:rFonts w:ascii="Arial" w:cs="Arial" w:eastAsia="Arial" w:hAnsi="Arial"/>
                <w:sz w:val="18"/>
                <w:szCs w:val="18"/>
                <w:color w:val="auto"/>
              </w:rPr>
              <w:t>Other current assets</w:t>
            </w:r>
          </w:p>
        </w:tc>
        <w:tc>
          <w:tcPr>
            <w:tcW w:w="2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(16 )</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(1 )</w:t>
            </w: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(23 )</w:t>
            </w:r>
          </w:p>
        </w:tc>
        <w:tc>
          <w:tcPr>
            <w:tcW w:w="0" w:type="dxa"/>
            <w:vAlign w:val="bottom"/>
          </w:tcPr>
          <w:p>
            <w:pPr>
              <w:spacing w:after="0"/>
              <w:rPr>
                <w:sz w:val="1"/>
                <w:szCs w:val="1"/>
                <w:color w:val="auto"/>
              </w:rPr>
            </w:pPr>
          </w:p>
        </w:tc>
      </w:tr>
      <w:tr>
        <w:trPr>
          <w:trHeight w:val="270"/>
        </w:trPr>
        <w:tc>
          <w:tcPr>
            <w:tcW w:w="4680" w:type="dxa"/>
            <w:vAlign w:val="bottom"/>
          </w:tcPr>
          <w:p>
            <w:pPr>
              <w:ind w:left="480"/>
              <w:spacing w:after="0"/>
              <w:rPr>
                <w:sz w:val="20"/>
                <w:szCs w:val="20"/>
                <w:color w:val="auto"/>
              </w:rPr>
            </w:pPr>
            <w:r>
              <w:rPr>
                <w:rFonts w:ascii="Arial" w:cs="Arial" w:eastAsia="Arial" w:hAnsi="Arial"/>
                <w:sz w:val="18"/>
                <w:szCs w:val="18"/>
                <w:color w:val="auto"/>
              </w:rPr>
              <w:t>Income taxes</w:t>
            </w:r>
          </w:p>
        </w:tc>
        <w:tc>
          <w:tcPr>
            <w:tcW w:w="26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(231 )</w:t>
            </w:r>
          </w:p>
        </w:tc>
        <w:tc>
          <w:tcPr>
            <w:tcW w:w="1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40" w:type="dxa"/>
            <w:vAlign w:val="bottom"/>
          </w:tcPr>
          <w:p>
            <w:pPr>
              <w:jc w:val="right"/>
              <w:ind w:right="72"/>
              <w:spacing w:after="0"/>
              <w:rPr>
                <w:sz w:val="20"/>
                <w:szCs w:val="20"/>
                <w:color w:val="auto"/>
              </w:rPr>
            </w:pPr>
            <w:r>
              <w:rPr>
                <w:rFonts w:ascii="Arial" w:cs="Arial" w:eastAsia="Arial" w:hAnsi="Arial"/>
                <w:sz w:val="18"/>
                <w:szCs w:val="18"/>
                <w:color w:val="auto"/>
              </w:rPr>
              <w:t>15</w:t>
            </w:r>
          </w:p>
        </w:tc>
        <w:tc>
          <w:tcPr>
            <w:tcW w:w="1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60" w:type="dxa"/>
            <w:vAlign w:val="bottom"/>
          </w:tcPr>
          <w:p>
            <w:pPr>
              <w:jc w:val="right"/>
              <w:ind w:right="32"/>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70"/>
        </w:trPr>
        <w:tc>
          <w:tcPr>
            <w:tcW w:w="4680" w:type="dxa"/>
            <w:vAlign w:val="bottom"/>
          </w:tcPr>
          <w:p>
            <w:pPr>
              <w:ind w:left="480"/>
              <w:spacing w:after="0"/>
              <w:rPr>
                <w:sz w:val="20"/>
                <w:szCs w:val="20"/>
                <w:color w:val="auto"/>
              </w:rPr>
            </w:pPr>
            <w:r>
              <w:rPr>
                <w:rFonts w:ascii="Arial" w:cs="Arial" w:eastAsia="Arial" w:hAnsi="Arial"/>
                <w:sz w:val="18"/>
                <w:szCs w:val="18"/>
                <w:color w:val="auto"/>
              </w:rPr>
              <w:t>Accounts payable</w:t>
            </w:r>
          </w:p>
        </w:tc>
        <w:tc>
          <w:tcPr>
            <w:tcW w:w="260" w:type="dxa"/>
            <w:vAlign w:val="bottom"/>
          </w:tcPr>
          <w:p>
            <w:pPr>
              <w:spacing w:after="0"/>
              <w:rPr>
                <w:sz w:val="23"/>
                <w:szCs w:val="23"/>
                <w:color w:val="auto"/>
              </w:rPr>
            </w:pPr>
          </w:p>
        </w:tc>
        <w:tc>
          <w:tcPr>
            <w:tcW w:w="660" w:type="dxa"/>
            <w:vAlign w:val="bottom"/>
          </w:tcPr>
          <w:p>
            <w:pPr>
              <w:jc w:val="right"/>
              <w:ind w:right="92"/>
              <w:spacing w:after="0"/>
              <w:rPr>
                <w:sz w:val="20"/>
                <w:szCs w:val="20"/>
                <w:color w:val="auto"/>
              </w:rPr>
            </w:pPr>
            <w:r>
              <w:rPr>
                <w:rFonts w:ascii="Arial" w:cs="Arial" w:eastAsia="Arial" w:hAnsi="Arial"/>
                <w:sz w:val="18"/>
                <w:szCs w:val="18"/>
                <w:color w:val="auto"/>
              </w:rPr>
              <w:t>28</w:t>
            </w:r>
          </w:p>
        </w:tc>
        <w:tc>
          <w:tcPr>
            <w:tcW w:w="1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40" w:type="dxa"/>
            <w:vAlign w:val="bottom"/>
          </w:tcPr>
          <w:p>
            <w:pPr>
              <w:jc w:val="right"/>
              <w:ind w:right="72"/>
              <w:spacing w:after="0"/>
              <w:rPr>
                <w:sz w:val="20"/>
                <w:szCs w:val="20"/>
                <w:color w:val="auto"/>
              </w:rPr>
            </w:pPr>
            <w:r>
              <w:rPr>
                <w:rFonts w:ascii="Arial" w:cs="Arial" w:eastAsia="Arial" w:hAnsi="Arial"/>
                <w:sz w:val="18"/>
                <w:szCs w:val="18"/>
                <w:color w:val="auto"/>
              </w:rPr>
              <w:t>6</w:t>
            </w:r>
          </w:p>
        </w:tc>
        <w:tc>
          <w:tcPr>
            <w:tcW w:w="1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60" w:type="dxa"/>
            <w:vAlign w:val="bottom"/>
          </w:tcPr>
          <w:p>
            <w:pPr>
              <w:jc w:val="right"/>
              <w:ind w:right="32"/>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70"/>
        </w:trPr>
        <w:tc>
          <w:tcPr>
            <w:tcW w:w="4680" w:type="dxa"/>
            <w:vAlign w:val="bottom"/>
          </w:tcPr>
          <w:p>
            <w:pPr>
              <w:ind w:left="480"/>
              <w:spacing w:after="0"/>
              <w:rPr>
                <w:sz w:val="20"/>
                <w:szCs w:val="20"/>
                <w:color w:val="auto"/>
              </w:rPr>
            </w:pPr>
            <w:r>
              <w:rPr>
                <w:rFonts w:ascii="Arial" w:cs="Arial" w:eastAsia="Arial" w:hAnsi="Arial"/>
                <w:sz w:val="18"/>
                <w:szCs w:val="18"/>
                <w:color w:val="auto"/>
              </w:rPr>
              <w:t>Regulatory balancing accounts</w:t>
            </w:r>
          </w:p>
        </w:tc>
        <w:tc>
          <w:tcPr>
            <w:tcW w:w="26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(152 )</w:t>
            </w:r>
          </w:p>
        </w:tc>
        <w:tc>
          <w:tcPr>
            <w:tcW w:w="1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(15 )</w:t>
            </w:r>
          </w:p>
        </w:tc>
        <w:tc>
          <w:tcPr>
            <w:tcW w:w="1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(56 )</w:t>
            </w:r>
          </w:p>
        </w:tc>
        <w:tc>
          <w:tcPr>
            <w:tcW w:w="0" w:type="dxa"/>
            <w:vAlign w:val="bottom"/>
          </w:tcPr>
          <w:p>
            <w:pPr>
              <w:spacing w:after="0"/>
              <w:rPr>
                <w:sz w:val="1"/>
                <w:szCs w:val="1"/>
                <w:color w:val="auto"/>
              </w:rPr>
            </w:pPr>
          </w:p>
        </w:tc>
      </w:tr>
      <w:tr>
        <w:trPr>
          <w:trHeight w:val="278"/>
        </w:trPr>
        <w:tc>
          <w:tcPr>
            <w:tcW w:w="4680" w:type="dxa"/>
            <w:vAlign w:val="bottom"/>
          </w:tcPr>
          <w:p>
            <w:pPr>
              <w:ind w:left="480"/>
              <w:spacing w:after="0"/>
              <w:rPr>
                <w:sz w:val="20"/>
                <w:szCs w:val="20"/>
                <w:color w:val="auto"/>
              </w:rPr>
            </w:pPr>
            <w:r>
              <w:rPr>
                <w:rFonts w:ascii="Arial" w:cs="Arial" w:eastAsia="Arial" w:hAnsi="Arial"/>
                <w:sz w:val="18"/>
                <w:szCs w:val="18"/>
                <w:color w:val="auto"/>
              </w:rPr>
              <w:t>Other current liabilities</w:t>
            </w:r>
          </w:p>
        </w:tc>
        <w:tc>
          <w:tcPr>
            <w:tcW w:w="260" w:type="dxa"/>
            <w:vAlign w:val="bottom"/>
          </w:tcPr>
          <w:p>
            <w:pPr>
              <w:spacing w:after="0"/>
              <w:rPr>
                <w:sz w:val="24"/>
                <w:szCs w:val="24"/>
                <w:color w:val="auto"/>
              </w:rPr>
            </w:pPr>
          </w:p>
        </w:tc>
        <w:tc>
          <w:tcPr>
            <w:tcW w:w="660" w:type="dxa"/>
            <w:vAlign w:val="bottom"/>
          </w:tcPr>
          <w:p>
            <w:pPr>
              <w:jc w:val="right"/>
              <w:ind w:right="92"/>
              <w:spacing w:after="0"/>
              <w:rPr>
                <w:sz w:val="20"/>
                <w:szCs w:val="20"/>
                <w:color w:val="auto"/>
              </w:rPr>
            </w:pPr>
            <w:r>
              <w:rPr>
                <w:rFonts w:ascii="Arial" w:cs="Arial" w:eastAsia="Arial" w:hAnsi="Arial"/>
                <w:sz w:val="18"/>
                <w:szCs w:val="18"/>
                <w:color w:val="auto"/>
              </w:rPr>
              <w:t>34</w:t>
            </w: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Pr>
          <w:p>
            <w:pPr>
              <w:jc w:val="right"/>
              <w:ind w:right="72"/>
              <w:spacing w:after="0"/>
              <w:rPr>
                <w:sz w:val="20"/>
                <w:szCs w:val="20"/>
                <w:color w:val="auto"/>
              </w:rPr>
            </w:pPr>
            <w:r>
              <w:rPr>
                <w:rFonts w:ascii="Arial" w:cs="Arial" w:eastAsia="Arial" w:hAnsi="Arial"/>
                <w:sz w:val="18"/>
                <w:szCs w:val="18"/>
                <w:color w:val="auto"/>
              </w:rPr>
              <w:t>24</w:t>
            </w: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jc w:val="right"/>
              <w:ind w:right="32"/>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51"/>
        </w:trPr>
        <w:tc>
          <w:tcPr>
            <w:tcW w:w="4680" w:type="dxa"/>
            <w:vAlign w:val="bottom"/>
          </w:tcPr>
          <w:p>
            <w:pPr>
              <w:spacing w:after="0"/>
              <w:rPr>
                <w:sz w:val="21"/>
                <w:szCs w:val="21"/>
                <w:color w:val="auto"/>
              </w:rPr>
            </w:pPr>
          </w:p>
        </w:tc>
        <w:tc>
          <w:tcPr>
            <w:tcW w:w="260" w:type="dxa"/>
            <w:vAlign w:val="bottom"/>
            <w:shd w:val="clear" w:color="auto" w:fill="000000"/>
          </w:tcPr>
          <w:p>
            <w:pPr>
              <w:spacing w:after="0"/>
              <w:rPr>
                <w:sz w:val="21"/>
                <w:szCs w:val="21"/>
                <w:color w:val="auto"/>
              </w:rPr>
            </w:pPr>
          </w:p>
        </w:tc>
        <w:tc>
          <w:tcPr>
            <w:tcW w:w="660" w:type="dxa"/>
            <w:vAlign w:val="bottom"/>
            <w:shd w:val="clear" w:color="auto" w:fill="000000"/>
          </w:tcPr>
          <w:p>
            <w:pPr>
              <w:spacing w:after="0"/>
              <w:rPr>
                <w:sz w:val="21"/>
                <w:szCs w:val="21"/>
                <w:color w:val="auto"/>
              </w:rPr>
            </w:pPr>
          </w:p>
        </w:tc>
        <w:tc>
          <w:tcPr>
            <w:tcW w:w="140" w:type="dxa"/>
            <w:vAlign w:val="bottom"/>
          </w:tcPr>
          <w:p>
            <w:pPr>
              <w:spacing w:after="0"/>
              <w:rPr>
                <w:sz w:val="21"/>
                <w:szCs w:val="21"/>
                <w:color w:val="auto"/>
              </w:rPr>
            </w:pPr>
          </w:p>
        </w:tc>
        <w:tc>
          <w:tcPr>
            <w:tcW w:w="260" w:type="dxa"/>
            <w:vAlign w:val="bottom"/>
            <w:shd w:val="clear" w:color="auto" w:fill="000000"/>
          </w:tcPr>
          <w:p>
            <w:pPr>
              <w:spacing w:after="0"/>
              <w:rPr>
                <w:sz w:val="21"/>
                <w:szCs w:val="21"/>
                <w:color w:val="auto"/>
              </w:rPr>
            </w:pPr>
          </w:p>
        </w:tc>
        <w:tc>
          <w:tcPr>
            <w:tcW w:w="640" w:type="dxa"/>
            <w:vAlign w:val="bottom"/>
            <w:shd w:val="clear" w:color="auto" w:fill="000000"/>
          </w:tcPr>
          <w:p>
            <w:pPr>
              <w:spacing w:after="0"/>
              <w:rPr>
                <w:sz w:val="21"/>
                <w:szCs w:val="21"/>
                <w:color w:val="auto"/>
              </w:rPr>
            </w:pPr>
          </w:p>
        </w:tc>
        <w:tc>
          <w:tcPr>
            <w:tcW w:w="160" w:type="dxa"/>
            <w:vAlign w:val="bottom"/>
          </w:tcPr>
          <w:p>
            <w:pPr>
              <w:spacing w:after="0"/>
              <w:rPr>
                <w:sz w:val="21"/>
                <w:szCs w:val="21"/>
                <w:color w:val="auto"/>
              </w:rPr>
            </w:pPr>
          </w:p>
        </w:tc>
        <w:tc>
          <w:tcPr>
            <w:tcW w:w="320" w:type="dxa"/>
            <w:vAlign w:val="bottom"/>
            <w:shd w:val="clear" w:color="auto" w:fill="000000"/>
          </w:tcPr>
          <w:p>
            <w:pPr>
              <w:spacing w:after="0"/>
              <w:rPr>
                <w:sz w:val="21"/>
                <w:szCs w:val="21"/>
                <w:color w:val="auto"/>
              </w:rPr>
            </w:pPr>
          </w:p>
        </w:tc>
        <w:tc>
          <w:tcPr>
            <w:tcW w:w="660" w:type="dxa"/>
            <w:vAlign w:val="bottom"/>
            <w:shd w:val="clear" w:color="auto" w:fill="000000"/>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4680" w:type="dxa"/>
            <w:vAlign w:val="bottom"/>
          </w:tcPr>
          <w:p>
            <w:pPr>
              <w:ind w:left="480"/>
              <w:spacing w:after="0"/>
              <w:rPr>
                <w:sz w:val="20"/>
                <w:szCs w:val="20"/>
                <w:color w:val="auto"/>
              </w:rPr>
            </w:pPr>
            <w:r>
              <w:rPr>
                <w:rFonts w:ascii="Arial" w:cs="Arial" w:eastAsia="Arial" w:hAnsi="Arial"/>
                <w:sz w:val="18"/>
                <w:szCs w:val="18"/>
                <w:color w:val="auto"/>
              </w:rPr>
              <w:t>Net cash provided by operating activities</w:t>
            </w:r>
          </w:p>
        </w:tc>
        <w:tc>
          <w:tcPr>
            <w:tcW w:w="260" w:type="dxa"/>
            <w:vAlign w:val="bottom"/>
          </w:tcPr>
          <w:p>
            <w:pPr>
              <w:spacing w:after="0"/>
              <w:rPr>
                <w:sz w:val="22"/>
                <w:szCs w:val="22"/>
                <w:color w:val="auto"/>
              </w:rPr>
            </w:pPr>
          </w:p>
        </w:tc>
        <w:tc>
          <w:tcPr>
            <w:tcW w:w="660" w:type="dxa"/>
            <w:vAlign w:val="bottom"/>
          </w:tcPr>
          <w:p>
            <w:pPr>
              <w:jc w:val="right"/>
              <w:ind w:right="92"/>
              <w:spacing w:after="0"/>
              <w:rPr>
                <w:sz w:val="20"/>
                <w:szCs w:val="20"/>
                <w:color w:val="auto"/>
              </w:rPr>
            </w:pPr>
            <w:r>
              <w:rPr>
                <w:rFonts w:ascii="Arial" w:cs="Arial" w:eastAsia="Arial" w:hAnsi="Arial"/>
                <w:sz w:val="18"/>
                <w:szCs w:val="18"/>
                <w:color w:val="auto"/>
              </w:rPr>
              <w:t>338</w:t>
            </w:r>
          </w:p>
        </w:tc>
        <w:tc>
          <w:tcPr>
            <w:tcW w:w="1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40" w:type="dxa"/>
            <w:vAlign w:val="bottom"/>
          </w:tcPr>
          <w:p>
            <w:pPr>
              <w:jc w:val="right"/>
              <w:ind w:right="72"/>
              <w:spacing w:after="0"/>
              <w:rPr>
                <w:sz w:val="20"/>
                <w:szCs w:val="20"/>
                <w:color w:val="auto"/>
              </w:rPr>
            </w:pPr>
            <w:r>
              <w:rPr>
                <w:rFonts w:ascii="Arial" w:cs="Arial" w:eastAsia="Arial" w:hAnsi="Arial"/>
                <w:sz w:val="18"/>
                <w:szCs w:val="18"/>
                <w:color w:val="auto"/>
              </w:rPr>
              <w:t>435</w:t>
            </w:r>
          </w:p>
        </w:tc>
        <w:tc>
          <w:tcPr>
            <w:tcW w:w="1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660" w:type="dxa"/>
            <w:vAlign w:val="bottom"/>
          </w:tcPr>
          <w:p>
            <w:pPr>
              <w:jc w:val="right"/>
              <w:ind w:right="32"/>
              <w:spacing w:after="0"/>
              <w:rPr>
                <w:sz w:val="20"/>
                <w:szCs w:val="20"/>
                <w:color w:val="auto"/>
              </w:rPr>
            </w:pPr>
            <w:r>
              <w:rPr>
                <w:rFonts w:ascii="Arial" w:cs="Arial" w:eastAsia="Arial" w:hAnsi="Arial"/>
                <w:sz w:val="18"/>
                <w:szCs w:val="18"/>
                <w:color w:val="auto"/>
              </w:rPr>
              <w:t>567</w:t>
            </w:r>
          </w:p>
        </w:tc>
        <w:tc>
          <w:tcPr>
            <w:tcW w:w="0" w:type="dxa"/>
            <w:vAlign w:val="bottom"/>
          </w:tcPr>
          <w:p>
            <w:pPr>
              <w:spacing w:after="0"/>
              <w:rPr>
                <w:sz w:val="1"/>
                <w:szCs w:val="1"/>
                <w:color w:val="auto"/>
              </w:rPr>
            </w:pPr>
          </w:p>
        </w:tc>
      </w:tr>
      <w:tr>
        <w:trPr>
          <w:trHeight w:val="259"/>
        </w:trPr>
        <w:tc>
          <w:tcPr>
            <w:tcW w:w="4680" w:type="dxa"/>
            <w:vAlign w:val="bottom"/>
            <w:vMerge w:val="restart"/>
          </w:tcPr>
          <w:p>
            <w:pPr>
              <w:spacing w:after="0"/>
              <w:rPr>
                <w:sz w:val="20"/>
                <w:szCs w:val="20"/>
                <w:color w:val="auto"/>
              </w:rPr>
            </w:pPr>
            <w:r>
              <w:rPr>
                <w:rFonts w:ascii="Arial" w:cs="Arial" w:eastAsia="Arial" w:hAnsi="Arial"/>
                <w:sz w:val="18"/>
                <w:szCs w:val="18"/>
                <w:color w:val="auto"/>
              </w:rPr>
              <w:t>CASH FLOWS FROM INVESTING ACTIVITIES</w:t>
            </w:r>
          </w:p>
        </w:tc>
        <w:tc>
          <w:tcPr>
            <w:tcW w:w="260" w:type="dxa"/>
            <w:vAlign w:val="bottom"/>
            <w:shd w:val="clear" w:color="auto" w:fill="000000"/>
          </w:tcPr>
          <w:p>
            <w:pPr>
              <w:spacing w:after="0"/>
              <w:rPr>
                <w:sz w:val="22"/>
                <w:szCs w:val="22"/>
                <w:color w:val="auto"/>
              </w:rPr>
            </w:pPr>
          </w:p>
        </w:tc>
        <w:tc>
          <w:tcPr>
            <w:tcW w:w="660" w:type="dxa"/>
            <w:vAlign w:val="bottom"/>
            <w:shd w:val="clear" w:color="auto" w:fill="000000"/>
          </w:tcPr>
          <w:p>
            <w:pPr>
              <w:spacing w:after="0"/>
              <w:rPr>
                <w:sz w:val="22"/>
                <w:szCs w:val="22"/>
                <w:color w:val="auto"/>
              </w:rPr>
            </w:pPr>
          </w:p>
        </w:tc>
        <w:tc>
          <w:tcPr>
            <w:tcW w:w="140" w:type="dxa"/>
            <w:vAlign w:val="bottom"/>
          </w:tcPr>
          <w:p>
            <w:pPr>
              <w:spacing w:after="0"/>
              <w:rPr>
                <w:sz w:val="22"/>
                <w:szCs w:val="22"/>
                <w:color w:val="auto"/>
              </w:rPr>
            </w:pPr>
          </w:p>
        </w:tc>
        <w:tc>
          <w:tcPr>
            <w:tcW w:w="260" w:type="dxa"/>
            <w:vAlign w:val="bottom"/>
            <w:shd w:val="clear" w:color="auto" w:fill="000000"/>
          </w:tcPr>
          <w:p>
            <w:pPr>
              <w:spacing w:after="0"/>
              <w:rPr>
                <w:sz w:val="22"/>
                <w:szCs w:val="22"/>
                <w:color w:val="auto"/>
              </w:rPr>
            </w:pPr>
          </w:p>
        </w:tc>
        <w:tc>
          <w:tcPr>
            <w:tcW w:w="640" w:type="dxa"/>
            <w:vAlign w:val="bottom"/>
            <w:shd w:val="clear" w:color="auto" w:fill="000000"/>
          </w:tcPr>
          <w:p>
            <w:pPr>
              <w:spacing w:after="0"/>
              <w:rPr>
                <w:sz w:val="22"/>
                <w:szCs w:val="22"/>
                <w:color w:val="auto"/>
              </w:rPr>
            </w:pPr>
          </w:p>
        </w:tc>
        <w:tc>
          <w:tcPr>
            <w:tcW w:w="160" w:type="dxa"/>
            <w:vAlign w:val="bottom"/>
          </w:tcPr>
          <w:p>
            <w:pPr>
              <w:spacing w:after="0"/>
              <w:rPr>
                <w:sz w:val="22"/>
                <w:szCs w:val="22"/>
                <w:color w:val="auto"/>
              </w:rPr>
            </w:pPr>
          </w:p>
        </w:tc>
        <w:tc>
          <w:tcPr>
            <w:tcW w:w="320" w:type="dxa"/>
            <w:vAlign w:val="bottom"/>
            <w:shd w:val="clear" w:color="auto" w:fill="000000"/>
          </w:tcPr>
          <w:p>
            <w:pPr>
              <w:spacing w:after="0"/>
              <w:rPr>
                <w:sz w:val="22"/>
                <w:szCs w:val="22"/>
                <w:color w:val="auto"/>
              </w:rPr>
            </w:pPr>
          </w:p>
        </w:tc>
        <w:tc>
          <w:tcPr>
            <w:tcW w:w="660" w:type="dxa"/>
            <w:vAlign w:val="bottom"/>
            <w:shd w:val="clear" w:color="auto" w:fill="000000"/>
          </w:tcPr>
          <w:p>
            <w:pPr>
              <w:spacing w:after="0"/>
              <w:rPr>
                <w:sz w:val="22"/>
                <w:szCs w:val="22"/>
                <w:color w:val="auto"/>
              </w:rPr>
            </w:pPr>
          </w:p>
        </w:tc>
        <w:tc>
          <w:tcPr>
            <w:tcW w:w="0" w:type="dxa"/>
            <w:vAlign w:val="bottom"/>
          </w:tcPr>
          <w:p>
            <w:pPr>
              <w:spacing w:after="0"/>
              <w:rPr>
                <w:sz w:val="1"/>
                <w:szCs w:val="1"/>
                <w:color w:val="auto"/>
              </w:rPr>
            </w:pPr>
          </w:p>
        </w:tc>
      </w:tr>
      <w:tr>
        <w:trPr>
          <w:trHeight w:val="498"/>
        </w:trPr>
        <w:tc>
          <w:tcPr>
            <w:tcW w:w="468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4680" w:type="dxa"/>
            <w:vAlign w:val="bottom"/>
          </w:tcPr>
          <w:p>
            <w:pPr>
              <w:ind w:left="240"/>
              <w:spacing w:after="0"/>
              <w:rPr>
                <w:sz w:val="20"/>
                <w:szCs w:val="20"/>
                <w:color w:val="auto"/>
              </w:rPr>
            </w:pPr>
            <w:r>
              <w:rPr>
                <w:rFonts w:ascii="Arial" w:cs="Arial" w:eastAsia="Arial" w:hAnsi="Arial"/>
                <w:sz w:val="18"/>
                <w:szCs w:val="18"/>
                <w:color w:val="auto"/>
              </w:rPr>
              <w:t>Expenditures for property, plant and equipment</w:t>
            </w:r>
          </w:p>
        </w:tc>
        <w:tc>
          <w:tcPr>
            <w:tcW w:w="26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(464 )</w:t>
            </w:r>
          </w:p>
        </w:tc>
        <w:tc>
          <w:tcPr>
            <w:tcW w:w="1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(414 )</w:t>
            </w:r>
          </w:p>
        </w:tc>
        <w:tc>
          <w:tcPr>
            <w:tcW w:w="1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(444 )</w:t>
            </w:r>
          </w:p>
        </w:tc>
        <w:tc>
          <w:tcPr>
            <w:tcW w:w="0" w:type="dxa"/>
            <w:vAlign w:val="bottom"/>
          </w:tcPr>
          <w:p>
            <w:pPr>
              <w:spacing w:after="0"/>
              <w:rPr>
                <w:sz w:val="1"/>
                <w:szCs w:val="1"/>
                <w:color w:val="auto"/>
              </w:rPr>
            </w:pPr>
          </w:p>
        </w:tc>
      </w:tr>
      <w:tr>
        <w:trPr>
          <w:trHeight w:val="270"/>
        </w:trPr>
        <w:tc>
          <w:tcPr>
            <w:tcW w:w="4680" w:type="dxa"/>
            <w:vAlign w:val="bottom"/>
          </w:tcPr>
          <w:p>
            <w:pPr>
              <w:ind w:left="240"/>
              <w:spacing w:after="0"/>
              <w:rPr>
                <w:sz w:val="20"/>
                <w:szCs w:val="20"/>
                <w:color w:val="auto"/>
              </w:rPr>
            </w:pPr>
            <w:r>
              <w:rPr>
                <w:rFonts w:ascii="Arial" w:cs="Arial" w:eastAsia="Arial" w:hAnsi="Arial"/>
                <w:sz w:val="18"/>
                <w:szCs w:val="18"/>
                <w:color w:val="auto"/>
                <w:w w:val="99"/>
              </w:rPr>
              <w:t>Purchases of nuclear decommissioning and other trusts</w:t>
            </w:r>
          </w:p>
        </w:tc>
        <w:tc>
          <w:tcPr>
            <w:tcW w:w="26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(230 )</w:t>
            </w:r>
          </w:p>
        </w:tc>
        <w:tc>
          <w:tcPr>
            <w:tcW w:w="1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(244 )</w:t>
            </w:r>
          </w:p>
        </w:tc>
        <w:tc>
          <w:tcPr>
            <w:tcW w:w="1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(271 )</w:t>
            </w:r>
          </w:p>
        </w:tc>
        <w:tc>
          <w:tcPr>
            <w:tcW w:w="0" w:type="dxa"/>
            <w:vAlign w:val="bottom"/>
          </w:tcPr>
          <w:p>
            <w:pPr>
              <w:spacing w:after="0"/>
              <w:rPr>
                <w:sz w:val="1"/>
                <w:szCs w:val="1"/>
                <w:color w:val="auto"/>
              </w:rPr>
            </w:pPr>
          </w:p>
        </w:tc>
      </w:tr>
      <w:tr>
        <w:trPr>
          <w:trHeight w:val="237"/>
        </w:trPr>
        <w:tc>
          <w:tcPr>
            <w:tcW w:w="4680" w:type="dxa"/>
            <w:vAlign w:val="bottom"/>
          </w:tcPr>
          <w:p>
            <w:pPr>
              <w:ind w:left="240"/>
              <w:spacing w:after="0"/>
              <w:rPr>
                <w:sz w:val="20"/>
                <w:szCs w:val="20"/>
                <w:color w:val="auto"/>
              </w:rPr>
            </w:pPr>
            <w:r>
              <w:rPr>
                <w:rFonts w:ascii="Arial" w:cs="Arial" w:eastAsia="Arial" w:hAnsi="Arial"/>
                <w:sz w:val="18"/>
                <w:szCs w:val="18"/>
                <w:color w:val="auto"/>
              </w:rPr>
              <w:t>Proceeds from sales by nuclear decommissioning and</w:t>
            </w:r>
          </w:p>
        </w:tc>
        <w:tc>
          <w:tcPr>
            <w:tcW w:w="2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2"/>
        </w:trPr>
        <w:tc>
          <w:tcPr>
            <w:tcW w:w="4680" w:type="dxa"/>
            <w:vAlign w:val="bottom"/>
          </w:tcPr>
          <w:p>
            <w:pPr>
              <w:ind w:left="240"/>
              <w:spacing w:after="0"/>
              <w:rPr>
                <w:sz w:val="20"/>
                <w:szCs w:val="20"/>
                <w:color w:val="auto"/>
              </w:rPr>
            </w:pPr>
            <w:r>
              <w:rPr>
                <w:rFonts w:ascii="Arial" w:cs="Arial" w:eastAsia="Arial" w:hAnsi="Arial"/>
                <w:sz w:val="18"/>
                <w:szCs w:val="18"/>
                <w:color w:val="auto"/>
              </w:rPr>
              <w:t>other trusts</w:t>
            </w:r>
          </w:p>
        </w:tc>
        <w:tc>
          <w:tcPr>
            <w:tcW w:w="260" w:type="dxa"/>
            <w:vAlign w:val="bottom"/>
          </w:tcPr>
          <w:p>
            <w:pPr>
              <w:spacing w:after="0"/>
              <w:rPr>
                <w:sz w:val="19"/>
                <w:szCs w:val="19"/>
                <w:color w:val="auto"/>
              </w:rPr>
            </w:pPr>
          </w:p>
        </w:tc>
        <w:tc>
          <w:tcPr>
            <w:tcW w:w="660" w:type="dxa"/>
            <w:vAlign w:val="bottom"/>
          </w:tcPr>
          <w:p>
            <w:pPr>
              <w:jc w:val="right"/>
              <w:ind w:right="92"/>
              <w:spacing w:after="0"/>
              <w:rPr>
                <w:sz w:val="20"/>
                <w:szCs w:val="20"/>
                <w:color w:val="auto"/>
              </w:rPr>
            </w:pPr>
            <w:r>
              <w:rPr>
                <w:rFonts w:ascii="Arial" w:cs="Arial" w:eastAsia="Arial" w:hAnsi="Arial"/>
                <w:sz w:val="18"/>
                <w:szCs w:val="18"/>
                <w:color w:val="auto"/>
              </w:rPr>
              <w:t>234</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40" w:type="dxa"/>
            <w:vAlign w:val="bottom"/>
          </w:tcPr>
          <w:p>
            <w:pPr>
              <w:jc w:val="right"/>
              <w:ind w:right="72"/>
              <w:spacing w:after="0"/>
              <w:rPr>
                <w:sz w:val="20"/>
                <w:szCs w:val="20"/>
                <w:color w:val="auto"/>
              </w:rPr>
            </w:pPr>
            <w:r>
              <w:rPr>
                <w:rFonts w:ascii="Arial" w:cs="Arial" w:eastAsia="Arial" w:hAnsi="Arial"/>
                <w:sz w:val="18"/>
                <w:szCs w:val="18"/>
                <w:color w:val="auto"/>
              </w:rPr>
              <w:t>247</w:t>
            </w: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jc w:val="right"/>
              <w:ind w:right="32"/>
              <w:spacing w:after="0"/>
              <w:rPr>
                <w:sz w:val="20"/>
                <w:szCs w:val="20"/>
                <w:color w:val="auto"/>
              </w:rPr>
            </w:pPr>
            <w:r>
              <w:rPr>
                <w:rFonts w:ascii="Arial" w:cs="Arial" w:eastAsia="Arial" w:hAnsi="Arial"/>
                <w:sz w:val="18"/>
                <w:szCs w:val="18"/>
                <w:color w:val="auto"/>
              </w:rPr>
              <w:t>277</w:t>
            </w:r>
          </w:p>
        </w:tc>
        <w:tc>
          <w:tcPr>
            <w:tcW w:w="0" w:type="dxa"/>
            <w:vAlign w:val="bottom"/>
          </w:tcPr>
          <w:p>
            <w:pPr>
              <w:spacing w:after="0"/>
              <w:rPr>
                <w:sz w:val="1"/>
                <w:szCs w:val="1"/>
                <w:color w:val="auto"/>
              </w:rPr>
            </w:pPr>
          </w:p>
        </w:tc>
      </w:tr>
      <w:tr>
        <w:trPr>
          <w:trHeight w:val="270"/>
        </w:trPr>
        <w:tc>
          <w:tcPr>
            <w:tcW w:w="4680" w:type="dxa"/>
            <w:vAlign w:val="bottom"/>
          </w:tcPr>
          <w:p>
            <w:pPr>
              <w:ind w:left="240"/>
              <w:spacing w:after="0"/>
              <w:rPr>
                <w:sz w:val="20"/>
                <w:szCs w:val="20"/>
                <w:color w:val="auto"/>
              </w:rPr>
            </w:pPr>
            <w:r>
              <w:rPr>
                <w:rFonts w:ascii="Arial" w:cs="Arial" w:eastAsia="Arial" w:hAnsi="Arial"/>
                <w:sz w:val="18"/>
                <w:szCs w:val="18"/>
                <w:color w:val="auto"/>
              </w:rPr>
              <w:t>Net proceeds from sale of assets</w:t>
            </w:r>
          </w:p>
        </w:tc>
        <w:tc>
          <w:tcPr>
            <w:tcW w:w="260" w:type="dxa"/>
            <w:vAlign w:val="bottom"/>
          </w:tcPr>
          <w:p>
            <w:pPr>
              <w:spacing w:after="0"/>
              <w:rPr>
                <w:sz w:val="23"/>
                <w:szCs w:val="23"/>
                <w:color w:val="auto"/>
              </w:rPr>
            </w:pPr>
          </w:p>
        </w:tc>
        <w:tc>
          <w:tcPr>
            <w:tcW w:w="660" w:type="dxa"/>
            <w:vAlign w:val="bottom"/>
          </w:tcPr>
          <w:p>
            <w:pPr>
              <w:jc w:val="right"/>
              <w:ind w:right="92"/>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4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60" w:type="dxa"/>
            <w:vAlign w:val="bottom"/>
          </w:tcPr>
          <w:p>
            <w:pPr>
              <w:jc w:val="right"/>
              <w:ind w:right="32"/>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78"/>
        </w:trPr>
        <w:tc>
          <w:tcPr>
            <w:tcW w:w="4680" w:type="dxa"/>
            <w:vAlign w:val="bottom"/>
          </w:tcPr>
          <w:p>
            <w:pPr>
              <w:ind w:left="240"/>
              <w:spacing w:after="0"/>
              <w:rPr>
                <w:sz w:val="20"/>
                <w:szCs w:val="20"/>
                <w:color w:val="auto"/>
              </w:rPr>
            </w:pPr>
            <w:r>
              <w:rPr>
                <w:rFonts w:ascii="Arial" w:cs="Arial" w:eastAsia="Arial" w:hAnsi="Arial"/>
                <w:sz w:val="18"/>
                <w:szCs w:val="18"/>
                <w:color w:val="auto"/>
              </w:rPr>
              <w:t>Decrease in loans to affiliate, net</w:t>
            </w:r>
          </w:p>
        </w:tc>
        <w:tc>
          <w:tcPr>
            <w:tcW w:w="260" w:type="dxa"/>
            <w:vAlign w:val="bottom"/>
          </w:tcPr>
          <w:p>
            <w:pPr>
              <w:spacing w:after="0"/>
              <w:rPr>
                <w:sz w:val="24"/>
                <w:szCs w:val="24"/>
                <w:color w:val="auto"/>
              </w:rPr>
            </w:pPr>
          </w:p>
        </w:tc>
        <w:tc>
          <w:tcPr>
            <w:tcW w:w="660" w:type="dxa"/>
            <w:vAlign w:val="bottom"/>
          </w:tcPr>
          <w:p>
            <w:pPr>
              <w:jc w:val="right"/>
              <w:ind w:right="92"/>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Pr>
          <w:p>
            <w:pPr>
              <w:jc w:val="right"/>
              <w:ind w:right="72"/>
              <w:spacing w:after="0"/>
              <w:rPr>
                <w:sz w:val="20"/>
                <w:szCs w:val="20"/>
                <w:color w:val="auto"/>
              </w:rPr>
            </w:pPr>
            <w:r>
              <w:rPr>
                <w:rFonts w:ascii="Arial" w:cs="Arial" w:eastAsia="Arial" w:hAnsi="Arial"/>
                <w:sz w:val="18"/>
                <w:szCs w:val="18"/>
                <w:color w:val="auto"/>
              </w:rPr>
              <w:t>122</w:t>
            </w: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jc w:val="right"/>
              <w:ind w:right="32"/>
              <w:spacing w:after="0"/>
              <w:rPr>
                <w:sz w:val="20"/>
                <w:szCs w:val="20"/>
                <w:color w:val="auto"/>
              </w:rPr>
            </w:pPr>
            <w:r>
              <w:rPr>
                <w:rFonts w:ascii="Arial" w:cs="Arial" w:eastAsia="Arial" w:hAnsi="Arial"/>
                <w:sz w:val="18"/>
                <w:szCs w:val="18"/>
                <w:color w:val="auto"/>
              </w:rPr>
              <w:t>129</w:t>
            </w:r>
          </w:p>
        </w:tc>
        <w:tc>
          <w:tcPr>
            <w:tcW w:w="0" w:type="dxa"/>
            <w:vAlign w:val="bottom"/>
          </w:tcPr>
          <w:p>
            <w:pPr>
              <w:spacing w:after="0"/>
              <w:rPr>
                <w:sz w:val="1"/>
                <w:szCs w:val="1"/>
                <w:color w:val="auto"/>
              </w:rPr>
            </w:pPr>
          </w:p>
        </w:tc>
      </w:tr>
      <w:tr>
        <w:trPr>
          <w:trHeight w:val="251"/>
        </w:trPr>
        <w:tc>
          <w:tcPr>
            <w:tcW w:w="4680" w:type="dxa"/>
            <w:vAlign w:val="bottom"/>
          </w:tcPr>
          <w:p>
            <w:pPr>
              <w:spacing w:after="0"/>
              <w:rPr>
                <w:sz w:val="21"/>
                <w:szCs w:val="21"/>
                <w:color w:val="auto"/>
              </w:rPr>
            </w:pPr>
          </w:p>
        </w:tc>
        <w:tc>
          <w:tcPr>
            <w:tcW w:w="260" w:type="dxa"/>
            <w:vAlign w:val="bottom"/>
            <w:shd w:val="clear" w:color="auto" w:fill="000000"/>
          </w:tcPr>
          <w:p>
            <w:pPr>
              <w:spacing w:after="0"/>
              <w:rPr>
                <w:sz w:val="21"/>
                <w:szCs w:val="21"/>
                <w:color w:val="auto"/>
              </w:rPr>
            </w:pPr>
          </w:p>
        </w:tc>
        <w:tc>
          <w:tcPr>
            <w:tcW w:w="660" w:type="dxa"/>
            <w:vAlign w:val="bottom"/>
            <w:shd w:val="clear" w:color="auto" w:fill="000000"/>
          </w:tcPr>
          <w:p>
            <w:pPr>
              <w:spacing w:after="0"/>
              <w:rPr>
                <w:sz w:val="21"/>
                <w:szCs w:val="21"/>
                <w:color w:val="auto"/>
              </w:rPr>
            </w:pPr>
          </w:p>
        </w:tc>
        <w:tc>
          <w:tcPr>
            <w:tcW w:w="140" w:type="dxa"/>
            <w:vAlign w:val="bottom"/>
          </w:tcPr>
          <w:p>
            <w:pPr>
              <w:spacing w:after="0"/>
              <w:rPr>
                <w:sz w:val="21"/>
                <w:szCs w:val="21"/>
                <w:color w:val="auto"/>
              </w:rPr>
            </w:pPr>
          </w:p>
        </w:tc>
        <w:tc>
          <w:tcPr>
            <w:tcW w:w="260" w:type="dxa"/>
            <w:vAlign w:val="bottom"/>
            <w:shd w:val="clear" w:color="auto" w:fill="000000"/>
          </w:tcPr>
          <w:p>
            <w:pPr>
              <w:spacing w:after="0"/>
              <w:rPr>
                <w:sz w:val="21"/>
                <w:szCs w:val="21"/>
                <w:color w:val="auto"/>
              </w:rPr>
            </w:pPr>
          </w:p>
        </w:tc>
        <w:tc>
          <w:tcPr>
            <w:tcW w:w="640" w:type="dxa"/>
            <w:vAlign w:val="bottom"/>
            <w:shd w:val="clear" w:color="auto" w:fill="000000"/>
          </w:tcPr>
          <w:p>
            <w:pPr>
              <w:spacing w:after="0"/>
              <w:rPr>
                <w:sz w:val="21"/>
                <w:szCs w:val="21"/>
                <w:color w:val="auto"/>
              </w:rPr>
            </w:pPr>
          </w:p>
        </w:tc>
        <w:tc>
          <w:tcPr>
            <w:tcW w:w="160" w:type="dxa"/>
            <w:vAlign w:val="bottom"/>
          </w:tcPr>
          <w:p>
            <w:pPr>
              <w:spacing w:after="0"/>
              <w:rPr>
                <w:sz w:val="21"/>
                <w:szCs w:val="21"/>
                <w:color w:val="auto"/>
              </w:rPr>
            </w:pPr>
          </w:p>
        </w:tc>
        <w:tc>
          <w:tcPr>
            <w:tcW w:w="320" w:type="dxa"/>
            <w:vAlign w:val="bottom"/>
            <w:shd w:val="clear" w:color="auto" w:fill="000000"/>
          </w:tcPr>
          <w:p>
            <w:pPr>
              <w:spacing w:after="0"/>
              <w:rPr>
                <w:sz w:val="21"/>
                <w:szCs w:val="21"/>
                <w:color w:val="auto"/>
              </w:rPr>
            </w:pPr>
          </w:p>
        </w:tc>
        <w:tc>
          <w:tcPr>
            <w:tcW w:w="660" w:type="dxa"/>
            <w:vAlign w:val="bottom"/>
            <w:shd w:val="clear" w:color="auto" w:fill="000000"/>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4680" w:type="dxa"/>
            <w:vAlign w:val="bottom"/>
          </w:tcPr>
          <w:p>
            <w:pPr>
              <w:ind w:left="480"/>
              <w:spacing w:after="0"/>
              <w:rPr>
                <w:sz w:val="20"/>
                <w:szCs w:val="20"/>
                <w:color w:val="auto"/>
              </w:rPr>
            </w:pPr>
            <w:r>
              <w:rPr>
                <w:rFonts w:ascii="Arial" w:cs="Arial" w:eastAsia="Arial" w:hAnsi="Arial"/>
                <w:sz w:val="18"/>
                <w:szCs w:val="18"/>
                <w:color w:val="auto"/>
              </w:rPr>
              <w:t>Net cash used in investing activities</w:t>
            </w:r>
          </w:p>
        </w:tc>
        <w:tc>
          <w:tcPr>
            <w:tcW w:w="26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(458 )</w:t>
            </w:r>
          </w:p>
        </w:tc>
        <w:tc>
          <w:tcPr>
            <w:tcW w:w="1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(289 )</w:t>
            </w:r>
          </w:p>
        </w:tc>
        <w:tc>
          <w:tcPr>
            <w:tcW w:w="1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(305 )</w:t>
            </w:r>
          </w:p>
        </w:tc>
        <w:tc>
          <w:tcPr>
            <w:tcW w:w="0" w:type="dxa"/>
            <w:vAlign w:val="bottom"/>
          </w:tcPr>
          <w:p>
            <w:pPr>
              <w:spacing w:after="0"/>
              <w:rPr>
                <w:sz w:val="1"/>
                <w:szCs w:val="1"/>
                <w:color w:val="auto"/>
              </w:rPr>
            </w:pPr>
          </w:p>
        </w:tc>
      </w:tr>
      <w:tr>
        <w:trPr>
          <w:trHeight w:val="259"/>
        </w:trPr>
        <w:tc>
          <w:tcPr>
            <w:tcW w:w="4680" w:type="dxa"/>
            <w:vAlign w:val="bottom"/>
            <w:vMerge w:val="restart"/>
          </w:tcPr>
          <w:p>
            <w:pPr>
              <w:spacing w:after="0"/>
              <w:rPr>
                <w:sz w:val="20"/>
                <w:szCs w:val="20"/>
                <w:color w:val="auto"/>
              </w:rPr>
            </w:pPr>
            <w:r>
              <w:rPr>
                <w:rFonts w:ascii="Arial" w:cs="Arial" w:eastAsia="Arial" w:hAnsi="Arial"/>
                <w:sz w:val="18"/>
                <w:szCs w:val="18"/>
                <w:color w:val="auto"/>
              </w:rPr>
              <w:t>CASH FLOWS FROM FINANCING ACTIVITIES</w:t>
            </w:r>
          </w:p>
        </w:tc>
        <w:tc>
          <w:tcPr>
            <w:tcW w:w="260" w:type="dxa"/>
            <w:vAlign w:val="bottom"/>
            <w:shd w:val="clear" w:color="auto" w:fill="000000"/>
          </w:tcPr>
          <w:p>
            <w:pPr>
              <w:spacing w:after="0"/>
              <w:rPr>
                <w:sz w:val="22"/>
                <w:szCs w:val="22"/>
                <w:color w:val="auto"/>
              </w:rPr>
            </w:pPr>
          </w:p>
        </w:tc>
        <w:tc>
          <w:tcPr>
            <w:tcW w:w="660" w:type="dxa"/>
            <w:vAlign w:val="bottom"/>
            <w:shd w:val="clear" w:color="auto" w:fill="000000"/>
          </w:tcPr>
          <w:p>
            <w:pPr>
              <w:spacing w:after="0"/>
              <w:rPr>
                <w:sz w:val="22"/>
                <w:szCs w:val="22"/>
                <w:color w:val="auto"/>
              </w:rPr>
            </w:pPr>
          </w:p>
        </w:tc>
        <w:tc>
          <w:tcPr>
            <w:tcW w:w="140" w:type="dxa"/>
            <w:vAlign w:val="bottom"/>
          </w:tcPr>
          <w:p>
            <w:pPr>
              <w:spacing w:after="0"/>
              <w:rPr>
                <w:sz w:val="22"/>
                <w:szCs w:val="22"/>
                <w:color w:val="auto"/>
              </w:rPr>
            </w:pPr>
          </w:p>
        </w:tc>
        <w:tc>
          <w:tcPr>
            <w:tcW w:w="260" w:type="dxa"/>
            <w:vAlign w:val="bottom"/>
            <w:shd w:val="clear" w:color="auto" w:fill="000000"/>
          </w:tcPr>
          <w:p>
            <w:pPr>
              <w:spacing w:after="0"/>
              <w:rPr>
                <w:sz w:val="22"/>
                <w:szCs w:val="22"/>
                <w:color w:val="auto"/>
              </w:rPr>
            </w:pPr>
          </w:p>
        </w:tc>
        <w:tc>
          <w:tcPr>
            <w:tcW w:w="640" w:type="dxa"/>
            <w:vAlign w:val="bottom"/>
            <w:shd w:val="clear" w:color="auto" w:fill="000000"/>
          </w:tcPr>
          <w:p>
            <w:pPr>
              <w:spacing w:after="0"/>
              <w:rPr>
                <w:sz w:val="22"/>
                <w:szCs w:val="22"/>
                <w:color w:val="auto"/>
              </w:rPr>
            </w:pPr>
          </w:p>
        </w:tc>
        <w:tc>
          <w:tcPr>
            <w:tcW w:w="160" w:type="dxa"/>
            <w:vAlign w:val="bottom"/>
          </w:tcPr>
          <w:p>
            <w:pPr>
              <w:spacing w:after="0"/>
              <w:rPr>
                <w:sz w:val="22"/>
                <w:szCs w:val="22"/>
                <w:color w:val="auto"/>
              </w:rPr>
            </w:pPr>
          </w:p>
        </w:tc>
        <w:tc>
          <w:tcPr>
            <w:tcW w:w="320" w:type="dxa"/>
            <w:vAlign w:val="bottom"/>
            <w:shd w:val="clear" w:color="auto" w:fill="000000"/>
          </w:tcPr>
          <w:p>
            <w:pPr>
              <w:spacing w:after="0"/>
              <w:rPr>
                <w:sz w:val="22"/>
                <w:szCs w:val="22"/>
                <w:color w:val="auto"/>
              </w:rPr>
            </w:pPr>
          </w:p>
        </w:tc>
        <w:tc>
          <w:tcPr>
            <w:tcW w:w="660" w:type="dxa"/>
            <w:vAlign w:val="bottom"/>
            <w:shd w:val="clear" w:color="auto" w:fill="000000"/>
          </w:tcPr>
          <w:p>
            <w:pPr>
              <w:spacing w:after="0"/>
              <w:rPr>
                <w:sz w:val="22"/>
                <w:szCs w:val="22"/>
                <w:color w:val="auto"/>
              </w:rPr>
            </w:pPr>
          </w:p>
        </w:tc>
        <w:tc>
          <w:tcPr>
            <w:tcW w:w="0" w:type="dxa"/>
            <w:vAlign w:val="bottom"/>
          </w:tcPr>
          <w:p>
            <w:pPr>
              <w:spacing w:after="0"/>
              <w:rPr>
                <w:sz w:val="1"/>
                <w:szCs w:val="1"/>
                <w:color w:val="auto"/>
              </w:rPr>
            </w:pPr>
          </w:p>
        </w:tc>
      </w:tr>
      <w:tr>
        <w:trPr>
          <w:trHeight w:val="498"/>
        </w:trPr>
        <w:tc>
          <w:tcPr>
            <w:tcW w:w="468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4680" w:type="dxa"/>
            <w:vAlign w:val="bottom"/>
          </w:tcPr>
          <w:p>
            <w:pPr>
              <w:ind w:left="240"/>
              <w:spacing w:after="0"/>
              <w:rPr>
                <w:sz w:val="20"/>
                <w:szCs w:val="20"/>
                <w:color w:val="auto"/>
              </w:rPr>
            </w:pPr>
            <w:r>
              <w:rPr>
                <w:rFonts w:ascii="Arial" w:cs="Arial" w:eastAsia="Arial" w:hAnsi="Arial"/>
                <w:sz w:val="18"/>
                <w:szCs w:val="18"/>
                <w:color w:val="auto"/>
              </w:rPr>
              <w:t>Common dividends paid</w:t>
            </w:r>
          </w:p>
        </w:tc>
        <w:tc>
          <w:tcPr>
            <w:tcW w:w="26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(75 )</w:t>
            </w:r>
          </w:p>
        </w:tc>
        <w:tc>
          <w:tcPr>
            <w:tcW w:w="1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(205 )</w:t>
            </w:r>
          </w:p>
        </w:tc>
        <w:tc>
          <w:tcPr>
            <w:tcW w:w="1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(200 )</w:t>
            </w:r>
          </w:p>
        </w:tc>
        <w:tc>
          <w:tcPr>
            <w:tcW w:w="0" w:type="dxa"/>
            <w:vAlign w:val="bottom"/>
          </w:tcPr>
          <w:p>
            <w:pPr>
              <w:spacing w:after="0"/>
              <w:rPr>
                <w:sz w:val="1"/>
                <w:szCs w:val="1"/>
                <w:color w:val="auto"/>
              </w:rPr>
            </w:pPr>
          </w:p>
        </w:tc>
      </w:tr>
      <w:tr>
        <w:trPr>
          <w:trHeight w:val="270"/>
        </w:trPr>
        <w:tc>
          <w:tcPr>
            <w:tcW w:w="4680" w:type="dxa"/>
            <w:vAlign w:val="bottom"/>
          </w:tcPr>
          <w:p>
            <w:pPr>
              <w:ind w:left="240"/>
              <w:spacing w:after="0"/>
              <w:rPr>
                <w:sz w:val="20"/>
                <w:szCs w:val="20"/>
                <w:color w:val="auto"/>
              </w:rPr>
            </w:pPr>
            <w:r>
              <w:rPr>
                <w:rFonts w:ascii="Arial" w:cs="Arial" w:eastAsia="Arial" w:hAnsi="Arial"/>
                <w:sz w:val="18"/>
                <w:szCs w:val="18"/>
                <w:color w:val="auto"/>
              </w:rPr>
              <w:t>Preferred dividends paid</w:t>
            </w:r>
          </w:p>
        </w:tc>
        <w:tc>
          <w:tcPr>
            <w:tcW w:w="26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(5 )</w:t>
            </w:r>
          </w:p>
        </w:tc>
        <w:tc>
          <w:tcPr>
            <w:tcW w:w="1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(5 )</w:t>
            </w:r>
          </w:p>
        </w:tc>
        <w:tc>
          <w:tcPr>
            <w:tcW w:w="1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(6 )</w:t>
            </w:r>
          </w:p>
        </w:tc>
        <w:tc>
          <w:tcPr>
            <w:tcW w:w="0" w:type="dxa"/>
            <w:vAlign w:val="bottom"/>
          </w:tcPr>
          <w:p>
            <w:pPr>
              <w:spacing w:after="0"/>
              <w:rPr>
                <w:sz w:val="1"/>
                <w:szCs w:val="1"/>
                <w:color w:val="auto"/>
              </w:rPr>
            </w:pPr>
          </w:p>
        </w:tc>
      </w:tr>
      <w:tr>
        <w:trPr>
          <w:trHeight w:val="270"/>
        </w:trPr>
        <w:tc>
          <w:tcPr>
            <w:tcW w:w="4680" w:type="dxa"/>
            <w:vAlign w:val="bottom"/>
          </w:tcPr>
          <w:p>
            <w:pPr>
              <w:ind w:left="240"/>
              <w:spacing w:after="0"/>
              <w:rPr>
                <w:sz w:val="20"/>
                <w:szCs w:val="20"/>
                <w:color w:val="auto"/>
              </w:rPr>
            </w:pPr>
            <w:r>
              <w:rPr>
                <w:rFonts w:ascii="Arial" w:cs="Arial" w:eastAsia="Arial" w:hAnsi="Arial"/>
                <w:sz w:val="18"/>
                <w:szCs w:val="18"/>
                <w:color w:val="auto"/>
              </w:rPr>
              <w:t>Payments on long-term debt</w:t>
            </w:r>
          </w:p>
        </w:tc>
        <w:tc>
          <w:tcPr>
            <w:tcW w:w="26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(66 )</w:t>
            </w:r>
          </w:p>
        </w:tc>
        <w:tc>
          <w:tcPr>
            <w:tcW w:w="1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(317 )</w:t>
            </w:r>
          </w:p>
        </w:tc>
        <w:tc>
          <w:tcPr>
            <w:tcW w:w="1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(66 )</w:t>
            </w:r>
          </w:p>
        </w:tc>
        <w:tc>
          <w:tcPr>
            <w:tcW w:w="0" w:type="dxa"/>
            <w:vAlign w:val="bottom"/>
          </w:tcPr>
          <w:p>
            <w:pPr>
              <w:spacing w:after="0"/>
              <w:rPr>
                <w:sz w:val="1"/>
                <w:szCs w:val="1"/>
                <w:color w:val="auto"/>
              </w:rPr>
            </w:pPr>
          </w:p>
        </w:tc>
      </w:tr>
      <w:tr>
        <w:trPr>
          <w:trHeight w:val="270"/>
        </w:trPr>
        <w:tc>
          <w:tcPr>
            <w:tcW w:w="4680" w:type="dxa"/>
            <w:vAlign w:val="bottom"/>
          </w:tcPr>
          <w:p>
            <w:pPr>
              <w:ind w:left="240"/>
              <w:spacing w:after="0"/>
              <w:rPr>
                <w:sz w:val="20"/>
                <w:szCs w:val="20"/>
                <w:color w:val="auto"/>
              </w:rPr>
            </w:pPr>
            <w:r>
              <w:rPr>
                <w:rFonts w:ascii="Arial" w:cs="Arial" w:eastAsia="Arial" w:hAnsi="Arial"/>
                <w:sz w:val="18"/>
                <w:szCs w:val="18"/>
                <w:color w:val="auto"/>
              </w:rPr>
              <w:t>Issuances of long-term debt</w:t>
            </w:r>
          </w:p>
        </w:tc>
        <w:tc>
          <w:tcPr>
            <w:tcW w:w="260" w:type="dxa"/>
            <w:vAlign w:val="bottom"/>
          </w:tcPr>
          <w:p>
            <w:pPr>
              <w:spacing w:after="0"/>
              <w:rPr>
                <w:sz w:val="23"/>
                <w:szCs w:val="23"/>
                <w:color w:val="auto"/>
              </w:rPr>
            </w:pPr>
          </w:p>
        </w:tc>
        <w:tc>
          <w:tcPr>
            <w:tcW w:w="660" w:type="dxa"/>
            <w:vAlign w:val="bottom"/>
          </w:tcPr>
          <w:p>
            <w:pPr>
              <w:jc w:val="right"/>
              <w:ind w:right="92"/>
              <w:spacing w:after="0"/>
              <w:rPr>
                <w:sz w:val="20"/>
                <w:szCs w:val="20"/>
                <w:color w:val="auto"/>
              </w:rPr>
            </w:pPr>
            <w:r>
              <w:rPr>
                <w:rFonts w:ascii="Arial" w:cs="Arial" w:eastAsia="Arial" w:hAnsi="Arial"/>
                <w:sz w:val="18"/>
                <w:szCs w:val="18"/>
                <w:color w:val="auto"/>
              </w:rPr>
              <w:t>500</w:t>
            </w:r>
          </w:p>
        </w:tc>
        <w:tc>
          <w:tcPr>
            <w:tcW w:w="1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40" w:type="dxa"/>
            <w:vAlign w:val="bottom"/>
          </w:tcPr>
          <w:p>
            <w:pPr>
              <w:jc w:val="right"/>
              <w:ind w:right="72"/>
              <w:spacing w:after="0"/>
              <w:rPr>
                <w:sz w:val="20"/>
                <w:szCs w:val="20"/>
                <w:color w:val="auto"/>
              </w:rPr>
            </w:pPr>
            <w:r>
              <w:rPr>
                <w:rFonts w:ascii="Arial" w:cs="Arial" w:eastAsia="Arial" w:hAnsi="Arial"/>
                <w:sz w:val="18"/>
                <w:szCs w:val="18"/>
                <w:color w:val="auto"/>
              </w:rPr>
              <w:t>251</w:t>
            </w:r>
          </w:p>
        </w:tc>
        <w:tc>
          <w:tcPr>
            <w:tcW w:w="1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6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4680" w:type="dxa"/>
            <w:vAlign w:val="bottom"/>
          </w:tcPr>
          <w:p>
            <w:pPr>
              <w:ind w:left="240"/>
              <w:spacing w:after="0"/>
              <w:rPr>
                <w:sz w:val="20"/>
                <w:szCs w:val="20"/>
                <w:color w:val="auto"/>
              </w:rPr>
            </w:pPr>
            <w:r>
              <w:rPr>
                <w:rFonts w:ascii="Arial" w:cs="Arial" w:eastAsia="Arial" w:hAnsi="Arial"/>
                <w:sz w:val="18"/>
                <w:szCs w:val="18"/>
                <w:color w:val="auto"/>
              </w:rPr>
              <w:t>Redemption of preferred stock</w:t>
            </w:r>
          </w:p>
        </w:tc>
        <w:tc>
          <w:tcPr>
            <w:tcW w:w="26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(3 )</w:t>
            </w:r>
          </w:p>
        </w:tc>
        <w:tc>
          <w:tcPr>
            <w:tcW w:w="1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(3 )</w:t>
            </w:r>
          </w:p>
        </w:tc>
        <w:tc>
          <w:tcPr>
            <w:tcW w:w="1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(1 )</w:t>
            </w:r>
          </w:p>
        </w:tc>
        <w:tc>
          <w:tcPr>
            <w:tcW w:w="0" w:type="dxa"/>
            <w:vAlign w:val="bottom"/>
          </w:tcPr>
          <w:p>
            <w:pPr>
              <w:spacing w:after="0"/>
              <w:rPr>
                <w:sz w:val="1"/>
                <w:szCs w:val="1"/>
                <w:color w:val="auto"/>
              </w:rPr>
            </w:pPr>
          </w:p>
        </w:tc>
      </w:tr>
      <w:tr>
        <w:trPr>
          <w:trHeight w:val="278"/>
        </w:trPr>
        <w:tc>
          <w:tcPr>
            <w:tcW w:w="4680" w:type="dxa"/>
            <w:vAlign w:val="bottom"/>
          </w:tcPr>
          <w:p>
            <w:pPr>
              <w:ind w:left="240"/>
              <w:spacing w:after="0"/>
              <w:rPr>
                <w:sz w:val="20"/>
                <w:szCs w:val="20"/>
                <w:color w:val="auto"/>
              </w:rPr>
            </w:pPr>
            <w:r>
              <w:rPr>
                <w:rFonts w:ascii="Arial" w:cs="Arial" w:eastAsia="Arial" w:hAnsi="Arial"/>
                <w:sz w:val="18"/>
                <w:szCs w:val="18"/>
                <w:color w:val="auto"/>
              </w:rPr>
              <w:t>Other</w:t>
            </w:r>
          </w:p>
        </w:tc>
        <w:tc>
          <w:tcPr>
            <w:tcW w:w="26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(4 )</w:t>
            </w: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(6 )</w:t>
            </w: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1"/>
        </w:trPr>
        <w:tc>
          <w:tcPr>
            <w:tcW w:w="4680" w:type="dxa"/>
            <w:vAlign w:val="bottom"/>
          </w:tcPr>
          <w:p>
            <w:pPr>
              <w:spacing w:after="0"/>
              <w:rPr>
                <w:sz w:val="21"/>
                <w:szCs w:val="21"/>
                <w:color w:val="auto"/>
              </w:rPr>
            </w:pPr>
          </w:p>
        </w:tc>
        <w:tc>
          <w:tcPr>
            <w:tcW w:w="260" w:type="dxa"/>
            <w:vAlign w:val="bottom"/>
            <w:shd w:val="clear" w:color="auto" w:fill="000000"/>
          </w:tcPr>
          <w:p>
            <w:pPr>
              <w:spacing w:after="0"/>
              <w:rPr>
                <w:sz w:val="21"/>
                <w:szCs w:val="21"/>
                <w:color w:val="auto"/>
              </w:rPr>
            </w:pPr>
          </w:p>
        </w:tc>
        <w:tc>
          <w:tcPr>
            <w:tcW w:w="660" w:type="dxa"/>
            <w:vAlign w:val="bottom"/>
            <w:shd w:val="clear" w:color="auto" w:fill="000000"/>
          </w:tcPr>
          <w:p>
            <w:pPr>
              <w:spacing w:after="0"/>
              <w:rPr>
                <w:sz w:val="21"/>
                <w:szCs w:val="21"/>
                <w:color w:val="auto"/>
              </w:rPr>
            </w:pPr>
          </w:p>
        </w:tc>
        <w:tc>
          <w:tcPr>
            <w:tcW w:w="140" w:type="dxa"/>
            <w:vAlign w:val="bottom"/>
          </w:tcPr>
          <w:p>
            <w:pPr>
              <w:spacing w:after="0"/>
              <w:rPr>
                <w:sz w:val="21"/>
                <w:szCs w:val="21"/>
                <w:color w:val="auto"/>
              </w:rPr>
            </w:pPr>
          </w:p>
        </w:tc>
        <w:tc>
          <w:tcPr>
            <w:tcW w:w="260" w:type="dxa"/>
            <w:vAlign w:val="bottom"/>
            <w:shd w:val="clear" w:color="auto" w:fill="000000"/>
          </w:tcPr>
          <w:p>
            <w:pPr>
              <w:spacing w:after="0"/>
              <w:rPr>
                <w:sz w:val="21"/>
                <w:szCs w:val="21"/>
                <w:color w:val="auto"/>
              </w:rPr>
            </w:pPr>
          </w:p>
        </w:tc>
        <w:tc>
          <w:tcPr>
            <w:tcW w:w="640" w:type="dxa"/>
            <w:vAlign w:val="bottom"/>
            <w:shd w:val="clear" w:color="auto" w:fill="000000"/>
          </w:tcPr>
          <w:p>
            <w:pPr>
              <w:spacing w:after="0"/>
              <w:rPr>
                <w:sz w:val="21"/>
                <w:szCs w:val="21"/>
                <w:color w:val="auto"/>
              </w:rPr>
            </w:pPr>
          </w:p>
        </w:tc>
        <w:tc>
          <w:tcPr>
            <w:tcW w:w="160" w:type="dxa"/>
            <w:vAlign w:val="bottom"/>
          </w:tcPr>
          <w:p>
            <w:pPr>
              <w:spacing w:after="0"/>
              <w:rPr>
                <w:sz w:val="21"/>
                <w:szCs w:val="21"/>
                <w:color w:val="auto"/>
              </w:rPr>
            </w:pPr>
          </w:p>
        </w:tc>
        <w:tc>
          <w:tcPr>
            <w:tcW w:w="320" w:type="dxa"/>
            <w:vAlign w:val="bottom"/>
            <w:shd w:val="clear" w:color="auto" w:fill="000000"/>
          </w:tcPr>
          <w:p>
            <w:pPr>
              <w:spacing w:after="0"/>
              <w:rPr>
                <w:sz w:val="21"/>
                <w:szCs w:val="21"/>
                <w:color w:val="auto"/>
              </w:rPr>
            </w:pPr>
          </w:p>
        </w:tc>
        <w:tc>
          <w:tcPr>
            <w:tcW w:w="660" w:type="dxa"/>
            <w:vAlign w:val="bottom"/>
            <w:shd w:val="clear" w:color="auto" w:fill="000000"/>
          </w:tcPr>
          <w:p>
            <w:pPr>
              <w:spacing w:after="0"/>
              <w:rPr>
                <w:sz w:val="21"/>
                <w:szCs w:val="21"/>
                <w:color w:val="auto"/>
              </w:rPr>
            </w:pPr>
          </w:p>
        </w:tc>
        <w:tc>
          <w:tcPr>
            <w:tcW w:w="0" w:type="dxa"/>
            <w:vAlign w:val="bottom"/>
          </w:tcPr>
          <w:p>
            <w:pPr>
              <w:spacing w:after="0"/>
              <w:rPr>
                <w:sz w:val="1"/>
                <w:szCs w:val="1"/>
                <w:color w:val="auto"/>
              </w:rPr>
            </w:pPr>
          </w:p>
        </w:tc>
      </w:tr>
      <w:tr>
        <w:trPr>
          <w:trHeight w:val="262"/>
        </w:trPr>
        <w:tc>
          <w:tcPr>
            <w:tcW w:w="4680" w:type="dxa"/>
            <w:vAlign w:val="bottom"/>
          </w:tcPr>
          <w:p>
            <w:pPr>
              <w:ind w:left="480"/>
              <w:spacing w:after="0"/>
              <w:rPr>
                <w:sz w:val="20"/>
                <w:szCs w:val="20"/>
                <w:color w:val="auto"/>
              </w:rPr>
            </w:pPr>
            <w:r>
              <w:rPr>
                <w:rFonts w:ascii="Arial" w:cs="Arial" w:eastAsia="Arial" w:hAnsi="Arial"/>
                <w:sz w:val="18"/>
                <w:szCs w:val="18"/>
                <w:color w:val="auto"/>
              </w:rPr>
              <w:t>Net cash provided by (used in) financing activities</w:t>
            </w:r>
          </w:p>
        </w:tc>
        <w:tc>
          <w:tcPr>
            <w:tcW w:w="260" w:type="dxa"/>
            <w:vAlign w:val="bottom"/>
          </w:tcPr>
          <w:p>
            <w:pPr>
              <w:spacing w:after="0"/>
              <w:rPr>
                <w:sz w:val="22"/>
                <w:szCs w:val="22"/>
                <w:color w:val="auto"/>
              </w:rPr>
            </w:pPr>
          </w:p>
        </w:tc>
        <w:tc>
          <w:tcPr>
            <w:tcW w:w="660" w:type="dxa"/>
            <w:vAlign w:val="bottom"/>
          </w:tcPr>
          <w:p>
            <w:pPr>
              <w:jc w:val="right"/>
              <w:ind w:right="92"/>
              <w:spacing w:after="0"/>
              <w:rPr>
                <w:sz w:val="20"/>
                <w:szCs w:val="20"/>
                <w:color w:val="auto"/>
              </w:rPr>
            </w:pPr>
            <w:r>
              <w:rPr>
                <w:rFonts w:ascii="Arial" w:cs="Arial" w:eastAsia="Arial" w:hAnsi="Arial"/>
                <w:sz w:val="18"/>
                <w:szCs w:val="18"/>
                <w:color w:val="auto"/>
              </w:rPr>
              <w:t>347</w:t>
            </w:r>
          </w:p>
        </w:tc>
        <w:tc>
          <w:tcPr>
            <w:tcW w:w="1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(285 )</w:t>
            </w:r>
          </w:p>
        </w:tc>
        <w:tc>
          <w:tcPr>
            <w:tcW w:w="1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(273 )</w:t>
            </w:r>
          </w:p>
        </w:tc>
        <w:tc>
          <w:tcPr>
            <w:tcW w:w="0" w:type="dxa"/>
            <w:vAlign w:val="bottom"/>
          </w:tcPr>
          <w:p>
            <w:pPr>
              <w:spacing w:after="0"/>
              <w:rPr>
                <w:sz w:val="1"/>
                <w:szCs w:val="1"/>
                <w:color w:val="auto"/>
              </w:rPr>
            </w:pPr>
          </w:p>
        </w:tc>
      </w:tr>
      <w:tr>
        <w:trPr>
          <w:trHeight w:val="251"/>
        </w:trPr>
        <w:tc>
          <w:tcPr>
            <w:tcW w:w="4680" w:type="dxa"/>
            <w:vAlign w:val="bottom"/>
          </w:tcPr>
          <w:p>
            <w:pPr>
              <w:spacing w:after="0"/>
              <w:rPr>
                <w:sz w:val="21"/>
                <w:szCs w:val="21"/>
                <w:color w:val="auto"/>
              </w:rPr>
            </w:pPr>
          </w:p>
        </w:tc>
        <w:tc>
          <w:tcPr>
            <w:tcW w:w="260" w:type="dxa"/>
            <w:vAlign w:val="bottom"/>
            <w:shd w:val="clear" w:color="auto" w:fill="000000"/>
          </w:tcPr>
          <w:p>
            <w:pPr>
              <w:spacing w:after="0"/>
              <w:rPr>
                <w:sz w:val="21"/>
                <w:szCs w:val="21"/>
                <w:color w:val="auto"/>
              </w:rPr>
            </w:pPr>
          </w:p>
        </w:tc>
        <w:tc>
          <w:tcPr>
            <w:tcW w:w="660" w:type="dxa"/>
            <w:vAlign w:val="bottom"/>
            <w:shd w:val="clear" w:color="auto" w:fill="000000"/>
          </w:tcPr>
          <w:p>
            <w:pPr>
              <w:spacing w:after="0"/>
              <w:rPr>
                <w:sz w:val="21"/>
                <w:szCs w:val="21"/>
                <w:color w:val="auto"/>
              </w:rPr>
            </w:pPr>
          </w:p>
        </w:tc>
        <w:tc>
          <w:tcPr>
            <w:tcW w:w="140" w:type="dxa"/>
            <w:vAlign w:val="bottom"/>
          </w:tcPr>
          <w:p>
            <w:pPr>
              <w:spacing w:after="0"/>
              <w:rPr>
                <w:sz w:val="21"/>
                <w:szCs w:val="21"/>
                <w:color w:val="auto"/>
              </w:rPr>
            </w:pPr>
          </w:p>
        </w:tc>
        <w:tc>
          <w:tcPr>
            <w:tcW w:w="260" w:type="dxa"/>
            <w:vAlign w:val="bottom"/>
            <w:shd w:val="clear" w:color="auto" w:fill="000000"/>
          </w:tcPr>
          <w:p>
            <w:pPr>
              <w:spacing w:after="0"/>
              <w:rPr>
                <w:sz w:val="21"/>
                <w:szCs w:val="21"/>
                <w:color w:val="auto"/>
              </w:rPr>
            </w:pPr>
          </w:p>
        </w:tc>
        <w:tc>
          <w:tcPr>
            <w:tcW w:w="640" w:type="dxa"/>
            <w:vAlign w:val="bottom"/>
            <w:shd w:val="clear" w:color="auto" w:fill="000000"/>
          </w:tcPr>
          <w:p>
            <w:pPr>
              <w:spacing w:after="0"/>
              <w:rPr>
                <w:sz w:val="21"/>
                <w:szCs w:val="21"/>
                <w:color w:val="auto"/>
              </w:rPr>
            </w:pPr>
          </w:p>
        </w:tc>
        <w:tc>
          <w:tcPr>
            <w:tcW w:w="160" w:type="dxa"/>
            <w:vAlign w:val="bottom"/>
          </w:tcPr>
          <w:p>
            <w:pPr>
              <w:spacing w:after="0"/>
              <w:rPr>
                <w:sz w:val="21"/>
                <w:szCs w:val="21"/>
                <w:color w:val="auto"/>
              </w:rPr>
            </w:pPr>
          </w:p>
        </w:tc>
        <w:tc>
          <w:tcPr>
            <w:tcW w:w="320" w:type="dxa"/>
            <w:vAlign w:val="bottom"/>
            <w:shd w:val="clear" w:color="auto" w:fill="000000"/>
          </w:tcPr>
          <w:p>
            <w:pPr>
              <w:spacing w:after="0"/>
              <w:rPr>
                <w:sz w:val="21"/>
                <w:szCs w:val="21"/>
                <w:color w:val="auto"/>
              </w:rPr>
            </w:pPr>
          </w:p>
        </w:tc>
        <w:tc>
          <w:tcPr>
            <w:tcW w:w="660" w:type="dxa"/>
            <w:vAlign w:val="bottom"/>
            <w:shd w:val="clear" w:color="auto" w:fill="000000"/>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4680" w:type="dxa"/>
            <w:vAlign w:val="bottom"/>
          </w:tcPr>
          <w:p>
            <w:pPr>
              <w:spacing w:after="0"/>
              <w:rPr>
                <w:sz w:val="20"/>
                <w:szCs w:val="20"/>
                <w:color w:val="auto"/>
              </w:rPr>
            </w:pPr>
            <w:r>
              <w:rPr>
                <w:rFonts w:ascii="Arial" w:cs="Arial" w:eastAsia="Arial" w:hAnsi="Arial"/>
                <w:sz w:val="18"/>
                <w:szCs w:val="18"/>
                <w:color w:val="auto"/>
              </w:rPr>
              <w:t>Increase (decrease) in cash and cash equivalents</w:t>
            </w:r>
          </w:p>
        </w:tc>
        <w:tc>
          <w:tcPr>
            <w:tcW w:w="260" w:type="dxa"/>
            <w:vAlign w:val="bottom"/>
          </w:tcPr>
          <w:p>
            <w:pPr>
              <w:spacing w:after="0"/>
              <w:rPr>
                <w:sz w:val="22"/>
                <w:szCs w:val="22"/>
                <w:color w:val="auto"/>
              </w:rPr>
            </w:pPr>
          </w:p>
        </w:tc>
        <w:tc>
          <w:tcPr>
            <w:tcW w:w="660" w:type="dxa"/>
            <w:vAlign w:val="bottom"/>
          </w:tcPr>
          <w:p>
            <w:pPr>
              <w:jc w:val="right"/>
              <w:ind w:right="92"/>
              <w:spacing w:after="0"/>
              <w:rPr>
                <w:sz w:val="20"/>
                <w:szCs w:val="20"/>
                <w:color w:val="auto"/>
              </w:rPr>
            </w:pPr>
            <w:r>
              <w:rPr>
                <w:rFonts w:ascii="Arial" w:cs="Arial" w:eastAsia="Arial" w:hAnsi="Arial"/>
                <w:sz w:val="18"/>
                <w:szCs w:val="18"/>
                <w:color w:val="auto"/>
              </w:rPr>
              <w:t>227</w:t>
            </w:r>
          </w:p>
        </w:tc>
        <w:tc>
          <w:tcPr>
            <w:tcW w:w="1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(139 )</w:t>
            </w:r>
          </w:p>
        </w:tc>
        <w:tc>
          <w:tcPr>
            <w:tcW w:w="1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(11 )</w:t>
            </w:r>
          </w:p>
        </w:tc>
        <w:tc>
          <w:tcPr>
            <w:tcW w:w="0" w:type="dxa"/>
            <w:vAlign w:val="bottom"/>
          </w:tcPr>
          <w:p>
            <w:pPr>
              <w:spacing w:after="0"/>
              <w:rPr>
                <w:sz w:val="1"/>
                <w:szCs w:val="1"/>
                <w:color w:val="auto"/>
              </w:rPr>
            </w:pPr>
          </w:p>
        </w:tc>
      </w:tr>
      <w:tr>
        <w:trPr>
          <w:trHeight w:val="278"/>
        </w:trPr>
        <w:tc>
          <w:tcPr>
            <w:tcW w:w="4680" w:type="dxa"/>
            <w:vAlign w:val="bottom"/>
          </w:tcPr>
          <w:p>
            <w:pPr>
              <w:spacing w:after="0"/>
              <w:rPr>
                <w:sz w:val="20"/>
                <w:szCs w:val="20"/>
                <w:color w:val="auto"/>
              </w:rPr>
            </w:pPr>
            <w:r>
              <w:rPr>
                <w:rFonts w:ascii="Arial" w:cs="Arial" w:eastAsia="Arial" w:hAnsi="Arial"/>
                <w:sz w:val="18"/>
                <w:szCs w:val="18"/>
                <w:color w:val="auto"/>
              </w:rPr>
              <w:t>Cash and cash equivalents, January 1</w:t>
            </w:r>
          </w:p>
        </w:tc>
        <w:tc>
          <w:tcPr>
            <w:tcW w:w="260" w:type="dxa"/>
            <w:vAlign w:val="bottom"/>
          </w:tcPr>
          <w:p>
            <w:pPr>
              <w:spacing w:after="0"/>
              <w:rPr>
                <w:sz w:val="24"/>
                <w:szCs w:val="24"/>
                <w:color w:val="auto"/>
              </w:rPr>
            </w:pPr>
          </w:p>
        </w:tc>
        <w:tc>
          <w:tcPr>
            <w:tcW w:w="660" w:type="dxa"/>
            <w:vAlign w:val="bottom"/>
          </w:tcPr>
          <w:p>
            <w:pPr>
              <w:jc w:val="right"/>
              <w:ind w:right="92"/>
              <w:spacing w:after="0"/>
              <w:rPr>
                <w:sz w:val="20"/>
                <w:szCs w:val="20"/>
                <w:color w:val="auto"/>
              </w:rPr>
            </w:pPr>
            <w:r>
              <w:rPr>
                <w:rFonts w:ascii="Arial" w:cs="Arial" w:eastAsia="Arial" w:hAnsi="Arial"/>
                <w:sz w:val="18"/>
                <w:szCs w:val="18"/>
                <w:color w:val="auto"/>
              </w:rPr>
              <w:t>9</w:t>
            </w: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Pr>
          <w:p>
            <w:pPr>
              <w:jc w:val="right"/>
              <w:ind w:right="72"/>
              <w:spacing w:after="0"/>
              <w:rPr>
                <w:sz w:val="20"/>
                <w:szCs w:val="20"/>
                <w:color w:val="auto"/>
              </w:rPr>
            </w:pPr>
            <w:r>
              <w:rPr>
                <w:rFonts w:ascii="Arial" w:cs="Arial" w:eastAsia="Arial" w:hAnsi="Arial"/>
                <w:sz w:val="18"/>
                <w:szCs w:val="18"/>
                <w:color w:val="auto"/>
              </w:rPr>
              <w:t>148</w:t>
            </w: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jc w:val="right"/>
              <w:ind w:right="32"/>
              <w:spacing w:after="0"/>
              <w:rPr>
                <w:sz w:val="20"/>
                <w:szCs w:val="20"/>
                <w:color w:val="auto"/>
              </w:rPr>
            </w:pPr>
            <w:r>
              <w:rPr>
                <w:rFonts w:ascii="Arial" w:cs="Arial" w:eastAsia="Arial" w:hAnsi="Arial"/>
                <w:sz w:val="18"/>
                <w:szCs w:val="18"/>
                <w:color w:val="auto"/>
              </w:rPr>
              <w:t>159</w:t>
            </w:r>
          </w:p>
        </w:tc>
        <w:tc>
          <w:tcPr>
            <w:tcW w:w="0" w:type="dxa"/>
            <w:vAlign w:val="bottom"/>
          </w:tcPr>
          <w:p>
            <w:pPr>
              <w:spacing w:after="0"/>
              <w:rPr>
                <w:sz w:val="1"/>
                <w:szCs w:val="1"/>
                <w:color w:val="auto"/>
              </w:rPr>
            </w:pPr>
          </w:p>
        </w:tc>
      </w:tr>
      <w:tr>
        <w:trPr>
          <w:trHeight w:val="251"/>
        </w:trPr>
        <w:tc>
          <w:tcPr>
            <w:tcW w:w="4680" w:type="dxa"/>
            <w:vAlign w:val="bottom"/>
          </w:tcPr>
          <w:p>
            <w:pPr>
              <w:spacing w:after="0"/>
              <w:rPr>
                <w:sz w:val="21"/>
                <w:szCs w:val="21"/>
                <w:color w:val="auto"/>
              </w:rPr>
            </w:pPr>
          </w:p>
        </w:tc>
        <w:tc>
          <w:tcPr>
            <w:tcW w:w="260" w:type="dxa"/>
            <w:vAlign w:val="bottom"/>
            <w:shd w:val="clear" w:color="auto" w:fill="000000"/>
          </w:tcPr>
          <w:p>
            <w:pPr>
              <w:spacing w:after="0"/>
              <w:rPr>
                <w:sz w:val="21"/>
                <w:szCs w:val="21"/>
                <w:color w:val="auto"/>
              </w:rPr>
            </w:pPr>
          </w:p>
        </w:tc>
        <w:tc>
          <w:tcPr>
            <w:tcW w:w="660" w:type="dxa"/>
            <w:vAlign w:val="bottom"/>
            <w:shd w:val="clear" w:color="auto" w:fill="000000"/>
          </w:tcPr>
          <w:p>
            <w:pPr>
              <w:spacing w:after="0"/>
              <w:rPr>
                <w:sz w:val="21"/>
                <w:szCs w:val="21"/>
                <w:color w:val="auto"/>
              </w:rPr>
            </w:pPr>
          </w:p>
        </w:tc>
        <w:tc>
          <w:tcPr>
            <w:tcW w:w="140" w:type="dxa"/>
            <w:vAlign w:val="bottom"/>
          </w:tcPr>
          <w:p>
            <w:pPr>
              <w:spacing w:after="0"/>
              <w:rPr>
                <w:sz w:val="21"/>
                <w:szCs w:val="21"/>
                <w:color w:val="auto"/>
              </w:rPr>
            </w:pPr>
          </w:p>
        </w:tc>
        <w:tc>
          <w:tcPr>
            <w:tcW w:w="260" w:type="dxa"/>
            <w:vAlign w:val="bottom"/>
            <w:shd w:val="clear" w:color="auto" w:fill="000000"/>
          </w:tcPr>
          <w:p>
            <w:pPr>
              <w:spacing w:after="0"/>
              <w:rPr>
                <w:sz w:val="21"/>
                <w:szCs w:val="21"/>
                <w:color w:val="auto"/>
              </w:rPr>
            </w:pPr>
          </w:p>
        </w:tc>
        <w:tc>
          <w:tcPr>
            <w:tcW w:w="640" w:type="dxa"/>
            <w:vAlign w:val="bottom"/>
            <w:shd w:val="clear" w:color="auto" w:fill="000000"/>
          </w:tcPr>
          <w:p>
            <w:pPr>
              <w:spacing w:after="0"/>
              <w:rPr>
                <w:sz w:val="21"/>
                <w:szCs w:val="21"/>
                <w:color w:val="auto"/>
              </w:rPr>
            </w:pPr>
          </w:p>
        </w:tc>
        <w:tc>
          <w:tcPr>
            <w:tcW w:w="160" w:type="dxa"/>
            <w:vAlign w:val="bottom"/>
          </w:tcPr>
          <w:p>
            <w:pPr>
              <w:spacing w:after="0"/>
              <w:rPr>
                <w:sz w:val="21"/>
                <w:szCs w:val="21"/>
                <w:color w:val="auto"/>
              </w:rPr>
            </w:pPr>
          </w:p>
        </w:tc>
        <w:tc>
          <w:tcPr>
            <w:tcW w:w="320" w:type="dxa"/>
            <w:vAlign w:val="bottom"/>
            <w:shd w:val="clear" w:color="auto" w:fill="000000"/>
          </w:tcPr>
          <w:p>
            <w:pPr>
              <w:spacing w:after="0"/>
              <w:rPr>
                <w:sz w:val="21"/>
                <w:szCs w:val="21"/>
                <w:color w:val="auto"/>
              </w:rPr>
            </w:pPr>
          </w:p>
        </w:tc>
        <w:tc>
          <w:tcPr>
            <w:tcW w:w="660" w:type="dxa"/>
            <w:vAlign w:val="bottom"/>
            <w:shd w:val="clear" w:color="auto" w:fill="000000"/>
          </w:tcPr>
          <w:p>
            <w:pPr>
              <w:spacing w:after="0"/>
              <w:rPr>
                <w:sz w:val="21"/>
                <w:szCs w:val="21"/>
                <w:color w:val="auto"/>
              </w:rPr>
            </w:pPr>
          </w:p>
        </w:tc>
        <w:tc>
          <w:tcPr>
            <w:tcW w:w="0" w:type="dxa"/>
            <w:vAlign w:val="bottom"/>
          </w:tcPr>
          <w:p>
            <w:pPr>
              <w:spacing w:after="0"/>
              <w:rPr>
                <w:sz w:val="1"/>
                <w:szCs w:val="1"/>
                <w:color w:val="auto"/>
              </w:rPr>
            </w:pPr>
          </w:p>
        </w:tc>
      </w:tr>
      <w:tr>
        <w:trPr>
          <w:trHeight w:val="262"/>
        </w:trPr>
        <w:tc>
          <w:tcPr>
            <w:tcW w:w="4680" w:type="dxa"/>
            <w:vAlign w:val="bottom"/>
          </w:tcPr>
          <w:p>
            <w:pPr>
              <w:spacing w:after="0"/>
              <w:rPr>
                <w:sz w:val="20"/>
                <w:szCs w:val="20"/>
                <w:color w:val="auto"/>
              </w:rPr>
            </w:pPr>
            <w:r>
              <w:rPr>
                <w:rFonts w:ascii="Arial" w:cs="Arial" w:eastAsia="Arial" w:hAnsi="Arial"/>
                <w:sz w:val="18"/>
                <w:szCs w:val="18"/>
                <w:color w:val="auto"/>
              </w:rPr>
              <w:t>Cash and cash equivalents, December 31</w:t>
            </w:r>
          </w:p>
        </w:tc>
        <w:tc>
          <w:tcPr>
            <w:tcW w:w="260" w:type="dxa"/>
            <w:vAlign w:val="bottom"/>
          </w:tcPr>
          <w:p>
            <w:pPr>
              <w:jc w:val="right"/>
              <w:ind w:right="72"/>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ind w:right="92"/>
              <w:spacing w:after="0"/>
              <w:rPr>
                <w:sz w:val="20"/>
                <w:szCs w:val="20"/>
                <w:color w:val="auto"/>
              </w:rPr>
            </w:pPr>
            <w:r>
              <w:rPr>
                <w:rFonts w:ascii="Arial" w:cs="Arial" w:eastAsia="Arial" w:hAnsi="Arial"/>
                <w:sz w:val="18"/>
                <w:szCs w:val="18"/>
                <w:color w:val="auto"/>
              </w:rPr>
              <w:t>236</w:t>
            </w:r>
          </w:p>
        </w:tc>
        <w:tc>
          <w:tcPr>
            <w:tcW w:w="4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40" w:type="dxa"/>
            <w:vAlign w:val="bottom"/>
          </w:tcPr>
          <w:p>
            <w:pPr>
              <w:jc w:val="right"/>
              <w:ind w:right="72"/>
              <w:spacing w:after="0"/>
              <w:rPr>
                <w:sz w:val="20"/>
                <w:szCs w:val="20"/>
                <w:color w:val="auto"/>
              </w:rPr>
            </w:pPr>
            <w:r>
              <w:rPr>
                <w:rFonts w:ascii="Arial" w:cs="Arial" w:eastAsia="Arial" w:hAnsi="Arial"/>
                <w:sz w:val="18"/>
                <w:szCs w:val="18"/>
                <w:color w:val="auto"/>
              </w:rPr>
              <w:t>9</w:t>
            </w:r>
          </w:p>
        </w:tc>
        <w:tc>
          <w:tcPr>
            <w:tcW w:w="4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32"/>
              <w:spacing w:after="0"/>
              <w:rPr>
                <w:sz w:val="20"/>
                <w:szCs w:val="20"/>
                <w:color w:val="auto"/>
              </w:rPr>
            </w:pPr>
            <w:r>
              <w:rPr>
                <w:rFonts w:ascii="Arial" w:cs="Arial" w:eastAsia="Arial" w:hAnsi="Arial"/>
                <w:sz w:val="18"/>
                <w:szCs w:val="18"/>
                <w:color w:val="auto"/>
              </w:rPr>
              <w:t>148</w:t>
            </w:r>
          </w:p>
        </w:tc>
        <w:tc>
          <w:tcPr>
            <w:tcW w:w="0" w:type="dxa"/>
            <w:vAlign w:val="bottom"/>
          </w:tcPr>
          <w:p>
            <w:pPr>
              <w:spacing w:after="0"/>
              <w:rPr>
                <w:sz w:val="1"/>
                <w:szCs w:val="1"/>
                <w:color w:val="auto"/>
              </w:rPr>
            </w:pPr>
          </w:p>
        </w:tc>
      </w:tr>
      <w:tr>
        <w:trPr>
          <w:trHeight w:val="251"/>
        </w:trPr>
        <w:tc>
          <w:tcPr>
            <w:tcW w:w="4680" w:type="dxa"/>
            <w:vAlign w:val="bottom"/>
          </w:tcPr>
          <w:p>
            <w:pPr>
              <w:spacing w:after="0"/>
              <w:rPr>
                <w:sz w:val="21"/>
                <w:szCs w:val="21"/>
                <w:color w:val="auto"/>
              </w:rPr>
            </w:pPr>
          </w:p>
        </w:tc>
        <w:tc>
          <w:tcPr>
            <w:tcW w:w="260" w:type="dxa"/>
            <w:vAlign w:val="bottom"/>
            <w:shd w:val="clear" w:color="auto" w:fill="000000"/>
          </w:tcPr>
          <w:p>
            <w:pPr>
              <w:spacing w:after="0"/>
              <w:rPr>
                <w:sz w:val="21"/>
                <w:szCs w:val="21"/>
                <w:color w:val="auto"/>
              </w:rPr>
            </w:pPr>
          </w:p>
        </w:tc>
        <w:tc>
          <w:tcPr>
            <w:tcW w:w="660" w:type="dxa"/>
            <w:vAlign w:val="bottom"/>
            <w:shd w:val="clear" w:color="auto" w:fill="000000"/>
          </w:tcPr>
          <w:p>
            <w:pPr>
              <w:spacing w:after="0"/>
              <w:rPr>
                <w:sz w:val="21"/>
                <w:szCs w:val="21"/>
                <w:color w:val="auto"/>
              </w:rPr>
            </w:pPr>
          </w:p>
        </w:tc>
        <w:tc>
          <w:tcPr>
            <w:tcW w:w="140" w:type="dxa"/>
            <w:vAlign w:val="bottom"/>
          </w:tcPr>
          <w:p>
            <w:pPr>
              <w:spacing w:after="0"/>
              <w:rPr>
                <w:sz w:val="21"/>
                <w:szCs w:val="21"/>
                <w:color w:val="auto"/>
              </w:rPr>
            </w:pPr>
          </w:p>
        </w:tc>
        <w:tc>
          <w:tcPr>
            <w:tcW w:w="260" w:type="dxa"/>
            <w:vAlign w:val="bottom"/>
            <w:shd w:val="clear" w:color="auto" w:fill="000000"/>
          </w:tcPr>
          <w:p>
            <w:pPr>
              <w:spacing w:after="0"/>
              <w:rPr>
                <w:sz w:val="21"/>
                <w:szCs w:val="21"/>
                <w:color w:val="auto"/>
              </w:rPr>
            </w:pPr>
          </w:p>
        </w:tc>
        <w:tc>
          <w:tcPr>
            <w:tcW w:w="640" w:type="dxa"/>
            <w:vAlign w:val="bottom"/>
            <w:shd w:val="clear" w:color="auto" w:fill="000000"/>
          </w:tcPr>
          <w:p>
            <w:pPr>
              <w:spacing w:after="0"/>
              <w:rPr>
                <w:sz w:val="21"/>
                <w:szCs w:val="21"/>
                <w:color w:val="auto"/>
              </w:rPr>
            </w:pPr>
          </w:p>
        </w:tc>
        <w:tc>
          <w:tcPr>
            <w:tcW w:w="160" w:type="dxa"/>
            <w:vAlign w:val="bottom"/>
          </w:tcPr>
          <w:p>
            <w:pPr>
              <w:spacing w:after="0"/>
              <w:rPr>
                <w:sz w:val="21"/>
                <w:szCs w:val="21"/>
                <w:color w:val="auto"/>
              </w:rPr>
            </w:pPr>
          </w:p>
        </w:tc>
        <w:tc>
          <w:tcPr>
            <w:tcW w:w="320" w:type="dxa"/>
            <w:vAlign w:val="bottom"/>
            <w:shd w:val="clear" w:color="auto" w:fill="000000"/>
          </w:tcPr>
          <w:p>
            <w:pPr>
              <w:spacing w:after="0"/>
              <w:rPr>
                <w:sz w:val="21"/>
                <w:szCs w:val="21"/>
                <w:color w:val="auto"/>
              </w:rPr>
            </w:pPr>
          </w:p>
        </w:tc>
        <w:tc>
          <w:tcPr>
            <w:tcW w:w="660" w:type="dxa"/>
            <w:vAlign w:val="bottom"/>
            <w:shd w:val="clear" w:color="auto" w:fill="000000"/>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6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680" w:type="dxa"/>
            <w:vAlign w:val="bottom"/>
          </w:tcPr>
          <w:p>
            <w:pPr>
              <w:spacing w:after="0"/>
              <w:rPr>
                <w:sz w:val="21"/>
                <w:szCs w:val="21"/>
                <w:color w:val="auto"/>
              </w:rPr>
            </w:pPr>
          </w:p>
        </w:tc>
        <w:tc>
          <w:tcPr>
            <w:tcW w:w="260" w:type="dxa"/>
            <w:vAlign w:val="bottom"/>
            <w:shd w:val="clear" w:color="auto" w:fill="000000"/>
          </w:tcPr>
          <w:p>
            <w:pPr>
              <w:spacing w:after="0"/>
              <w:rPr>
                <w:sz w:val="21"/>
                <w:szCs w:val="21"/>
                <w:color w:val="auto"/>
              </w:rPr>
            </w:pPr>
          </w:p>
        </w:tc>
        <w:tc>
          <w:tcPr>
            <w:tcW w:w="660" w:type="dxa"/>
            <w:vAlign w:val="bottom"/>
            <w:shd w:val="clear" w:color="auto" w:fill="000000"/>
          </w:tcPr>
          <w:p>
            <w:pPr>
              <w:spacing w:after="0"/>
              <w:rPr>
                <w:sz w:val="21"/>
                <w:szCs w:val="21"/>
                <w:color w:val="auto"/>
              </w:rPr>
            </w:pPr>
          </w:p>
        </w:tc>
        <w:tc>
          <w:tcPr>
            <w:tcW w:w="140" w:type="dxa"/>
            <w:vAlign w:val="bottom"/>
          </w:tcPr>
          <w:p>
            <w:pPr>
              <w:spacing w:after="0"/>
              <w:rPr>
                <w:sz w:val="21"/>
                <w:szCs w:val="21"/>
                <w:color w:val="auto"/>
              </w:rPr>
            </w:pPr>
          </w:p>
        </w:tc>
        <w:tc>
          <w:tcPr>
            <w:tcW w:w="260" w:type="dxa"/>
            <w:vAlign w:val="bottom"/>
            <w:shd w:val="clear" w:color="auto" w:fill="000000"/>
          </w:tcPr>
          <w:p>
            <w:pPr>
              <w:spacing w:after="0"/>
              <w:rPr>
                <w:sz w:val="21"/>
                <w:szCs w:val="21"/>
                <w:color w:val="auto"/>
              </w:rPr>
            </w:pPr>
          </w:p>
        </w:tc>
        <w:tc>
          <w:tcPr>
            <w:tcW w:w="640" w:type="dxa"/>
            <w:vAlign w:val="bottom"/>
            <w:shd w:val="clear" w:color="auto" w:fill="000000"/>
          </w:tcPr>
          <w:p>
            <w:pPr>
              <w:spacing w:after="0"/>
              <w:rPr>
                <w:sz w:val="21"/>
                <w:szCs w:val="21"/>
                <w:color w:val="auto"/>
              </w:rPr>
            </w:pPr>
          </w:p>
        </w:tc>
        <w:tc>
          <w:tcPr>
            <w:tcW w:w="160" w:type="dxa"/>
            <w:vAlign w:val="bottom"/>
          </w:tcPr>
          <w:p>
            <w:pPr>
              <w:spacing w:after="0"/>
              <w:rPr>
                <w:sz w:val="21"/>
                <w:szCs w:val="21"/>
                <w:color w:val="auto"/>
              </w:rPr>
            </w:pPr>
          </w:p>
        </w:tc>
        <w:tc>
          <w:tcPr>
            <w:tcW w:w="320" w:type="dxa"/>
            <w:vAlign w:val="bottom"/>
            <w:shd w:val="clear" w:color="auto" w:fill="000000"/>
          </w:tcPr>
          <w:p>
            <w:pPr>
              <w:spacing w:after="0"/>
              <w:rPr>
                <w:sz w:val="21"/>
                <w:szCs w:val="21"/>
                <w:color w:val="auto"/>
              </w:rPr>
            </w:pPr>
          </w:p>
        </w:tc>
        <w:tc>
          <w:tcPr>
            <w:tcW w:w="660" w:type="dxa"/>
            <w:vAlign w:val="bottom"/>
            <w:shd w:val="clear" w:color="auto" w:fill="000000"/>
          </w:tcPr>
          <w:p>
            <w:pPr>
              <w:spacing w:after="0"/>
              <w:rPr>
                <w:sz w:val="21"/>
                <w:szCs w:val="2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469900</wp:posOffset>
            </wp:positionV>
            <wp:extent cx="72720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left="640" w:right="639"/>
        <w:spacing w:after="0" w:line="259" w:lineRule="auto"/>
        <w:rPr>
          <w:sz w:val="20"/>
          <w:szCs w:val="20"/>
          <w:color w:val="auto"/>
        </w:rPr>
      </w:pPr>
      <w:r>
        <w:rPr>
          <w:rFonts w:ascii="Arial" w:cs="Arial" w:eastAsia="Arial" w:hAnsi="Arial"/>
          <w:sz w:val="18"/>
          <w:szCs w:val="18"/>
          <w:color w:val="auto"/>
        </w:rPr>
        <w:t>SAN DIEGO GAS &amp; ELECTRIC COMPANY AND SUBSIDIARY STATEMENTS OF CONSOLIDATED CASH FLOWS (Dollars in millions)</w:t>
      </w:r>
    </w:p>
    <w:p>
      <w:pPr>
        <w:spacing w:after="0" w:line="194"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Years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3299460</wp:posOffset>
            </wp:positionH>
            <wp:positionV relativeFrom="paragraph">
              <wp:posOffset>19685</wp:posOffset>
            </wp:positionV>
            <wp:extent cx="2015490" cy="15430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2015490" cy="154305"/>
                    </a:xfrm>
                    <a:prstGeom prst="rect">
                      <a:avLst/>
                    </a:prstGeom>
                    <a:noFill/>
                  </pic:spPr>
                </pic:pic>
              </a:graphicData>
            </a:graphic>
          </wp:anchor>
        </w:drawing>
      </w:r>
    </w:p>
    <w:p>
      <w:pPr>
        <w:spacing w:after="0" w:line="286" w:lineRule="exact"/>
        <w:rPr>
          <w:sz w:val="20"/>
          <w:szCs w:val="20"/>
          <w:color w:val="auto"/>
        </w:rPr>
      </w:pPr>
    </w:p>
    <w:p>
      <w:pPr>
        <w:ind w:left="5500"/>
        <w:spacing w:after="0"/>
        <w:tabs>
          <w:tab w:leader="none" w:pos="6580" w:val="left"/>
          <w:tab w:leader="none" w:pos="7700" w:val="left"/>
        </w:tabs>
        <w:rPr>
          <w:sz w:val="20"/>
          <w:szCs w:val="20"/>
          <w:color w:val="auto"/>
        </w:rPr>
      </w:pPr>
      <w:r>
        <w:rPr>
          <w:rFonts w:ascii="Arial" w:cs="Arial" w:eastAsia="Arial" w:hAnsi="Arial"/>
          <w:sz w:val="18"/>
          <w:szCs w:val="18"/>
          <w:color w:val="auto"/>
        </w:rPr>
        <w:t>2005</w:t>
      </w:r>
      <w:r>
        <w:rPr>
          <w:sz w:val="20"/>
          <w:szCs w:val="20"/>
          <w:color w:val="auto"/>
        </w:rPr>
        <w:tab/>
      </w:r>
      <w:r>
        <w:rPr>
          <w:rFonts w:ascii="Arial" w:cs="Arial" w:eastAsia="Arial" w:hAnsi="Arial"/>
          <w:sz w:val="18"/>
          <w:szCs w:val="18"/>
          <w:color w:val="auto"/>
        </w:rPr>
        <w:t>2004</w:t>
      </w:r>
      <w:r>
        <w:rPr>
          <w:sz w:val="20"/>
          <w:szCs w:val="20"/>
          <w:color w:val="auto"/>
        </w:rPr>
        <w:tab/>
      </w:r>
      <w:r>
        <w:rPr>
          <w:rFonts w:ascii="Arial" w:cs="Arial" w:eastAsia="Arial" w:hAnsi="Arial"/>
          <w:sz w:val="15"/>
          <w:szCs w:val="15"/>
          <w:color w:val="auto"/>
        </w:rPr>
        <w:t>2003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3299460</wp:posOffset>
            </wp:positionH>
            <wp:positionV relativeFrom="paragraph">
              <wp:posOffset>19685</wp:posOffset>
            </wp:positionV>
            <wp:extent cx="2015490" cy="15430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2015490" cy="154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tbl>
      <w:tblPr>
        <w:tblLayout w:type="fixed"/>
        <w:tblInd w:w="680" w:type="dxa"/>
        <w:tblCellMar>
          <w:top w:w="0" w:type="dxa"/>
          <w:left w:w="0" w:type="dxa"/>
          <w:bottom w:w="0" w:type="dxa"/>
          <w:right w:w="0" w:type="dxa"/>
        </w:tblCellMar>
      </w:tblPr>
      <w:tr>
        <w:trPr>
          <w:trHeight w:val="222"/>
        </w:trPr>
        <w:tc>
          <w:tcPr>
            <w:tcW w:w="4160" w:type="dxa"/>
            <w:vAlign w:val="bottom"/>
          </w:tcPr>
          <w:p>
            <w:pPr>
              <w:spacing w:after="0"/>
              <w:rPr>
                <w:sz w:val="20"/>
                <w:szCs w:val="20"/>
                <w:color w:val="auto"/>
              </w:rPr>
            </w:pPr>
            <w:r>
              <w:rPr>
                <w:rFonts w:ascii="Arial" w:cs="Arial" w:eastAsia="Arial" w:hAnsi="Arial"/>
                <w:sz w:val="18"/>
                <w:szCs w:val="18"/>
                <w:color w:val="auto"/>
              </w:rPr>
              <w:t>SUPPLEMENTAL DISCLOSURE OF CASH FLOW</w:t>
            </w:r>
          </w:p>
        </w:tc>
        <w:tc>
          <w:tcPr>
            <w:tcW w:w="7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20" w:type="dxa"/>
            <w:vAlign w:val="bottom"/>
          </w:tcPr>
          <w:p>
            <w:pPr>
              <w:spacing w:after="0"/>
              <w:rPr>
                <w:sz w:val="19"/>
                <w:szCs w:val="19"/>
                <w:color w:val="auto"/>
              </w:rPr>
            </w:pPr>
          </w:p>
        </w:tc>
      </w:tr>
      <w:tr>
        <w:trPr>
          <w:trHeight w:val="270"/>
        </w:trPr>
        <w:tc>
          <w:tcPr>
            <w:tcW w:w="4160" w:type="dxa"/>
            <w:vAlign w:val="bottom"/>
          </w:tcPr>
          <w:p>
            <w:pPr>
              <w:spacing w:after="0"/>
              <w:rPr>
                <w:sz w:val="20"/>
                <w:szCs w:val="20"/>
                <w:color w:val="auto"/>
              </w:rPr>
            </w:pPr>
            <w:r>
              <w:rPr>
                <w:rFonts w:ascii="Arial" w:cs="Arial" w:eastAsia="Arial" w:hAnsi="Arial"/>
                <w:sz w:val="18"/>
                <w:szCs w:val="18"/>
                <w:color w:val="auto"/>
              </w:rPr>
              <w:t>INFORMATION</w:t>
            </w:r>
          </w:p>
        </w:tc>
        <w:tc>
          <w:tcPr>
            <w:tcW w:w="7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420" w:type="dxa"/>
            <w:vAlign w:val="bottom"/>
          </w:tcPr>
          <w:p>
            <w:pPr>
              <w:spacing w:after="0"/>
              <w:rPr>
                <w:sz w:val="23"/>
                <w:szCs w:val="23"/>
                <w:color w:val="auto"/>
              </w:rPr>
            </w:pPr>
          </w:p>
        </w:tc>
      </w:tr>
      <w:tr>
        <w:trPr>
          <w:trHeight w:val="270"/>
        </w:trPr>
        <w:tc>
          <w:tcPr>
            <w:tcW w:w="4160" w:type="dxa"/>
            <w:vAlign w:val="bottom"/>
          </w:tcPr>
          <w:p>
            <w:pPr>
              <w:spacing w:after="0"/>
              <w:rPr>
                <w:sz w:val="20"/>
                <w:szCs w:val="20"/>
                <w:color w:val="auto"/>
              </w:rPr>
            </w:pPr>
            <w:r>
              <w:rPr>
                <w:rFonts w:ascii="Arial" w:cs="Arial" w:eastAsia="Arial" w:hAnsi="Arial"/>
                <w:sz w:val="18"/>
                <w:szCs w:val="18"/>
                <w:color w:val="auto"/>
              </w:rPr>
              <w:t>Interest payments, net of amounts capitalized</w:t>
            </w:r>
          </w:p>
        </w:tc>
        <w:tc>
          <w:tcPr>
            <w:tcW w:w="72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600" w:type="dxa"/>
            <w:vAlign w:val="bottom"/>
          </w:tcPr>
          <w:p>
            <w:pPr>
              <w:jc w:val="right"/>
              <w:ind w:right="72"/>
              <w:spacing w:after="0"/>
              <w:rPr>
                <w:sz w:val="20"/>
                <w:szCs w:val="20"/>
                <w:color w:val="auto"/>
              </w:rPr>
            </w:pPr>
            <w:r>
              <w:rPr>
                <w:rFonts w:ascii="Arial" w:cs="Arial" w:eastAsia="Arial" w:hAnsi="Arial"/>
                <w:sz w:val="18"/>
                <w:szCs w:val="18"/>
                <w:color w:val="auto"/>
              </w:rPr>
              <w:t>66</w:t>
            </w:r>
          </w:p>
        </w:tc>
        <w:tc>
          <w:tcPr>
            <w:tcW w:w="50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600" w:type="dxa"/>
            <w:vAlign w:val="bottom"/>
          </w:tcPr>
          <w:p>
            <w:pPr>
              <w:jc w:val="right"/>
              <w:ind w:right="72"/>
              <w:spacing w:after="0"/>
              <w:rPr>
                <w:sz w:val="20"/>
                <w:szCs w:val="20"/>
                <w:color w:val="auto"/>
              </w:rPr>
            </w:pPr>
            <w:r>
              <w:rPr>
                <w:rFonts w:ascii="Arial" w:cs="Arial" w:eastAsia="Arial" w:hAnsi="Arial"/>
                <w:sz w:val="18"/>
                <w:szCs w:val="18"/>
                <w:color w:val="auto"/>
              </w:rPr>
              <w:t>63</w:t>
            </w:r>
          </w:p>
        </w:tc>
        <w:tc>
          <w:tcPr>
            <w:tcW w:w="52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68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3299460</wp:posOffset>
            </wp:positionH>
            <wp:positionV relativeFrom="paragraph">
              <wp:posOffset>10160</wp:posOffset>
            </wp:positionV>
            <wp:extent cx="2015490" cy="15430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2015490" cy="154305"/>
                    </a:xfrm>
                    <a:prstGeom prst="rect">
                      <a:avLst/>
                    </a:prstGeom>
                    <a:noFill/>
                  </pic:spPr>
                </pic:pic>
              </a:graphicData>
            </a:graphic>
          </wp:anchor>
        </w:drawing>
        <w:drawing>
          <wp:anchor simplePos="0" relativeHeight="251657728" behindDoc="1" locked="0" layoutInCell="0" allowOverlap="1">
            <wp:simplePos x="0" y="0"/>
            <wp:positionH relativeFrom="column">
              <wp:posOffset>3299460</wp:posOffset>
            </wp:positionH>
            <wp:positionV relativeFrom="paragraph">
              <wp:posOffset>318770</wp:posOffset>
            </wp:positionV>
            <wp:extent cx="2015490" cy="15430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2015490" cy="154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680"/>
        <w:spacing w:after="0"/>
        <w:tabs>
          <w:tab w:leader="none" w:pos="5180" w:val="left"/>
          <w:tab w:leader="none" w:pos="5700" w:val="left"/>
          <w:tab w:leader="none" w:pos="6300" w:val="left"/>
          <w:tab w:leader="none" w:pos="6820" w:val="left"/>
          <w:tab w:leader="none" w:pos="7420" w:val="left"/>
          <w:tab w:leader="none" w:pos="7920" w:val="left"/>
        </w:tabs>
        <w:rPr>
          <w:sz w:val="20"/>
          <w:szCs w:val="20"/>
          <w:color w:val="auto"/>
        </w:rPr>
      </w:pPr>
      <w:r>
        <w:rPr>
          <w:rFonts w:ascii="Arial" w:cs="Arial" w:eastAsia="Arial" w:hAnsi="Arial"/>
          <w:sz w:val="18"/>
          <w:szCs w:val="18"/>
          <w:color w:val="auto"/>
        </w:rPr>
        <w:t>Income tax payments, net of refunds</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291</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129</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5"/>
          <w:szCs w:val="15"/>
          <w:color w:val="auto"/>
        </w:rPr>
        <w:t>167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3299460</wp:posOffset>
            </wp:positionH>
            <wp:positionV relativeFrom="paragraph">
              <wp:posOffset>19685</wp:posOffset>
            </wp:positionV>
            <wp:extent cx="2015490" cy="7874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2015490" cy="78740"/>
                    </a:xfrm>
                    <a:prstGeom prst="rect">
                      <a:avLst/>
                    </a:prstGeom>
                    <a:noFill/>
                  </pic:spPr>
                </pic:pic>
              </a:graphicData>
            </a:graphic>
          </wp:anchor>
        </w:drawing>
      </w:r>
    </w:p>
    <w:p>
      <w:pPr>
        <w:sectPr>
          <w:pgSz w:w="11900" w:h="16838" w:orient="portrait"/>
          <w:cols w:equalWidth="0" w:num="1">
            <w:col w:w="9019"/>
          </w:cols>
          <w:pgMar w:left="1440" w:top="428" w:right="1440" w:bottom="0" w:gutter="0" w:footer="0" w:header="0"/>
        </w:sectPr>
      </w:pPr>
    </w:p>
    <w:bookmarkStart w:id="26" w:name="page27"/>
    <w:bookmarkEnd w:id="26"/>
    <w:p>
      <w:pPr>
        <w:ind w:left="40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4213860</wp:posOffset>
            </wp:positionH>
            <wp:positionV relativeFrom="page">
              <wp:posOffset>88900</wp:posOffset>
            </wp:positionV>
            <wp:extent cx="201549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2015490" cy="8255"/>
                    </a:xfrm>
                    <a:prstGeom prst="rect">
                      <a:avLst/>
                    </a:prstGeom>
                    <a:noFill/>
                  </pic:spPr>
                </pic:pic>
              </a:graphicData>
            </a:graphic>
          </wp:anchor>
        </w:drawing>
        <w:drawing>
          <wp:anchor simplePos="0" relativeHeight="251657728" behindDoc="1" locked="0" layoutInCell="0" allowOverlap="1">
            <wp:simplePos x="0" y="0"/>
            <wp:positionH relativeFrom="page">
              <wp:posOffset>4213860</wp:posOffset>
            </wp:positionH>
            <wp:positionV relativeFrom="page">
              <wp:posOffset>252095</wp:posOffset>
            </wp:positionV>
            <wp:extent cx="2015490" cy="15430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2015490" cy="154305"/>
                    </a:xfrm>
                    <a:prstGeom prst="rect">
                      <a:avLst/>
                    </a:prstGeom>
                    <a:noFill/>
                  </pic:spPr>
                </pic:pic>
              </a:graphicData>
            </a:graphic>
          </wp:anchor>
        </w:drawing>
        <w:t>See 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478790</wp:posOffset>
            </wp:positionV>
            <wp:extent cx="72720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left="1160" w:right="1100"/>
        <w:spacing w:after="0" w:line="238" w:lineRule="auto"/>
        <w:rPr>
          <w:sz w:val="20"/>
          <w:szCs w:val="20"/>
          <w:color w:val="auto"/>
        </w:rPr>
      </w:pPr>
      <w:r>
        <w:rPr>
          <w:rFonts w:ascii="Arial" w:cs="Arial" w:eastAsia="Arial" w:hAnsi="Arial"/>
          <w:sz w:val="22"/>
          <w:szCs w:val="22"/>
          <w:color w:val="auto"/>
        </w:rPr>
        <w:t>SAN DIEGO GAS &amp; ELECTRIC COMPANY AND SUBSIDIARY STATEMENTS OF CONSOLIDATED CHANGES IN SHAREHOLDERS' EQUITY Years ended December 31, 2005, 2004 and 2003 (Dollars in millions)</w:t>
      </w:r>
    </w:p>
    <w:p>
      <w:pPr>
        <w:spacing w:after="0" w:line="387" w:lineRule="exact"/>
        <w:rPr>
          <w:sz w:val="20"/>
          <w:szCs w:val="20"/>
          <w:color w:val="auto"/>
        </w:rPr>
      </w:pPr>
    </w:p>
    <w:tbl>
      <w:tblPr>
        <w:tblLayout w:type="fixed"/>
        <w:tblInd w:w="920" w:type="dxa"/>
        <w:tblCellMar>
          <w:top w:w="0" w:type="dxa"/>
          <w:left w:w="0" w:type="dxa"/>
          <w:bottom w:w="0" w:type="dxa"/>
          <w:right w:w="0" w:type="dxa"/>
        </w:tblCellMar>
      </w:tblPr>
      <w:tr>
        <w:trPr>
          <w:trHeight w:val="216"/>
        </w:trPr>
        <w:tc>
          <w:tcPr>
            <w:tcW w:w="27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jc w:val="right"/>
              <w:ind w:right="12"/>
              <w:spacing w:after="0"/>
              <w:rPr>
                <w:sz w:val="20"/>
                <w:szCs w:val="20"/>
                <w:color w:val="auto"/>
              </w:rPr>
            </w:pPr>
            <w:r>
              <w:rPr>
                <w:rFonts w:ascii="Arial" w:cs="Arial" w:eastAsia="Arial" w:hAnsi="Arial"/>
                <w:sz w:val="18"/>
                <w:szCs w:val="18"/>
                <w:color w:val="auto"/>
                <w:w w:val="92"/>
              </w:rPr>
              <w:t>Preferred Stock</w:t>
            </w:r>
          </w:p>
        </w:tc>
        <w:tc>
          <w:tcPr>
            <w:tcW w:w="9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360" w:type="dxa"/>
            <w:vAlign w:val="bottom"/>
          </w:tcPr>
          <w:p>
            <w:pPr>
              <w:jc w:val="right"/>
              <w:ind w:right="92"/>
              <w:spacing w:after="0"/>
              <w:rPr>
                <w:sz w:val="20"/>
                <w:szCs w:val="20"/>
                <w:color w:val="auto"/>
              </w:rPr>
            </w:pPr>
            <w:r>
              <w:rPr>
                <w:rFonts w:ascii="Arial" w:cs="Arial" w:eastAsia="Arial" w:hAnsi="Arial"/>
                <w:sz w:val="18"/>
                <w:szCs w:val="18"/>
                <w:color w:val="auto"/>
              </w:rPr>
              <w:t>Accumulated</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Not Subject to</w:t>
            </w:r>
          </w:p>
        </w:tc>
        <w:tc>
          <w:tcPr>
            <w:tcW w:w="9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360" w:type="dxa"/>
            <w:vAlign w:val="bottom"/>
          </w:tcPr>
          <w:p>
            <w:pPr>
              <w:jc w:val="right"/>
              <w:ind w:right="92"/>
              <w:spacing w:after="0"/>
              <w:rPr>
                <w:sz w:val="20"/>
                <w:szCs w:val="20"/>
                <w:color w:val="auto"/>
              </w:rPr>
            </w:pPr>
            <w:r>
              <w:rPr>
                <w:rFonts w:ascii="Arial" w:cs="Arial" w:eastAsia="Arial" w:hAnsi="Arial"/>
                <w:sz w:val="18"/>
                <w:szCs w:val="18"/>
                <w:color w:val="auto"/>
              </w:rPr>
              <w:t>Other</w:t>
            </w: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216"/>
        </w:trPr>
        <w:tc>
          <w:tcPr>
            <w:tcW w:w="2700" w:type="dxa"/>
            <w:vAlign w:val="bottom"/>
          </w:tcPr>
          <w:p>
            <w:pPr>
              <w:spacing w:after="0"/>
              <w:rPr>
                <w:sz w:val="18"/>
                <w:szCs w:val="18"/>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w w:val="88"/>
              </w:rPr>
              <w:t>Comprehensive</w:t>
            </w: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Mandatory</w:t>
            </w:r>
          </w:p>
        </w:tc>
        <w:tc>
          <w:tcPr>
            <w:tcW w:w="920" w:type="dxa"/>
            <w:vAlign w:val="bottom"/>
          </w:tcPr>
          <w:p>
            <w:pPr>
              <w:jc w:val="right"/>
              <w:ind w:right="72"/>
              <w:spacing w:after="0"/>
              <w:rPr>
                <w:sz w:val="20"/>
                <w:szCs w:val="20"/>
                <w:color w:val="auto"/>
              </w:rPr>
            </w:pPr>
            <w:r>
              <w:rPr>
                <w:rFonts w:ascii="Arial" w:cs="Arial" w:eastAsia="Arial" w:hAnsi="Arial"/>
                <w:sz w:val="18"/>
                <w:szCs w:val="18"/>
                <w:color w:val="auto"/>
              </w:rPr>
              <w:t>Common</w:t>
            </w:r>
          </w:p>
        </w:tc>
        <w:tc>
          <w:tcPr>
            <w:tcW w:w="860" w:type="dxa"/>
            <w:vAlign w:val="bottom"/>
          </w:tcPr>
          <w:p>
            <w:pPr>
              <w:jc w:val="right"/>
              <w:ind w:right="72"/>
              <w:spacing w:after="0"/>
              <w:rPr>
                <w:sz w:val="20"/>
                <w:szCs w:val="20"/>
                <w:color w:val="auto"/>
              </w:rPr>
            </w:pPr>
            <w:r>
              <w:rPr>
                <w:rFonts w:ascii="Arial" w:cs="Arial" w:eastAsia="Arial" w:hAnsi="Arial"/>
                <w:sz w:val="18"/>
                <w:szCs w:val="18"/>
                <w:color w:val="auto"/>
                <w:w w:val="94"/>
              </w:rPr>
              <w:t>Retained</w:t>
            </w:r>
          </w:p>
        </w:tc>
        <w:tc>
          <w:tcPr>
            <w:tcW w:w="1360" w:type="dxa"/>
            <w:vAlign w:val="bottom"/>
          </w:tcPr>
          <w:p>
            <w:pPr>
              <w:jc w:val="right"/>
              <w:ind w:right="92"/>
              <w:spacing w:after="0"/>
              <w:rPr>
                <w:sz w:val="20"/>
                <w:szCs w:val="20"/>
                <w:color w:val="auto"/>
              </w:rPr>
            </w:pPr>
            <w:r>
              <w:rPr>
                <w:rFonts w:ascii="Arial" w:cs="Arial" w:eastAsia="Arial" w:hAnsi="Arial"/>
                <w:sz w:val="18"/>
                <w:szCs w:val="18"/>
                <w:color w:val="auto"/>
                <w:w w:val="91"/>
              </w:rPr>
              <w:t>Comprehensive</w:t>
            </w:r>
          </w:p>
        </w:tc>
        <w:tc>
          <w:tcPr>
            <w:tcW w:w="1160" w:type="dxa"/>
            <w:vAlign w:val="bottom"/>
          </w:tcPr>
          <w:p>
            <w:pPr>
              <w:jc w:val="right"/>
              <w:ind w:right="12"/>
              <w:spacing w:after="0"/>
              <w:rPr>
                <w:sz w:val="20"/>
                <w:szCs w:val="20"/>
                <w:color w:val="auto"/>
              </w:rPr>
            </w:pPr>
            <w:r>
              <w:rPr>
                <w:rFonts w:ascii="Arial" w:cs="Arial" w:eastAsia="Arial" w:hAnsi="Arial"/>
                <w:sz w:val="18"/>
                <w:szCs w:val="18"/>
                <w:color w:val="auto"/>
                <w:w w:val="94"/>
              </w:rPr>
              <w:t>Shareholders'</w:t>
            </w:r>
          </w:p>
        </w:tc>
        <w:tc>
          <w:tcPr>
            <w:tcW w:w="0" w:type="dxa"/>
            <w:vAlign w:val="bottom"/>
          </w:tcPr>
          <w:p>
            <w:pPr>
              <w:spacing w:after="0"/>
              <w:rPr>
                <w:sz w:val="1"/>
                <w:szCs w:val="1"/>
                <w:color w:val="auto"/>
              </w:rPr>
            </w:pPr>
          </w:p>
        </w:tc>
      </w:tr>
      <w:tr>
        <w:trPr>
          <w:trHeight w:val="230"/>
        </w:trPr>
        <w:tc>
          <w:tcPr>
            <w:tcW w:w="2700" w:type="dxa"/>
            <w:vAlign w:val="bottom"/>
          </w:tcPr>
          <w:p>
            <w:pPr>
              <w:spacing w:after="0"/>
              <w:rPr>
                <w:sz w:val="20"/>
                <w:szCs w:val="20"/>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Income</w:t>
            </w: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Redemption</w:t>
            </w:r>
          </w:p>
        </w:tc>
        <w:tc>
          <w:tcPr>
            <w:tcW w:w="920" w:type="dxa"/>
            <w:vAlign w:val="bottom"/>
          </w:tcPr>
          <w:p>
            <w:pPr>
              <w:jc w:val="right"/>
              <w:ind w:right="72"/>
              <w:spacing w:after="0"/>
              <w:rPr>
                <w:sz w:val="20"/>
                <w:szCs w:val="20"/>
                <w:color w:val="auto"/>
              </w:rPr>
            </w:pPr>
            <w:r>
              <w:rPr>
                <w:rFonts w:ascii="Arial" w:cs="Arial" w:eastAsia="Arial" w:hAnsi="Arial"/>
                <w:sz w:val="18"/>
                <w:szCs w:val="18"/>
                <w:color w:val="auto"/>
              </w:rPr>
              <w:t>Stock</w:t>
            </w:r>
          </w:p>
        </w:tc>
        <w:tc>
          <w:tcPr>
            <w:tcW w:w="860" w:type="dxa"/>
            <w:vAlign w:val="bottom"/>
          </w:tcPr>
          <w:p>
            <w:pPr>
              <w:jc w:val="right"/>
              <w:ind w:right="72"/>
              <w:spacing w:after="0"/>
              <w:rPr>
                <w:sz w:val="20"/>
                <w:szCs w:val="20"/>
                <w:color w:val="auto"/>
              </w:rPr>
            </w:pPr>
            <w:r>
              <w:rPr>
                <w:rFonts w:ascii="Arial" w:cs="Arial" w:eastAsia="Arial" w:hAnsi="Arial"/>
                <w:sz w:val="18"/>
                <w:szCs w:val="18"/>
                <w:color w:val="auto"/>
                <w:w w:val="95"/>
              </w:rPr>
              <w:t>Earnings</w:t>
            </w:r>
          </w:p>
        </w:tc>
        <w:tc>
          <w:tcPr>
            <w:tcW w:w="1360" w:type="dxa"/>
            <w:vAlign w:val="bottom"/>
          </w:tcPr>
          <w:p>
            <w:pPr>
              <w:jc w:val="right"/>
              <w:ind w:right="92"/>
              <w:spacing w:after="0"/>
              <w:rPr>
                <w:sz w:val="20"/>
                <w:szCs w:val="20"/>
                <w:color w:val="auto"/>
              </w:rPr>
            </w:pPr>
            <w:r>
              <w:rPr>
                <w:rFonts w:ascii="Arial" w:cs="Arial" w:eastAsia="Arial" w:hAnsi="Arial"/>
                <w:sz w:val="18"/>
                <w:szCs w:val="18"/>
                <w:color w:val="auto"/>
              </w:rPr>
              <w:t>Income (Loss)</w:t>
            </w: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Equity</w:t>
            </w:r>
          </w:p>
        </w:tc>
        <w:tc>
          <w:tcPr>
            <w:tcW w:w="0" w:type="dxa"/>
            <w:vAlign w:val="bottom"/>
          </w:tcPr>
          <w:p>
            <w:pPr>
              <w:spacing w:after="0"/>
              <w:rPr>
                <w:sz w:val="1"/>
                <w:szCs w:val="1"/>
                <w:color w:val="auto"/>
              </w:rPr>
            </w:pPr>
          </w:p>
        </w:tc>
      </w:tr>
      <w:tr>
        <w:trPr>
          <w:trHeight w:val="251"/>
        </w:trPr>
        <w:tc>
          <w:tcPr>
            <w:tcW w:w="2700" w:type="dxa"/>
            <w:vAlign w:val="bottom"/>
            <w:shd w:val="clear" w:color="auto" w:fill="000000"/>
          </w:tcPr>
          <w:p>
            <w:pPr>
              <w:spacing w:after="0"/>
              <w:rPr>
                <w:sz w:val="21"/>
                <w:szCs w:val="21"/>
                <w:color w:val="auto"/>
              </w:rPr>
            </w:pPr>
          </w:p>
        </w:tc>
        <w:tc>
          <w:tcPr>
            <w:tcW w:w="1160" w:type="dxa"/>
            <w:vAlign w:val="bottom"/>
            <w:shd w:val="clear" w:color="auto" w:fill="000000"/>
          </w:tcPr>
          <w:p>
            <w:pPr>
              <w:spacing w:after="0"/>
              <w:rPr>
                <w:sz w:val="21"/>
                <w:szCs w:val="21"/>
                <w:color w:val="auto"/>
              </w:rPr>
            </w:pPr>
          </w:p>
        </w:tc>
        <w:tc>
          <w:tcPr>
            <w:tcW w:w="160" w:type="dxa"/>
            <w:vAlign w:val="bottom"/>
            <w:shd w:val="clear" w:color="auto" w:fill="000000"/>
          </w:tcPr>
          <w:p>
            <w:pPr>
              <w:spacing w:after="0"/>
              <w:rPr>
                <w:sz w:val="21"/>
                <w:szCs w:val="21"/>
                <w:color w:val="auto"/>
              </w:rPr>
            </w:pPr>
          </w:p>
        </w:tc>
        <w:tc>
          <w:tcPr>
            <w:tcW w:w="1280" w:type="dxa"/>
            <w:vAlign w:val="bottom"/>
            <w:shd w:val="clear" w:color="auto" w:fill="000000"/>
          </w:tcPr>
          <w:p>
            <w:pPr>
              <w:spacing w:after="0"/>
              <w:rPr>
                <w:sz w:val="21"/>
                <w:szCs w:val="21"/>
                <w:color w:val="auto"/>
              </w:rPr>
            </w:pPr>
          </w:p>
        </w:tc>
        <w:tc>
          <w:tcPr>
            <w:tcW w:w="920" w:type="dxa"/>
            <w:vAlign w:val="bottom"/>
            <w:shd w:val="clear" w:color="auto" w:fill="000000"/>
          </w:tcPr>
          <w:p>
            <w:pPr>
              <w:spacing w:after="0"/>
              <w:rPr>
                <w:sz w:val="21"/>
                <w:szCs w:val="21"/>
                <w:color w:val="auto"/>
              </w:rPr>
            </w:pPr>
          </w:p>
        </w:tc>
        <w:tc>
          <w:tcPr>
            <w:tcW w:w="860" w:type="dxa"/>
            <w:vAlign w:val="bottom"/>
            <w:shd w:val="clear" w:color="auto" w:fill="000000"/>
          </w:tcPr>
          <w:p>
            <w:pPr>
              <w:spacing w:after="0"/>
              <w:rPr>
                <w:sz w:val="21"/>
                <w:szCs w:val="21"/>
                <w:color w:val="auto"/>
              </w:rPr>
            </w:pPr>
          </w:p>
        </w:tc>
        <w:tc>
          <w:tcPr>
            <w:tcW w:w="1360" w:type="dxa"/>
            <w:vAlign w:val="bottom"/>
            <w:shd w:val="clear" w:color="auto" w:fill="000000"/>
          </w:tcPr>
          <w:p>
            <w:pPr>
              <w:spacing w:after="0"/>
              <w:rPr>
                <w:sz w:val="21"/>
                <w:szCs w:val="21"/>
                <w:color w:val="auto"/>
              </w:rPr>
            </w:pPr>
          </w:p>
        </w:tc>
        <w:tc>
          <w:tcPr>
            <w:tcW w:w="1160" w:type="dxa"/>
            <w:vAlign w:val="bottom"/>
            <w:shd w:val="clear" w:color="auto" w:fill="000000"/>
          </w:tcPr>
          <w:p>
            <w:pPr>
              <w:spacing w:after="0"/>
              <w:rPr>
                <w:sz w:val="21"/>
                <w:szCs w:val="21"/>
                <w:color w:val="auto"/>
              </w:rPr>
            </w:pPr>
          </w:p>
        </w:tc>
        <w:tc>
          <w:tcPr>
            <w:tcW w:w="0" w:type="dxa"/>
            <w:vAlign w:val="bottom"/>
          </w:tcPr>
          <w:p>
            <w:pPr>
              <w:spacing w:after="0"/>
              <w:rPr>
                <w:sz w:val="1"/>
                <w:szCs w:val="1"/>
                <w:color w:val="auto"/>
              </w:rPr>
            </w:pPr>
          </w:p>
        </w:tc>
      </w:tr>
      <w:tr>
        <w:trPr>
          <w:trHeight w:val="241"/>
        </w:trPr>
        <w:tc>
          <w:tcPr>
            <w:tcW w:w="2700" w:type="dxa"/>
            <w:vAlign w:val="bottom"/>
          </w:tcPr>
          <w:p>
            <w:pPr>
              <w:spacing w:after="0"/>
              <w:rPr>
                <w:sz w:val="20"/>
                <w:szCs w:val="20"/>
                <w:color w:val="auto"/>
              </w:rPr>
            </w:pPr>
            <w:r>
              <w:rPr>
                <w:rFonts w:ascii="Arial" w:cs="Arial" w:eastAsia="Arial" w:hAnsi="Arial"/>
                <w:sz w:val="18"/>
                <w:szCs w:val="18"/>
                <w:color w:val="auto"/>
              </w:rPr>
              <w:t>Balance at December 31, 2002</w:t>
            </w:r>
          </w:p>
        </w:tc>
        <w:tc>
          <w:tcPr>
            <w:tcW w:w="1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$ 79</w:t>
            </w:r>
          </w:p>
        </w:tc>
        <w:tc>
          <w:tcPr>
            <w:tcW w:w="920" w:type="dxa"/>
            <w:vAlign w:val="bottom"/>
          </w:tcPr>
          <w:p>
            <w:pPr>
              <w:jc w:val="right"/>
              <w:ind w:right="72"/>
              <w:spacing w:after="0"/>
              <w:rPr>
                <w:sz w:val="20"/>
                <w:szCs w:val="20"/>
                <w:color w:val="auto"/>
              </w:rPr>
            </w:pPr>
            <w:r>
              <w:rPr>
                <w:rFonts w:ascii="Arial" w:cs="Arial" w:eastAsia="Arial" w:hAnsi="Arial"/>
                <w:sz w:val="18"/>
                <w:szCs w:val="18"/>
                <w:color w:val="auto"/>
              </w:rPr>
              <w:t>$ 943</w:t>
            </w:r>
          </w:p>
        </w:tc>
        <w:tc>
          <w:tcPr>
            <w:tcW w:w="860" w:type="dxa"/>
            <w:vAlign w:val="bottom"/>
          </w:tcPr>
          <w:p>
            <w:pPr>
              <w:jc w:val="right"/>
              <w:ind w:right="72"/>
              <w:spacing w:after="0"/>
              <w:rPr>
                <w:sz w:val="20"/>
                <w:szCs w:val="20"/>
                <w:color w:val="auto"/>
              </w:rPr>
            </w:pPr>
            <w:r>
              <w:rPr>
                <w:rFonts w:ascii="Arial" w:cs="Arial" w:eastAsia="Arial" w:hAnsi="Arial"/>
                <w:sz w:val="18"/>
                <w:szCs w:val="18"/>
                <w:color w:val="auto"/>
              </w:rPr>
              <w:t>$ 235</w:t>
            </w:r>
          </w:p>
        </w:tc>
        <w:tc>
          <w:tcPr>
            <w:tcW w:w="1360" w:type="dxa"/>
            <w:vAlign w:val="bottom"/>
          </w:tcPr>
          <w:p>
            <w:pPr>
              <w:jc w:val="right"/>
              <w:ind w:right="12"/>
              <w:spacing w:after="0"/>
              <w:rPr>
                <w:sz w:val="20"/>
                <w:szCs w:val="20"/>
                <w:color w:val="auto"/>
              </w:rPr>
            </w:pPr>
            <w:r>
              <w:rPr>
                <w:rFonts w:ascii="Arial" w:cs="Arial" w:eastAsia="Arial" w:hAnsi="Arial"/>
                <w:sz w:val="18"/>
                <w:szCs w:val="18"/>
                <w:color w:val="auto"/>
              </w:rPr>
              <w:t>$ (34 )</w:t>
            </w: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$ 1,223</w:t>
            </w:r>
          </w:p>
        </w:tc>
        <w:tc>
          <w:tcPr>
            <w:tcW w:w="0" w:type="dxa"/>
            <w:vAlign w:val="bottom"/>
          </w:tcPr>
          <w:p>
            <w:pPr>
              <w:spacing w:after="0"/>
              <w:rPr>
                <w:sz w:val="1"/>
                <w:szCs w:val="1"/>
                <w:color w:val="auto"/>
              </w:rPr>
            </w:pPr>
          </w:p>
        </w:tc>
      </w:tr>
      <w:tr>
        <w:trPr>
          <w:trHeight w:val="270"/>
        </w:trPr>
        <w:tc>
          <w:tcPr>
            <w:tcW w:w="2700" w:type="dxa"/>
            <w:vAlign w:val="bottom"/>
          </w:tcPr>
          <w:p>
            <w:pPr>
              <w:spacing w:after="0"/>
              <w:rPr>
                <w:sz w:val="20"/>
                <w:szCs w:val="20"/>
                <w:color w:val="auto"/>
              </w:rPr>
            </w:pPr>
            <w:r>
              <w:rPr>
                <w:rFonts w:ascii="Arial" w:cs="Arial" w:eastAsia="Arial" w:hAnsi="Arial"/>
                <w:sz w:val="18"/>
                <w:szCs w:val="18"/>
                <w:color w:val="auto"/>
              </w:rPr>
              <w:t>Net income</w:t>
            </w:r>
          </w:p>
        </w:tc>
        <w:tc>
          <w:tcPr>
            <w:tcW w:w="1160" w:type="dxa"/>
            <w:vAlign w:val="bottom"/>
          </w:tcPr>
          <w:p>
            <w:pPr>
              <w:jc w:val="right"/>
              <w:spacing w:after="0"/>
              <w:rPr>
                <w:sz w:val="20"/>
                <w:szCs w:val="20"/>
                <w:color w:val="auto"/>
              </w:rPr>
            </w:pPr>
            <w:r>
              <w:rPr>
                <w:rFonts w:ascii="Arial" w:cs="Arial" w:eastAsia="Arial" w:hAnsi="Arial"/>
                <w:sz w:val="18"/>
                <w:szCs w:val="18"/>
                <w:color w:val="auto"/>
              </w:rPr>
              <w:t>$ 340</w:t>
            </w:r>
          </w:p>
        </w:tc>
        <w:tc>
          <w:tcPr>
            <w:tcW w:w="16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860" w:type="dxa"/>
            <w:vAlign w:val="bottom"/>
          </w:tcPr>
          <w:p>
            <w:pPr>
              <w:jc w:val="right"/>
              <w:ind w:right="72"/>
              <w:spacing w:after="0"/>
              <w:rPr>
                <w:sz w:val="20"/>
                <w:szCs w:val="20"/>
                <w:color w:val="auto"/>
              </w:rPr>
            </w:pPr>
            <w:r>
              <w:rPr>
                <w:rFonts w:ascii="Arial" w:cs="Arial" w:eastAsia="Arial" w:hAnsi="Arial"/>
                <w:sz w:val="18"/>
                <w:szCs w:val="18"/>
                <w:color w:val="auto"/>
              </w:rPr>
              <w:t>340</w:t>
            </w:r>
          </w:p>
        </w:tc>
        <w:tc>
          <w:tcPr>
            <w:tcW w:w="1360" w:type="dxa"/>
            <w:vAlign w:val="bottom"/>
          </w:tcPr>
          <w:p>
            <w:pPr>
              <w:spacing w:after="0"/>
              <w:rPr>
                <w:sz w:val="23"/>
                <w:szCs w:val="23"/>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340</w:t>
            </w:r>
          </w:p>
        </w:tc>
        <w:tc>
          <w:tcPr>
            <w:tcW w:w="0" w:type="dxa"/>
            <w:vAlign w:val="bottom"/>
          </w:tcPr>
          <w:p>
            <w:pPr>
              <w:spacing w:after="0"/>
              <w:rPr>
                <w:sz w:val="1"/>
                <w:szCs w:val="1"/>
                <w:color w:val="auto"/>
              </w:rPr>
            </w:pPr>
          </w:p>
        </w:tc>
      </w:tr>
      <w:tr>
        <w:trPr>
          <w:trHeight w:val="237"/>
        </w:trPr>
        <w:tc>
          <w:tcPr>
            <w:tcW w:w="2700" w:type="dxa"/>
            <w:vAlign w:val="bottom"/>
          </w:tcPr>
          <w:p>
            <w:pPr>
              <w:spacing w:after="0"/>
              <w:rPr>
                <w:sz w:val="20"/>
                <w:szCs w:val="20"/>
                <w:color w:val="auto"/>
              </w:rPr>
            </w:pPr>
            <w:r>
              <w:rPr>
                <w:rFonts w:ascii="Arial" w:cs="Arial" w:eastAsia="Arial" w:hAnsi="Arial"/>
                <w:sz w:val="18"/>
                <w:szCs w:val="18"/>
                <w:color w:val="auto"/>
              </w:rPr>
              <w:t>Other comprehensive income</w:t>
            </w:r>
          </w:p>
        </w:tc>
        <w:tc>
          <w:tcPr>
            <w:tcW w:w="1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700" w:type="dxa"/>
            <w:vAlign w:val="bottom"/>
          </w:tcPr>
          <w:p>
            <w:pPr>
              <w:spacing w:after="0"/>
              <w:rPr>
                <w:sz w:val="20"/>
                <w:szCs w:val="20"/>
                <w:color w:val="auto"/>
              </w:rPr>
            </w:pPr>
            <w:r>
              <w:rPr>
                <w:rFonts w:ascii="Arial" w:cs="Arial" w:eastAsia="Arial" w:hAnsi="Arial"/>
                <w:sz w:val="18"/>
                <w:szCs w:val="18"/>
                <w:color w:val="auto"/>
              </w:rPr>
              <w:t>adjustment - pension</w:t>
            </w: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(9 )</w:t>
            </w:r>
          </w:p>
        </w:tc>
        <w:tc>
          <w:tcPr>
            <w:tcW w:w="12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360" w:type="dxa"/>
            <w:vAlign w:val="bottom"/>
          </w:tcPr>
          <w:p>
            <w:pPr>
              <w:jc w:val="right"/>
              <w:ind w:right="12"/>
              <w:spacing w:after="0"/>
              <w:rPr>
                <w:sz w:val="20"/>
                <w:szCs w:val="20"/>
                <w:color w:val="auto"/>
              </w:rPr>
            </w:pPr>
            <w:r>
              <w:rPr>
                <w:rFonts w:ascii="Arial" w:cs="Arial" w:eastAsia="Arial" w:hAnsi="Arial"/>
                <w:sz w:val="18"/>
                <w:szCs w:val="18"/>
                <w:color w:val="auto"/>
              </w:rPr>
              <w:t>(9 )</w:t>
            </w:r>
          </w:p>
        </w:tc>
        <w:tc>
          <w:tcPr>
            <w:tcW w:w="1160" w:type="dxa"/>
            <w:vAlign w:val="bottom"/>
          </w:tcPr>
          <w:p>
            <w:pPr>
              <w:jc w:val="right"/>
              <w:spacing w:after="0"/>
              <w:rPr>
                <w:sz w:val="20"/>
                <w:szCs w:val="20"/>
                <w:color w:val="auto"/>
              </w:rPr>
            </w:pPr>
            <w:r>
              <w:rPr>
                <w:rFonts w:ascii="Arial" w:cs="Arial" w:eastAsia="Arial" w:hAnsi="Arial"/>
                <w:sz w:val="18"/>
                <w:szCs w:val="18"/>
                <w:color w:val="auto"/>
              </w:rPr>
              <w:t>(9 )</w:t>
            </w:r>
          </w:p>
        </w:tc>
        <w:tc>
          <w:tcPr>
            <w:tcW w:w="0" w:type="dxa"/>
            <w:vAlign w:val="bottom"/>
          </w:tcPr>
          <w:p>
            <w:pPr>
              <w:spacing w:after="0"/>
              <w:rPr>
                <w:sz w:val="1"/>
                <w:szCs w:val="1"/>
                <w:color w:val="auto"/>
              </w:rPr>
            </w:pPr>
          </w:p>
        </w:tc>
      </w:tr>
      <w:tr>
        <w:trPr>
          <w:trHeight w:val="251"/>
        </w:trPr>
        <w:tc>
          <w:tcPr>
            <w:tcW w:w="2700" w:type="dxa"/>
            <w:vAlign w:val="bottom"/>
          </w:tcPr>
          <w:p>
            <w:pPr>
              <w:spacing w:after="0"/>
              <w:rPr>
                <w:sz w:val="21"/>
                <w:szCs w:val="21"/>
                <w:color w:val="auto"/>
              </w:rPr>
            </w:pPr>
          </w:p>
        </w:tc>
        <w:tc>
          <w:tcPr>
            <w:tcW w:w="1160" w:type="dxa"/>
            <w:vAlign w:val="bottom"/>
            <w:shd w:val="clear" w:color="auto" w:fill="000000"/>
          </w:tcPr>
          <w:p>
            <w:pPr>
              <w:spacing w:after="0"/>
              <w:rPr>
                <w:sz w:val="21"/>
                <w:szCs w:val="21"/>
                <w:color w:val="auto"/>
              </w:rPr>
            </w:pPr>
          </w:p>
        </w:tc>
        <w:tc>
          <w:tcPr>
            <w:tcW w:w="16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2700" w:type="dxa"/>
            <w:vAlign w:val="bottom"/>
          </w:tcPr>
          <w:p>
            <w:pPr>
              <w:spacing w:after="0"/>
              <w:rPr>
                <w:sz w:val="20"/>
                <w:szCs w:val="20"/>
                <w:color w:val="auto"/>
              </w:rPr>
            </w:pPr>
            <w:r>
              <w:rPr>
                <w:rFonts w:ascii="Arial" w:cs="Arial" w:eastAsia="Arial" w:hAnsi="Arial"/>
                <w:sz w:val="18"/>
                <w:szCs w:val="18"/>
                <w:color w:val="auto"/>
              </w:rPr>
              <w:t>Comprehensive income</w:t>
            </w:r>
          </w:p>
        </w:tc>
        <w:tc>
          <w:tcPr>
            <w:tcW w:w="1160" w:type="dxa"/>
            <w:vAlign w:val="bottom"/>
          </w:tcPr>
          <w:p>
            <w:pPr>
              <w:jc w:val="right"/>
              <w:spacing w:after="0"/>
              <w:rPr>
                <w:sz w:val="20"/>
                <w:szCs w:val="20"/>
                <w:color w:val="auto"/>
              </w:rPr>
            </w:pPr>
            <w:r>
              <w:rPr>
                <w:rFonts w:ascii="Arial" w:cs="Arial" w:eastAsia="Arial" w:hAnsi="Arial"/>
                <w:sz w:val="18"/>
                <w:szCs w:val="18"/>
                <w:color w:val="auto"/>
              </w:rPr>
              <w:t>$ 331</w:t>
            </w:r>
          </w:p>
        </w:tc>
        <w:tc>
          <w:tcPr>
            <w:tcW w:w="16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9"/>
        </w:trPr>
        <w:tc>
          <w:tcPr>
            <w:tcW w:w="2700" w:type="dxa"/>
            <w:vAlign w:val="bottom"/>
            <w:vMerge w:val="restart"/>
          </w:tcPr>
          <w:p>
            <w:pPr>
              <w:spacing w:after="0"/>
              <w:rPr>
                <w:sz w:val="20"/>
                <w:szCs w:val="20"/>
                <w:color w:val="auto"/>
              </w:rPr>
            </w:pPr>
            <w:r>
              <w:rPr>
                <w:rFonts w:ascii="Arial" w:cs="Arial" w:eastAsia="Arial" w:hAnsi="Arial"/>
                <w:sz w:val="18"/>
                <w:szCs w:val="18"/>
                <w:color w:val="auto"/>
                <w:w w:val="96"/>
              </w:rPr>
              <w:t>Preferred stock dividends declared</w:t>
            </w:r>
          </w:p>
        </w:tc>
        <w:tc>
          <w:tcPr>
            <w:tcW w:w="1160" w:type="dxa"/>
            <w:vAlign w:val="bottom"/>
            <w:shd w:val="clear" w:color="auto" w:fill="000000"/>
          </w:tcPr>
          <w:p>
            <w:pPr>
              <w:spacing w:after="0"/>
              <w:rPr>
                <w:sz w:val="22"/>
                <w:szCs w:val="22"/>
                <w:color w:val="auto"/>
              </w:rPr>
            </w:pPr>
          </w:p>
        </w:tc>
        <w:tc>
          <w:tcPr>
            <w:tcW w:w="16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(6 )</w:t>
            </w:r>
          </w:p>
        </w:tc>
        <w:tc>
          <w:tcPr>
            <w:tcW w:w="1360" w:type="dxa"/>
            <w:vAlign w:val="bottom"/>
          </w:tcPr>
          <w:p>
            <w:pPr>
              <w:spacing w:after="0"/>
              <w:rPr>
                <w:sz w:val="22"/>
                <w:szCs w:val="22"/>
                <w:color w:val="auto"/>
              </w:rPr>
            </w:pPr>
          </w:p>
        </w:tc>
        <w:tc>
          <w:tcPr>
            <w:tcW w:w="1160" w:type="dxa"/>
            <w:vAlign w:val="bottom"/>
            <w:vMerge w:val="restart"/>
          </w:tcPr>
          <w:p>
            <w:pPr>
              <w:jc w:val="right"/>
              <w:spacing w:after="0"/>
              <w:rPr>
                <w:sz w:val="20"/>
                <w:szCs w:val="20"/>
                <w:color w:val="auto"/>
              </w:rPr>
            </w:pPr>
            <w:r>
              <w:rPr>
                <w:rFonts w:ascii="Arial" w:cs="Arial" w:eastAsia="Arial" w:hAnsi="Arial"/>
                <w:sz w:val="18"/>
                <w:szCs w:val="18"/>
                <w:color w:val="auto"/>
              </w:rPr>
              <w:t>(6 )</w:t>
            </w:r>
          </w:p>
        </w:tc>
        <w:tc>
          <w:tcPr>
            <w:tcW w:w="0" w:type="dxa"/>
            <w:vAlign w:val="bottom"/>
          </w:tcPr>
          <w:p>
            <w:pPr>
              <w:spacing w:after="0"/>
              <w:rPr>
                <w:sz w:val="1"/>
                <w:szCs w:val="1"/>
                <w:color w:val="auto"/>
              </w:rPr>
            </w:pPr>
          </w:p>
        </w:tc>
      </w:tr>
      <w:tr>
        <w:trPr>
          <w:trHeight w:val="255"/>
        </w:trPr>
        <w:tc>
          <w:tcPr>
            <w:tcW w:w="2700" w:type="dxa"/>
            <w:vAlign w:val="bottom"/>
            <w:vMerge w:val="continue"/>
          </w:tcPr>
          <w:p>
            <w:pPr>
              <w:spacing w:after="0"/>
              <w:rPr>
                <w:sz w:val="22"/>
                <w:szCs w:val="22"/>
                <w:color w:val="auto"/>
              </w:rPr>
            </w:pPr>
          </w:p>
        </w:tc>
        <w:tc>
          <w:tcPr>
            <w:tcW w:w="11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860" w:type="dxa"/>
            <w:vAlign w:val="bottom"/>
            <w:vMerge w:val="continue"/>
          </w:tcPr>
          <w:p>
            <w:pPr>
              <w:spacing w:after="0"/>
              <w:rPr>
                <w:sz w:val="22"/>
                <w:szCs w:val="22"/>
                <w:color w:val="auto"/>
              </w:rPr>
            </w:pPr>
          </w:p>
        </w:tc>
        <w:tc>
          <w:tcPr>
            <w:tcW w:w="1360" w:type="dxa"/>
            <w:vAlign w:val="bottom"/>
          </w:tcPr>
          <w:p>
            <w:pPr>
              <w:spacing w:after="0"/>
              <w:rPr>
                <w:sz w:val="22"/>
                <w:szCs w:val="22"/>
                <w:color w:val="auto"/>
              </w:rPr>
            </w:pPr>
          </w:p>
        </w:tc>
        <w:tc>
          <w:tcPr>
            <w:tcW w:w="116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2700" w:type="dxa"/>
            <w:vAlign w:val="bottom"/>
          </w:tcPr>
          <w:p>
            <w:pPr>
              <w:spacing w:after="0"/>
              <w:rPr>
                <w:sz w:val="20"/>
                <w:szCs w:val="20"/>
                <w:color w:val="auto"/>
              </w:rPr>
            </w:pPr>
            <w:r>
              <w:rPr>
                <w:rFonts w:ascii="Arial" w:cs="Arial" w:eastAsia="Arial" w:hAnsi="Arial"/>
                <w:sz w:val="18"/>
                <w:szCs w:val="18"/>
                <w:color w:val="auto"/>
                <w:w w:val="97"/>
              </w:rPr>
              <w:t>Common stock dividends declared</w:t>
            </w:r>
          </w:p>
        </w:tc>
        <w:tc>
          <w:tcPr>
            <w:tcW w:w="11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(200 )</w:t>
            </w:r>
          </w:p>
        </w:tc>
        <w:tc>
          <w:tcPr>
            <w:tcW w:w="136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(200 )</w:t>
            </w:r>
          </w:p>
        </w:tc>
        <w:tc>
          <w:tcPr>
            <w:tcW w:w="0" w:type="dxa"/>
            <w:vAlign w:val="bottom"/>
          </w:tcPr>
          <w:p>
            <w:pPr>
              <w:spacing w:after="0"/>
              <w:rPr>
                <w:sz w:val="1"/>
                <w:szCs w:val="1"/>
                <w:color w:val="auto"/>
              </w:rPr>
            </w:pPr>
          </w:p>
        </w:tc>
      </w:tr>
      <w:tr>
        <w:trPr>
          <w:trHeight w:val="278"/>
        </w:trPr>
        <w:tc>
          <w:tcPr>
            <w:tcW w:w="2700" w:type="dxa"/>
            <w:vAlign w:val="bottom"/>
          </w:tcPr>
          <w:p>
            <w:pPr>
              <w:spacing w:after="0"/>
              <w:rPr>
                <w:sz w:val="20"/>
                <w:szCs w:val="20"/>
                <w:color w:val="auto"/>
              </w:rPr>
            </w:pPr>
            <w:r>
              <w:rPr>
                <w:rFonts w:ascii="Arial" w:cs="Arial" w:eastAsia="Arial" w:hAnsi="Arial"/>
                <w:sz w:val="18"/>
                <w:szCs w:val="18"/>
                <w:color w:val="auto"/>
              </w:rPr>
              <w:t>Capital contribution</w:t>
            </w:r>
          </w:p>
        </w:tc>
        <w:tc>
          <w:tcPr>
            <w:tcW w:w="1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(5 )</w:t>
            </w:r>
          </w:p>
        </w:tc>
        <w:tc>
          <w:tcPr>
            <w:tcW w:w="8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(5 )</w:t>
            </w:r>
          </w:p>
        </w:tc>
        <w:tc>
          <w:tcPr>
            <w:tcW w:w="0" w:type="dxa"/>
            <w:vAlign w:val="bottom"/>
          </w:tcPr>
          <w:p>
            <w:pPr>
              <w:spacing w:after="0"/>
              <w:rPr>
                <w:sz w:val="1"/>
                <w:szCs w:val="1"/>
                <w:color w:val="auto"/>
              </w:rPr>
            </w:pPr>
          </w:p>
        </w:tc>
      </w:tr>
      <w:tr>
        <w:trPr>
          <w:trHeight w:val="251"/>
        </w:trPr>
        <w:tc>
          <w:tcPr>
            <w:tcW w:w="27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60" w:type="dxa"/>
            <w:vAlign w:val="bottom"/>
            <w:shd w:val="clear" w:color="auto" w:fill="000000"/>
          </w:tcPr>
          <w:p>
            <w:pPr>
              <w:spacing w:after="0"/>
              <w:rPr>
                <w:sz w:val="21"/>
                <w:szCs w:val="21"/>
                <w:color w:val="auto"/>
              </w:rPr>
            </w:pPr>
          </w:p>
        </w:tc>
        <w:tc>
          <w:tcPr>
            <w:tcW w:w="1280" w:type="dxa"/>
            <w:vAlign w:val="bottom"/>
            <w:shd w:val="clear" w:color="auto" w:fill="000000"/>
          </w:tcPr>
          <w:p>
            <w:pPr>
              <w:spacing w:after="0"/>
              <w:rPr>
                <w:sz w:val="21"/>
                <w:szCs w:val="21"/>
                <w:color w:val="auto"/>
              </w:rPr>
            </w:pPr>
          </w:p>
        </w:tc>
        <w:tc>
          <w:tcPr>
            <w:tcW w:w="920" w:type="dxa"/>
            <w:vAlign w:val="bottom"/>
            <w:shd w:val="clear" w:color="auto" w:fill="000000"/>
          </w:tcPr>
          <w:p>
            <w:pPr>
              <w:spacing w:after="0"/>
              <w:rPr>
                <w:sz w:val="21"/>
                <w:szCs w:val="21"/>
                <w:color w:val="auto"/>
              </w:rPr>
            </w:pPr>
          </w:p>
        </w:tc>
        <w:tc>
          <w:tcPr>
            <w:tcW w:w="860" w:type="dxa"/>
            <w:vAlign w:val="bottom"/>
            <w:shd w:val="clear" w:color="auto" w:fill="000000"/>
          </w:tcPr>
          <w:p>
            <w:pPr>
              <w:spacing w:after="0"/>
              <w:rPr>
                <w:sz w:val="21"/>
                <w:szCs w:val="21"/>
                <w:color w:val="auto"/>
              </w:rPr>
            </w:pPr>
          </w:p>
        </w:tc>
        <w:tc>
          <w:tcPr>
            <w:tcW w:w="1360" w:type="dxa"/>
            <w:vAlign w:val="bottom"/>
            <w:shd w:val="clear" w:color="auto" w:fill="000000"/>
          </w:tcPr>
          <w:p>
            <w:pPr>
              <w:spacing w:after="0"/>
              <w:rPr>
                <w:sz w:val="21"/>
                <w:szCs w:val="21"/>
                <w:color w:val="auto"/>
              </w:rPr>
            </w:pPr>
          </w:p>
        </w:tc>
        <w:tc>
          <w:tcPr>
            <w:tcW w:w="1160" w:type="dxa"/>
            <w:vAlign w:val="bottom"/>
            <w:shd w:val="clear" w:color="auto" w:fill="000000"/>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2700" w:type="dxa"/>
            <w:vAlign w:val="bottom"/>
          </w:tcPr>
          <w:p>
            <w:pPr>
              <w:spacing w:after="0"/>
              <w:rPr>
                <w:sz w:val="20"/>
                <w:szCs w:val="20"/>
                <w:color w:val="auto"/>
              </w:rPr>
            </w:pPr>
            <w:r>
              <w:rPr>
                <w:rFonts w:ascii="Arial" w:cs="Arial" w:eastAsia="Arial" w:hAnsi="Arial"/>
                <w:sz w:val="18"/>
                <w:szCs w:val="18"/>
                <w:color w:val="auto"/>
              </w:rPr>
              <w:t>Balance at December 31, 2003</w:t>
            </w:r>
          </w:p>
        </w:tc>
        <w:tc>
          <w:tcPr>
            <w:tcW w:w="11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79</w:t>
            </w:r>
          </w:p>
        </w:tc>
        <w:tc>
          <w:tcPr>
            <w:tcW w:w="920" w:type="dxa"/>
            <w:vAlign w:val="bottom"/>
          </w:tcPr>
          <w:p>
            <w:pPr>
              <w:jc w:val="right"/>
              <w:ind w:right="72"/>
              <w:spacing w:after="0"/>
              <w:rPr>
                <w:sz w:val="20"/>
                <w:szCs w:val="20"/>
                <w:color w:val="auto"/>
              </w:rPr>
            </w:pPr>
            <w:r>
              <w:rPr>
                <w:rFonts w:ascii="Arial" w:cs="Arial" w:eastAsia="Arial" w:hAnsi="Arial"/>
                <w:sz w:val="18"/>
                <w:szCs w:val="18"/>
                <w:color w:val="auto"/>
              </w:rPr>
              <w:t>938</w:t>
            </w:r>
          </w:p>
        </w:tc>
        <w:tc>
          <w:tcPr>
            <w:tcW w:w="860" w:type="dxa"/>
            <w:vAlign w:val="bottom"/>
          </w:tcPr>
          <w:p>
            <w:pPr>
              <w:jc w:val="right"/>
              <w:ind w:right="72"/>
              <w:spacing w:after="0"/>
              <w:rPr>
                <w:sz w:val="20"/>
                <w:szCs w:val="20"/>
                <w:color w:val="auto"/>
              </w:rPr>
            </w:pPr>
            <w:r>
              <w:rPr>
                <w:rFonts w:ascii="Arial" w:cs="Arial" w:eastAsia="Arial" w:hAnsi="Arial"/>
                <w:sz w:val="18"/>
                <w:szCs w:val="18"/>
                <w:color w:val="auto"/>
              </w:rPr>
              <w:t>369</w:t>
            </w:r>
          </w:p>
        </w:tc>
        <w:tc>
          <w:tcPr>
            <w:tcW w:w="1360" w:type="dxa"/>
            <w:vAlign w:val="bottom"/>
          </w:tcPr>
          <w:p>
            <w:pPr>
              <w:jc w:val="right"/>
              <w:ind w:right="12"/>
              <w:spacing w:after="0"/>
              <w:rPr>
                <w:sz w:val="20"/>
                <w:szCs w:val="20"/>
                <w:color w:val="auto"/>
              </w:rPr>
            </w:pPr>
            <w:r>
              <w:rPr>
                <w:rFonts w:ascii="Arial" w:cs="Arial" w:eastAsia="Arial" w:hAnsi="Arial"/>
                <w:sz w:val="18"/>
                <w:szCs w:val="18"/>
                <w:color w:val="auto"/>
              </w:rPr>
              <w:t>(43 )</w:t>
            </w: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1,343</w:t>
            </w:r>
          </w:p>
        </w:tc>
        <w:tc>
          <w:tcPr>
            <w:tcW w:w="0" w:type="dxa"/>
            <w:vAlign w:val="bottom"/>
          </w:tcPr>
          <w:p>
            <w:pPr>
              <w:spacing w:after="0"/>
              <w:rPr>
                <w:sz w:val="1"/>
                <w:szCs w:val="1"/>
                <w:color w:val="auto"/>
              </w:rPr>
            </w:pPr>
          </w:p>
        </w:tc>
      </w:tr>
      <w:tr>
        <w:trPr>
          <w:trHeight w:val="270"/>
        </w:trPr>
        <w:tc>
          <w:tcPr>
            <w:tcW w:w="2700" w:type="dxa"/>
            <w:vAlign w:val="bottom"/>
          </w:tcPr>
          <w:p>
            <w:pPr>
              <w:spacing w:after="0"/>
              <w:rPr>
                <w:sz w:val="20"/>
                <w:szCs w:val="20"/>
                <w:color w:val="auto"/>
              </w:rPr>
            </w:pPr>
            <w:r>
              <w:rPr>
                <w:rFonts w:ascii="Arial" w:cs="Arial" w:eastAsia="Arial" w:hAnsi="Arial"/>
                <w:sz w:val="18"/>
                <w:szCs w:val="18"/>
                <w:color w:val="auto"/>
              </w:rPr>
              <w:t>Net income</w:t>
            </w:r>
          </w:p>
        </w:tc>
        <w:tc>
          <w:tcPr>
            <w:tcW w:w="1160" w:type="dxa"/>
            <w:vAlign w:val="bottom"/>
          </w:tcPr>
          <w:p>
            <w:pPr>
              <w:jc w:val="right"/>
              <w:spacing w:after="0"/>
              <w:rPr>
                <w:sz w:val="20"/>
                <w:szCs w:val="20"/>
                <w:color w:val="auto"/>
              </w:rPr>
            </w:pPr>
            <w:r>
              <w:rPr>
                <w:rFonts w:ascii="Arial" w:cs="Arial" w:eastAsia="Arial" w:hAnsi="Arial"/>
                <w:sz w:val="18"/>
                <w:szCs w:val="18"/>
                <w:color w:val="auto"/>
              </w:rPr>
              <w:t>$ 213</w:t>
            </w:r>
          </w:p>
        </w:tc>
        <w:tc>
          <w:tcPr>
            <w:tcW w:w="16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860" w:type="dxa"/>
            <w:vAlign w:val="bottom"/>
          </w:tcPr>
          <w:p>
            <w:pPr>
              <w:jc w:val="right"/>
              <w:ind w:right="72"/>
              <w:spacing w:after="0"/>
              <w:rPr>
                <w:sz w:val="20"/>
                <w:szCs w:val="20"/>
                <w:color w:val="auto"/>
              </w:rPr>
            </w:pPr>
            <w:r>
              <w:rPr>
                <w:rFonts w:ascii="Arial" w:cs="Arial" w:eastAsia="Arial" w:hAnsi="Arial"/>
                <w:sz w:val="18"/>
                <w:szCs w:val="18"/>
                <w:color w:val="auto"/>
              </w:rPr>
              <w:t>213</w:t>
            </w:r>
          </w:p>
        </w:tc>
        <w:tc>
          <w:tcPr>
            <w:tcW w:w="1360" w:type="dxa"/>
            <w:vAlign w:val="bottom"/>
          </w:tcPr>
          <w:p>
            <w:pPr>
              <w:spacing w:after="0"/>
              <w:rPr>
                <w:sz w:val="23"/>
                <w:szCs w:val="23"/>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213</w:t>
            </w:r>
          </w:p>
        </w:tc>
        <w:tc>
          <w:tcPr>
            <w:tcW w:w="0" w:type="dxa"/>
            <w:vAlign w:val="bottom"/>
          </w:tcPr>
          <w:p>
            <w:pPr>
              <w:spacing w:after="0"/>
              <w:rPr>
                <w:sz w:val="1"/>
                <w:szCs w:val="1"/>
                <w:color w:val="auto"/>
              </w:rPr>
            </w:pPr>
          </w:p>
        </w:tc>
      </w:tr>
      <w:tr>
        <w:trPr>
          <w:trHeight w:val="237"/>
        </w:trPr>
        <w:tc>
          <w:tcPr>
            <w:tcW w:w="2700" w:type="dxa"/>
            <w:vAlign w:val="bottom"/>
          </w:tcPr>
          <w:p>
            <w:pPr>
              <w:spacing w:after="0"/>
              <w:rPr>
                <w:sz w:val="20"/>
                <w:szCs w:val="20"/>
                <w:color w:val="auto"/>
              </w:rPr>
            </w:pPr>
            <w:r>
              <w:rPr>
                <w:rFonts w:ascii="Arial" w:cs="Arial" w:eastAsia="Arial" w:hAnsi="Arial"/>
                <w:sz w:val="18"/>
                <w:szCs w:val="18"/>
                <w:color w:val="auto"/>
              </w:rPr>
              <w:t>Other comprehensive income</w:t>
            </w:r>
          </w:p>
        </w:tc>
        <w:tc>
          <w:tcPr>
            <w:tcW w:w="1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700" w:type="dxa"/>
            <w:vAlign w:val="bottom"/>
          </w:tcPr>
          <w:p>
            <w:pPr>
              <w:spacing w:after="0"/>
              <w:rPr>
                <w:sz w:val="20"/>
                <w:szCs w:val="20"/>
                <w:color w:val="auto"/>
              </w:rPr>
            </w:pPr>
            <w:r>
              <w:rPr>
                <w:rFonts w:ascii="Arial" w:cs="Arial" w:eastAsia="Arial" w:hAnsi="Arial"/>
                <w:sz w:val="18"/>
                <w:szCs w:val="18"/>
                <w:color w:val="auto"/>
              </w:rPr>
              <w:t>adjustment - pension</w:t>
            </w:r>
          </w:p>
        </w:tc>
        <w:tc>
          <w:tcPr>
            <w:tcW w:w="1160" w:type="dxa"/>
            <w:vAlign w:val="bottom"/>
          </w:tcPr>
          <w:p>
            <w:pPr>
              <w:jc w:val="right"/>
              <w:spacing w:after="0"/>
              <w:rPr>
                <w:sz w:val="20"/>
                <w:szCs w:val="20"/>
                <w:color w:val="auto"/>
              </w:rPr>
            </w:pPr>
            <w:r>
              <w:rPr>
                <w:rFonts w:ascii="Arial" w:cs="Arial" w:eastAsia="Arial" w:hAnsi="Arial"/>
                <w:sz w:val="18"/>
                <w:szCs w:val="18"/>
                <w:color w:val="auto"/>
              </w:rPr>
              <w:t>30</w:t>
            </w:r>
          </w:p>
        </w:tc>
        <w:tc>
          <w:tcPr>
            <w:tcW w:w="1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360" w:type="dxa"/>
            <w:vAlign w:val="bottom"/>
          </w:tcPr>
          <w:p>
            <w:pPr>
              <w:jc w:val="right"/>
              <w:ind w:right="92"/>
              <w:spacing w:after="0"/>
              <w:rPr>
                <w:sz w:val="20"/>
                <w:szCs w:val="20"/>
                <w:color w:val="auto"/>
              </w:rPr>
            </w:pPr>
            <w:r>
              <w:rPr>
                <w:rFonts w:ascii="Arial" w:cs="Arial" w:eastAsia="Arial" w:hAnsi="Arial"/>
                <w:sz w:val="18"/>
                <w:szCs w:val="18"/>
                <w:color w:val="auto"/>
              </w:rPr>
              <w:t>30</w:t>
            </w: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51"/>
        </w:trPr>
        <w:tc>
          <w:tcPr>
            <w:tcW w:w="2700" w:type="dxa"/>
            <w:vAlign w:val="bottom"/>
          </w:tcPr>
          <w:p>
            <w:pPr>
              <w:spacing w:after="0"/>
              <w:rPr>
                <w:sz w:val="21"/>
                <w:szCs w:val="21"/>
                <w:color w:val="auto"/>
              </w:rPr>
            </w:pPr>
          </w:p>
        </w:tc>
        <w:tc>
          <w:tcPr>
            <w:tcW w:w="1160" w:type="dxa"/>
            <w:vAlign w:val="bottom"/>
            <w:shd w:val="clear" w:color="auto" w:fill="000000"/>
          </w:tcPr>
          <w:p>
            <w:pPr>
              <w:spacing w:after="0"/>
              <w:rPr>
                <w:sz w:val="21"/>
                <w:szCs w:val="21"/>
                <w:color w:val="auto"/>
              </w:rPr>
            </w:pPr>
          </w:p>
        </w:tc>
        <w:tc>
          <w:tcPr>
            <w:tcW w:w="16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2700" w:type="dxa"/>
            <w:vAlign w:val="bottom"/>
          </w:tcPr>
          <w:p>
            <w:pPr>
              <w:spacing w:after="0"/>
              <w:rPr>
                <w:sz w:val="20"/>
                <w:szCs w:val="20"/>
                <w:color w:val="auto"/>
              </w:rPr>
            </w:pPr>
            <w:r>
              <w:rPr>
                <w:rFonts w:ascii="Arial" w:cs="Arial" w:eastAsia="Arial" w:hAnsi="Arial"/>
                <w:sz w:val="18"/>
                <w:szCs w:val="18"/>
                <w:color w:val="auto"/>
              </w:rPr>
              <w:t>Comprehensive income</w:t>
            </w:r>
          </w:p>
        </w:tc>
        <w:tc>
          <w:tcPr>
            <w:tcW w:w="1160" w:type="dxa"/>
            <w:vAlign w:val="bottom"/>
          </w:tcPr>
          <w:p>
            <w:pPr>
              <w:jc w:val="right"/>
              <w:spacing w:after="0"/>
              <w:rPr>
                <w:sz w:val="20"/>
                <w:szCs w:val="20"/>
                <w:color w:val="auto"/>
              </w:rPr>
            </w:pPr>
            <w:r>
              <w:rPr>
                <w:rFonts w:ascii="Arial" w:cs="Arial" w:eastAsia="Arial" w:hAnsi="Arial"/>
                <w:sz w:val="18"/>
                <w:szCs w:val="18"/>
                <w:color w:val="auto"/>
              </w:rPr>
              <w:t>$ 243</w:t>
            </w:r>
          </w:p>
        </w:tc>
        <w:tc>
          <w:tcPr>
            <w:tcW w:w="16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9"/>
        </w:trPr>
        <w:tc>
          <w:tcPr>
            <w:tcW w:w="2700" w:type="dxa"/>
            <w:vAlign w:val="bottom"/>
            <w:vMerge w:val="restart"/>
          </w:tcPr>
          <w:p>
            <w:pPr>
              <w:spacing w:after="0"/>
              <w:rPr>
                <w:sz w:val="20"/>
                <w:szCs w:val="20"/>
                <w:color w:val="auto"/>
              </w:rPr>
            </w:pPr>
            <w:r>
              <w:rPr>
                <w:rFonts w:ascii="Arial" w:cs="Arial" w:eastAsia="Arial" w:hAnsi="Arial"/>
                <w:sz w:val="18"/>
                <w:szCs w:val="18"/>
                <w:color w:val="auto"/>
                <w:w w:val="96"/>
              </w:rPr>
              <w:t>Preferred stock dividends declared</w:t>
            </w:r>
          </w:p>
        </w:tc>
        <w:tc>
          <w:tcPr>
            <w:tcW w:w="1160" w:type="dxa"/>
            <w:vAlign w:val="bottom"/>
            <w:shd w:val="clear" w:color="auto" w:fill="000000"/>
          </w:tcPr>
          <w:p>
            <w:pPr>
              <w:spacing w:after="0"/>
              <w:rPr>
                <w:sz w:val="22"/>
                <w:szCs w:val="22"/>
                <w:color w:val="auto"/>
              </w:rPr>
            </w:pPr>
          </w:p>
        </w:tc>
        <w:tc>
          <w:tcPr>
            <w:tcW w:w="16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(5 )</w:t>
            </w:r>
          </w:p>
        </w:tc>
        <w:tc>
          <w:tcPr>
            <w:tcW w:w="1360" w:type="dxa"/>
            <w:vAlign w:val="bottom"/>
          </w:tcPr>
          <w:p>
            <w:pPr>
              <w:spacing w:after="0"/>
              <w:rPr>
                <w:sz w:val="22"/>
                <w:szCs w:val="22"/>
                <w:color w:val="auto"/>
              </w:rPr>
            </w:pPr>
          </w:p>
        </w:tc>
        <w:tc>
          <w:tcPr>
            <w:tcW w:w="1160" w:type="dxa"/>
            <w:vAlign w:val="bottom"/>
            <w:vMerge w:val="restart"/>
          </w:tcPr>
          <w:p>
            <w:pPr>
              <w:jc w:val="right"/>
              <w:spacing w:after="0"/>
              <w:rPr>
                <w:sz w:val="20"/>
                <w:szCs w:val="20"/>
                <w:color w:val="auto"/>
              </w:rPr>
            </w:pPr>
            <w:r>
              <w:rPr>
                <w:rFonts w:ascii="Arial" w:cs="Arial" w:eastAsia="Arial" w:hAnsi="Arial"/>
                <w:sz w:val="18"/>
                <w:szCs w:val="18"/>
                <w:color w:val="auto"/>
              </w:rPr>
              <w:t>(5 )</w:t>
            </w:r>
          </w:p>
        </w:tc>
        <w:tc>
          <w:tcPr>
            <w:tcW w:w="0" w:type="dxa"/>
            <w:vAlign w:val="bottom"/>
          </w:tcPr>
          <w:p>
            <w:pPr>
              <w:spacing w:after="0"/>
              <w:rPr>
                <w:sz w:val="1"/>
                <w:szCs w:val="1"/>
                <w:color w:val="auto"/>
              </w:rPr>
            </w:pPr>
          </w:p>
        </w:tc>
      </w:tr>
      <w:tr>
        <w:trPr>
          <w:trHeight w:val="255"/>
        </w:trPr>
        <w:tc>
          <w:tcPr>
            <w:tcW w:w="2700" w:type="dxa"/>
            <w:vAlign w:val="bottom"/>
            <w:vMerge w:val="continue"/>
          </w:tcPr>
          <w:p>
            <w:pPr>
              <w:spacing w:after="0"/>
              <w:rPr>
                <w:sz w:val="22"/>
                <w:szCs w:val="22"/>
                <w:color w:val="auto"/>
              </w:rPr>
            </w:pPr>
          </w:p>
        </w:tc>
        <w:tc>
          <w:tcPr>
            <w:tcW w:w="11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860" w:type="dxa"/>
            <w:vAlign w:val="bottom"/>
            <w:vMerge w:val="continue"/>
          </w:tcPr>
          <w:p>
            <w:pPr>
              <w:spacing w:after="0"/>
              <w:rPr>
                <w:sz w:val="22"/>
                <w:szCs w:val="22"/>
                <w:color w:val="auto"/>
              </w:rPr>
            </w:pPr>
          </w:p>
        </w:tc>
        <w:tc>
          <w:tcPr>
            <w:tcW w:w="1360" w:type="dxa"/>
            <w:vAlign w:val="bottom"/>
          </w:tcPr>
          <w:p>
            <w:pPr>
              <w:spacing w:after="0"/>
              <w:rPr>
                <w:sz w:val="22"/>
                <w:szCs w:val="22"/>
                <w:color w:val="auto"/>
              </w:rPr>
            </w:pPr>
          </w:p>
        </w:tc>
        <w:tc>
          <w:tcPr>
            <w:tcW w:w="116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78"/>
        </w:trPr>
        <w:tc>
          <w:tcPr>
            <w:tcW w:w="2700" w:type="dxa"/>
            <w:vAlign w:val="bottom"/>
          </w:tcPr>
          <w:p>
            <w:pPr>
              <w:spacing w:after="0"/>
              <w:rPr>
                <w:sz w:val="20"/>
                <w:szCs w:val="20"/>
                <w:color w:val="auto"/>
              </w:rPr>
            </w:pPr>
            <w:r>
              <w:rPr>
                <w:rFonts w:ascii="Arial" w:cs="Arial" w:eastAsia="Arial" w:hAnsi="Arial"/>
                <w:sz w:val="18"/>
                <w:szCs w:val="18"/>
                <w:color w:val="auto"/>
                <w:w w:val="97"/>
              </w:rPr>
              <w:t>Common stock dividends declared</w:t>
            </w:r>
          </w:p>
        </w:tc>
        <w:tc>
          <w:tcPr>
            <w:tcW w:w="1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(205 )</w:t>
            </w:r>
          </w:p>
        </w:tc>
        <w:tc>
          <w:tcPr>
            <w:tcW w:w="136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(205 )</w:t>
            </w:r>
          </w:p>
        </w:tc>
        <w:tc>
          <w:tcPr>
            <w:tcW w:w="0" w:type="dxa"/>
            <w:vAlign w:val="bottom"/>
          </w:tcPr>
          <w:p>
            <w:pPr>
              <w:spacing w:after="0"/>
              <w:rPr>
                <w:sz w:val="1"/>
                <w:szCs w:val="1"/>
                <w:color w:val="auto"/>
              </w:rPr>
            </w:pPr>
          </w:p>
        </w:tc>
      </w:tr>
      <w:tr>
        <w:trPr>
          <w:trHeight w:val="251"/>
        </w:trPr>
        <w:tc>
          <w:tcPr>
            <w:tcW w:w="27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60" w:type="dxa"/>
            <w:vAlign w:val="bottom"/>
            <w:shd w:val="clear" w:color="auto" w:fill="000000"/>
          </w:tcPr>
          <w:p>
            <w:pPr>
              <w:spacing w:after="0"/>
              <w:rPr>
                <w:sz w:val="21"/>
                <w:szCs w:val="21"/>
                <w:color w:val="auto"/>
              </w:rPr>
            </w:pPr>
          </w:p>
        </w:tc>
        <w:tc>
          <w:tcPr>
            <w:tcW w:w="1280" w:type="dxa"/>
            <w:vAlign w:val="bottom"/>
            <w:shd w:val="clear" w:color="auto" w:fill="000000"/>
          </w:tcPr>
          <w:p>
            <w:pPr>
              <w:spacing w:after="0"/>
              <w:rPr>
                <w:sz w:val="21"/>
                <w:szCs w:val="21"/>
                <w:color w:val="auto"/>
              </w:rPr>
            </w:pPr>
          </w:p>
        </w:tc>
        <w:tc>
          <w:tcPr>
            <w:tcW w:w="920" w:type="dxa"/>
            <w:vAlign w:val="bottom"/>
            <w:shd w:val="clear" w:color="auto" w:fill="000000"/>
          </w:tcPr>
          <w:p>
            <w:pPr>
              <w:spacing w:after="0"/>
              <w:rPr>
                <w:sz w:val="21"/>
                <w:szCs w:val="21"/>
                <w:color w:val="auto"/>
              </w:rPr>
            </w:pPr>
          </w:p>
        </w:tc>
        <w:tc>
          <w:tcPr>
            <w:tcW w:w="860" w:type="dxa"/>
            <w:vAlign w:val="bottom"/>
            <w:shd w:val="clear" w:color="auto" w:fill="000000"/>
          </w:tcPr>
          <w:p>
            <w:pPr>
              <w:spacing w:after="0"/>
              <w:rPr>
                <w:sz w:val="21"/>
                <w:szCs w:val="21"/>
                <w:color w:val="auto"/>
              </w:rPr>
            </w:pPr>
          </w:p>
        </w:tc>
        <w:tc>
          <w:tcPr>
            <w:tcW w:w="1360" w:type="dxa"/>
            <w:vAlign w:val="bottom"/>
            <w:shd w:val="clear" w:color="auto" w:fill="000000"/>
          </w:tcPr>
          <w:p>
            <w:pPr>
              <w:spacing w:after="0"/>
              <w:rPr>
                <w:sz w:val="21"/>
                <w:szCs w:val="21"/>
                <w:color w:val="auto"/>
              </w:rPr>
            </w:pPr>
          </w:p>
        </w:tc>
        <w:tc>
          <w:tcPr>
            <w:tcW w:w="1160" w:type="dxa"/>
            <w:vAlign w:val="bottom"/>
            <w:shd w:val="clear" w:color="auto" w:fill="000000"/>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2700" w:type="dxa"/>
            <w:vAlign w:val="bottom"/>
          </w:tcPr>
          <w:p>
            <w:pPr>
              <w:spacing w:after="0"/>
              <w:rPr>
                <w:sz w:val="20"/>
                <w:szCs w:val="20"/>
                <w:color w:val="auto"/>
              </w:rPr>
            </w:pPr>
            <w:r>
              <w:rPr>
                <w:rFonts w:ascii="Arial" w:cs="Arial" w:eastAsia="Arial" w:hAnsi="Arial"/>
                <w:sz w:val="18"/>
                <w:szCs w:val="18"/>
                <w:color w:val="auto"/>
              </w:rPr>
              <w:t>Balance at December 31, 2004</w:t>
            </w:r>
          </w:p>
        </w:tc>
        <w:tc>
          <w:tcPr>
            <w:tcW w:w="11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79</w:t>
            </w:r>
          </w:p>
        </w:tc>
        <w:tc>
          <w:tcPr>
            <w:tcW w:w="920" w:type="dxa"/>
            <w:vAlign w:val="bottom"/>
          </w:tcPr>
          <w:p>
            <w:pPr>
              <w:jc w:val="right"/>
              <w:ind w:right="72"/>
              <w:spacing w:after="0"/>
              <w:rPr>
                <w:sz w:val="20"/>
                <w:szCs w:val="20"/>
                <w:color w:val="auto"/>
              </w:rPr>
            </w:pPr>
            <w:r>
              <w:rPr>
                <w:rFonts w:ascii="Arial" w:cs="Arial" w:eastAsia="Arial" w:hAnsi="Arial"/>
                <w:sz w:val="18"/>
                <w:szCs w:val="18"/>
                <w:color w:val="auto"/>
              </w:rPr>
              <w:t>938</w:t>
            </w:r>
          </w:p>
        </w:tc>
        <w:tc>
          <w:tcPr>
            <w:tcW w:w="860" w:type="dxa"/>
            <w:vAlign w:val="bottom"/>
          </w:tcPr>
          <w:p>
            <w:pPr>
              <w:jc w:val="right"/>
              <w:ind w:right="72"/>
              <w:spacing w:after="0"/>
              <w:rPr>
                <w:sz w:val="20"/>
                <w:szCs w:val="20"/>
                <w:color w:val="auto"/>
              </w:rPr>
            </w:pPr>
            <w:r>
              <w:rPr>
                <w:rFonts w:ascii="Arial" w:cs="Arial" w:eastAsia="Arial" w:hAnsi="Arial"/>
                <w:sz w:val="18"/>
                <w:szCs w:val="18"/>
                <w:color w:val="auto"/>
              </w:rPr>
              <w:t>372</w:t>
            </w:r>
          </w:p>
        </w:tc>
        <w:tc>
          <w:tcPr>
            <w:tcW w:w="1360" w:type="dxa"/>
            <w:vAlign w:val="bottom"/>
          </w:tcPr>
          <w:p>
            <w:pPr>
              <w:jc w:val="right"/>
              <w:ind w:right="12"/>
              <w:spacing w:after="0"/>
              <w:rPr>
                <w:sz w:val="20"/>
                <w:szCs w:val="20"/>
                <w:color w:val="auto"/>
              </w:rPr>
            </w:pPr>
            <w:r>
              <w:rPr>
                <w:rFonts w:ascii="Arial" w:cs="Arial" w:eastAsia="Arial" w:hAnsi="Arial"/>
                <w:sz w:val="18"/>
                <w:szCs w:val="18"/>
                <w:color w:val="auto"/>
              </w:rPr>
              <w:t>(13 )</w:t>
            </w: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1,376</w:t>
            </w:r>
          </w:p>
        </w:tc>
        <w:tc>
          <w:tcPr>
            <w:tcW w:w="0" w:type="dxa"/>
            <w:vAlign w:val="bottom"/>
          </w:tcPr>
          <w:p>
            <w:pPr>
              <w:spacing w:after="0"/>
              <w:rPr>
                <w:sz w:val="1"/>
                <w:szCs w:val="1"/>
                <w:color w:val="auto"/>
              </w:rPr>
            </w:pPr>
          </w:p>
        </w:tc>
      </w:tr>
      <w:tr>
        <w:trPr>
          <w:trHeight w:val="270"/>
        </w:trPr>
        <w:tc>
          <w:tcPr>
            <w:tcW w:w="2700" w:type="dxa"/>
            <w:vAlign w:val="bottom"/>
          </w:tcPr>
          <w:p>
            <w:pPr>
              <w:spacing w:after="0"/>
              <w:rPr>
                <w:sz w:val="20"/>
                <w:szCs w:val="20"/>
                <w:color w:val="auto"/>
              </w:rPr>
            </w:pPr>
            <w:r>
              <w:rPr>
                <w:rFonts w:ascii="Arial" w:cs="Arial" w:eastAsia="Arial" w:hAnsi="Arial"/>
                <w:sz w:val="18"/>
                <w:szCs w:val="18"/>
                <w:color w:val="auto"/>
              </w:rPr>
              <w:t>Net income</w:t>
            </w:r>
          </w:p>
        </w:tc>
        <w:tc>
          <w:tcPr>
            <w:tcW w:w="1160" w:type="dxa"/>
            <w:vAlign w:val="bottom"/>
          </w:tcPr>
          <w:p>
            <w:pPr>
              <w:jc w:val="right"/>
              <w:spacing w:after="0"/>
              <w:rPr>
                <w:sz w:val="20"/>
                <w:szCs w:val="20"/>
                <w:color w:val="auto"/>
              </w:rPr>
            </w:pPr>
            <w:r>
              <w:rPr>
                <w:rFonts w:ascii="Arial" w:cs="Arial" w:eastAsia="Arial" w:hAnsi="Arial"/>
                <w:sz w:val="18"/>
                <w:szCs w:val="18"/>
                <w:color w:val="auto"/>
              </w:rPr>
              <w:t>$ 267</w:t>
            </w:r>
          </w:p>
        </w:tc>
        <w:tc>
          <w:tcPr>
            <w:tcW w:w="16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860" w:type="dxa"/>
            <w:vAlign w:val="bottom"/>
          </w:tcPr>
          <w:p>
            <w:pPr>
              <w:jc w:val="right"/>
              <w:ind w:right="72"/>
              <w:spacing w:after="0"/>
              <w:rPr>
                <w:sz w:val="20"/>
                <w:szCs w:val="20"/>
                <w:color w:val="auto"/>
              </w:rPr>
            </w:pPr>
            <w:r>
              <w:rPr>
                <w:rFonts w:ascii="Arial" w:cs="Arial" w:eastAsia="Arial" w:hAnsi="Arial"/>
                <w:sz w:val="18"/>
                <w:szCs w:val="18"/>
                <w:color w:val="auto"/>
              </w:rPr>
              <w:t>267</w:t>
            </w:r>
          </w:p>
        </w:tc>
        <w:tc>
          <w:tcPr>
            <w:tcW w:w="1360" w:type="dxa"/>
            <w:vAlign w:val="bottom"/>
          </w:tcPr>
          <w:p>
            <w:pPr>
              <w:spacing w:after="0"/>
              <w:rPr>
                <w:sz w:val="23"/>
                <w:szCs w:val="23"/>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267</w:t>
            </w:r>
          </w:p>
        </w:tc>
        <w:tc>
          <w:tcPr>
            <w:tcW w:w="0" w:type="dxa"/>
            <w:vAlign w:val="bottom"/>
          </w:tcPr>
          <w:p>
            <w:pPr>
              <w:spacing w:after="0"/>
              <w:rPr>
                <w:sz w:val="1"/>
                <w:szCs w:val="1"/>
                <w:color w:val="auto"/>
              </w:rPr>
            </w:pPr>
          </w:p>
        </w:tc>
      </w:tr>
      <w:tr>
        <w:trPr>
          <w:trHeight w:val="237"/>
        </w:trPr>
        <w:tc>
          <w:tcPr>
            <w:tcW w:w="2700" w:type="dxa"/>
            <w:vAlign w:val="bottom"/>
          </w:tcPr>
          <w:p>
            <w:pPr>
              <w:spacing w:after="0"/>
              <w:rPr>
                <w:sz w:val="20"/>
                <w:szCs w:val="20"/>
                <w:color w:val="auto"/>
              </w:rPr>
            </w:pPr>
            <w:r>
              <w:rPr>
                <w:rFonts w:ascii="Arial" w:cs="Arial" w:eastAsia="Arial" w:hAnsi="Arial"/>
                <w:sz w:val="18"/>
                <w:szCs w:val="18"/>
                <w:color w:val="auto"/>
              </w:rPr>
              <w:t>Other comprehensive income</w:t>
            </w:r>
          </w:p>
        </w:tc>
        <w:tc>
          <w:tcPr>
            <w:tcW w:w="1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700" w:type="dxa"/>
            <w:vAlign w:val="bottom"/>
          </w:tcPr>
          <w:p>
            <w:pPr>
              <w:spacing w:after="0"/>
              <w:rPr>
                <w:sz w:val="20"/>
                <w:szCs w:val="20"/>
                <w:color w:val="auto"/>
              </w:rPr>
            </w:pPr>
            <w:r>
              <w:rPr>
                <w:rFonts w:ascii="Arial" w:cs="Arial" w:eastAsia="Arial" w:hAnsi="Arial"/>
                <w:sz w:val="18"/>
                <w:szCs w:val="18"/>
                <w:color w:val="auto"/>
              </w:rPr>
              <w:t>adjustment - pension</w:t>
            </w: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(1 )</w:t>
            </w:r>
          </w:p>
        </w:tc>
        <w:tc>
          <w:tcPr>
            <w:tcW w:w="12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360" w:type="dxa"/>
            <w:vAlign w:val="bottom"/>
          </w:tcPr>
          <w:p>
            <w:pPr>
              <w:jc w:val="right"/>
              <w:ind w:right="12"/>
              <w:spacing w:after="0"/>
              <w:rPr>
                <w:sz w:val="20"/>
                <w:szCs w:val="20"/>
                <w:color w:val="auto"/>
              </w:rPr>
            </w:pPr>
            <w:r>
              <w:rPr>
                <w:rFonts w:ascii="Arial" w:cs="Arial" w:eastAsia="Arial" w:hAnsi="Arial"/>
                <w:sz w:val="18"/>
                <w:szCs w:val="18"/>
                <w:color w:val="auto"/>
              </w:rPr>
              <w:t>(1 )</w:t>
            </w:r>
          </w:p>
        </w:tc>
        <w:tc>
          <w:tcPr>
            <w:tcW w:w="1160" w:type="dxa"/>
            <w:vAlign w:val="bottom"/>
          </w:tcPr>
          <w:p>
            <w:pPr>
              <w:jc w:val="right"/>
              <w:spacing w:after="0"/>
              <w:rPr>
                <w:sz w:val="20"/>
                <w:szCs w:val="20"/>
                <w:color w:val="auto"/>
              </w:rPr>
            </w:pPr>
            <w:r>
              <w:rPr>
                <w:rFonts w:ascii="Arial" w:cs="Arial" w:eastAsia="Arial" w:hAnsi="Arial"/>
                <w:sz w:val="18"/>
                <w:szCs w:val="18"/>
                <w:color w:val="auto"/>
              </w:rPr>
              <w:t>(1 )</w:t>
            </w:r>
          </w:p>
        </w:tc>
        <w:tc>
          <w:tcPr>
            <w:tcW w:w="0" w:type="dxa"/>
            <w:vAlign w:val="bottom"/>
          </w:tcPr>
          <w:p>
            <w:pPr>
              <w:spacing w:after="0"/>
              <w:rPr>
                <w:sz w:val="1"/>
                <w:szCs w:val="1"/>
                <w:color w:val="auto"/>
              </w:rPr>
            </w:pPr>
          </w:p>
        </w:tc>
      </w:tr>
      <w:tr>
        <w:trPr>
          <w:trHeight w:val="251"/>
        </w:trPr>
        <w:tc>
          <w:tcPr>
            <w:tcW w:w="2700" w:type="dxa"/>
            <w:vAlign w:val="bottom"/>
          </w:tcPr>
          <w:p>
            <w:pPr>
              <w:spacing w:after="0"/>
              <w:rPr>
                <w:sz w:val="21"/>
                <w:szCs w:val="21"/>
                <w:color w:val="auto"/>
              </w:rPr>
            </w:pPr>
          </w:p>
        </w:tc>
        <w:tc>
          <w:tcPr>
            <w:tcW w:w="1160" w:type="dxa"/>
            <w:vAlign w:val="bottom"/>
            <w:shd w:val="clear" w:color="auto" w:fill="000000"/>
          </w:tcPr>
          <w:p>
            <w:pPr>
              <w:spacing w:after="0"/>
              <w:rPr>
                <w:sz w:val="21"/>
                <w:szCs w:val="21"/>
                <w:color w:val="auto"/>
              </w:rPr>
            </w:pPr>
          </w:p>
        </w:tc>
        <w:tc>
          <w:tcPr>
            <w:tcW w:w="16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2700" w:type="dxa"/>
            <w:vAlign w:val="bottom"/>
          </w:tcPr>
          <w:p>
            <w:pPr>
              <w:spacing w:after="0"/>
              <w:rPr>
                <w:sz w:val="20"/>
                <w:szCs w:val="20"/>
                <w:color w:val="auto"/>
              </w:rPr>
            </w:pPr>
            <w:r>
              <w:rPr>
                <w:rFonts w:ascii="Arial" w:cs="Arial" w:eastAsia="Arial" w:hAnsi="Arial"/>
                <w:sz w:val="18"/>
                <w:szCs w:val="18"/>
                <w:color w:val="auto"/>
              </w:rPr>
              <w:t>Comprehensive income</w:t>
            </w:r>
          </w:p>
        </w:tc>
        <w:tc>
          <w:tcPr>
            <w:tcW w:w="1160" w:type="dxa"/>
            <w:vAlign w:val="bottom"/>
          </w:tcPr>
          <w:p>
            <w:pPr>
              <w:jc w:val="right"/>
              <w:spacing w:after="0"/>
              <w:rPr>
                <w:sz w:val="20"/>
                <w:szCs w:val="20"/>
                <w:color w:val="auto"/>
              </w:rPr>
            </w:pPr>
            <w:r>
              <w:rPr>
                <w:rFonts w:ascii="Arial" w:cs="Arial" w:eastAsia="Arial" w:hAnsi="Arial"/>
                <w:sz w:val="18"/>
                <w:szCs w:val="18"/>
                <w:color w:val="auto"/>
              </w:rPr>
              <w:t>$ 266</w:t>
            </w:r>
          </w:p>
        </w:tc>
        <w:tc>
          <w:tcPr>
            <w:tcW w:w="16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9"/>
        </w:trPr>
        <w:tc>
          <w:tcPr>
            <w:tcW w:w="2700" w:type="dxa"/>
            <w:vAlign w:val="bottom"/>
            <w:vMerge w:val="restart"/>
          </w:tcPr>
          <w:p>
            <w:pPr>
              <w:spacing w:after="0"/>
              <w:rPr>
                <w:sz w:val="20"/>
                <w:szCs w:val="20"/>
                <w:color w:val="auto"/>
              </w:rPr>
            </w:pPr>
            <w:r>
              <w:rPr>
                <w:rFonts w:ascii="Arial" w:cs="Arial" w:eastAsia="Arial" w:hAnsi="Arial"/>
                <w:sz w:val="18"/>
                <w:szCs w:val="18"/>
                <w:color w:val="auto"/>
                <w:w w:val="96"/>
              </w:rPr>
              <w:t>Preferred stock dividends declared</w:t>
            </w:r>
          </w:p>
        </w:tc>
        <w:tc>
          <w:tcPr>
            <w:tcW w:w="1160" w:type="dxa"/>
            <w:vAlign w:val="bottom"/>
            <w:shd w:val="clear" w:color="auto" w:fill="000000"/>
          </w:tcPr>
          <w:p>
            <w:pPr>
              <w:spacing w:after="0"/>
              <w:rPr>
                <w:sz w:val="22"/>
                <w:szCs w:val="22"/>
                <w:color w:val="auto"/>
              </w:rPr>
            </w:pPr>
          </w:p>
        </w:tc>
        <w:tc>
          <w:tcPr>
            <w:tcW w:w="16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(5 )</w:t>
            </w:r>
          </w:p>
        </w:tc>
        <w:tc>
          <w:tcPr>
            <w:tcW w:w="1360" w:type="dxa"/>
            <w:vAlign w:val="bottom"/>
          </w:tcPr>
          <w:p>
            <w:pPr>
              <w:spacing w:after="0"/>
              <w:rPr>
                <w:sz w:val="22"/>
                <w:szCs w:val="22"/>
                <w:color w:val="auto"/>
              </w:rPr>
            </w:pPr>
          </w:p>
        </w:tc>
        <w:tc>
          <w:tcPr>
            <w:tcW w:w="1160" w:type="dxa"/>
            <w:vAlign w:val="bottom"/>
            <w:vMerge w:val="restart"/>
          </w:tcPr>
          <w:p>
            <w:pPr>
              <w:jc w:val="right"/>
              <w:spacing w:after="0"/>
              <w:rPr>
                <w:sz w:val="20"/>
                <w:szCs w:val="20"/>
                <w:color w:val="auto"/>
              </w:rPr>
            </w:pPr>
            <w:r>
              <w:rPr>
                <w:rFonts w:ascii="Arial" w:cs="Arial" w:eastAsia="Arial" w:hAnsi="Arial"/>
                <w:sz w:val="18"/>
                <w:szCs w:val="18"/>
                <w:color w:val="auto"/>
              </w:rPr>
              <w:t>(5 )</w:t>
            </w:r>
          </w:p>
        </w:tc>
        <w:tc>
          <w:tcPr>
            <w:tcW w:w="0" w:type="dxa"/>
            <w:vAlign w:val="bottom"/>
          </w:tcPr>
          <w:p>
            <w:pPr>
              <w:spacing w:after="0"/>
              <w:rPr>
                <w:sz w:val="1"/>
                <w:szCs w:val="1"/>
                <w:color w:val="auto"/>
              </w:rPr>
            </w:pPr>
          </w:p>
        </w:tc>
      </w:tr>
      <w:tr>
        <w:trPr>
          <w:trHeight w:val="255"/>
        </w:trPr>
        <w:tc>
          <w:tcPr>
            <w:tcW w:w="2700" w:type="dxa"/>
            <w:vAlign w:val="bottom"/>
            <w:vMerge w:val="continue"/>
          </w:tcPr>
          <w:p>
            <w:pPr>
              <w:spacing w:after="0"/>
              <w:rPr>
                <w:sz w:val="22"/>
                <w:szCs w:val="22"/>
                <w:color w:val="auto"/>
              </w:rPr>
            </w:pPr>
          </w:p>
        </w:tc>
        <w:tc>
          <w:tcPr>
            <w:tcW w:w="11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860" w:type="dxa"/>
            <w:vAlign w:val="bottom"/>
            <w:vMerge w:val="continue"/>
          </w:tcPr>
          <w:p>
            <w:pPr>
              <w:spacing w:after="0"/>
              <w:rPr>
                <w:sz w:val="22"/>
                <w:szCs w:val="22"/>
                <w:color w:val="auto"/>
              </w:rPr>
            </w:pPr>
          </w:p>
        </w:tc>
        <w:tc>
          <w:tcPr>
            <w:tcW w:w="1360" w:type="dxa"/>
            <w:vAlign w:val="bottom"/>
          </w:tcPr>
          <w:p>
            <w:pPr>
              <w:spacing w:after="0"/>
              <w:rPr>
                <w:sz w:val="22"/>
                <w:szCs w:val="22"/>
                <w:color w:val="auto"/>
              </w:rPr>
            </w:pPr>
          </w:p>
        </w:tc>
        <w:tc>
          <w:tcPr>
            <w:tcW w:w="116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78"/>
        </w:trPr>
        <w:tc>
          <w:tcPr>
            <w:tcW w:w="2700" w:type="dxa"/>
            <w:vAlign w:val="bottom"/>
          </w:tcPr>
          <w:p>
            <w:pPr>
              <w:spacing w:after="0"/>
              <w:rPr>
                <w:sz w:val="20"/>
                <w:szCs w:val="20"/>
                <w:color w:val="auto"/>
              </w:rPr>
            </w:pPr>
            <w:r>
              <w:rPr>
                <w:rFonts w:ascii="Arial" w:cs="Arial" w:eastAsia="Arial" w:hAnsi="Arial"/>
                <w:sz w:val="18"/>
                <w:szCs w:val="18"/>
                <w:color w:val="auto"/>
                <w:w w:val="97"/>
              </w:rPr>
              <w:t>Common stock dividends declared</w:t>
            </w:r>
          </w:p>
        </w:tc>
        <w:tc>
          <w:tcPr>
            <w:tcW w:w="1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(75 )</w:t>
            </w:r>
          </w:p>
        </w:tc>
        <w:tc>
          <w:tcPr>
            <w:tcW w:w="136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(75 )</w:t>
            </w:r>
          </w:p>
        </w:tc>
        <w:tc>
          <w:tcPr>
            <w:tcW w:w="0" w:type="dxa"/>
            <w:vAlign w:val="bottom"/>
          </w:tcPr>
          <w:p>
            <w:pPr>
              <w:spacing w:after="0"/>
              <w:rPr>
                <w:sz w:val="1"/>
                <w:szCs w:val="1"/>
                <w:color w:val="auto"/>
              </w:rPr>
            </w:pPr>
          </w:p>
        </w:tc>
      </w:tr>
      <w:tr>
        <w:trPr>
          <w:trHeight w:val="251"/>
        </w:trPr>
        <w:tc>
          <w:tcPr>
            <w:tcW w:w="27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60" w:type="dxa"/>
            <w:vAlign w:val="bottom"/>
            <w:shd w:val="clear" w:color="auto" w:fill="000000"/>
          </w:tcPr>
          <w:p>
            <w:pPr>
              <w:spacing w:after="0"/>
              <w:rPr>
                <w:sz w:val="21"/>
                <w:szCs w:val="21"/>
                <w:color w:val="auto"/>
              </w:rPr>
            </w:pPr>
          </w:p>
        </w:tc>
        <w:tc>
          <w:tcPr>
            <w:tcW w:w="1280" w:type="dxa"/>
            <w:vAlign w:val="bottom"/>
            <w:shd w:val="clear" w:color="auto" w:fill="000000"/>
          </w:tcPr>
          <w:p>
            <w:pPr>
              <w:spacing w:after="0"/>
              <w:rPr>
                <w:sz w:val="21"/>
                <w:szCs w:val="21"/>
                <w:color w:val="auto"/>
              </w:rPr>
            </w:pPr>
          </w:p>
        </w:tc>
        <w:tc>
          <w:tcPr>
            <w:tcW w:w="920" w:type="dxa"/>
            <w:vAlign w:val="bottom"/>
            <w:shd w:val="clear" w:color="auto" w:fill="000000"/>
          </w:tcPr>
          <w:p>
            <w:pPr>
              <w:spacing w:after="0"/>
              <w:rPr>
                <w:sz w:val="21"/>
                <w:szCs w:val="21"/>
                <w:color w:val="auto"/>
              </w:rPr>
            </w:pPr>
          </w:p>
        </w:tc>
        <w:tc>
          <w:tcPr>
            <w:tcW w:w="860" w:type="dxa"/>
            <w:vAlign w:val="bottom"/>
            <w:shd w:val="clear" w:color="auto" w:fill="000000"/>
          </w:tcPr>
          <w:p>
            <w:pPr>
              <w:spacing w:after="0"/>
              <w:rPr>
                <w:sz w:val="21"/>
                <w:szCs w:val="21"/>
                <w:color w:val="auto"/>
              </w:rPr>
            </w:pPr>
          </w:p>
        </w:tc>
        <w:tc>
          <w:tcPr>
            <w:tcW w:w="1360" w:type="dxa"/>
            <w:vAlign w:val="bottom"/>
            <w:shd w:val="clear" w:color="auto" w:fill="000000"/>
          </w:tcPr>
          <w:p>
            <w:pPr>
              <w:spacing w:after="0"/>
              <w:rPr>
                <w:sz w:val="21"/>
                <w:szCs w:val="21"/>
                <w:color w:val="auto"/>
              </w:rPr>
            </w:pPr>
          </w:p>
        </w:tc>
        <w:tc>
          <w:tcPr>
            <w:tcW w:w="1160" w:type="dxa"/>
            <w:vAlign w:val="bottom"/>
            <w:shd w:val="clear" w:color="auto" w:fill="000000"/>
          </w:tcPr>
          <w:p>
            <w:pPr>
              <w:spacing w:after="0"/>
              <w:rPr>
                <w:sz w:val="21"/>
                <w:szCs w:val="21"/>
                <w:color w:val="auto"/>
              </w:rPr>
            </w:pPr>
          </w:p>
        </w:tc>
        <w:tc>
          <w:tcPr>
            <w:tcW w:w="0" w:type="dxa"/>
            <w:vAlign w:val="bottom"/>
          </w:tcPr>
          <w:p>
            <w:pPr>
              <w:spacing w:after="0"/>
              <w:rPr>
                <w:sz w:val="1"/>
                <w:szCs w:val="1"/>
                <w:color w:val="auto"/>
              </w:rPr>
            </w:pPr>
          </w:p>
        </w:tc>
      </w:tr>
      <w:tr>
        <w:trPr>
          <w:trHeight w:val="262"/>
        </w:trPr>
        <w:tc>
          <w:tcPr>
            <w:tcW w:w="2700" w:type="dxa"/>
            <w:vAlign w:val="bottom"/>
          </w:tcPr>
          <w:p>
            <w:pPr>
              <w:spacing w:after="0"/>
              <w:rPr>
                <w:sz w:val="20"/>
                <w:szCs w:val="20"/>
                <w:color w:val="auto"/>
              </w:rPr>
            </w:pPr>
            <w:r>
              <w:rPr>
                <w:rFonts w:ascii="Arial" w:cs="Arial" w:eastAsia="Arial" w:hAnsi="Arial"/>
                <w:sz w:val="18"/>
                <w:szCs w:val="18"/>
                <w:color w:val="auto"/>
              </w:rPr>
              <w:t>Balance at December 31, 2005</w:t>
            </w:r>
          </w:p>
        </w:tc>
        <w:tc>
          <w:tcPr>
            <w:tcW w:w="11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$ 79</w:t>
            </w:r>
          </w:p>
        </w:tc>
        <w:tc>
          <w:tcPr>
            <w:tcW w:w="920" w:type="dxa"/>
            <w:vAlign w:val="bottom"/>
          </w:tcPr>
          <w:p>
            <w:pPr>
              <w:jc w:val="right"/>
              <w:ind w:right="72"/>
              <w:spacing w:after="0"/>
              <w:rPr>
                <w:sz w:val="20"/>
                <w:szCs w:val="20"/>
                <w:color w:val="auto"/>
              </w:rPr>
            </w:pPr>
            <w:r>
              <w:rPr>
                <w:rFonts w:ascii="Arial" w:cs="Arial" w:eastAsia="Arial" w:hAnsi="Arial"/>
                <w:sz w:val="18"/>
                <w:szCs w:val="18"/>
                <w:color w:val="auto"/>
              </w:rPr>
              <w:t>$ 938</w:t>
            </w:r>
          </w:p>
        </w:tc>
        <w:tc>
          <w:tcPr>
            <w:tcW w:w="860" w:type="dxa"/>
            <w:vAlign w:val="bottom"/>
          </w:tcPr>
          <w:p>
            <w:pPr>
              <w:jc w:val="right"/>
              <w:ind w:right="72"/>
              <w:spacing w:after="0"/>
              <w:rPr>
                <w:sz w:val="20"/>
                <w:szCs w:val="20"/>
                <w:color w:val="auto"/>
              </w:rPr>
            </w:pPr>
            <w:r>
              <w:rPr>
                <w:rFonts w:ascii="Arial" w:cs="Arial" w:eastAsia="Arial" w:hAnsi="Arial"/>
                <w:sz w:val="18"/>
                <w:szCs w:val="18"/>
                <w:color w:val="auto"/>
              </w:rPr>
              <w:t>$ 559</w:t>
            </w:r>
          </w:p>
        </w:tc>
        <w:tc>
          <w:tcPr>
            <w:tcW w:w="1360" w:type="dxa"/>
            <w:vAlign w:val="bottom"/>
          </w:tcPr>
          <w:p>
            <w:pPr>
              <w:jc w:val="right"/>
              <w:ind w:right="12"/>
              <w:spacing w:after="0"/>
              <w:rPr>
                <w:sz w:val="20"/>
                <w:szCs w:val="20"/>
                <w:color w:val="auto"/>
              </w:rPr>
            </w:pPr>
            <w:r>
              <w:rPr>
                <w:rFonts w:ascii="Arial" w:cs="Arial" w:eastAsia="Arial" w:hAnsi="Arial"/>
                <w:sz w:val="18"/>
                <w:szCs w:val="18"/>
                <w:color w:val="auto"/>
              </w:rPr>
              <w:t>$ (14 )</w:t>
            </w: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$ 1,562</w:t>
            </w:r>
          </w:p>
        </w:tc>
        <w:tc>
          <w:tcPr>
            <w:tcW w:w="0" w:type="dxa"/>
            <w:vAlign w:val="bottom"/>
          </w:tcPr>
          <w:p>
            <w:pPr>
              <w:spacing w:after="0"/>
              <w:rPr>
                <w:sz w:val="1"/>
                <w:szCs w:val="1"/>
                <w:color w:val="auto"/>
              </w:rPr>
            </w:pPr>
          </w:p>
        </w:tc>
      </w:tr>
      <w:tr>
        <w:trPr>
          <w:trHeight w:val="251"/>
        </w:trPr>
        <w:tc>
          <w:tcPr>
            <w:tcW w:w="2700" w:type="dxa"/>
            <w:vAlign w:val="bottom"/>
            <w:shd w:val="clear" w:color="auto" w:fill="000000"/>
          </w:tcPr>
          <w:p>
            <w:pPr>
              <w:spacing w:after="0"/>
              <w:rPr>
                <w:sz w:val="21"/>
                <w:szCs w:val="21"/>
                <w:color w:val="auto"/>
              </w:rPr>
            </w:pPr>
          </w:p>
        </w:tc>
        <w:tc>
          <w:tcPr>
            <w:tcW w:w="1160" w:type="dxa"/>
            <w:vAlign w:val="bottom"/>
            <w:shd w:val="clear" w:color="auto" w:fill="000000"/>
          </w:tcPr>
          <w:p>
            <w:pPr>
              <w:spacing w:after="0"/>
              <w:rPr>
                <w:sz w:val="21"/>
                <w:szCs w:val="21"/>
                <w:color w:val="auto"/>
              </w:rPr>
            </w:pPr>
          </w:p>
        </w:tc>
        <w:tc>
          <w:tcPr>
            <w:tcW w:w="160" w:type="dxa"/>
            <w:vAlign w:val="bottom"/>
            <w:shd w:val="clear" w:color="auto" w:fill="000000"/>
          </w:tcPr>
          <w:p>
            <w:pPr>
              <w:spacing w:after="0"/>
              <w:rPr>
                <w:sz w:val="21"/>
                <w:szCs w:val="21"/>
                <w:color w:val="auto"/>
              </w:rPr>
            </w:pPr>
          </w:p>
        </w:tc>
        <w:tc>
          <w:tcPr>
            <w:tcW w:w="1280" w:type="dxa"/>
            <w:vAlign w:val="bottom"/>
            <w:shd w:val="clear" w:color="auto" w:fill="000000"/>
          </w:tcPr>
          <w:p>
            <w:pPr>
              <w:spacing w:after="0"/>
              <w:rPr>
                <w:sz w:val="21"/>
                <w:szCs w:val="21"/>
                <w:color w:val="auto"/>
              </w:rPr>
            </w:pPr>
          </w:p>
        </w:tc>
        <w:tc>
          <w:tcPr>
            <w:tcW w:w="920" w:type="dxa"/>
            <w:vAlign w:val="bottom"/>
            <w:shd w:val="clear" w:color="auto" w:fill="000000"/>
          </w:tcPr>
          <w:p>
            <w:pPr>
              <w:spacing w:after="0"/>
              <w:rPr>
                <w:sz w:val="21"/>
                <w:szCs w:val="21"/>
                <w:color w:val="auto"/>
              </w:rPr>
            </w:pPr>
          </w:p>
        </w:tc>
        <w:tc>
          <w:tcPr>
            <w:tcW w:w="860" w:type="dxa"/>
            <w:vAlign w:val="bottom"/>
            <w:shd w:val="clear" w:color="auto" w:fill="000000"/>
          </w:tcPr>
          <w:p>
            <w:pPr>
              <w:spacing w:after="0"/>
              <w:rPr>
                <w:sz w:val="21"/>
                <w:szCs w:val="21"/>
                <w:color w:val="auto"/>
              </w:rPr>
            </w:pPr>
          </w:p>
        </w:tc>
        <w:tc>
          <w:tcPr>
            <w:tcW w:w="1360" w:type="dxa"/>
            <w:vAlign w:val="bottom"/>
            <w:shd w:val="clear" w:color="auto" w:fill="000000"/>
          </w:tcPr>
          <w:p>
            <w:pPr>
              <w:spacing w:after="0"/>
              <w:rPr>
                <w:sz w:val="21"/>
                <w:szCs w:val="21"/>
                <w:color w:val="auto"/>
              </w:rPr>
            </w:pPr>
          </w:p>
        </w:tc>
        <w:tc>
          <w:tcPr>
            <w:tcW w:w="1160" w:type="dxa"/>
            <w:vAlign w:val="bottom"/>
            <w:shd w:val="clear" w:color="auto" w:fill="000000"/>
          </w:tcPr>
          <w:p>
            <w:pPr>
              <w:spacing w:after="0"/>
              <w:rPr>
                <w:sz w:val="21"/>
                <w:szCs w:val="21"/>
                <w:color w:val="auto"/>
              </w:rPr>
            </w:pPr>
          </w:p>
        </w:tc>
        <w:tc>
          <w:tcPr>
            <w:tcW w:w="0" w:type="dxa"/>
            <w:vAlign w:val="bottom"/>
          </w:tcPr>
          <w:p>
            <w:pPr>
              <w:spacing w:after="0"/>
              <w:rPr>
                <w:sz w:val="1"/>
                <w:szCs w:val="1"/>
                <w:color w:val="auto"/>
              </w:rPr>
            </w:pPr>
          </w:p>
        </w:tc>
      </w:tr>
    </w:tbl>
    <w:p>
      <w:pPr>
        <w:spacing w:after="0" w:line="195" w:lineRule="exact"/>
        <w:rPr>
          <w:sz w:val="20"/>
          <w:szCs w:val="20"/>
          <w:color w:val="auto"/>
        </w:rPr>
      </w:pPr>
    </w:p>
    <w:p>
      <w:pPr>
        <w:ind w:left="3640"/>
        <w:spacing w:after="0"/>
        <w:rPr>
          <w:sz w:val="20"/>
          <w:szCs w:val="20"/>
          <w:color w:val="auto"/>
        </w:rPr>
      </w:pPr>
      <w:r>
        <w:rPr>
          <w:rFonts w:ascii="Arial" w:cs="Arial" w:eastAsia="Arial" w:hAnsi="Arial"/>
          <w:sz w:val="22"/>
          <w:szCs w:val="22"/>
          <w:color w:val="auto"/>
        </w:rPr>
        <w:t>See 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543560</wp:posOffset>
            </wp:positionV>
            <wp:extent cx="72720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NOTES TO CONSOLIDATED FINANCIAL STATEMENTS</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1. SIGNIFICANT ACCOUNTING POLICIES AND OTHER FINANCIAL DATA</w:t>
      </w:r>
    </w:p>
    <w:p>
      <w:pPr>
        <w:sectPr>
          <w:pgSz w:w="11900" w:h="16838" w:orient="portrait"/>
          <w:cols w:equalWidth="0" w:num="1">
            <w:col w:w="10520"/>
          </w:cols>
          <w:pgMar w:left="240" w:top="1049" w:right="1139" w:bottom="0" w:gutter="0" w:footer="0" w:header="0"/>
        </w:sectPr>
      </w:pPr>
    </w:p>
    <w:bookmarkStart w:id="27" w:name="page28"/>
    <w:bookmarkEnd w:id="27"/>
    <w:p>
      <w:pPr>
        <w:spacing w:after="0" w:line="6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Principles of Consolidation</w:t>
      </w:r>
    </w:p>
    <w:p>
      <w:pPr>
        <w:spacing w:after="0" w:line="213" w:lineRule="exact"/>
        <w:rPr>
          <w:sz w:val="20"/>
          <w:szCs w:val="20"/>
          <w:color w:val="auto"/>
        </w:rPr>
      </w:pPr>
    </w:p>
    <w:p>
      <w:pPr>
        <w:ind w:right="60"/>
        <w:spacing w:after="0" w:line="328" w:lineRule="auto"/>
        <w:rPr>
          <w:sz w:val="20"/>
          <w:szCs w:val="20"/>
          <w:color w:val="auto"/>
        </w:rPr>
      </w:pPr>
      <w:r>
        <w:rPr>
          <w:rFonts w:ascii="Arial" w:cs="Arial" w:eastAsia="Arial" w:hAnsi="Arial"/>
          <w:sz w:val="19"/>
          <w:szCs w:val="19"/>
          <w:color w:val="auto"/>
        </w:rPr>
        <w:t>The Consolidated Financial Statements include the accounts of San Diego Gas &amp; Electric Company (SDG&amp;E or the company) and its sole subsidiary, SDG&amp;E Funding LLC. All material intercompany accounts and transactions have been eliminated.</w:t>
      </w:r>
    </w:p>
    <w:p>
      <w:pPr>
        <w:spacing w:after="0" w:line="105" w:lineRule="exact"/>
        <w:rPr>
          <w:sz w:val="20"/>
          <w:szCs w:val="20"/>
          <w:color w:val="auto"/>
        </w:rPr>
      </w:pPr>
    </w:p>
    <w:p>
      <w:pPr>
        <w:spacing w:after="0" w:line="249" w:lineRule="auto"/>
        <w:rPr>
          <w:sz w:val="20"/>
          <w:szCs w:val="20"/>
          <w:color w:val="auto"/>
        </w:rPr>
      </w:pPr>
      <w:r>
        <w:rPr>
          <w:rFonts w:ascii="Arial" w:cs="Arial" w:eastAsia="Arial" w:hAnsi="Arial"/>
          <w:sz w:val="21"/>
          <w:szCs w:val="21"/>
          <w:color w:val="auto"/>
        </w:rPr>
        <w:t>As a subsidiary of Sempra Energy, the company receives certain services therefrom, for which it is charged its allocable share of the cost of such services. Management believes that cost is reasonable, but probably less than if the company had to provide those services itself. In addition, in connection with charges related to litigation, the significant instances of which are discussed in Note 11, Sempra Energy management determines the allocation of the charges among its business units</w:t>
      </w:r>
      <w:r>
        <w:rPr>
          <w:rFonts w:ascii="Arial" w:cs="Arial" w:eastAsia="Arial" w:hAnsi="Arial"/>
          <w:sz w:val="21"/>
          <w:szCs w:val="21"/>
          <w:b w:val="1"/>
          <w:bCs w:val="1"/>
          <w:color w:val="auto"/>
        </w:rPr>
        <w:t>,</w:t>
      </w:r>
      <w:r>
        <w:rPr>
          <w:rFonts w:ascii="Arial" w:cs="Arial" w:eastAsia="Arial" w:hAnsi="Arial"/>
          <w:sz w:val="21"/>
          <w:szCs w:val="21"/>
          <w:color w:val="auto"/>
        </w:rPr>
        <w:t xml:space="preserve"> including the company, based on the extent of their involvement with the subject of the litigation.</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Use of Estimates in the Preparation of the Financial Statements</w:t>
      </w:r>
    </w:p>
    <w:p>
      <w:pPr>
        <w:spacing w:after="0" w:line="212" w:lineRule="exact"/>
        <w:rPr>
          <w:sz w:val="20"/>
          <w:szCs w:val="20"/>
          <w:color w:val="auto"/>
        </w:rPr>
      </w:pPr>
    </w:p>
    <w:p>
      <w:pPr>
        <w:ind w:right="160"/>
        <w:spacing w:after="0" w:line="249" w:lineRule="auto"/>
        <w:rPr>
          <w:sz w:val="20"/>
          <w:szCs w:val="20"/>
          <w:color w:val="auto"/>
        </w:rPr>
      </w:pPr>
      <w:r>
        <w:rPr>
          <w:rFonts w:ascii="Arial" w:cs="Arial" w:eastAsia="Arial" w:hAnsi="Arial"/>
          <w:sz w:val="21"/>
          <w:szCs w:val="21"/>
          <w:color w:val="auto"/>
        </w:rPr>
        <w:t>The preparation of financial statements in conformity with accounting principles generally accepted in the United States of America (GAAP) requires management to make estimates and assumptions that affect the reported amounts of revenues and expenses during the reporting period, and the reported amounts of assets and liabilities and the disclosure of contingent assets and liabilities at the date of the financial statements. Although management believes the estimates and assumptions are reasonable, actual amounts can differ significantly from those estimates.</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Basis of Presentation</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color w:val="auto"/>
        </w:rPr>
        <w:t>Certain prior-year amounts have been reclassified to conform to the current year's presentation.</w:t>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Regulatory Matters</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Effects of Regulation</w:t>
      </w:r>
    </w:p>
    <w:p>
      <w:pPr>
        <w:spacing w:after="0" w:line="206" w:lineRule="exact"/>
        <w:rPr>
          <w:sz w:val="20"/>
          <w:szCs w:val="20"/>
          <w:color w:val="auto"/>
        </w:rPr>
      </w:pPr>
    </w:p>
    <w:p>
      <w:pPr>
        <w:ind w:right="140"/>
        <w:spacing w:after="0" w:line="258" w:lineRule="auto"/>
        <w:rPr>
          <w:sz w:val="20"/>
          <w:szCs w:val="20"/>
          <w:color w:val="auto"/>
        </w:rPr>
      </w:pPr>
      <w:r>
        <w:rPr>
          <w:rFonts w:ascii="Arial" w:cs="Arial" w:eastAsia="Arial" w:hAnsi="Arial"/>
          <w:sz w:val="21"/>
          <w:szCs w:val="21"/>
          <w:color w:val="auto"/>
        </w:rPr>
        <w:t>The accounting policies of the company conform with GAAP for regulated enterprises and reflect the policies of the California Public Utilities Commission (CPUC) and the Federal Energy Regulatory Commission (FERC). SDG&amp;E and its affiliate, Southern California Gas Company (SoCalGas), are collectively referred to herein as "the California Utilities."</w:t>
      </w:r>
    </w:p>
    <w:p>
      <w:pPr>
        <w:spacing w:after="0" w:line="167" w:lineRule="exact"/>
        <w:rPr>
          <w:sz w:val="20"/>
          <w:szCs w:val="20"/>
          <w:color w:val="auto"/>
        </w:rPr>
      </w:pPr>
    </w:p>
    <w:p>
      <w:pPr>
        <w:ind w:right="40"/>
        <w:spacing w:after="0" w:line="275" w:lineRule="auto"/>
        <w:rPr>
          <w:sz w:val="20"/>
          <w:szCs w:val="20"/>
          <w:color w:val="auto"/>
        </w:rPr>
      </w:pPr>
      <w:r>
        <w:rPr>
          <w:rFonts w:ascii="Arial" w:cs="Arial" w:eastAsia="Arial" w:hAnsi="Arial"/>
          <w:sz w:val="19"/>
          <w:szCs w:val="19"/>
          <w:color w:val="auto"/>
        </w:rPr>
        <w:t>The company prepares its financial statements in accordance with the provisions of Statement of Financial Accounting Standards (SFAS) 71</w:t>
      </w:r>
      <w:r>
        <w:rPr>
          <w:rFonts w:ascii="Arial" w:cs="Arial" w:eastAsia="Arial" w:hAnsi="Arial"/>
          <w:sz w:val="19"/>
          <w:szCs w:val="19"/>
          <w:i w:val="1"/>
          <w:iCs w:val="1"/>
          <w:color w:val="auto"/>
        </w:rPr>
        <w:t>, Accounting for the Effects of Certain Types of Regulation</w:t>
      </w:r>
      <w:r>
        <w:rPr>
          <w:rFonts w:ascii="Arial" w:cs="Arial" w:eastAsia="Arial" w:hAnsi="Arial"/>
          <w:sz w:val="19"/>
          <w:szCs w:val="19"/>
          <w:color w:val="auto"/>
        </w:rPr>
        <w:t xml:space="preserve">, under which a regulated utility records a regulatory asset if it is probable that, through the ratemaking process, the utility will recover that asset from customers. To the extent that recovery is no longer probable as a result of changes in regulation or the utility's competitive position, the related regulatory assets would be written off. In addition, SFAS 144, </w:t>
      </w:r>
      <w:r>
        <w:rPr>
          <w:rFonts w:ascii="Arial" w:cs="Arial" w:eastAsia="Arial" w:hAnsi="Arial"/>
          <w:sz w:val="19"/>
          <w:szCs w:val="19"/>
          <w:i w:val="1"/>
          <w:iCs w:val="1"/>
          <w:color w:val="auto"/>
        </w:rPr>
        <w:t>Accounting for the Impairment or Disposal of Long-Lived Assets</w:t>
      </w:r>
      <w:r>
        <w:rPr>
          <w:rFonts w:ascii="Arial" w:cs="Arial" w:eastAsia="Arial" w:hAnsi="Arial"/>
          <w:sz w:val="19"/>
          <w:szCs w:val="19"/>
          <w:color w:val="auto"/>
        </w:rPr>
        <w:t>, requires that a loss be recognized whenever a regulator excludes all or part of utility plant or regulatory assets from ratebase. Regulatory liabilities represent reductions in future rates for amounts due to customers. Information concerning regulatory assets and liabilities is provided below in "Revenues," "Regulatory Balancing Accounts" and "Regulatory Assets and Liabilit ies."</w:t>
      </w:r>
    </w:p>
    <w:p>
      <w:pPr>
        <w:spacing w:after="0" w:line="158"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Regulatory Balancing Accounts</w:t>
      </w:r>
    </w:p>
    <w:p>
      <w:pPr>
        <w:spacing w:after="0" w:line="206" w:lineRule="exact"/>
        <w:rPr>
          <w:sz w:val="20"/>
          <w:szCs w:val="20"/>
          <w:color w:val="auto"/>
        </w:rPr>
      </w:pPr>
    </w:p>
    <w:p>
      <w:pPr>
        <w:ind w:right="80"/>
        <w:spacing w:after="0" w:line="251" w:lineRule="auto"/>
        <w:rPr>
          <w:sz w:val="20"/>
          <w:szCs w:val="20"/>
          <w:color w:val="auto"/>
        </w:rPr>
      </w:pPr>
      <w:r>
        <w:rPr>
          <w:rFonts w:ascii="Arial" w:cs="Arial" w:eastAsia="Arial" w:hAnsi="Arial"/>
          <w:sz w:val="22"/>
          <w:szCs w:val="22"/>
          <w:color w:val="auto"/>
        </w:rPr>
        <w:t>The amounts included in regulatory balancing accounts at December 31, 2005, represent net payables (payables net of receivables) that are returned to customers by reducing future rates.</w:t>
      </w:r>
    </w:p>
    <w:p>
      <w:pPr>
        <w:spacing w:after="0" w:line="173" w:lineRule="exact"/>
        <w:rPr>
          <w:sz w:val="20"/>
          <w:szCs w:val="20"/>
          <w:color w:val="auto"/>
        </w:rPr>
      </w:pPr>
    </w:p>
    <w:p>
      <w:pPr>
        <w:ind w:right="60"/>
        <w:spacing w:after="0" w:line="282" w:lineRule="auto"/>
        <w:rPr>
          <w:sz w:val="20"/>
          <w:szCs w:val="20"/>
          <w:color w:val="auto"/>
        </w:rPr>
      </w:pPr>
      <w:r>
        <w:rPr>
          <w:rFonts w:ascii="Arial" w:cs="Arial" w:eastAsia="Arial" w:hAnsi="Arial"/>
          <w:sz w:val="19"/>
          <w:szCs w:val="19"/>
          <w:color w:val="auto"/>
        </w:rPr>
        <w:t>Except for certain costs subject to balancing account treatment, fluctuations in most operating and maintenance accounts affect utility earnings. Balancing accounts provide a mechanism for charging utility customers the amount actually incurred for certain costs, primarily commodity costs. The CPUC has also approved balancing account treatment for variances between forecast and actual for SDG&amp;E's volumes and commodity costs, eliminating the impact on earnings from any throughput and revenue variances from adopted forecast levels. Additional information on regulatory matters is included in Notes 9 and 10.</w:t>
      </w:r>
    </w:p>
    <w:p>
      <w:pPr>
        <w:spacing w:after="0" w:line="148"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Regulatory Assets and Liabilities</w:t>
      </w:r>
    </w:p>
    <w:p>
      <w:pPr>
        <w:spacing w:after="0" w:line="206" w:lineRule="exact"/>
        <w:rPr>
          <w:sz w:val="20"/>
          <w:szCs w:val="20"/>
          <w:color w:val="auto"/>
        </w:rPr>
      </w:pPr>
    </w:p>
    <w:p>
      <w:pPr>
        <w:ind w:right="660"/>
        <w:spacing w:after="0" w:line="251" w:lineRule="auto"/>
        <w:rPr>
          <w:sz w:val="20"/>
          <w:szCs w:val="20"/>
          <w:color w:val="auto"/>
        </w:rPr>
      </w:pPr>
      <w:r>
        <w:rPr>
          <w:rFonts w:ascii="Arial" w:cs="Arial" w:eastAsia="Arial" w:hAnsi="Arial"/>
          <w:sz w:val="22"/>
          <w:szCs w:val="22"/>
          <w:color w:val="auto"/>
        </w:rPr>
        <w:t>In accordance with the accounting principles of SFAS 71, the company records regulatory assets and regulatory liabilities as discussed above.</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color w:val="auto"/>
        </w:rPr>
        <w:t>Regulatory assets (liabilities) as of December 31 relate to the following matters:</w:t>
      </w:r>
    </w:p>
    <w:p>
      <w:pPr>
        <w:spacing w:after="0" w:line="260" w:lineRule="exact"/>
        <w:rPr>
          <w:sz w:val="20"/>
          <w:szCs w:val="20"/>
          <w:color w:val="auto"/>
        </w:rPr>
      </w:pPr>
    </w:p>
    <w:tbl>
      <w:tblPr>
        <w:tblLayout w:type="fixed"/>
        <w:tblInd w:w="1840" w:type="dxa"/>
        <w:tblCellMar>
          <w:top w:w="0" w:type="dxa"/>
          <w:left w:w="0" w:type="dxa"/>
          <w:bottom w:w="0" w:type="dxa"/>
          <w:right w:w="0" w:type="dxa"/>
        </w:tblCellMar>
      </w:tblPr>
      <w:tr>
        <w:trPr>
          <w:trHeight w:val="230"/>
        </w:trPr>
        <w:tc>
          <w:tcPr>
            <w:tcW w:w="4100" w:type="dxa"/>
            <w:vAlign w:val="bottom"/>
          </w:tcPr>
          <w:p>
            <w:pPr>
              <w:spacing w:after="0"/>
              <w:rPr>
                <w:sz w:val="20"/>
                <w:szCs w:val="20"/>
                <w:color w:val="auto"/>
              </w:rPr>
            </w:pPr>
            <w:r>
              <w:rPr>
                <w:rFonts w:ascii="Arial" w:cs="Arial" w:eastAsia="Arial" w:hAnsi="Arial"/>
                <w:sz w:val="18"/>
                <w:szCs w:val="18"/>
                <w:color w:val="auto"/>
              </w:rPr>
              <w:t>(Dollars in millions)</w:t>
            </w:r>
          </w:p>
        </w:tc>
        <w:tc>
          <w:tcPr>
            <w:tcW w:w="520" w:type="dxa"/>
            <w:vAlign w:val="bottom"/>
          </w:tcPr>
          <w:p>
            <w:pPr>
              <w:spacing w:after="0"/>
              <w:rPr>
                <w:sz w:val="20"/>
                <w:szCs w:val="20"/>
                <w:color w:val="auto"/>
              </w:rPr>
            </w:pPr>
          </w:p>
        </w:tc>
        <w:tc>
          <w:tcPr>
            <w:tcW w:w="1260" w:type="dxa"/>
            <w:vAlign w:val="bottom"/>
          </w:tcPr>
          <w:p>
            <w:pPr>
              <w:jc w:val="right"/>
              <w:ind w:right="292"/>
              <w:spacing w:after="0"/>
              <w:rPr>
                <w:sz w:val="20"/>
                <w:szCs w:val="20"/>
                <w:color w:val="auto"/>
              </w:rPr>
            </w:pPr>
            <w:r>
              <w:rPr>
                <w:rFonts w:ascii="Arial" w:cs="Arial" w:eastAsia="Arial" w:hAnsi="Arial"/>
                <w:sz w:val="18"/>
                <w:szCs w:val="18"/>
                <w:color w:val="auto"/>
              </w:rPr>
              <w:t>2005</w:t>
            </w:r>
          </w:p>
        </w:tc>
        <w:tc>
          <w:tcPr>
            <w:tcW w:w="820" w:type="dxa"/>
            <w:vAlign w:val="bottom"/>
          </w:tcPr>
          <w:p>
            <w:pPr>
              <w:spacing w:after="0"/>
              <w:rPr>
                <w:sz w:val="20"/>
                <w:szCs w:val="20"/>
                <w:color w:val="auto"/>
              </w:rPr>
            </w:pPr>
          </w:p>
        </w:tc>
        <w:tc>
          <w:tcPr>
            <w:tcW w:w="1080" w:type="dxa"/>
            <w:vAlign w:val="bottom"/>
          </w:tcPr>
          <w:p>
            <w:pPr>
              <w:jc w:val="right"/>
              <w:ind w:right="112"/>
              <w:spacing w:after="0"/>
              <w:rPr>
                <w:sz w:val="20"/>
                <w:szCs w:val="20"/>
                <w:color w:val="auto"/>
              </w:rPr>
            </w:pPr>
            <w:r>
              <w:rPr>
                <w:rFonts w:ascii="Arial" w:cs="Arial" w:eastAsia="Arial" w:hAnsi="Arial"/>
                <w:sz w:val="18"/>
                <w:szCs w:val="18"/>
                <w:color w:val="auto"/>
              </w:rPr>
              <w:t>2004</w:t>
            </w:r>
          </w:p>
        </w:tc>
      </w:tr>
      <w:tr>
        <w:trPr>
          <w:trHeight w:val="251"/>
        </w:trPr>
        <w:tc>
          <w:tcPr>
            <w:tcW w:w="4100" w:type="dxa"/>
            <w:vAlign w:val="bottom"/>
            <w:shd w:val="clear" w:color="auto" w:fill="000000"/>
          </w:tcPr>
          <w:p>
            <w:pPr>
              <w:spacing w:after="0"/>
              <w:rPr>
                <w:sz w:val="21"/>
                <w:szCs w:val="21"/>
                <w:color w:val="auto"/>
              </w:rPr>
            </w:pPr>
          </w:p>
        </w:tc>
        <w:tc>
          <w:tcPr>
            <w:tcW w:w="520" w:type="dxa"/>
            <w:vAlign w:val="bottom"/>
            <w:shd w:val="clear" w:color="auto" w:fill="000000"/>
          </w:tcPr>
          <w:p>
            <w:pPr>
              <w:spacing w:after="0"/>
              <w:rPr>
                <w:sz w:val="21"/>
                <w:szCs w:val="21"/>
                <w:color w:val="auto"/>
              </w:rPr>
            </w:pPr>
          </w:p>
        </w:tc>
        <w:tc>
          <w:tcPr>
            <w:tcW w:w="1260" w:type="dxa"/>
            <w:vAlign w:val="bottom"/>
            <w:shd w:val="clear" w:color="auto" w:fill="000000"/>
          </w:tcPr>
          <w:p>
            <w:pPr>
              <w:spacing w:after="0"/>
              <w:rPr>
                <w:sz w:val="21"/>
                <w:szCs w:val="21"/>
                <w:color w:val="auto"/>
              </w:rPr>
            </w:pPr>
          </w:p>
        </w:tc>
        <w:tc>
          <w:tcPr>
            <w:tcW w:w="820" w:type="dxa"/>
            <w:vAlign w:val="bottom"/>
            <w:shd w:val="clear" w:color="auto" w:fill="000000"/>
          </w:tcPr>
          <w:p>
            <w:pPr>
              <w:spacing w:after="0"/>
              <w:rPr>
                <w:sz w:val="21"/>
                <w:szCs w:val="21"/>
                <w:color w:val="auto"/>
              </w:rPr>
            </w:pPr>
          </w:p>
        </w:tc>
        <w:tc>
          <w:tcPr>
            <w:tcW w:w="1080" w:type="dxa"/>
            <w:vAlign w:val="bottom"/>
            <w:shd w:val="clear" w:color="auto" w:fill="000000"/>
          </w:tcPr>
          <w:p>
            <w:pPr>
              <w:spacing w:after="0"/>
              <w:rPr>
                <w:sz w:val="21"/>
                <w:szCs w:val="21"/>
                <w:color w:val="auto"/>
              </w:rPr>
            </w:pPr>
          </w:p>
        </w:tc>
      </w:tr>
      <w:tr>
        <w:trPr>
          <w:trHeight w:val="255"/>
        </w:trPr>
        <w:tc>
          <w:tcPr>
            <w:tcW w:w="4100" w:type="dxa"/>
            <w:vAlign w:val="bottom"/>
          </w:tcPr>
          <w:p>
            <w:pPr>
              <w:spacing w:after="0"/>
              <w:rPr>
                <w:sz w:val="20"/>
                <w:szCs w:val="20"/>
                <w:color w:val="auto"/>
              </w:rPr>
            </w:pPr>
            <w:r>
              <w:rPr>
                <w:rFonts w:ascii="Arial" w:cs="Arial" w:eastAsia="Arial" w:hAnsi="Arial"/>
                <w:sz w:val="18"/>
                <w:szCs w:val="18"/>
                <w:color w:val="auto"/>
              </w:rPr>
              <w:t>Fixed-price contracts and other derivatives</w:t>
            </w:r>
          </w:p>
        </w:tc>
        <w:tc>
          <w:tcPr>
            <w:tcW w:w="520" w:type="dxa"/>
            <w:vAlign w:val="bottom"/>
          </w:tcPr>
          <w:p>
            <w:pPr>
              <w:jc w:val="right"/>
              <w:ind w:right="332"/>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ind w:right="292"/>
              <w:spacing w:after="0"/>
              <w:rPr>
                <w:sz w:val="20"/>
                <w:szCs w:val="20"/>
                <w:color w:val="auto"/>
              </w:rPr>
            </w:pPr>
            <w:r>
              <w:rPr>
                <w:rFonts w:ascii="Arial" w:cs="Arial" w:eastAsia="Arial" w:hAnsi="Arial"/>
                <w:sz w:val="18"/>
                <w:szCs w:val="18"/>
                <w:color w:val="auto"/>
              </w:rPr>
              <w:t>473</w:t>
            </w:r>
          </w:p>
        </w:tc>
        <w:tc>
          <w:tcPr>
            <w:tcW w:w="820" w:type="dxa"/>
            <w:vAlign w:val="bottom"/>
          </w:tcPr>
          <w:p>
            <w:pPr>
              <w:jc w:val="right"/>
              <w:ind w:right="352"/>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12"/>
              <w:spacing w:after="0"/>
              <w:rPr>
                <w:sz w:val="20"/>
                <w:szCs w:val="20"/>
                <w:color w:val="auto"/>
              </w:rPr>
            </w:pPr>
            <w:r>
              <w:rPr>
                <w:rFonts w:ascii="Arial" w:cs="Arial" w:eastAsia="Arial" w:hAnsi="Arial"/>
                <w:sz w:val="18"/>
                <w:szCs w:val="18"/>
                <w:color w:val="auto"/>
              </w:rPr>
              <w:t>500</w:t>
            </w:r>
          </w:p>
        </w:tc>
      </w:tr>
      <w:tr>
        <w:trPr>
          <w:trHeight w:val="270"/>
        </w:trPr>
        <w:tc>
          <w:tcPr>
            <w:tcW w:w="4100" w:type="dxa"/>
            <w:vAlign w:val="bottom"/>
          </w:tcPr>
          <w:p>
            <w:pPr>
              <w:spacing w:after="0"/>
              <w:rPr>
                <w:sz w:val="20"/>
                <w:szCs w:val="20"/>
                <w:color w:val="auto"/>
              </w:rPr>
            </w:pPr>
            <w:r>
              <w:rPr>
                <w:rFonts w:ascii="Arial" w:cs="Arial" w:eastAsia="Arial" w:hAnsi="Arial"/>
                <w:sz w:val="18"/>
                <w:szCs w:val="18"/>
                <w:color w:val="auto"/>
              </w:rPr>
              <w:t>Recapture of temporary rate reduction*</w:t>
            </w:r>
          </w:p>
        </w:tc>
        <w:tc>
          <w:tcPr>
            <w:tcW w:w="520" w:type="dxa"/>
            <w:vAlign w:val="bottom"/>
          </w:tcPr>
          <w:p>
            <w:pPr>
              <w:spacing w:after="0"/>
              <w:rPr>
                <w:sz w:val="23"/>
                <w:szCs w:val="23"/>
                <w:color w:val="auto"/>
              </w:rPr>
            </w:pPr>
          </w:p>
        </w:tc>
        <w:tc>
          <w:tcPr>
            <w:tcW w:w="1260" w:type="dxa"/>
            <w:vAlign w:val="bottom"/>
          </w:tcPr>
          <w:p>
            <w:pPr>
              <w:jc w:val="right"/>
              <w:ind w:right="292"/>
              <w:spacing w:after="0"/>
              <w:rPr>
                <w:sz w:val="20"/>
                <w:szCs w:val="20"/>
                <w:color w:val="auto"/>
              </w:rPr>
            </w:pPr>
            <w:r>
              <w:rPr>
                <w:rFonts w:ascii="Arial" w:cs="Arial" w:eastAsia="Arial" w:hAnsi="Arial"/>
                <w:sz w:val="18"/>
                <w:szCs w:val="18"/>
                <w:color w:val="auto"/>
              </w:rPr>
              <w:t>116</w:t>
            </w:r>
          </w:p>
        </w:tc>
        <w:tc>
          <w:tcPr>
            <w:tcW w:w="820" w:type="dxa"/>
            <w:vAlign w:val="bottom"/>
          </w:tcPr>
          <w:p>
            <w:pPr>
              <w:spacing w:after="0"/>
              <w:rPr>
                <w:sz w:val="23"/>
                <w:szCs w:val="23"/>
                <w:color w:val="auto"/>
              </w:rPr>
            </w:pPr>
          </w:p>
        </w:tc>
        <w:tc>
          <w:tcPr>
            <w:tcW w:w="1080" w:type="dxa"/>
            <w:vAlign w:val="bottom"/>
          </w:tcPr>
          <w:p>
            <w:pPr>
              <w:jc w:val="right"/>
              <w:ind w:right="112"/>
              <w:spacing w:after="0"/>
              <w:rPr>
                <w:sz w:val="20"/>
                <w:szCs w:val="20"/>
                <w:color w:val="auto"/>
              </w:rPr>
            </w:pPr>
            <w:r>
              <w:rPr>
                <w:rFonts w:ascii="Arial" w:cs="Arial" w:eastAsia="Arial" w:hAnsi="Arial"/>
                <w:sz w:val="18"/>
                <w:szCs w:val="18"/>
                <w:color w:val="auto"/>
              </w:rPr>
              <w:t>183</w:t>
            </w:r>
          </w:p>
        </w:tc>
      </w:tr>
      <w:tr>
        <w:trPr>
          <w:trHeight w:val="270"/>
        </w:trPr>
        <w:tc>
          <w:tcPr>
            <w:tcW w:w="4100" w:type="dxa"/>
            <w:vAlign w:val="bottom"/>
          </w:tcPr>
          <w:p>
            <w:pPr>
              <w:spacing w:after="0"/>
              <w:rPr>
                <w:sz w:val="20"/>
                <w:szCs w:val="20"/>
                <w:color w:val="auto"/>
              </w:rPr>
            </w:pPr>
            <w:r>
              <w:rPr>
                <w:rFonts w:ascii="Arial" w:cs="Arial" w:eastAsia="Arial" w:hAnsi="Arial"/>
                <w:sz w:val="18"/>
                <w:szCs w:val="18"/>
                <w:color w:val="auto"/>
              </w:rPr>
              <w:t>Deferred taxes recoverable in rates</w:t>
            </w:r>
          </w:p>
        </w:tc>
        <w:tc>
          <w:tcPr>
            <w:tcW w:w="520" w:type="dxa"/>
            <w:vAlign w:val="bottom"/>
          </w:tcPr>
          <w:p>
            <w:pPr>
              <w:spacing w:after="0"/>
              <w:rPr>
                <w:sz w:val="23"/>
                <w:szCs w:val="23"/>
                <w:color w:val="auto"/>
              </w:rPr>
            </w:pPr>
          </w:p>
        </w:tc>
        <w:tc>
          <w:tcPr>
            <w:tcW w:w="1260" w:type="dxa"/>
            <w:vAlign w:val="bottom"/>
          </w:tcPr>
          <w:p>
            <w:pPr>
              <w:jc w:val="right"/>
              <w:ind w:right="292"/>
              <w:spacing w:after="0"/>
              <w:rPr>
                <w:sz w:val="20"/>
                <w:szCs w:val="20"/>
                <w:color w:val="auto"/>
              </w:rPr>
            </w:pPr>
            <w:r>
              <w:rPr>
                <w:rFonts w:ascii="Arial" w:cs="Arial" w:eastAsia="Arial" w:hAnsi="Arial"/>
                <w:sz w:val="18"/>
                <w:szCs w:val="18"/>
                <w:color w:val="auto"/>
              </w:rPr>
              <w:t>294</w:t>
            </w:r>
          </w:p>
        </w:tc>
        <w:tc>
          <w:tcPr>
            <w:tcW w:w="820" w:type="dxa"/>
            <w:vAlign w:val="bottom"/>
          </w:tcPr>
          <w:p>
            <w:pPr>
              <w:spacing w:after="0"/>
              <w:rPr>
                <w:sz w:val="23"/>
                <w:szCs w:val="23"/>
                <w:color w:val="auto"/>
              </w:rPr>
            </w:pPr>
          </w:p>
        </w:tc>
        <w:tc>
          <w:tcPr>
            <w:tcW w:w="1080" w:type="dxa"/>
            <w:vAlign w:val="bottom"/>
          </w:tcPr>
          <w:p>
            <w:pPr>
              <w:jc w:val="right"/>
              <w:ind w:right="112"/>
              <w:spacing w:after="0"/>
              <w:rPr>
                <w:sz w:val="20"/>
                <w:szCs w:val="20"/>
                <w:color w:val="auto"/>
              </w:rPr>
            </w:pPr>
            <w:r>
              <w:rPr>
                <w:rFonts w:ascii="Arial" w:cs="Arial" w:eastAsia="Arial" w:hAnsi="Arial"/>
                <w:sz w:val="18"/>
                <w:szCs w:val="18"/>
                <w:color w:val="auto"/>
              </w:rPr>
              <w:t>278</w:t>
            </w:r>
          </w:p>
        </w:tc>
      </w:tr>
      <w:tr>
        <w:trPr>
          <w:trHeight w:val="270"/>
        </w:trPr>
        <w:tc>
          <w:tcPr>
            <w:tcW w:w="4100" w:type="dxa"/>
            <w:vAlign w:val="bottom"/>
          </w:tcPr>
          <w:p>
            <w:pPr>
              <w:spacing w:after="0"/>
              <w:rPr>
                <w:sz w:val="20"/>
                <w:szCs w:val="20"/>
                <w:color w:val="auto"/>
              </w:rPr>
            </w:pPr>
            <w:r>
              <w:rPr>
                <w:rFonts w:ascii="Arial" w:cs="Arial" w:eastAsia="Arial" w:hAnsi="Arial"/>
                <w:sz w:val="18"/>
                <w:szCs w:val="18"/>
                <w:color w:val="auto"/>
              </w:rPr>
              <w:t>Unamortized loss on retirement of debt, net</w:t>
            </w:r>
          </w:p>
        </w:tc>
        <w:tc>
          <w:tcPr>
            <w:tcW w:w="520" w:type="dxa"/>
            <w:vAlign w:val="bottom"/>
          </w:tcPr>
          <w:p>
            <w:pPr>
              <w:spacing w:after="0"/>
              <w:rPr>
                <w:sz w:val="23"/>
                <w:szCs w:val="23"/>
                <w:color w:val="auto"/>
              </w:rPr>
            </w:pPr>
          </w:p>
        </w:tc>
        <w:tc>
          <w:tcPr>
            <w:tcW w:w="1260" w:type="dxa"/>
            <w:vAlign w:val="bottom"/>
          </w:tcPr>
          <w:p>
            <w:pPr>
              <w:jc w:val="right"/>
              <w:ind w:right="292"/>
              <w:spacing w:after="0"/>
              <w:rPr>
                <w:sz w:val="20"/>
                <w:szCs w:val="20"/>
                <w:color w:val="auto"/>
              </w:rPr>
            </w:pPr>
            <w:r>
              <w:rPr>
                <w:rFonts w:ascii="Arial" w:cs="Arial" w:eastAsia="Arial" w:hAnsi="Arial"/>
                <w:sz w:val="18"/>
                <w:szCs w:val="18"/>
                <w:color w:val="auto"/>
              </w:rPr>
              <w:t>42</w:t>
            </w:r>
          </w:p>
        </w:tc>
        <w:tc>
          <w:tcPr>
            <w:tcW w:w="820" w:type="dxa"/>
            <w:vAlign w:val="bottom"/>
          </w:tcPr>
          <w:p>
            <w:pPr>
              <w:spacing w:after="0"/>
              <w:rPr>
                <w:sz w:val="23"/>
                <w:szCs w:val="23"/>
                <w:color w:val="auto"/>
              </w:rPr>
            </w:pPr>
          </w:p>
        </w:tc>
        <w:tc>
          <w:tcPr>
            <w:tcW w:w="1080" w:type="dxa"/>
            <w:vAlign w:val="bottom"/>
          </w:tcPr>
          <w:p>
            <w:pPr>
              <w:jc w:val="right"/>
              <w:ind w:right="112"/>
              <w:spacing w:after="0"/>
              <w:rPr>
                <w:sz w:val="20"/>
                <w:szCs w:val="20"/>
                <w:color w:val="auto"/>
              </w:rPr>
            </w:pPr>
            <w:r>
              <w:rPr>
                <w:rFonts w:ascii="Arial" w:cs="Arial" w:eastAsia="Arial" w:hAnsi="Arial"/>
                <w:sz w:val="18"/>
                <w:szCs w:val="18"/>
                <w:color w:val="auto"/>
              </w:rPr>
              <w:t>46</w:t>
            </w:r>
          </w:p>
        </w:tc>
      </w:tr>
      <w:tr>
        <w:trPr>
          <w:trHeight w:val="270"/>
        </w:trPr>
        <w:tc>
          <w:tcPr>
            <w:tcW w:w="4100" w:type="dxa"/>
            <w:vAlign w:val="bottom"/>
          </w:tcPr>
          <w:p>
            <w:pPr>
              <w:spacing w:after="0"/>
              <w:rPr>
                <w:sz w:val="20"/>
                <w:szCs w:val="20"/>
                <w:color w:val="auto"/>
              </w:rPr>
            </w:pPr>
            <w:r>
              <w:rPr>
                <w:rFonts w:ascii="Arial" w:cs="Arial" w:eastAsia="Arial" w:hAnsi="Arial"/>
                <w:sz w:val="18"/>
                <w:szCs w:val="18"/>
                <w:color w:val="auto"/>
              </w:rPr>
              <w:t>Employee benefit costs</w:t>
            </w:r>
          </w:p>
        </w:tc>
        <w:tc>
          <w:tcPr>
            <w:tcW w:w="520" w:type="dxa"/>
            <w:vAlign w:val="bottom"/>
          </w:tcPr>
          <w:p>
            <w:pPr>
              <w:spacing w:after="0"/>
              <w:rPr>
                <w:sz w:val="23"/>
                <w:szCs w:val="23"/>
                <w:color w:val="auto"/>
              </w:rPr>
            </w:pPr>
          </w:p>
        </w:tc>
        <w:tc>
          <w:tcPr>
            <w:tcW w:w="1260" w:type="dxa"/>
            <w:vAlign w:val="bottom"/>
          </w:tcPr>
          <w:p>
            <w:pPr>
              <w:jc w:val="right"/>
              <w:ind w:right="292"/>
              <w:spacing w:after="0"/>
              <w:rPr>
                <w:sz w:val="20"/>
                <w:szCs w:val="20"/>
                <w:color w:val="auto"/>
              </w:rPr>
            </w:pPr>
            <w:r>
              <w:rPr>
                <w:rFonts w:ascii="Arial" w:cs="Arial" w:eastAsia="Arial" w:hAnsi="Arial"/>
                <w:sz w:val="18"/>
                <w:szCs w:val="18"/>
                <w:color w:val="auto"/>
              </w:rPr>
              <w:t>174</w:t>
            </w:r>
          </w:p>
        </w:tc>
        <w:tc>
          <w:tcPr>
            <w:tcW w:w="820" w:type="dxa"/>
            <w:vAlign w:val="bottom"/>
          </w:tcPr>
          <w:p>
            <w:pPr>
              <w:spacing w:after="0"/>
              <w:rPr>
                <w:sz w:val="23"/>
                <w:szCs w:val="23"/>
                <w:color w:val="auto"/>
              </w:rPr>
            </w:pPr>
          </w:p>
        </w:tc>
        <w:tc>
          <w:tcPr>
            <w:tcW w:w="1080" w:type="dxa"/>
            <w:vAlign w:val="bottom"/>
          </w:tcPr>
          <w:p>
            <w:pPr>
              <w:jc w:val="right"/>
              <w:ind w:right="112"/>
              <w:spacing w:after="0"/>
              <w:rPr>
                <w:sz w:val="20"/>
                <w:szCs w:val="20"/>
                <w:color w:val="auto"/>
              </w:rPr>
            </w:pPr>
            <w:r>
              <w:rPr>
                <w:rFonts w:ascii="Arial" w:cs="Arial" w:eastAsia="Arial" w:hAnsi="Arial"/>
                <w:sz w:val="18"/>
                <w:szCs w:val="18"/>
                <w:color w:val="auto"/>
              </w:rPr>
              <w:t>160</w:t>
            </w:r>
          </w:p>
        </w:tc>
      </w:tr>
      <w:tr>
        <w:trPr>
          <w:trHeight w:val="270"/>
        </w:trPr>
        <w:tc>
          <w:tcPr>
            <w:tcW w:w="4100" w:type="dxa"/>
            <w:vAlign w:val="bottom"/>
          </w:tcPr>
          <w:p>
            <w:pPr>
              <w:spacing w:after="0"/>
              <w:rPr>
                <w:sz w:val="20"/>
                <w:szCs w:val="20"/>
                <w:color w:val="auto"/>
              </w:rPr>
            </w:pPr>
            <w:r>
              <w:rPr>
                <w:rFonts w:ascii="Arial" w:cs="Arial" w:eastAsia="Arial" w:hAnsi="Arial"/>
                <w:sz w:val="18"/>
                <w:szCs w:val="18"/>
                <w:color w:val="auto"/>
              </w:rPr>
              <w:t>Removal obligations**</w:t>
            </w:r>
          </w:p>
        </w:tc>
        <w:tc>
          <w:tcPr>
            <w:tcW w:w="520" w:type="dxa"/>
            <w:vAlign w:val="bottom"/>
          </w:tcPr>
          <w:p>
            <w:pPr>
              <w:spacing w:after="0"/>
              <w:rPr>
                <w:sz w:val="23"/>
                <w:szCs w:val="23"/>
                <w:color w:val="auto"/>
              </w:rPr>
            </w:pPr>
          </w:p>
        </w:tc>
        <w:tc>
          <w:tcPr>
            <w:tcW w:w="1260" w:type="dxa"/>
            <w:vAlign w:val="bottom"/>
          </w:tcPr>
          <w:p>
            <w:pPr>
              <w:jc w:val="right"/>
              <w:ind w:right="192"/>
              <w:spacing w:after="0"/>
              <w:rPr>
                <w:sz w:val="20"/>
                <w:szCs w:val="20"/>
                <w:color w:val="auto"/>
              </w:rPr>
            </w:pPr>
            <w:r>
              <w:rPr>
                <w:rFonts w:ascii="Arial" w:cs="Arial" w:eastAsia="Arial" w:hAnsi="Arial"/>
                <w:sz w:val="18"/>
                <w:szCs w:val="18"/>
                <w:color w:val="auto"/>
              </w:rPr>
              <w:t>(1,216 )</w:t>
            </w:r>
          </w:p>
        </w:tc>
        <w:tc>
          <w:tcPr>
            <w:tcW w:w="82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(1,246 )</w:t>
            </w:r>
          </w:p>
        </w:tc>
      </w:tr>
      <w:tr>
        <w:trPr>
          <w:trHeight w:val="278"/>
        </w:trPr>
        <w:tc>
          <w:tcPr>
            <w:tcW w:w="4100" w:type="dxa"/>
            <w:vAlign w:val="bottom"/>
          </w:tcPr>
          <w:p>
            <w:pPr>
              <w:spacing w:after="0"/>
              <w:rPr>
                <w:sz w:val="20"/>
                <w:szCs w:val="20"/>
                <w:color w:val="auto"/>
              </w:rPr>
            </w:pPr>
            <w:r>
              <w:rPr>
                <w:rFonts w:ascii="Arial" w:cs="Arial" w:eastAsia="Arial" w:hAnsi="Arial"/>
                <w:sz w:val="18"/>
                <w:szCs w:val="18"/>
                <w:color w:val="auto"/>
              </w:rPr>
              <w:t>Other</w:t>
            </w:r>
          </w:p>
        </w:tc>
        <w:tc>
          <w:tcPr>
            <w:tcW w:w="520" w:type="dxa"/>
            <w:vAlign w:val="bottom"/>
          </w:tcPr>
          <w:p>
            <w:pPr>
              <w:spacing w:after="0"/>
              <w:rPr>
                <w:sz w:val="24"/>
                <w:szCs w:val="24"/>
                <w:color w:val="auto"/>
              </w:rPr>
            </w:pPr>
          </w:p>
        </w:tc>
        <w:tc>
          <w:tcPr>
            <w:tcW w:w="1260" w:type="dxa"/>
            <w:vAlign w:val="bottom"/>
          </w:tcPr>
          <w:p>
            <w:pPr>
              <w:jc w:val="right"/>
              <w:ind w:right="292"/>
              <w:spacing w:after="0"/>
              <w:rPr>
                <w:sz w:val="20"/>
                <w:szCs w:val="20"/>
                <w:color w:val="auto"/>
              </w:rPr>
            </w:pPr>
            <w:r>
              <w:rPr>
                <w:rFonts w:ascii="Arial" w:cs="Arial" w:eastAsia="Arial" w:hAnsi="Arial"/>
                <w:sz w:val="18"/>
                <w:szCs w:val="18"/>
                <w:color w:val="auto"/>
              </w:rPr>
              <w:t>36</w:t>
            </w:r>
          </w:p>
        </w:tc>
        <w:tc>
          <w:tcPr>
            <w:tcW w:w="820" w:type="dxa"/>
            <w:vAlign w:val="bottom"/>
          </w:tcPr>
          <w:p>
            <w:pPr>
              <w:spacing w:after="0"/>
              <w:rPr>
                <w:sz w:val="24"/>
                <w:szCs w:val="24"/>
                <w:color w:val="auto"/>
              </w:rPr>
            </w:pPr>
          </w:p>
        </w:tc>
        <w:tc>
          <w:tcPr>
            <w:tcW w:w="1080" w:type="dxa"/>
            <w:vAlign w:val="bottom"/>
          </w:tcPr>
          <w:p>
            <w:pPr>
              <w:jc w:val="right"/>
              <w:ind w:right="112"/>
              <w:spacing w:after="0"/>
              <w:rPr>
                <w:sz w:val="20"/>
                <w:szCs w:val="20"/>
                <w:color w:val="auto"/>
              </w:rPr>
            </w:pPr>
            <w:r>
              <w:rPr>
                <w:rFonts w:ascii="Arial" w:cs="Arial" w:eastAsia="Arial" w:hAnsi="Arial"/>
                <w:sz w:val="18"/>
                <w:szCs w:val="18"/>
                <w:color w:val="auto"/>
              </w:rPr>
              <w:t>29</w:t>
            </w:r>
          </w:p>
        </w:tc>
      </w:tr>
      <w:tr>
        <w:trPr>
          <w:trHeight w:val="251"/>
        </w:trPr>
        <w:tc>
          <w:tcPr>
            <w:tcW w:w="4100" w:type="dxa"/>
            <w:vAlign w:val="bottom"/>
          </w:tcPr>
          <w:p>
            <w:pPr>
              <w:spacing w:after="0"/>
              <w:rPr>
                <w:sz w:val="21"/>
                <w:szCs w:val="21"/>
                <w:color w:val="auto"/>
              </w:rPr>
            </w:pPr>
          </w:p>
        </w:tc>
        <w:tc>
          <w:tcPr>
            <w:tcW w:w="520" w:type="dxa"/>
            <w:vAlign w:val="bottom"/>
            <w:shd w:val="clear" w:color="auto" w:fill="000000"/>
          </w:tcPr>
          <w:p>
            <w:pPr>
              <w:spacing w:after="0"/>
              <w:rPr>
                <w:sz w:val="21"/>
                <w:szCs w:val="21"/>
                <w:color w:val="auto"/>
              </w:rPr>
            </w:pPr>
          </w:p>
        </w:tc>
        <w:tc>
          <w:tcPr>
            <w:tcW w:w="1260" w:type="dxa"/>
            <w:vAlign w:val="bottom"/>
            <w:shd w:val="clear" w:color="auto" w:fill="000000"/>
          </w:tcPr>
          <w:p>
            <w:pPr>
              <w:spacing w:after="0"/>
              <w:rPr>
                <w:sz w:val="21"/>
                <w:szCs w:val="21"/>
                <w:color w:val="auto"/>
              </w:rPr>
            </w:pPr>
          </w:p>
        </w:tc>
        <w:tc>
          <w:tcPr>
            <w:tcW w:w="820" w:type="dxa"/>
            <w:vAlign w:val="bottom"/>
            <w:shd w:val="clear" w:color="auto" w:fill="000000"/>
          </w:tcPr>
          <w:p>
            <w:pPr>
              <w:spacing w:after="0"/>
              <w:rPr>
                <w:sz w:val="21"/>
                <w:szCs w:val="21"/>
                <w:color w:val="auto"/>
              </w:rPr>
            </w:pPr>
          </w:p>
        </w:tc>
        <w:tc>
          <w:tcPr>
            <w:tcW w:w="1080" w:type="dxa"/>
            <w:vAlign w:val="bottom"/>
            <w:shd w:val="clear" w:color="auto" w:fill="000000"/>
          </w:tcPr>
          <w:p>
            <w:pPr>
              <w:spacing w:after="0"/>
              <w:rPr>
                <w:sz w:val="21"/>
                <w:szCs w:val="21"/>
                <w:color w:val="auto"/>
              </w:rPr>
            </w:pPr>
          </w:p>
        </w:tc>
      </w:tr>
      <w:tr>
        <w:trPr>
          <w:trHeight w:val="262"/>
        </w:trPr>
        <w:tc>
          <w:tcPr>
            <w:tcW w:w="4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Total</w:t>
            </w:r>
          </w:p>
        </w:tc>
        <w:tc>
          <w:tcPr>
            <w:tcW w:w="520" w:type="dxa"/>
            <w:vAlign w:val="bottom"/>
            <w:tcBorders>
              <w:bottom w:val="single" w:sz="8" w:color="auto"/>
            </w:tcBorders>
          </w:tcPr>
          <w:p>
            <w:pPr>
              <w:jc w:val="right"/>
              <w:ind w:right="332"/>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color w:val="auto"/>
              </w:rPr>
              <w:t>(81 )</w:t>
            </w:r>
          </w:p>
        </w:tc>
        <w:tc>
          <w:tcPr>
            <w:tcW w:w="820" w:type="dxa"/>
            <w:vAlign w:val="bottom"/>
            <w:tcBorders>
              <w:bottom w:val="single" w:sz="8" w:color="auto"/>
            </w:tcBorders>
          </w:tcPr>
          <w:p>
            <w:pPr>
              <w:jc w:val="right"/>
              <w:ind w:right="352"/>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(50 )</w:t>
            </w:r>
          </w:p>
        </w:tc>
      </w:tr>
    </w:tbl>
    <w:p>
      <w:pPr>
        <w:sectPr>
          <w:pgSz w:w="11900" w:h="16900" w:orient="portrait"/>
          <w:cols w:equalWidth="0" w:num="1">
            <w:col w:w="11400"/>
          </w:cols>
          <w:pgMar w:left="240" w:top="111" w:right="259" w:bottom="0" w:gutter="0" w:footer="0" w:header="0"/>
        </w:sectPr>
      </w:pPr>
    </w:p>
    <w:bookmarkStart w:id="28" w:name="page29"/>
    <w:bookmarkEnd w:id="28"/>
    <w:p>
      <w:pPr>
        <w:spacing w:after="0" w:line="4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1315085</wp:posOffset>
            </wp:positionH>
            <wp:positionV relativeFrom="page">
              <wp:posOffset>88900</wp:posOffset>
            </wp:positionV>
            <wp:extent cx="4939665"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4939665" cy="8890"/>
                    </a:xfrm>
                    <a:prstGeom prst="rect">
                      <a:avLst/>
                    </a:prstGeom>
                    <a:noFill/>
                  </pic:spPr>
                </pic:pic>
              </a:graphicData>
            </a:graphic>
          </wp:anchor>
        </w:drawing>
      </w:r>
    </w:p>
    <w:p>
      <w:pPr>
        <w:ind w:right="80" w:firstLine="8"/>
        <w:spacing w:after="0" w:line="254" w:lineRule="auto"/>
        <w:tabs>
          <w:tab w:leader="none" w:pos="132" w:val="left"/>
        </w:tabs>
        <w:numPr>
          <w:ilvl w:val="0"/>
          <w:numId w:val="6"/>
        </w:numPr>
        <w:rPr>
          <w:rFonts w:ascii="Arial" w:cs="Arial" w:eastAsia="Arial" w:hAnsi="Arial"/>
          <w:sz w:val="18"/>
          <w:szCs w:val="18"/>
          <w:color w:val="auto"/>
        </w:rPr>
      </w:pPr>
      <w:r>
        <w:rPr>
          <w:rFonts w:ascii="Arial" w:cs="Arial" w:eastAsia="Arial" w:hAnsi="Arial"/>
          <w:sz w:val="18"/>
          <w:szCs w:val="18"/>
          <w:color w:val="auto"/>
        </w:rPr>
        <w:t>In connection with electric industry restructuring, which is described in Note 9, SDG&amp;E temporarily reduced rates to its small-usage customers. That reduction is being recovered in rates through 2007.</w:t>
      </w:r>
    </w:p>
    <w:p>
      <w:pPr>
        <w:spacing w:after="0"/>
        <w:rPr>
          <w:rFonts w:ascii="Arial" w:cs="Arial" w:eastAsia="Arial" w:hAnsi="Arial"/>
          <w:sz w:val="18"/>
          <w:szCs w:val="18"/>
          <w:color w:val="auto"/>
        </w:rPr>
      </w:pPr>
      <w:r>
        <w:rPr>
          <w:rFonts w:ascii="Arial" w:cs="Arial" w:eastAsia="Arial" w:hAnsi="Arial"/>
          <w:sz w:val="18"/>
          <w:szCs w:val="18"/>
          <w:color w:val="auto"/>
        </w:rPr>
        <w:t xml:space="preserve">** This is related to SFAS 143, </w:t>
      </w:r>
      <w:r>
        <w:rPr>
          <w:rFonts w:ascii="Arial" w:cs="Arial" w:eastAsia="Arial" w:hAnsi="Arial"/>
          <w:sz w:val="18"/>
          <w:szCs w:val="18"/>
          <w:i w:val="1"/>
          <w:iCs w:val="1"/>
          <w:color w:val="auto"/>
        </w:rPr>
        <w:t>Accounting for Asset Retirement Obligations,</w:t>
      </w:r>
      <w:r>
        <w:rPr>
          <w:rFonts w:ascii="Arial" w:cs="Arial" w:eastAsia="Arial" w:hAnsi="Arial"/>
          <w:sz w:val="18"/>
          <w:szCs w:val="18"/>
          <w:color w:val="auto"/>
        </w:rPr>
        <w:t xml:space="preserve"> which is discussed below in "New Accounting Standards."</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Net regulatory assets (liabilities) are recorded on the Consolidated Balance Sheets at December 31 as follows:</w:t>
      </w:r>
    </w:p>
    <w:p>
      <w:pPr>
        <w:spacing w:after="0" w:line="260" w:lineRule="exact"/>
        <w:rPr>
          <w:sz w:val="20"/>
          <w:szCs w:val="20"/>
          <w:color w:val="auto"/>
        </w:rPr>
      </w:pPr>
    </w:p>
    <w:tbl>
      <w:tblPr>
        <w:tblLayout w:type="fixed"/>
        <w:tblInd w:w="1840" w:type="dxa"/>
        <w:tblCellMar>
          <w:top w:w="0" w:type="dxa"/>
          <w:left w:w="0" w:type="dxa"/>
          <w:bottom w:w="0" w:type="dxa"/>
          <w:right w:w="0" w:type="dxa"/>
        </w:tblCellMar>
      </w:tblPr>
      <w:tr>
        <w:trPr>
          <w:trHeight w:val="230"/>
        </w:trPr>
        <w:tc>
          <w:tcPr>
            <w:tcW w:w="4740" w:type="dxa"/>
            <w:vAlign w:val="bottom"/>
          </w:tcPr>
          <w:p>
            <w:pPr>
              <w:spacing w:after="0"/>
              <w:rPr>
                <w:sz w:val="20"/>
                <w:szCs w:val="20"/>
                <w:color w:val="auto"/>
              </w:rPr>
            </w:pPr>
            <w:r>
              <w:rPr>
                <w:rFonts w:ascii="Arial" w:cs="Arial" w:eastAsia="Arial" w:hAnsi="Arial"/>
                <w:sz w:val="18"/>
                <w:szCs w:val="18"/>
                <w:color w:val="auto"/>
              </w:rPr>
              <w:t>(Dollars in millions)</w:t>
            </w:r>
          </w:p>
        </w:tc>
        <w:tc>
          <w:tcPr>
            <w:tcW w:w="360" w:type="dxa"/>
            <w:vAlign w:val="bottom"/>
          </w:tcPr>
          <w:p>
            <w:pPr>
              <w:spacing w:after="0"/>
              <w:rPr>
                <w:sz w:val="20"/>
                <w:szCs w:val="20"/>
                <w:color w:val="auto"/>
              </w:rPr>
            </w:pPr>
          </w:p>
        </w:tc>
        <w:tc>
          <w:tcPr>
            <w:tcW w:w="1140" w:type="dxa"/>
            <w:vAlign w:val="bottom"/>
          </w:tcPr>
          <w:p>
            <w:pPr>
              <w:jc w:val="right"/>
              <w:ind w:right="352"/>
              <w:spacing w:after="0"/>
              <w:rPr>
                <w:sz w:val="20"/>
                <w:szCs w:val="20"/>
                <w:color w:val="auto"/>
              </w:rPr>
            </w:pPr>
            <w:r>
              <w:rPr>
                <w:rFonts w:ascii="Arial" w:cs="Arial" w:eastAsia="Arial" w:hAnsi="Arial"/>
                <w:sz w:val="18"/>
                <w:szCs w:val="18"/>
                <w:color w:val="auto"/>
              </w:rPr>
              <w:t>2005</w:t>
            </w:r>
          </w:p>
        </w:tc>
        <w:tc>
          <w:tcPr>
            <w:tcW w:w="700" w:type="dxa"/>
            <w:vAlign w:val="bottom"/>
          </w:tcPr>
          <w:p>
            <w:pPr>
              <w:spacing w:after="0"/>
              <w:rPr>
                <w:sz w:val="20"/>
                <w:szCs w:val="20"/>
                <w:color w:val="auto"/>
              </w:rPr>
            </w:pPr>
          </w:p>
        </w:tc>
        <w:tc>
          <w:tcPr>
            <w:tcW w:w="840" w:type="dxa"/>
            <w:vAlign w:val="bottom"/>
          </w:tcPr>
          <w:p>
            <w:pPr>
              <w:jc w:val="right"/>
              <w:ind w:right="32"/>
              <w:spacing w:after="0"/>
              <w:rPr>
                <w:sz w:val="20"/>
                <w:szCs w:val="20"/>
                <w:color w:val="auto"/>
              </w:rPr>
            </w:pPr>
            <w:r>
              <w:rPr>
                <w:rFonts w:ascii="Arial" w:cs="Arial" w:eastAsia="Arial" w:hAnsi="Arial"/>
                <w:sz w:val="18"/>
                <w:szCs w:val="18"/>
                <w:color w:val="auto"/>
              </w:rPr>
              <w:t>2004</w:t>
            </w:r>
          </w:p>
        </w:tc>
      </w:tr>
      <w:tr>
        <w:trPr>
          <w:trHeight w:val="251"/>
        </w:trPr>
        <w:tc>
          <w:tcPr>
            <w:tcW w:w="4740" w:type="dxa"/>
            <w:vAlign w:val="bottom"/>
            <w:shd w:val="clear" w:color="auto" w:fill="000000"/>
          </w:tcPr>
          <w:p>
            <w:pPr>
              <w:spacing w:after="0"/>
              <w:rPr>
                <w:sz w:val="21"/>
                <w:szCs w:val="21"/>
                <w:color w:val="auto"/>
              </w:rPr>
            </w:pPr>
          </w:p>
        </w:tc>
        <w:tc>
          <w:tcPr>
            <w:tcW w:w="360" w:type="dxa"/>
            <w:vAlign w:val="bottom"/>
            <w:shd w:val="clear" w:color="auto" w:fill="000000"/>
          </w:tcPr>
          <w:p>
            <w:pPr>
              <w:spacing w:after="0"/>
              <w:rPr>
                <w:sz w:val="21"/>
                <w:szCs w:val="21"/>
                <w:color w:val="auto"/>
              </w:rPr>
            </w:pPr>
          </w:p>
        </w:tc>
        <w:tc>
          <w:tcPr>
            <w:tcW w:w="1140" w:type="dxa"/>
            <w:vAlign w:val="bottom"/>
            <w:shd w:val="clear" w:color="auto" w:fill="000000"/>
          </w:tcPr>
          <w:p>
            <w:pPr>
              <w:spacing w:after="0"/>
              <w:rPr>
                <w:sz w:val="21"/>
                <w:szCs w:val="21"/>
                <w:color w:val="auto"/>
              </w:rPr>
            </w:pPr>
          </w:p>
        </w:tc>
        <w:tc>
          <w:tcPr>
            <w:tcW w:w="700" w:type="dxa"/>
            <w:vAlign w:val="bottom"/>
            <w:shd w:val="clear" w:color="auto" w:fill="000000"/>
          </w:tcPr>
          <w:p>
            <w:pPr>
              <w:spacing w:after="0"/>
              <w:rPr>
                <w:sz w:val="21"/>
                <w:szCs w:val="21"/>
                <w:color w:val="auto"/>
              </w:rPr>
            </w:pPr>
          </w:p>
        </w:tc>
        <w:tc>
          <w:tcPr>
            <w:tcW w:w="840" w:type="dxa"/>
            <w:vAlign w:val="bottom"/>
            <w:shd w:val="clear" w:color="auto" w:fill="000000"/>
          </w:tcPr>
          <w:p>
            <w:pPr>
              <w:spacing w:after="0"/>
              <w:rPr>
                <w:sz w:val="21"/>
                <w:szCs w:val="21"/>
                <w:color w:val="auto"/>
              </w:rPr>
            </w:pPr>
          </w:p>
        </w:tc>
      </w:tr>
      <w:tr>
        <w:trPr>
          <w:trHeight w:val="255"/>
        </w:trPr>
        <w:tc>
          <w:tcPr>
            <w:tcW w:w="4740" w:type="dxa"/>
            <w:vAlign w:val="bottom"/>
          </w:tcPr>
          <w:p>
            <w:pPr>
              <w:spacing w:after="0"/>
              <w:rPr>
                <w:sz w:val="20"/>
                <w:szCs w:val="20"/>
                <w:color w:val="auto"/>
              </w:rPr>
            </w:pPr>
            <w:r>
              <w:rPr>
                <w:rFonts w:ascii="Arial" w:cs="Arial" w:eastAsia="Arial" w:hAnsi="Arial"/>
                <w:sz w:val="18"/>
                <w:szCs w:val="18"/>
                <w:color w:val="auto"/>
              </w:rPr>
              <w:t>Current regulatory assets</w:t>
            </w:r>
          </w:p>
        </w:tc>
        <w:tc>
          <w:tcPr>
            <w:tcW w:w="360" w:type="dxa"/>
            <w:vAlign w:val="bottom"/>
          </w:tcPr>
          <w:p>
            <w:pPr>
              <w:jc w:val="right"/>
              <w:ind w:right="172"/>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ind w:right="352"/>
              <w:spacing w:after="0"/>
              <w:rPr>
                <w:sz w:val="20"/>
                <w:szCs w:val="20"/>
                <w:color w:val="auto"/>
              </w:rPr>
            </w:pPr>
            <w:r>
              <w:rPr>
                <w:rFonts w:ascii="Arial" w:cs="Arial" w:eastAsia="Arial" w:hAnsi="Arial"/>
                <w:sz w:val="18"/>
                <w:szCs w:val="18"/>
                <w:color w:val="auto"/>
              </w:rPr>
              <w:t>167</w:t>
            </w:r>
          </w:p>
        </w:tc>
        <w:tc>
          <w:tcPr>
            <w:tcW w:w="70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32"/>
              <w:spacing w:after="0"/>
              <w:rPr>
                <w:sz w:val="20"/>
                <w:szCs w:val="20"/>
                <w:color w:val="auto"/>
              </w:rPr>
            </w:pPr>
            <w:r>
              <w:rPr>
                <w:rFonts w:ascii="Arial" w:cs="Arial" w:eastAsia="Arial" w:hAnsi="Arial"/>
                <w:sz w:val="18"/>
                <w:szCs w:val="18"/>
                <w:color w:val="auto"/>
              </w:rPr>
              <w:t>132</w:t>
            </w:r>
          </w:p>
        </w:tc>
      </w:tr>
      <w:tr>
        <w:trPr>
          <w:trHeight w:val="270"/>
        </w:trPr>
        <w:tc>
          <w:tcPr>
            <w:tcW w:w="4740" w:type="dxa"/>
            <w:vAlign w:val="bottom"/>
          </w:tcPr>
          <w:p>
            <w:pPr>
              <w:spacing w:after="0"/>
              <w:rPr>
                <w:sz w:val="20"/>
                <w:szCs w:val="20"/>
                <w:color w:val="auto"/>
              </w:rPr>
            </w:pPr>
            <w:r>
              <w:rPr>
                <w:rFonts w:ascii="Arial" w:cs="Arial" w:eastAsia="Arial" w:hAnsi="Arial"/>
                <w:sz w:val="18"/>
                <w:szCs w:val="18"/>
                <w:color w:val="auto"/>
              </w:rPr>
              <w:t>Noncurrent regulatory assets</w:t>
            </w:r>
          </w:p>
        </w:tc>
        <w:tc>
          <w:tcPr>
            <w:tcW w:w="360" w:type="dxa"/>
            <w:vAlign w:val="bottom"/>
          </w:tcPr>
          <w:p>
            <w:pPr>
              <w:spacing w:after="0"/>
              <w:rPr>
                <w:sz w:val="23"/>
                <w:szCs w:val="23"/>
                <w:color w:val="auto"/>
              </w:rPr>
            </w:pPr>
          </w:p>
        </w:tc>
        <w:tc>
          <w:tcPr>
            <w:tcW w:w="1140" w:type="dxa"/>
            <w:vAlign w:val="bottom"/>
          </w:tcPr>
          <w:p>
            <w:pPr>
              <w:jc w:val="right"/>
              <w:ind w:right="352"/>
              <w:spacing w:after="0"/>
              <w:rPr>
                <w:sz w:val="20"/>
                <w:szCs w:val="20"/>
                <w:color w:val="auto"/>
              </w:rPr>
            </w:pPr>
            <w:r>
              <w:rPr>
                <w:rFonts w:ascii="Arial" w:cs="Arial" w:eastAsia="Arial" w:hAnsi="Arial"/>
                <w:sz w:val="18"/>
                <w:szCs w:val="18"/>
                <w:color w:val="auto"/>
              </w:rPr>
              <w:t>968</w:t>
            </w:r>
          </w:p>
        </w:tc>
        <w:tc>
          <w:tcPr>
            <w:tcW w:w="700" w:type="dxa"/>
            <w:vAlign w:val="bottom"/>
          </w:tcPr>
          <w:p>
            <w:pPr>
              <w:spacing w:after="0"/>
              <w:rPr>
                <w:sz w:val="23"/>
                <w:szCs w:val="23"/>
                <w:color w:val="auto"/>
              </w:rPr>
            </w:pPr>
          </w:p>
        </w:tc>
        <w:tc>
          <w:tcPr>
            <w:tcW w:w="840" w:type="dxa"/>
            <w:vAlign w:val="bottom"/>
          </w:tcPr>
          <w:p>
            <w:pPr>
              <w:jc w:val="right"/>
              <w:ind w:right="32"/>
              <w:spacing w:after="0"/>
              <w:rPr>
                <w:sz w:val="20"/>
                <w:szCs w:val="20"/>
                <w:color w:val="auto"/>
              </w:rPr>
            </w:pPr>
            <w:r>
              <w:rPr>
                <w:rFonts w:ascii="Arial" w:cs="Arial" w:eastAsia="Arial" w:hAnsi="Arial"/>
                <w:sz w:val="18"/>
                <w:szCs w:val="18"/>
                <w:color w:val="auto"/>
              </w:rPr>
              <w:t>1,067</w:t>
            </w:r>
          </w:p>
        </w:tc>
      </w:tr>
      <w:tr>
        <w:trPr>
          <w:trHeight w:val="270"/>
        </w:trPr>
        <w:tc>
          <w:tcPr>
            <w:tcW w:w="4740" w:type="dxa"/>
            <w:vAlign w:val="bottom"/>
          </w:tcPr>
          <w:p>
            <w:pPr>
              <w:spacing w:after="0"/>
              <w:rPr>
                <w:sz w:val="20"/>
                <w:szCs w:val="20"/>
                <w:color w:val="auto"/>
              </w:rPr>
            </w:pPr>
            <w:r>
              <w:rPr>
                <w:rFonts w:ascii="Arial" w:cs="Arial" w:eastAsia="Arial" w:hAnsi="Arial"/>
                <w:sz w:val="18"/>
                <w:szCs w:val="18"/>
                <w:color w:val="auto"/>
              </w:rPr>
              <w:t>Current regulatory liabilities*</w:t>
            </w:r>
          </w:p>
        </w:tc>
        <w:tc>
          <w:tcPr>
            <w:tcW w:w="360" w:type="dxa"/>
            <w:vAlign w:val="bottom"/>
          </w:tcPr>
          <w:p>
            <w:pPr>
              <w:spacing w:after="0"/>
              <w:rPr>
                <w:sz w:val="23"/>
                <w:szCs w:val="23"/>
                <w:color w:val="auto"/>
              </w:rPr>
            </w:pPr>
          </w:p>
        </w:tc>
        <w:tc>
          <w:tcPr>
            <w:tcW w:w="1140" w:type="dxa"/>
            <w:vAlign w:val="bottom"/>
          </w:tcPr>
          <w:p>
            <w:pPr>
              <w:jc w:val="right"/>
              <w:ind w:right="352"/>
              <w:spacing w:after="0"/>
              <w:rPr>
                <w:sz w:val="20"/>
                <w:szCs w:val="20"/>
                <w:color w:val="auto"/>
              </w:rPr>
            </w:pPr>
            <w:r>
              <w:rPr>
                <w:rFonts w:ascii="Arial" w:cs="Arial" w:eastAsia="Arial" w:hAnsi="Arial"/>
                <w:sz w:val="18"/>
                <w:szCs w:val="18"/>
                <w:color w:val="auto"/>
              </w:rPr>
              <w:t>--</w:t>
            </w:r>
          </w:p>
        </w:tc>
        <w:tc>
          <w:tcPr>
            <w:tcW w:w="70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(3 )</w:t>
            </w:r>
          </w:p>
        </w:tc>
      </w:tr>
      <w:tr>
        <w:trPr>
          <w:trHeight w:val="278"/>
        </w:trPr>
        <w:tc>
          <w:tcPr>
            <w:tcW w:w="4740" w:type="dxa"/>
            <w:vAlign w:val="bottom"/>
          </w:tcPr>
          <w:p>
            <w:pPr>
              <w:spacing w:after="0"/>
              <w:rPr>
                <w:sz w:val="20"/>
                <w:szCs w:val="20"/>
                <w:color w:val="auto"/>
              </w:rPr>
            </w:pPr>
            <w:r>
              <w:rPr>
                <w:rFonts w:ascii="Arial" w:cs="Arial" w:eastAsia="Arial" w:hAnsi="Arial"/>
                <w:sz w:val="18"/>
                <w:szCs w:val="18"/>
                <w:color w:val="auto"/>
              </w:rPr>
              <w:t>Noncurrent regulatory liabilities</w:t>
            </w:r>
          </w:p>
        </w:tc>
        <w:tc>
          <w:tcPr>
            <w:tcW w:w="360" w:type="dxa"/>
            <w:vAlign w:val="bottom"/>
          </w:tcPr>
          <w:p>
            <w:pPr>
              <w:spacing w:after="0"/>
              <w:rPr>
                <w:sz w:val="24"/>
                <w:szCs w:val="24"/>
                <w:color w:val="auto"/>
              </w:rPr>
            </w:pPr>
          </w:p>
        </w:tc>
        <w:tc>
          <w:tcPr>
            <w:tcW w:w="1140" w:type="dxa"/>
            <w:vAlign w:val="bottom"/>
          </w:tcPr>
          <w:p>
            <w:pPr>
              <w:jc w:val="right"/>
              <w:ind w:right="252"/>
              <w:spacing w:after="0"/>
              <w:rPr>
                <w:sz w:val="20"/>
                <w:szCs w:val="20"/>
                <w:color w:val="auto"/>
              </w:rPr>
            </w:pPr>
            <w:r>
              <w:rPr>
                <w:rFonts w:ascii="Arial" w:cs="Arial" w:eastAsia="Arial" w:hAnsi="Arial"/>
                <w:sz w:val="18"/>
                <w:szCs w:val="18"/>
                <w:color w:val="auto"/>
              </w:rPr>
              <w:t>(1,216 )</w:t>
            </w:r>
          </w:p>
        </w:tc>
        <w:tc>
          <w:tcPr>
            <w:tcW w:w="70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(1,246 )</w:t>
            </w:r>
          </w:p>
        </w:tc>
      </w:tr>
      <w:tr>
        <w:trPr>
          <w:trHeight w:val="251"/>
        </w:trPr>
        <w:tc>
          <w:tcPr>
            <w:tcW w:w="4740" w:type="dxa"/>
            <w:vAlign w:val="bottom"/>
          </w:tcPr>
          <w:p>
            <w:pPr>
              <w:spacing w:after="0"/>
              <w:rPr>
                <w:sz w:val="21"/>
                <w:szCs w:val="21"/>
                <w:color w:val="auto"/>
              </w:rPr>
            </w:pPr>
          </w:p>
        </w:tc>
        <w:tc>
          <w:tcPr>
            <w:tcW w:w="360" w:type="dxa"/>
            <w:vAlign w:val="bottom"/>
            <w:shd w:val="clear" w:color="auto" w:fill="000000"/>
          </w:tcPr>
          <w:p>
            <w:pPr>
              <w:spacing w:after="0"/>
              <w:rPr>
                <w:sz w:val="21"/>
                <w:szCs w:val="21"/>
                <w:color w:val="auto"/>
              </w:rPr>
            </w:pPr>
          </w:p>
        </w:tc>
        <w:tc>
          <w:tcPr>
            <w:tcW w:w="1140" w:type="dxa"/>
            <w:vAlign w:val="bottom"/>
            <w:shd w:val="clear" w:color="auto" w:fill="000000"/>
          </w:tcPr>
          <w:p>
            <w:pPr>
              <w:spacing w:after="0"/>
              <w:rPr>
                <w:sz w:val="21"/>
                <w:szCs w:val="21"/>
                <w:color w:val="auto"/>
              </w:rPr>
            </w:pPr>
          </w:p>
        </w:tc>
        <w:tc>
          <w:tcPr>
            <w:tcW w:w="700" w:type="dxa"/>
            <w:vAlign w:val="bottom"/>
            <w:shd w:val="clear" w:color="auto" w:fill="000000"/>
          </w:tcPr>
          <w:p>
            <w:pPr>
              <w:spacing w:after="0"/>
              <w:rPr>
                <w:sz w:val="21"/>
                <w:szCs w:val="21"/>
                <w:color w:val="auto"/>
              </w:rPr>
            </w:pPr>
          </w:p>
        </w:tc>
        <w:tc>
          <w:tcPr>
            <w:tcW w:w="840" w:type="dxa"/>
            <w:vAlign w:val="bottom"/>
            <w:shd w:val="clear" w:color="auto" w:fill="000000"/>
          </w:tcPr>
          <w:p>
            <w:pPr>
              <w:spacing w:after="0"/>
              <w:rPr>
                <w:sz w:val="21"/>
                <w:szCs w:val="21"/>
                <w:color w:val="auto"/>
              </w:rPr>
            </w:pPr>
          </w:p>
        </w:tc>
      </w:tr>
      <w:tr>
        <w:trPr>
          <w:trHeight w:val="262"/>
        </w:trPr>
        <w:tc>
          <w:tcPr>
            <w:tcW w:w="4740" w:type="dxa"/>
            <w:vAlign w:val="bottom"/>
          </w:tcPr>
          <w:p>
            <w:pPr>
              <w:ind w:left="220"/>
              <w:spacing w:after="0"/>
              <w:rPr>
                <w:sz w:val="20"/>
                <w:szCs w:val="20"/>
                <w:color w:val="auto"/>
              </w:rPr>
            </w:pPr>
            <w:r>
              <w:rPr>
                <w:rFonts w:ascii="Arial" w:cs="Arial" w:eastAsia="Arial" w:hAnsi="Arial"/>
                <w:sz w:val="18"/>
                <w:szCs w:val="18"/>
                <w:color w:val="auto"/>
              </w:rPr>
              <w:t>Total</w:t>
            </w:r>
          </w:p>
        </w:tc>
        <w:tc>
          <w:tcPr>
            <w:tcW w:w="360" w:type="dxa"/>
            <w:vAlign w:val="bottom"/>
          </w:tcPr>
          <w:p>
            <w:pPr>
              <w:jc w:val="right"/>
              <w:ind w:right="172"/>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ind w:right="252"/>
              <w:spacing w:after="0"/>
              <w:rPr>
                <w:sz w:val="20"/>
                <w:szCs w:val="20"/>
                <w:color w:val="auto"/>
              </w:rPr>
            </w:pPr>
            <w:r>
              <w:rPr>
                <w:rFonts w:ascii="Arial" w:cs="Arial" w:eastAsia="Arial" w:hAnsi="Arial"/>
                <w:sz w:val="18"/>
                <w:szCs w:val="18"/>
                <w:color w:val="auto"/>
              </w:rPr>
              <w:t>(81 )</w:t>
            </w:r>
          </w:p>
        </w:tc>
        <w:tc>
          <w:tcPr>
            <w:tcW w:w="70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(50 )</w:t>
            </w:r>
          </w:p>
        </w:tc>
      </w:tr>
      <w:tr>
        <w:trPr>
          <w:trHeight w:val="251"/>
        </w:trPr>
        <w:tc>
          <w:tcPr>
            <w:tcW w:w="4740" w:type="dxa"/>
            <w:vAlign w:val="bottom"/>
            <w:shd w:val="clear" w:color="auto" w:fill="000000"/>
          </w:tcPr>
          <w:p>
            <w:pPr>
              <w:spacing w:after="0"/>
              <w:rPr>
                <w:sz w:val="21"/>
                <w:szCs w:val="21"/>
                <w:color w:val="auto"/>
              </w:rPr>
            </w:pPr>
          </w:p>
        </w:tc>
        <w:tc>
          <w:tcPr>
            <w:tcW w:w="360" w:type="dxa"/>
            <w:vAlign w:val="bottom"/>
            <w:shd w:val="clear" w:color="auto" w:fill="000000"/>
          </w:tcPr>
          <w:p>
            <w:pPr>
              <w:spacing w:after="0"/>
              <w:rPr>
                <w:sz w:val="21"/>
                <w:szCs w:val="21"/>
                <w:color w:val="auto"/>
              </w:rPr>
            </w:pPr>
          </w:p>
        </w:tc>
        <w:tc>
          <w:tcPr>
            <w:tcW w:w="1140" w:type="dxa"/>
            <w:vAlign w:val="bottom"/>
            <w:shd w:val="clear" w:color="auto" w:fill="000000"/>
          </w:tcPr>
          <w:p>
            <w:pPr>
              <w:spacing w:after="0"/>
              <w:rPr>
                <w:sz w:val="21"/>
                <w:szCs w:val="21"/>
                <w:color w:val="auto"/>
              </w:rPr>
            </w:pPr>
          </w:p>
        </w:tc>
        <w:tc>
          <w:tcPr>
            <w:tcW w:w="700" w:type="dxa"/>
            <w:vAlign w:val="bottom"/>
            <w:shd w:val="clear" w:color="auto" w:fill="000000"/>
          </w:tcPr>
          <w:p>
            <w:pPr>
              <w:spacing w:after="0"/>
              <w:rPr>
                <w:sz w:val="21"/>
                <w:szCs w:val="21"/>
                <w:color w:val="auto"/>
              </w:rPr>
            </w:pPr>
          </w:p>
        </w:tc>
        <w:tc>
          <w:tcPr>
            <w:tcW w:w="840" w:type="dxa"/>
            <w:vAlign w:val="bottom"/>
            <w:shd w:val="clear" w:color="auto" w:fill="000000"/>
          </w:tcPr>
          <w:p>
            <w:pPr>
              <w:spacing w:after="0"/>
              <w:rPr>
                <w:sz w:val="21"/>
                <w:szCs w:val="21"/>
                <w:color w:val="auto"/>
              </w:rPr>
            </w:pPr>
          </w:p>
        </w:tc>
      </w:tr>
    </w:tbl>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 Included in Other Current Liabilities.</w:t>
      </w:r>
    </w:p>
    <w:p>
      <w:pPr>
        <w:spacing w:after="0" w:line="212" w:lineRule="exact"/>
        <w:rPr>
          <w:sz w:val="20"/>
          <w:szCs w:val="20"/>
          <w:color w:val="auto"/>
        </w:rPr>
      </w:pPr>
    </w:p>
    <w:p>
      <w:pPr>
        <w:ind w:right="140"/>
        <w:spacing w:after="0" w:line="251" w:lineRule="auto"/>
        <w:rPr>
          <w:sz w:val="20"/>
          <w:szCs w:val="20"/>
          <w:color w:val="auto"/>
        </w:rPr>
      </w:pPr>
      <w:r>
        <w:rPr>
          <w:rFonts w:ascii="Arial" w:cs="Arial" w:eastAsia="Arial" w:hAnsi="Arial"/>
          <w:sz w:val="22"/>
          <w:szCs w:val="22"/>
          <w:color w:val="auto"/>
        </w:rPr>
        <w:t>All of these assets either earn a return, generally at short-term rates, or the cash has not yet been expended and the assets are offset by liabilities that do not incur a carrying cost.</w:t>
      </w:r>
    </w:p>
    <w:p>
      <w:pPr>
        <w:spacing w:after="0" w:line="16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Cash and Cash Equivalents</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color w:val="auto"/>
        </w:rPr>
        <w:t>Cash equivalents are highly liquid investments with maturities of three months or less at the date of purchase.</w:t>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Non-cash Investing and Financing Activities</w:t>
      </w:r>
    </w:p>
    <w:p>
      <w:pPr>
        <w:spacing w:after="0" w:line="212" w:lineRule="exact"/>
        <w:rPr>
          <w:sz w:val="20"/>
          <w:szCs w:val="20"/>
          <w:color w:val="auto"/>
        </w:rPr>
      </w:pPr>
    </w:p>
    <w:p>
      <w:pPr>
        <w:ind w:right="220"/>
        <w:spacing w:after="0"/>
        <w:rPr>
          <w:sz w:val="20"/>
          <w:szCs w:val="20"/>
          <w:color w:val="auto"/>
        </w:rPr>
      </w:pPr>
      <w:r>
        <w:rPr>
          <w:rFonts w:ascii="Arial" w:cs="Arial" w:eastAsia="Arial" w:hAnsi="Arial"/>
          <w:sz w:val="22"/>
          <w:szCs w:val="22"/>
          <w:color w:val="auto"/>
        </w:rPr>
        <w:t>SDG&amp;E added utility plant of $150 million and $267 million in 2005 and 2004, respectively, related to the Palomar power plant (discussed in Note 2), which will not be paid until 2006. In 2003 the company received $1 million of assets from Sempra Energy and assumed related liabilities of $6 million.</w:t>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Collection Allowances</w:t>
      </w:r>
    </w:p>
    <w:p>
      <w:pPr>
        <w:spacing w:after="0" w:line="212" w:lineRule="exact"/>
        <w:rPr>
          <w:sz w:val="20"/>
          <w:szCs w:val="20"/>
          <w:color w:val="auto"/>
        </w:rPr>
      </w:pPr>
    </w:p>
    <w:p>
      <w:pPr>
        <w:ind w:right="760"/>
        <w:spacing w:after="0" w:line="328" w:lineRule="auto"/>
        <w:rPr>
          <w:sz w:val="20"/>
          <w:szCs w:val="20"/>
          <w:color w:val="auto"/>
        </w:rPr>
      </w:pPr>
      <w:r>
        <w:rPr>
          <w:rFonts w:ascii="Arial" w:cs="Arial" w:eastAsia="Arial" w:hAnsi="Arial"/>
          <w:sz w:val="19"/>
          <w:szCs w:val="19"/>
          <w:color w:val="auto"/>
        </w:rPr>
        <w:t>The allowance for doubtful accounts was $2 million at each of December 31, 2005, 2004 and 2003. The company recorded provisions for doubtful accounts of $3 million, $3 million and $1 million in 2005, 2004 and 2003, respectively.</w:t>
      </w:r>
    </w:p>
    <w:p>
      <w:pPr>
        <w:spacing w:after="0" w:line="9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Inventories</w:t>
      </w:r>
    </w:p>
    <w:p>
      <w:pPr>
        <w:spacing w:after="0" w:line="212" w:lineRule="exact"/>
        <w:rPr>
          <w:sz w:val="20"/>
          <w:szCs w:val="20"/>
          <w:color w:val="auto"/>
        </w:rPr>
      </w:pPr>
    </w:p>
    <w:p>
      <w:pPr>
        <w:jc w:val="both"/>
        <w:ind w:right="20"/>
        <w:spacing w:after="0" w:line="236" w:lineRule="auto"/>
        <w:rPr>
          <w:sz w:val="20"/>
          <w:szCs w:val="20"/>
          <w:color w:val="auto"/>
        </w:rPr>
      </w:pPr>
      <w:r>
        <w:rPr>
          <w:rFonts w:ascii="Arial" w:cs="Arial" w:eastAsia="Arial" w:hAnsi="Arial"/>
          <w:sz w:val="22"/>
          <w:szCs w:val="22"/>
          <w:color w:val="auto"/>
        </w:rPr>
        <w:t>At December 31, 2005, inventory shown on the Consolidated Balance Sheets included natural gas of $30 million, and materials and supplies of $48 million. The corresponding balances at December 31, 2004 were $50 million and $38 million, respectively. Natural gas is valued by the last-in first-out (LIFO) method. When the inventory is consumed, differences between the LIFO valuation and replacement cost are reflected in customer rates. Materials and supplies at the company are generally valued at the lower of average cost or market.</w:t>
      </w:r>
    </w:p>
    <w:p>
      <w:pPr>
        <w:spacing w:after="0" w:line="18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Income Taxes</w:t>
      </w:r>
    </w:p>
    <w:p>
      <w:pPr>
        <w:spacing w:after="0" w:line="212" w:lineRule="exact"/>
        <w:rPr>
          <w:sz w:val="20"/>
          <w:szCs w:val="20"/>
          <w:color w:val="auto"/>
        </w:rPr>
      </w:pPr>
    </w:p>
    <w:p>
      <w:pPr>
        <w:spacing w:after="0" w:line="279" w:lineRule="auto"/>
        <w:rPr>
          <w:sz w:val="20"/>
          <w:szCs w:val="20"/>
          <w:color w:val="auto"/>
        </w:rPr>
      </w:pPr>
      <w:r>
        <w:rPr>
          <w:rFonts w:ascii="Arial" w:cs="Arial" w:eastAsia="Arial" w:hAnsi="Arial"/>
          <w:sz w:val="19"/>
          <w:szCs w:val="19"/>
          <w:color w:val="auto"/>
        </w:rPr>
        <w:t xml:space="preserve">Income tax expense includes current and deferred income taxes from operations during the year. In accordance with SFAS 109, </w:t>
      </w:r>
      <w:r>
        <w:rPr>
          <w:rFonts w:ascii="Arial" w:cs="Arial" w:eastAsia="Arial" w:hAnsi="Arial"/>
          <w:sz w:val="19"/>
          <w:szCs w:val="19"/>
          <w:i w:val="1"/>
          <w:iCs w:val="1"/>
          <w:color w:val="auto"/>
        </w:rPr>
        <w:t>Accounting for Income Taxes</w:t>
      </w:r>
      <w:r>
        <w:rPr>
          <w:rFonts w:ascii="Arial" w:cs="Arial" w:eastAsia="Arial" w:hAnsi="Arial"/>
          <w:sz w:val="19"/>
          <w:szCs w:val="19"/>
          <w:color w:val="auto"/>
        </w:rPr>
        <w:t>, the company records deferred income taxes for temporary differences between the book and tax</w:t>
      </w:r>
      <w:r>
        <w:rPr>
          <w:rFonts w:ascii="Arial" w:cs="Arial" w:eastAsia="Arial" w:hAnsi="Arial"/>
          <w:sz w:val="19"/>
          <w:szCs w:val="19"/>
          <w:i w:val="1"/>
          <w:iCs w:val="1"/>
          <w:color w:val="auto"/>
        </w:rPr>
        <w:t xml:space="preserve"> </w:t>
      </w:r>
      <w:r>
        <w:rPr>
          <w:rFonts w:ascii="Arial" w:cs="Arial" w:eastAsia="Arial" w:hAnsi="Arial"/>
          <w:sz w:val="19"/>
          <w:szCs w:val="19"/>
          <w:color w:val="auto"/>
        </w:rPr>
        <w:t>bases of assets and liabilities. Investment tax credits from prior years are being amortized to income over the estimated service lives of the properties. Other credits, mainly low-income housing tax credits, are recognized in income as earned. The company follows certain provisions of SFAS 109 that permit regulated enterprises to recognize regulatory assets or liabilities to offset deferred tax liabilities and assets, respectively, if it is probable that such amounts will be recovered from, or returned to, customers.</w:t>
      </w:r>
    </w:p>
    <w:p>
      <w:pPr>
        <w:spacing w:after="0" w:line="14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Property, Plant and Equipment</w:t>
      </w:r>
    </w:p>
    <w:p>
      <w:pPr>
        <w:spacing w:after="0" w:line="212" w:lineRule="exact"/>
        <w:rPr>
          <w:sz w:val="20"/>
          <w:szCs w:val="20"/>
          <w:color w:val="auto"/>
        </w:rPr>
      </w:pPr>
    </w:p>
    <w:p>
      <w:pPr>
        <w:ind w:right="540"/>
        <w:spacing w:after="0" w:line="251" w:lineRule="auto"/>
        <w:rPr>
          <w:sz w:val="20"/>
          <w:szCs w:val="20"/>
          <w:color w:val="auto"/>
        </w:rPr>
      </w:pPr>
      <w:r>
        <w:rPr>
          <w:rFonts w:ascii="Arial" w:cs="Arial" w:eastAsia="Arial" w:hAnsi="Arial"/>
          <w:sz w:val="22"/>
          <w:szCs w:val="22"/>
          <w:color w:val="auto"/>
        </w:rPr>
        <w:t>Utility plant primarily represents the buildings, equipment and other facilities used by the company to provide natural gas and electric utility services.</w:t>
      </w:r>
    </w:p>
    <w:p>
      <w:pPr>
        <w:spacing w:after="0" w:line="173" w:lineRule="exact"/>
        <w:rPr>
          <w:sz w:val="20"/>
          <w:szCs w:val="20"/>
          <w:color w:val="auto"/>
        </w:rPr>
      </w:pPr>
    </w:p>
    <w:p>
      <w:pPr>
        <w:ind w:right="140"/>
        <w:spacing w:after="0" w:line="238" w:lineRule="auto"/>
        <w:rPr>
          <w:sz w:val="20"/>
          <w:szCs w:val="20"/>
          <w:color w:val="auto"/>
        </w:rPr>
      </w:pPr>
      <w:r>
        <w:rPr>
          <w:rFonts w:ascii="Arial" w:cs="Arial" w:eastAsia="Arial" w:hAnsi="Arial"/>
          <w:sz w:val="22"/>
          <w:szCs w:val="22"/>
          <w:color w:val="auto"/>
        </w:rPr>
        <w:t>The cost of plant includes labor, materials, contract services, and certain expenditures incurred during a major maintenance outage of a generating plant. Maintenance costs are expensed as incurred. In addition, the cost of plant includes an allowance for funds used during construction (AFUDC). The cost of most retired depreciable utility plant minus salvage value is charged to accumulated depreciation.</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color w:val="auto"/>
        </w:rPr>
        <w:t>Utility plant balances by major functional categories are as follows:</w:t>
      </w:r>
    </w:p>
    <w:p>
      <w:pPr>
        <w:spacing w:after="0" w:line="368" w:lineRule="exact"/>
        <w:rPr>
          <w:sz w:val="20"/>
          <w:szCs w:val="20"/>
          <w:color w:val="auto"/>
        </w:rPr>
      </w:pPr>
    </w:p>
    <w:tbl>
      <w:tblPr>
        <w:tblLayout w:type="fixed"/>
        <w:tblInd w:w="1900" w:type="dxa"/>
        <w:tblCellMar>
          <w:top w:w="0" w:type="dxa"/>
          <w:left w:w="0" w:type="dxa"/>
          <w:bottom w:w="0" w:type="dxa"/>
          <w:right w:w="0" w:type="dxa"/>
        </w:tblCellMar>
      </w:tblPr>
      <w:tr>
        <w:trPr>
          <w:trHeight w:val="222"/>
        </w:trPr>
        <w:tc>
          <w:tcPr>
            <w:tcW w:w="2440" w:type="dxa"/>
            <w:vAlign w:val="bottom"/>
          </w:tcPr>
          <w:p>
            <w:pPr>
              <w:spacing w:after="0"/>
              <w:rPr>
                <w:sz w:val="19"/>
                <w:szCs w:val="19"/>
                <w:color w:val="auto"/>
              </w:rPr>
            </w:pPr>
          </w:p>
        </w:tc>
        <w:tc>
          <w:tcPr>
            <w:tcW w:w="2680" w:type="dxa"/>
            <w:vAlign w:val="bottom"/>
            <w:gridSpan w:val="2"/>
            <w:vMerge w:val="restart"/>
          </w:tcPr>
          <w:p>
            <w:pPr>
              <w:jc w:val="right"/>
              <w:ind w:right="232"/>
              <w:spacing w:after="0"/>
              <w:rPr>
                <w:sz w:val="20"/>
                <w:szCs w:val="20"/>
                <w:color w:val="auto"/>
              </w:rPr>
            </w:pPr>
            <w:r>
              <w:rPr>
                <w:rFonts w:ascii="Arial" w:cs="Arial" w:eastAsia="Arial" w:hAnsi="Arial"/>
                <w:sz w:val="18"/>
                <w:szCs w:val="18"/>
                <w:color w:val="auto"/>
              </w:rPr>
              <w:t>Utility Plant at</w:t>
            </w:r>
          </w:p>
        </w:tc>
        <w:tc>
          <w:tcPr>
            <w:tcW w:w="2720" w:type="dxa"/>
            <w:vAlign w:val="bottom"/>
            <w:gridSpan w:val="3"/>
          </w:tcPr>
          <w:p>
            <w:pPr>
              <w:jc w:val="right"/>
              <w:spacing w:after="0"/>
              <w:rPr>
                <w:sz w:val="20"/>
                <w:szCs w:val="20"/>
                <w:color w:val="auto"/>
              </w:rPr>
            </w:pPr>
            <w:r>
              <w:rPr>
                <w:rFonts w:ascii="Arial" w:cs="Arial" w:eastAsia="Arial" w:hAnsi="Arial"/>
                <w:sz w:val="18"/>
                <w:szCs w:val="18"/>
                <w:color w:val="auto"/>
                <w:w w:val="97"/>
              </w:rPr>
              <w:t>Depreciation rates for years ended</w:t>
            </w:r>
          </w:p>
        </w:tc>
        <w:tc>
          <w:tcPr>
            <w:tcW w:w="0" w:type="dxa"/>
            <w:vAlign w:val="bottom"/>
          </w:tcPr>
          <w:p>
            <w:pPr>
              <w:spacing w:after="0"/>
              <w:rPr>
                <w:sz w:val="1"/>
                <w:szCs w:val="1"/>
                <w:color w:val="auto"/>
              </w:rPr>
            </w:pPr>
          </w:p>
        </w:tc>
      </w:tr>
      <w:tr>
        <w:trPr>
          <w:trHeight w:val="210"/>
        </w:trPr>
        <w:tc>
          <w:tcPr>
            <w:tcW w:w="2440" w:type="dxa"/>
            <w:vAlign w:val="bottom"/>
          </w:tcPr>
          <w:p>
            <w:pPr>
              <w:spacing w:after="0"/>
              <w:rPr>
                <w:sz w:val="18"/>
                <w:szCs w:val="18"/>
                <w:color w:val="auto"/>
              </w:rPr>
            </w:pPr>
          </w:p>
        </w:tc>
        <w:tc>
          <w:tcPr>
            <w:tcW w:w="2680" w:type="dxa"/>
            <w:vAlign w:val="bottom"/>
            <w:gridSpan w:val="2"/>
            <w:vMerge w:val="continue"/>
          </w:tcPr>
          <w:p>
            <w:pPr>
              <w:spacing w:after="0"/>
              <w:rPr>
                <w:sz w:val="18"/>
                <w:szCs w:val="18"/>
                <w:color w:val="auto"/>
              </w:rPr>
            </w:pPr>
          </w:p>
        </w:tc>
        <w:tc>
          <w:tcPr>
            <w:tcW w:w="1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440" w:type="dxa"/>
            <w:vAlign w:val="bottom"/>
          </w:tcPr>
          <w:p>
            <w:pPr>
              <w:spacing w:after="0"/>
              <w:rPr>
                <w:sz w:val="19"/>
                <w:szCs w:val="19"/>
                <w:color w:val="auto"/>
              </w:rPr>
            </w:pPr>
          </w:p>
        </w:tc>
        <w:tc>
          <w:tcPr>
            <w:tcW w:w="2680" w:type="dxa"/>
            <w:vAlign w:val="bottom"/>
            <w:gridSpan w:val="2"/>
          </w:tcPr>
          <w:p>
            <w:pPr>
              <w:jc w:val="right"/>
              <w:ind w:right="232"/>
              <w:spacing w:after="0"/>
              <w:rPr>
                <w:sz w:val="20"/>
                <w:szCs w:val="20"/>
                <w:color w:val="auto"/>
              </w:rPr>
            </w:pPr>
            <w:r>
              <w:rPr>
                <w:rFonts w:ascii="Arial" w:cs="Arial" w:eastAsia="Arial" w:hAnsi="Arial"/>
                <w:sz w:val="18"/>
                <w:szCs w:val="18"/>
                <w:color w:val="auto"/>
              </w:rPr>
              <w:t>December 31,</w:t>
            </w:r>
          </w:p>
        </w:tc>
        <w:tc>
          <w:tcPr>
            <w:tcW w:w="1100" w:type="dxa"/>
            <w:vAlign w:val="bottom"/>
          </w:tcPr>
          <w:p>
            <w:pPr>
              <w:spacing w:after="0"/>
              <w:rPr>
                <w:sz w:val="19"/>
                <w:szCs w:val="19"/>
                <w:color w:val="auto"/>
              </w:rPr>
            </w:pPr>
          </w:p>
        </w:tc>
        <w:tc>
          <w:tcPr>
            <w:tcW w:w="1620" w:type="dxa"/>
            <w:vAlign w:val="bottom"/>
            <w:gridSpan w:val="2"/>
          </w:tcPr>
          <w:p>
            <w:pPr>
              <w:jc w:val="right"/>
              <w:spacing w:after="0"/>
              <w:rPr>
                <w:sz w:val="20"/>
                <w:szCs w:val="20"/>
                <w:color w:val="auto"/>
              </w:rPr>
            </w:pPr>
            <w:r>
              <w:rPr>
                <w:rFonts w:ascii="Arial" w:cs="Arial" w:eastAsia="Arial" w:hAnsi="Arial"/>
                <w:sz w:val="18"/>
                <w:szCs w:val="18"/>
                <w:color w:val="auto"/>
              </w:rPr>
              <w:t>December 31,</w:t>
            </w:r>
          </w:p>
        </w:tc>
        <w:tc>
          <w:tcPr>
            <w:tcW w:w="0" w:type="dxa"/>
            <w:vAlign w:val="bottom"/>
          </w:tcPr>
          <w:p>
            <w:pPr>
              <w:spacing w:after="0"/>
              <w:rPr>
                <w:sz w:val="1"/>
                <w:szCs w:val="1"/>
                <w:color w:val="auto"/>
              </w:rPr>
            </w:pPr>
          </w:p>
        </w:tc>
      </w:tr>
      <w:tr>
        <w:trPr>
          <w:trHeight w:val="243"/>
        </w:trPr>
        <w:tc>
          <w:tcPr>
            <w:tcW w:w="2440" w:type="dxa"/>
            <w:vAlign w:val="bottom"/>
          </w:tcPr>
          <w:p>
            <w:pPr>
              <w:spacing w:after="0"/>
              <w:rPr>
                <w:sz w:val="20"/>
                <w:szCs w:val="20"/>
                <w:color w:val="auto"/>
              </w:rPr>
            </w:pPr>
            <w:r>
              <w:rPr>
                <w:rFonts w:ascii="Arial" w:cs="Arial" w:eastAsia="Arial" w:hAnsi="Arial"/>
                <w:sz w:val="18"/>
                <w:szCs w:val="18"/>
                <w:color w:val="auto"/>
              </w:rPr>
              <w:t>(Dollars in billions)</w:t>
            </w:r>
          </w:p>
        </w:tc>
        <w:tc>
          <w:tcPr>
            <w:tcW w:w="1700" w:type="dxa"/>
            <w:vAlign w:val="bottom"/>
          </w:tcPr>
          <w:p>
            <w:pPr>
              <w:jc w:val="right"/>
              <w:ind w:right="212"/>
              <w:spacing w:after="0"/>
              <w:rPr>
                <w:sz w:val="20"/>
                <w:szCs w:val="20"/>
                <w:color w:val="auto"/>
              </w:rPr>
            </w:pPr>
            <w:r>
              <w:rPr>
                <w:rFonts w:ascii="Arial" w:cs="Arial" w:eastAsia="Arial" w:hAnsi="Arial"/>
                <w:sz w:val="18"/>
                <w:szCs w:val="18"/>
                <w:color w:val="auto"/>
              </w:rPr>
              <w:t>2005</w:t>
            </w:r>
          </w:p>
        </w:tc>
        <w:tc>
          <w:tcPr>
            <w:tcW w:w="980" w:type="dxa"/>
            <w:vAlign w:val="bottom"/>
          </w:tcPr>
          <w:p>
            <w:pPr>
              <w:jc w:val="right"/>
              <w:ind w:right="232"/>
              <w:spacing w:after="0"/>
              <w:rPr>
                <w:sz w:val="20"/>
                <w:szCs w:val="20"/>
                <w:color w:val="auto"/>
              </w:rPr>
            </w:pPr>
            <w:r>
              <w:rPr>
                <w:rFonts w:ascii="Arial" w:cs="Arial" w:eastAsia="Arial" w:hAnsi="Arial"/>
                <w:sz w:val="18"/>
                <w:szCs w:val="18"/>
                <w:color w:val="auto"/>
              </w:rPr>
              <w:t>2004</w:t>
            </w:r>
          </w:p>
        </w:tc>
        <w:tc>
          <w:tcPr>
            <w:tcW w:w="1100" w:type="dxa"/>
            <w:vAlign w:val="bottom"/>
          </w:tcPr>
          <w:p>
            <w:pPr>
              <w:jc w:val="right"/>
              <w:ind w:right="212"/>
              <w:spacing w:after="0"/>
              <w:rPr>
                <w:sz w:val="20"/>
                <w:szCs w:val="20"/>
                <w:color w:val="auto"/>
              </w:rPr>
            </w:pPr>
            <w:r>
              <w:rPr>
                <w:rFonts w:ascii="Arial" w:cs="Arial" w:eastAsia="Arial" w:hAnsi="Arial"/>
                <w:sz w:val="18"/>
                <w:szCs w:val="18"/>
                <w:color w:val="auto"/>
              </w:rPr>
              <w:t>2005</w:t>
            </w:r>
          </w:p>
        </w:tc>
        <w:tc>
          <w:tcPr>
            <w:tcW w:w="980" w:type="dxa"/>
            <w:vAlign w:val="bottom"/>
          </w:tcPr>
          <w:p>
            <w:pPr>
              <w:jc w:val="right"/>
              <w:ind w:right="232"/>
              <w:spacing w:after="0"/>
              <w:rPr>
                <w:sz w:val="20"/>
                <w:szCs w:val="20"/>
                <w:color w:val="auto"/>
              </w:rPr>
            </w:pPr>
            <w:r>
              <w:rPr>
                <w:rFonts w:ascii="Arial" w:cs="Arial" w:eastAsia="Arial" w:hAnsi="Arial"/>
                <w:sz w:val="18"/>
                <w:szCs w:val="18"/>
                <w:color w:val="auto"/>
              </w:rPr>
              <w:t>2004</w:t>
            </w:r>
          </w:p>
        </w:tc>
        <w:tc>
          <w:tcPr>
            <w:tcW w:w="640" w:type="dxa"/>
            <w:vAlign w:val="bottom"/>
          </w:tcPr>
          <w:p>
            <w:pPr>
              <w:jc w:val="right"/>
              <w:spacing w:after="0"/>
              <w:rPr>
                <w:sz w:val="20"/>
                <w:szCs w:val="20"/>
                <w:color w:val="auto"/>
              </w:rPr>
            </w:pPr>
            <w:r>
              <w:rPr>
                <w:rFonts w:ascii="Arial" w:cs="Arial" w:eastAsia="Arial" w:hAnsi="Arial"/>
                <w:sz w:val="18"/>
                <w:szCs w:val="18"/>
                <w:color w:val="auto"/>
              </w:rPr>
              <w:t>2003</w:t>
            </w:r>
          </w:p>
        </w:tc>
        <w:tc>
          <w:tcPr>
            <w:tcW w:w="0" w:type="dxa"/>
            <w:vAlign w:val="bottom"/>
          </w:tcPr>
          <w:p>
            <w:pPr>
              <w:spacing w:after="0"/>
              <w:rPr>
                <w:sz w:val="1"/>
                <w:szCs w:val="1"/>
                <w:color w:val="auto"/>
              </w:rPr>
            </w:pPr>
          </w:p>
        </w:tc>
      </w:tr>
    </w:tbl>
    <w:p>
      <w:pPr>
        <w:sectPr>
          <w:pgSz w:w="11900" w:h="16882" w:orient="portrait"/>
          <w:cols w:equalWidth="0" w:num="1">
            <w:col w:w="11420"/>
          </w:cols>
          <w:pgMar w:left="240" w:top="320" w:right="239" w:bottom="0" w:gutter="0" w:footer="0" w:header="0"/>
        </w:sectPr>
      </w:pPr>
    </w:p>
    <w:bookmarkStart w:id="29" w:name="page30"/>
    <w:bookmarkEnd w:id="29"/>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1212215</wp:posOffset>
            </wp:positionH>
            <wp:positionV relativeFrom="page">
              <wp:posOffset>97155</wp:posOffset>
            </wp:positionV>
            <wp:extent cx="5137150" cy="15430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137150" cy="154305"/>
                    </a:xfrm>
                    <a:prstGeom prst="rect">
                      <a:avLst/>
                    </a:prstGeom>
                    <a:noFill/>
                  </pic:spPr>
                </pic:pic>
              </a:graphicData>
            </a:graphic>
          </wp:anchor>
        </w:drawing>
      </w:r>
    </w:p>
    <w:tbl>
      <w:tblPr>
        <w:tblLayout w:type="fixed"/>
        <w:tblInd w:w="1660" w:type="dxa"/>
        <w:tblCellMar>
          <w:top w:w="0" w:type="dxa"/>
          <w:left w:w="0" w:type="dxa"/>
          <w:bottom w:w="0" w:type="dxa"/>
          <w:right w:w="0" w:type="dxa"/>
        </w:tblCellMar>
      </w:tblPr>
      <w:tr>
        <w:trPr>
          <w:trHeight w:val="222"/>
        </w:trPr>
        <w:tc>
          <w:tcPr>
            <w:tcW w:w="3000" w:type="dxa"/>
            <w:vAlign w:val="bottom"/>
          </w:tcPr>
          <w:p>
            <w:pPr>
              <w:ind w:left="240"/>
              <w:spacing w:after="0"/>
              <w:rPr>
                <w:sz w:val="20"/>
                <w:szCs w:val="20"/>
                <w:color w:val="auto"/>
              </w:rPr>
            </w:pPr>
            <w:r>
              <w:rPr>
                <w:rFonts w:ascii="Arial" w:cs="Arial" w:eastAsia="Arial" w:hAnsi="Arial"/>
                <w:sz w:val="18"/>
                <w:szCs w:val="18"/>
                <w:color w:val="auto"/>
              </w:rPr>
              <w:t>Natural gas operations</w:t>
            </w:r>
          </w:p>
        </w:tc>
        <w:tc>
          <w:tcPr>
            <w:tcW w:w="66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540" w:type="dxa"/>
            <w:vAlign w:val="bottom"/>
          </w:tcPr>
          <w:p>
            <w:pPr>
              <w:jc w:val="right"/>
              <w:ind w:right="32"/>
              <w:spacing w:after="0"/>
              <w:rPr>
                <w:sz w:val="20"/>
                <w:szCs w:val="20"/>
                <w:color w:val="auto"/>
              </w:rPr>
            </w:pPr>
            <w:r>
              <w:rPr>
                <w:rFonts w:ascii="Arial" w:cs="Arial" w:eastAsia="Arial" w:hAnsi="Arial"/>
                <w:sz w:val="18"/>
                <w:szCs w:val="18"/>
                <w:color w:val="auto"/>
              </w:rPr>
              <w:t>1.1</w:t>
            </w:r>
          </w:p>
        </w:tc>
        <w:tc>
          <w:tcPr>
            <w:tcW w:w="40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1.0</w:t>
            </w:r>
          </w:p>
        </w:tc>
        <w:tc>
          <w:tcPr>
            <w:tcW w:w="1320" w:type="dxa"/>
            <w:vAlign w:val="bottom"/>
          </w:tcPr>
          <w:p>
            <w:pPr>
              <w:jc w:val="right"/>
              <w:ind w:right="112"/>
              <w:spacing w:after="0"/>
              <w:rPr>
                <w:sz w:val="20"/>
                <w:szCs w:val="20"/>
                <w:color w:val="auto"/>
              </w:rPr>
            </w:pPr>
            <w:r>
              <w:rPr>
                <w:rFonts w:ascii="Arial" w:cs="Arial" w:eastAsia="Arial" w:hAnsi="Arial"/>
                <w:sz w:val="18"/>
                <w:szCs w:val="18"/>
                <w:color w:val="auto"/>
              </w:rPr>
              <w:t>3.42 %</w:t>
            </w:r>
          </w:p>
        </w:tc>
        <w:tc>
          <w:tcPr>
            <w:tcW w:w="1000" w:type="dxa"/>
            <w:vAlign w:val="bottom"/>
          </w:tcPr>
          <w:p>
            <w:pPr>
              <w:jc w:val="right"/>
              <w:ind w:right="152"/>
              <w:spacing w:after="0"/>
              <w:rPr>
                <w:sz w:val="20"/>
                <w:szCs w:val="20"/>
                <w:color w:val="auto"/>
              </w:rPr>
            </w:pPr>
            <w:r>
              <w:rPr>
                <w:rFonts w:ascii="Arial" w:cs="Arial" w:eastAsia="Arial" w:hAnsi="Arial"/>
                <w:sz w:val="18"/>
                <w:szCs w:val="18"/>
                <w:color w:val="auto"/>
              </w:rPr>
              <w:t>3.42 %</w:t>
            </w:r>
          </w:p>
        </w:tc>
        <w:tc>
          <w:tcPr>
            <w:tcW w:w="740" w:type="dxa"/>
            <w:vAlign w:val="bottom"/>
          </w:tcPr>
          <w:p>
            <w:pPr>
              <w:jc w:val="right"/>
              <w:spacing w:after="0"/>
              <w:rPr>
                <w:sz w:val="20"/>
                <w:szCs w:val="20"/>
                <w:color w:val="auto"/>
              </w:rPr>
            </w:pPr>
            <w:r>
              <w:rPr>
                <w:rFonts w:ascii="Arial" w:cs="Arial" w:eastAsia="Arial" w:hAnsi="Arial"/>
                <w:sz w:val="18"/>
                <w:szCs w:val="18"/>
                <w:color w:val="auto"/>
              </w:rPr>
              <w:t>3.63 %</w:t>
            </w:r>
          </w:p>
        </w:tc>
      </w:tr>
      <w:tr>
        <w:trPr>
          <w:trHeight w:val="270"/>
        </w:trPr>
        <w:tc>
          <w:tcPr>
            <w:tcW w:w="3000" w:type="dxa"/>
            <w:vAlign w:val="bottom"/>
          </w:tcPr>
          <w:p>
            <w:pPr>
              <w:ind w:left="240"/>
              <w:spacing w:after="0"/>
              <w:rPr>
                <w:sz w:val="20"/>
                <w:szCs w:val="20"/>
                <w:color w:val="auto"/>
              </w:rPr>
            </w:pPr>
            <w:r>
              <w:rPr>
                <w:rFonts w:ascii="Arial" w:cs="Arial" w:eastAsia="Arial" w:hAnsi="Arial"/>
                <w:sz w:val="18"/>
                <w:szCs w:val="18"/>
                <w:color w:val="auto"/>
              </w:rPr>
              <w:t>Electric distribution</w:t>
            </w:r>
          </w:p>
        </w:tc>
        <w:tc>
          <w:tcPr>
            <w:tcW w:w="660" w:type="dxa"/>
            <w:vAlign w:val="bottom"/>
          </w:tcPr>
          <w:p>
            <w:pPr>
              <w:spacing w:after="0"/>
              <w:rPr>
                <w:sz w:val="23"/>
                <w:szCs w:val="23"/>
                <w:color w:val="auto"/>
              </w:rPr>
            </w:pPr>
          </w:p>
        </w:tc>
        <w:tc>
          <w:tcPr>
            <w:tcW w:w="540" w:type="dxa"/>
            <w:vAlign w:val="bottom"/>
          </w:tcPr>
          <w:p>
            <w:pPr>
              <w:jc w:val="right"/>
              <w:ind w:right="32"/>
              <w:spacing w:after="0"/>
              <w:rPr>
                <w:sz w:val="20"/>
                <w:szCs w:val="20"/>
                <w:color w:val="auto"/>
              </w:rPr>
            </w:pPr>
            <w:r>
              <w:rPr>
                <w:rFonts w:ascii="Arial" w:cs="Arial" w:eastAsia="Arial" w:hAnsi="Arial"/>
                <w:sz w:val="18"/>
                <w:szCs w:val="18"/>
                <w:color w:val="auto"/>
              </w:rPr>
              <w:t>3.5</w:t>
            </w:r>
          </w:p>
        </w:tc>
        <w:tc>
          <w:tcPr>
            <w:tcW w:w="400" w:type="dxa"/>
            <w:vAlign w:val="bottom"/>
          </w:tcPr>
          <w:p>
            <w:pPr>
              <w:spacing w:after="0"/>
              <w:rPr>
                <w:sz w:val="23"/>
                <w:szCs w:val="23"/>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3.4</w:t>
            </w:r>
          </w:p>
        </w:tc>
        <w:tc>
          <w:tcPr>
            <w:tcW w:w="1320" w:type="dxa"/>
            <w:vAlign w:val="bottom"/>
          </w:tcPr>
          <w:p>
            <w:pPr>
              <w:jc w:val="right"/>
              <w:ind w:right="112"/>
              <w:spacing w:after="0"/>
              <w:rPr>
                <w:sz w:val="20"/>
                <w:szCs w:val="20"/>
                <w:color w:val="auto"/>
              </w:rPr>
            </w:pPr>
            <w:r>
              <w:rPr>
                <w:rFonts w:ascii="Arial" w:cs="Arial" w:eastAsia="Arial" w:hAnsi="Arial"/>
                <w:sz w:val="18"/>
                <w:szCs w:val="18"/>
                <w:color w:val="auto"/>
              </w:rPr>
              <w:t>4.13 %</w:t>
            </w:r>
          </w:p>
        </w:tc>
        <w:tc>
          <w:tcPr>
            <w:tcW w:w="1000" w:type="dxa"/>
            <w:vAlign w:val="bottom"/>
          </w:tcPr>
          <w:p>
            <w:pPr>
              <w:jc w:val="right"/>
              <w:ind w:right="152"/>
              <w:spacing w:after="0"/>
              <w:rPr>
                <w:sz w:val="20"/>
                <w:szCs w:val="20"/>
                <w:color w:val="auto"/>
              </w:rPr>
            </w:pPr>
            <w:r>
              <w:rPr>
                <w:rFonts w:ascii="Arial" w:cs="Arial" w:eastAsia="Arial" w:hAnsi="Arial"/>
                <w:sz w:val="18"/>
                <w:szCs w:val="18"/>
                <w:color w:val="auto"/>
              </w:rPr>
              <w:t>4.11 %</w:t>
            </w:r>
          </w:p>
        </w:tc>
        <w:tc>
          <w:tcPr>
            <w:tcW w:w="740" w:type="dxa"/>
            <w:vAlign w:val="bottom"/>
          </w:tcPr>
          <w:p>
            <w:pPr>
              <w:jc w:val="right"/>
              <w:spacing w:after="0"/>
              <w:rPr>
                <w:sz w:val="20"/>
                <w:szCs w:val="20"/>
                <w:color w:val="auto"/>
              </w:rPr>
            </w:pPr>
            <w:r>
              <w:rPr>
                <w:rFonts w:ascii="Arial" w:cs="Arial" w:eastAsia="Arial" w:hAnsi="Arial"/>
                <w:sz w:val="18"/>
                <w:szCs w:val="18"/>
                <w:color w:val="auto"/>
              </w:rPr>
              <w:t>4.70 %</w:t>
            </w:r>
          </w:p>
        </w:tc>
      </w:tr>
      <w:tr>
        <w:trPr>
          <w:trHeight w:val="270"/>
        </w:trPr>
        <w:tc>
          <w:tcPr>
            <w:tcW w:w="3000" w:type="dxa"/>
            <w:vAlign w:val="bottom"/>
          </w:tcPr>
          <w:p>
            <w:pPr>
              <w:ind w:left="240"/>
              <w:spacing w:after="0"/>
              <w:rPr>
                <w:sz w:val="20"/>
                <w:szCs w:val="20"/>
                <w:color w:val="auto"/>
              </w:rPr>
            </w:pPr>
            <w:r>
              <w:rPr>
                <w:rFonts w:ascii="Arial" w:cs="Arial" w:eastAsia="Arial" w:hAnsi="Arial"/>
                <w:sz w:val="18"/>
                <w:szCs w:val="18"/>
                <w:color w:val="auto"/>
              </w:rPr>
              <w:t>Electric transmission</w:t>
            </w:r>
          </w:p>
        </w:tc>
        <w:tc>
          <w:tcPr>
            <w:tcW w:w="660" w:type="dxa"/>
            <w:vAlign w:val="bottom"/>
          </w:tcPr>
          <w:p>
            <w:pPr>
              <w:spacing w:after="0"/>
              <w:rPr>
                <w:sz w:val="23"/>
                <w:szCs w:val="23"/>
                <w:color w:val="auto"/>
              </w:rPr>
            </w:pPr>
          </w:p>
        </w:tc>
        <w:tc>
          <w:tcPr>
            <w:tcW w:w="540" w:type="dxa"/>
            <w:vAlign w:val="bottom"/>
          </w:tcPr>
          <w:p>
            <w:pPr>
              <w:jc w:val="right"/>
              <w:ind w:right="32"/>
              <w:spacing w:after="0"/>
              <w:rPr>
                <w:sz w:val="20"/>
                <w:szCs w:val="20"/>
                <w:color w:val="auto"/>
              </w:rPr>
            </w:pPr>
            <w:r>
              <w:rPr>
                <w:rFonts w:ascii="Arial" w:cs="Arial" w:eastAsia="Arial" w:hAnsi="Arial"/>
                <w:sz w:val="18"/>
                <w:szCs w:val="18"/>
                <w:color w:val="auto"/>
              </w:rPr>
              <w:t>1.1</w:t>
            </w:r>
          </w:p>
        </w:tc>
        <w:tc>
          <w:tcPr>
            <w:tcW w:w="400" w:type="dxa"/>
            <w:vAlign w:val="bottom"/>
          </w:tcPr>
          <w:p>
            <w:pPr>
              <w:spacing w:after="0"/>
              <w:rPr>
                <w:sz w:val="23"/>
                <w:szCs w:val="23"/>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1.0</w:t>
            </w:r>
          </w:p>
        </w:tc>
        <w:tc>
          <w:tcPr>
            <w:tcW w:w="1320" w:type="dxa"/>
            <w:vAlign w:val="bottom"/>
          </w:tcPr>
          <w:p>
            <w:pPr>
              <w:jc w:val="right"/>
              <w:ind w:right="112"/>
              <w:spacing w:after="0"/>
              <w:rPr>
                <w:sz w:val="20"/>
                <w:szCs w:val="20"/>
                <w:color w:val="auto"/>
              </w:rPr>
            </w:pPr>
            <w:r>
              <w:rPr>
                <w:rFonts w:ascii="Arial" w:cs="Arial" w:eastAsia="Arial" w:hAnsi="Arial"/>
                <w:sz w:val="18"/>
                <w:szCs w:val="18"/>
                <w:color w:val="auto"/>
              </w:rPr>
              <w:t>3.05 %</w:t>
            </w:r>
          </w:p>
        </w:tc>
        <w:tc>
          <w:tcPr>
            <w:tcW w:w="1000" w:type="dxa"/>
            <w:vAlign w:val="bottom"/>
          </w:tcPr>
          <w:p>
            <w:pPr>
              <w:jc w:val="right"/>
              <w:ind w:right="152"/>
              <w:spacing w:after="0"/>
              <w:rPr>
                <w:sz w:val="20"/>
                <w:szCs w:val="20"/>
                <w:color w:val="auto"/>
              </w:rPr>
            </w:pPr>
            <w:r>
              <w:rPr>
                <w:rFonts w:ascii="Arial" w:cs="Arial" w:eastAsia="Arial" w:hAnsi="Arial"/>
                <w:sz w:val="18"/>
                <w:szCs w:val="18"/>
                <w:color w:val="auto"/>
              </w:rPr>
              <w:t>3.06 %</w:t>
            </w:r>
          </w:p>
        </w:tc>
        <w:tc>
          <w:tcPr>
            <w:tcW w:w="740" w:type="dxa"/>
            <w:vAlign w:val="bottom"/>
          </w:tcPr>
          <w:p>
            <w:pPr>
              <w:jc w:val="right"/>
              <w:spacing w:after="0"/>
              <w:rPr>
                <w:sz w:val="20"/>
                <w:szCs w:val="20"/>
                <w:color w:val="auto"/>
              </w:rPr>
            </w:pPr>
            <w:r>
              <w:rPr>
                <w:rFonts w:ascii="Arial" w:cs="Arial" w:eastAsia="Arial" w:hAnsi="Arial"/>
                <w:sz w:val="18"/>
                <w:szCs w:val="18"/>
                <w:color w:val="auto"/>
              </w:rPr>
              <w:t>3.09 %</w:t>
            </w:r>
          </w:p>
        </w:tc>
      </w:tr>
      <w:tr>
        <w:trPr>
          <w:trHeight w:val="270"/>
        </w:trPr>
        <w:tc>
          <w:tcPr>
            <w:tcW w:w="3000" w:type="dxa"/>
            <w:vAlign w:val="bottom"/>
          </w:tcPr>
          <w:p>
            <w:pPr>
              <w:ind w:left="240"/>
              <w:spacing w:after="0"/>
              <w:rPr>
                <w:sz w:val="20"/>
                <w:szCs w:val="20"/>
                <w:color w:val="auto"/>
              </w:rPr>
            </w:pPr>
            <w:r>
              <w:rPr>
                <w:rFonts w:ascii="Arial" w:cs="Arial" w:eastAsia="Arial" w:hAnsi="Arial"/>
                <w:sz w:val="18"/>
                <w:szCs w:val="18"/>
                <w:color w:val="auto"/>
              </w:rPr>
              <w:t>Other electric</w:t>
            </w:r>
          </w:p>
        </w:tc>
        <w:tc>
          <w:tcPr>
            <w:tcW w:w="660" w:type="dxa"/>
            <w:vAlign w:val="bottom"/>
          </w:tcPr>
          <w:p>
            <w:pPr>
              <w:spacing w:after="0"/>
              <w:rPr>
                <w:sz w:val="23"/>
                <w:szCs w:val="23"/>
                <w:color w:val="auto"/>
              </w:rPr>
            </w:pPr>
          </w:p>
        </w:tc>
        <w:tc>
          <w:tcPr>
            <w:tcW w:w="540" w:type="dxa"/>
            <w:vAlign w:val="bottom"/>
          </w:tcPr>
          <w:p>
            <w:pPr>
              <w:jc w:val="right"/>
              <w:ind w:right="32"/>
              <w:spacing w:after="0"/>
              <w:rPr>
                <w:sz w:val="20"/>
                <w:szCs w:val="20"/>
                <w:color w:val="auto"/>
              </w:rPr>
            </w:pPr>
            <w:r>
              <w:rPr>
                <w:rFonts w:ascii="Arial" w:cs="Arial" w:eastAsia="Arial" w:hAnsi="Arial"/>
                <w:sz w:val="18"/>
                <w:szCs w:val="18"/>
                <w:color w:val="auto"/>
              </w:rPr>
              <w:t>0.6</w:t>
            </w:r>
          </w:p>
        </w:tc>
        <w:tc>
          <w:tcPr>
            <w:tcW w:w="400" w:type="dxa"/>
            <w:vAlign w:val="bottom"/>
          </w:tcPr>
          <w:p>
            <w:pPr>
              <w:spacing w:after="0"/>
              <w:rPr>
                <w:sz w:val="23"/>
                <w:szCs w:val="23"/>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0.6</w:t>
            </w:r>
          </w:p>
        </w:tc>
        <w:tc>
          <w:tcPr>
            <w:tcW w:w="1320" w:type="dxa"/>
            <w:vAlign w:val="bottom"/>
          </w:tcPr>
          <w:p>
            <w:pPr>
              <w:jc w:val="right"/>
              <w:ind w:right="112"/>
              <w:spacing w:after="0"/>
              <w:rPr>
                <w:sz w:val="20"/>
                <w:szCs w:val="20"/>
                <w:color w:val="auto"/>
              </w:rPr>
            </w:pPr>
            <w:r>
              <w:rPr>
                <w:rFonts w:ascii="Arial" w:cs="Arial" w:eastAsia="Arial" w:hAnsi="Arial"/>
                <w:sz w:val="18"/>
                <w:szCs w:val="18"/>
                <w:color w:val="auto"/>
              </w:rPr>
              <w:t>9.75 %</w:t>
            </w:r>
          </w:p>
        </w:tc>
        <w:tc>
          <w:tcPr>
            <w:tcW w:w="1000" w:type="dxa"/>
            <w:vAlign w:val="bottom"/>
          </w:tcPr>
          <w:p>
            <w:pPr>
              <w:jc w:val="right"/>
              <w:ind w:right="152"/>
              <w:spacing w:after="0"/>
              <w:rPr>
                <w:sz w:val="20"/>
                <w:szCs w:val="20"/>
                <w:color w:val="auto"/>
              </w:rPr>
            </w:pPr>
            <w:r>
              <w:rPr>
                <w:rFonts w:ascii="Arial" w:cs="Arial" w:eastAsia="Arial" w:hAnsi="Arial"/>
                <w:sz w:val="18"/>
                <w:szCs w:val="18"/>
                <w:color w:val="auto"/>
              </w:rPr>
              <w:t>11.33 %</w:t>
            </w:r>
          </w:p>
        </w:tc>
        <w:tc>
          <w:tcPr>
            <w:tcW w:w="740" w:type="dxa"/>
            <w:vAlign w:val="bottom"/>
          </w:tcPr>
          <w:p>
            <w:pPr>
              <w:jc w:val="right"/>
              <w:spacing w:after="0"/>
              <w:rPr>
                <w:sz w:val="20"/>
                <w:szCs w:val="20"/>
                <w:color w:val="auto"/>
              </w:rPr>
            </w:pPr>
            <w:r>
              <w:rPr>
                <w:rFonts w:ascii="Arial" w:cs="Arial" w:eastAsia="Arial" w:hAnsi="Arial"/>
                <w:sz w:val="18"/>
                <w:szCs w:val="18"/>
                <w:color w:val="auto"/>
              </w:rPr>
              <w:t>9.53 %</w:t>
            </w:r>
          </w:p>
        </w:tc>
      </w:tr>
      <w:tr>
        <w:trPr>
          <w:trHeight w:val="278"/>
        </w:trPr>
        <w:tc>
          <w:tcPr>
            <w:tcW w:w="3000" w:type="dxa"/>
            <w:vAlign w:val="bottom"/>
          </w:tcPr>
          <w:p>
            <w:pPr>
              <w:ind w:left="240"/>
              <w:spacing w:after="0"/>
              <w:rPr>
                <w:sz w:val="20"/>
                <w:szCs w:val="20"/>
                <w:color w:val="auto"/>
              </w:rPr>
            </w:pPr>
            <w:r>
              <w:rPr>
                <w:rFonts w:ascii="Arial" w:cs="Arial" w:eastAsia="Arial" w:hAnsi="Arial"/>
                <w:sz w:val="18"/>
                <w:szCs w:val="18"/>
                <w:color w:val="auto"/>
              </w:rPr>
              <w:t>Construction work in progress</w:t>
            </w:r>
          </w:p>
        </w:tc>
        <w:tc>
          <w:tcPr>
            <w:tcW w:w="660" w:type="dxa"/>
            <w:vAlign w:val="bottom"/>
          </w:tcPr>
          <w:p>
            <w:pPr>
              <w:spacing w:after="0"/>
              <w:rPr>
                <w:sz w:val="24"/>
                <w:szCs w:val="24"/>
                <w:color w:val="auto"/>
              </w:rPr>
            </w:pPr>
          </w:p>
        </w:tc>
        <w:tc>
          <w:tcPr>
            <w:tcW w:w="540" w:type="dxa"/>
            <w:vAlign w:val="bottom"/>
          </w:tcPr>
          <w:p>
            <w:pPr>
              <w:jc w:val="right"/>
              <w:ind w:right="32"/>
              <w:spacing w:after="0"/>
              <w:rPr>
                <w:sz w:val="20"/>
                <w:szCs w:val="20"/>
                <w:color w:val="auto"/>
              </w:rPr>
            </w:pPr>
            <w:r>
              <w:rPr>
                <w:rFonts w:ascii="Arial" w:cs="Arial" w:eastAsia="Arial" w:hAnsi="Arial"/>
                <w:sz w:val="18"/>
                <w:szCs w:val="18"/>
                <w:color w:val="auto"/>
              </w:rPr>
              <w:t>0.6</w:t>
            </w:r>
          </w:p>
        </w:tc>
        <w:tc>
          <w:tcPr>
            <w:tcW w:w="400" w:type="dxa"/>
            <w:vAlign w:val="bottom"/>
          </w:tcPr>
          <w:p>
            <w:pPr>
              <w:spacing w:after="0"/>
              <w:rPr>
                <w:sz w:val="24"/>
                <w:szCs w:val="24"/>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0.3</w:t>
            </w:r>
          </w:p>
        </w:tc>
        <w:tc>
          <w:tcPr>
            <w:tcW w:w="1320" w:type="dxa"/>
            <w:vAlign w:val="bottom"/>
          </w:tcPr>
          <w:p>
            <w:pPr>
              <w:jc w:val="right"/>
              <w:ind w:right="292"/>
              <w:spacing w:after="0"/>
              <w:rPr>
                <w:sz w:val="20"/>
                <w:szCs w:val="20"/>
                <w:color w:val="auto"/>
              </w:rPr>
            </w:pPr>
            <w:r>
              <w:rPr>
                <w:rFonts w:ascii="Arial" w:cs="Arial" w:eastAsia="Arial" w:hAnsi="Arial"/>
                <w:sz w:val="18"/>
                <w:szCs w:val="18"/>
                <w:color w:val="auto"/>
              </w:rPr>
              <w:t>NA</w:t>
            </w:r>
          </w:p>
        </w:tc>
        <w:tc>
          <w:tcPr>
            <w:tcW w:w="1000" w:type="dxa"/>
            <w:vAlign w:val="bottom"/>
          </w:tcPr>
          <w:p>
            <w:pPr>
              <w:jc w:val="right"/>
              <w:ind w:right="312"/>
              <w:spacing w:after="0"/>
              <w:rPr>
                <w:sz w:val="20"/>
                <w:szCs w:val="20"/>
                <w:color w:val="auto"/>
              </w:rPr>
            </w:pPr>
            <w:r>
              <w:rPr>
                <w:rFonts w:ascii="Arial" w:cs="Arial" w:eastAsia="Arial" w:hAnsi="Arial"/>
                <w:sz w:val="18"/>
                <w:szCs w:val="18"/>
                <w:color w:val="auto"/>
              </w:rPr>
              <w:t>NA</w:t>
            </w:r>
          </w:p>
        </w:tc>
        <w:tc>
          <w:tcPr>
            <w:tcW w:w="740" w:type="dxa"/>
            <w:vAlign w:val="bottom"/>
          </w:tcPr>
          <w:p>
            <w:pPr>
              <w:jc w:val="right"/>
              <w:ind w:right="112"/>
              <w:spacing w:after="0"/>
              <w:rPr>
                <w:sz w:val="20"/>
                <w:szCs w:val="20"/>
                <w:color w:val="auto"/>
              </w:rPr>
            </w:pPr>
            <w:r>
              <w:rPr>
                <w:rFonts w:ascii="Arial" w:cs="Arial" w:eastAsia="Arial" w:hAnsi="Arial"/>
                <w:sz w:val="18"/>
                <w:szCs w:val="18"/>
                <w:color w:val="auto"/>
              </w:rPr>
              <w:t>NA</w:t>
            </w:r>
          </w:p>
        </w:tc>
      </w:tr>
      <w:tr>
        <w:trPr>
          <w:trHeight w:val="251"/>
        </w:trPr>
        <w:tc>
          <w:tcPr>
            <w:tcW w:w="3000" w:type="dxa"/>
            <w:vAlign w:val="bottom"/>
          </w:tcPr>
          <w:p>
            <w:pPr>
              <w:spacing w:after="0"/>
              <w:rPr>
                <w:sz w:val="21"/>
                <w:szCs w:val="21"/>
                <w:color w:val="auto"/>
              </w:rPr>
            </w:pPr>
          </w:p>
        </w:tc>
        <w:tc>
          <w:tcPr>
            <w:tcW w:w="660" w:type="dxa"/>
            <w:vAlign w:val="bottom"/>
            <w:shd w:val="clear" w:color="auto" w:fill="000000"/>
          </w:tcPr>
          <w:p>
            <w:pPr>
              <w:spacing w:after="0"/>
              <w:rPr>
                <w:sz w:val="21"/>
                <w:szCs w:val="21"/>
                <w:color w:val="auto"/>
              </w:rPr>
            </w:pPr>
          </w:p>
        </w:tc>
        <w:tc>
          <w:tcPr>
            <w:tcW w:w="540" w:type="dxa"/>
            <w:vAlign w:val="bottom"/>
            <w:shd w:val="clear" w:color="auto" w:fill="000000"/>
          </w:tcPr>
          <w:p>
            <w:pPr>
              <w:spacing w:after="0"/>
              <w:rPr>
                <w:sz w:val="21"/>
                <w:szCs w:val="21"/>
                <w:color w:val="auto"/>
              </w:rPr>
            </w:pPr>
          </w:p>
        </w:tc>
        <w:tc>
          <w:tcPr>
            <w:tcW w:w="400" w:type="dxa"/>
            <w:vAlign w:val="bottom"/>
            <w:shd w:val="clear" w:color="auto" w:fill="000000"/>
          </w:tcPr>
          <w:p>
            <w:pPr>
              <w:spacing w:after="0"/>
              <w:rPr>
                <w:sz w:val="21"/>
                <w:szCs w:val="21"/>
                <w:color w:val="auto"/>
              </w:rPr>
            </w:pPr>
          </w:p>
        </w:tc>
        <w:tc>
          <w:tcPr>
            <w:tcW w:w="440" w:type="dxa"/>
            <w:vAlign w:val="bottom"/>
            <w:shd w:val="clear" w:color="auto" w:fill="000000"/>
          </w:tcPr>
          <w:p>
            <w:pPr>
              <w:spacing w:after="0"/>
              <w:rPr>
                <w:sz w:val="21"/>
                <w:szCs w:val="21"/>
                <w:color w:val="auto"/>
              </w:rPr>
            </w:pPr>
          </w:p>
        </w:tc>
        <w:tc>
          <w:tcPr>
            <w:tcW w:w="13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740" w:type="dxa"/>
            <w:vAlign w:val="bottom"/>
          </w:tcPr>
          <w:p>
            <w:pPr>
              <w:spacing w:after="0"/>
              <w:rPr>
                <w:sz w:val="21"/>
                <w:szCs w:val="21"/>
                <w:color w:val="auto"/>
              </w:rPr>
            </w:pPr>
          </w:p>
        </w:tc>
      </w:tr>
      <w:tr>
        <w:trPr>
          <w:trHeight w:val="262"/>
        </w:trPr>
        <w:tc>
          <w:tcPr>
            <w:tcW w:w="3000" w:type="dxa"/>
            <w:vAlign w:val="bottom"/>
          </w:tcPr>
          <w:p>
            <w:pPr>
              <w:ind w:left="780"/>
              <w:spacing w:after="0"/>
              <w:rPr>
                <w:sz w:val="20"/>
                <w:szCs w:val="20"/>
                <w:color w:val="auto"/>
              </w:rPr>
            </w:pPr>
            <w:r>
              <w:rPr>
                <w:rFonts w:ascii="Arial" w:cs="Arial" w:eastAsia="Arial" w:hAnsi="Arial"/>
                <w:sz w:val="18"/>
                <w:szCs w:val="18"/>
                <w:color w:val="auto"/>
              </w:rPr>
              <w:t>Total</w:t>
            </w:r>
          </w:p>
        </w:tc>
        <w:tc>
          <w:tcPr>
            <w:tcW w:w="66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540" w:type="dxa"/>
            <w:vAlign w:val="bottom"/>
          </w:tcPr>
          <w:p>
            <w:pPr>
              <w:jc w:val="right"/>
              <w:ind w:right="32"/>
              <w:spacing w:after="0"/>
              <w:rPr>
                <w:sz w:val="20"/>
                <w:szCs w:val="20"/>
                <w:color w:val="auto"/>
              </w:rPr>
            </w:pPr>
            <w:r>
              <w:rPr>
                <w:rFonts w:ascii="Arial" w:cs="Arial" w:eastAsia="Arial" w:hAnsi="Arial"/>
                <w:sz w:val="18"/>
                <w:szCs w:val="18"/>
                <w:color w:val="auto"/>
              </w:rPr>
              <w:t>6.9</w:t>
            </w:r>
          </w:p>
        </w:tc>
        <w:tc>
          <w:tcPr>
            <w:tcW w:w="40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6.3</w:t>
            </w:r>
          </w:p>
        </w:tc>
        <w:tc>
          <w:tcPr>
            <w:tcW w:w="13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740" w:type="dxa"/>
            <w:vAlign w:val="bottom"/>
          </w:tcPr>
          <w:p>
            <w:pPr>
              <w:spacing w:after="0"/>
              <w:rPr>
                <w:sz w:val="22"/>
                <w:szCs w:val="22"/>
                <w:color w:val="auto"/>
              </w:rPr>
            </w:pPr>
          </w:p>
        </w:tc>
      </w:tr>
      <w:tr>
        <w:trPr>
          <w:trHeight w:val="251"/>
        </w:trPr>
        <w:tc>
          <w:tcPr>
            <w:tcW w:w="3000" w:type="dxa"/>
            <w:vAlign w:val="bottom"/>
            <w:shd w:val="clear" w:color="auto" w:fill="000000"/>
          </w:tcPr>
          <w:p>
            <w:pPr>
              <w:spacing w:after="0"/>
              <w:rPr>
                <w:sz w:val="21"/>
                <w:szCs w:val="21"/>
                <w:color w:val="auto"/>
              </w:rPr>
            </w:pPr>
          </w:p>
        </w:tc>
        <w:tc>
          <w:tcPr>
            <w:tcW w:w="660" w:type="dxa"/>
            <w:vAlign w:val="bottom"/>
            <w:shd w:val="clear" w:color="auto" w:fill="000000"/>
          </w:tcPr>
          <w:p>
            <w:pPr>
              <w:spacing w:after="0"/>
              <w:rPr>
                <w:sz w:val="21"/>
                <w:szCs w:val="21"/>
                <w:color w:val="auto"/>
              </w:rPr>
            </w:pPr>
          </w:p>
        </w:tc>
        <w:tc>
          <w:tcPr>
            <w:tcW w:w="540" w:type="dxa"/>
            <w:vAlign w:val="bottom"/>
            <w:shd w:val="clear" w:color="auto" w:fill="000000"/>
          </w:tcPr>
          <w:p>
            <w:pPr>
              <w:spacing w:after="0"/>
              <w:rPr>
                <w:sz w:val="21"/>
                <w:szCs w:val="21"/>
                <w:color w:val="auto"/>
              </w:rPr>
            </w:pPr>
          </w:p>
        </w:tc>
        <w:tc>
          <w:tcPr>
            <w:tcW w:w="400" w:type="dxa"/>
            <w:vAlign w:val="bottom"/>
            <w:shd w:val="clear" w:color="auto" w:fill="000000"/>
          </w:tcPr>
          <w:p>
            <w:pPr>
              <w:spacing w:after="0"/>
              <w:rPr>
                <w:sz w:val="21"/>
                <w:szCs w:val="21"/>
                <w:color w:val="auto"/>
              </w:rPr>
            </w:pPr>
          </w:p>
        </w:tc>
        <w:tc>
          <w:tcPr>
            <w:tcW w:w="440" w:type="dxa"/>
            <w:vAlign w:val="bottom"/>
            <w:shd w:val="clear" w:color="auto" w:fill="000000"/>
          </w:tcPr>
          <w:p>
            <w:pPr>
              <w:spacing w:after="0"/>
              <w:rPr>
                <w:sz w:val="21"/>
                <w:szCs w:val="21"/>
                <w:color w:val="auto"/>
              </w:rPr>
            </w:pPr>
          </w:p>
        </w:tc>
        <w:tc>
          <w:tcPr>
            <w:tcW w:w="1320" w:type="dxa"/>
            <w:vAlign w:val="bottom"/>
            <w:shd w:val="clear" w:color="auto" w:fill="000000"/>
          </w:tcPr>
          <w:p>
            <w:pPr>
              <w:spacing w:after="0"/>
              <w:rPr>
                <w:sz w:val="21"/>
                <w:szCs w:val="21"/>
                <w:color w:val="auto"/>
              </w:rPr>
            </w:pPr>
          </w:p>
        </w:tc>
        <w:tc>
          <w:tcPr>
            <w:tcW w:w="1000" w:type="dxa"/>
            <w:vAlign w:val="bottom"/>
            <w:shd w:val="clear" w:color="auto" w:fill="000000"/>
          </w:tcPr>
          <w:p>
            <w:pPr>
              <w:spacing w:after="0"/>
              <w:rPr>
                <w:sz w:val="21"/>
                <w:szCs w:val="21"/>
                <w:color w:val="auto"/>
              </w:rPr>
            </w:pPr>
          </w:p>
        </w:tc>
        <w:tc>
          <w:tcPr>
            <w:tcW w:w="740" w:type="dxa"/>
            <w:vAlign w:val="bottom"/>
            <w:shd w:val="clear" w:color="auto" w:fill="000000"/>
          </w:tcPr>
          <w:p>
            <w:pPr>
              <w:spacing w:after="0"/>
              <w:rPr>
                <w:sz w:val="21"/>
                <w:szCs w:val="21"/>
                <w:color w:val="auto"/>
              </w:rPr>
            </w:pPr>
          </w:p>
        </w:tc>
      </w:tr>
    </w:tbl>
    <w:p>
      <w:pPr>
        <w:spacing w:after="0" w:line="195" w:lineRule="exact"/>
        <w:rPr>
          <w:sz w:val="20"/>
          <w:szCs w:val="20"/>
          <w:color w:val="auto"/>
        </w:rPr>
      </w:pPr>
    </w:p>
    <w:p>
      <w:pPr>
        <w:ind w:right="300"/>
        <w:spacing w:after="0" w:line="236" w:lineRule="auto"/>
        <w:rPr>
          <w:sz w:val="20"/>
          <w:szCs w:val="20"/>
          <w:color w:val="auto"/>
        </w:rPr>
      </w:pPr>
      <w:r>
        <w:rPr>
          <w:rFonts w:ascii="Arial" w:cs="Arial" w:eastAsia="Arial" w:hAnsi="Arial"/>
          <w:sz w:val="22"/>
          <w:szCs w:val="22"/>
          <w:color w:val="auto"/>
        </w:rPr>
        <w:t>Accumulated depreciation and decommissioning of natural gas and electric utility plant in service were $0.4 billion and $1.6 billion, respectively, at December 31, 2005, and were $0.4 billion and $1.4 billion, respectively, at December 31, 2004. Depreciation expense is based on the straight-line method over the useful lives of the assets or a shorter period prescribed by the CPUC. The discussion of SFAS 143 under "New Accounting Standards" describes a change in the presentation of accumulated depreciation.</w:t>
      </w:r>
    </w:p>
    <w:p>
      <w:pPr>
        <w:spacing w:after="0" w:line="188" w:lineRule="exact"/>
        <w:rPr>
          <w:sz w:val="20"/>
          <w:szCs w:val="20"/>
          <w:color w:val="auto"/>
        </w:rPr>
      </w:pPr>
    </w:p>
    <w:p>
      <w:pPr>
        <w:ind w:right="120"/>
        <w:spacing w:after="0" w:line="252" w:lineRule="auto"/>
        <w:rPr>
          <w:sz w:val="20"/>
          <w:szCs w:val="20"/>
          <w:color w:val="auto"/>
        </w:rPr>
      </w:pPr>
      <w:r>
        <w:rPr>
          <w:rFonts w:ascii="Arial" w:cs="Arial" w:eastAsia="Arial" w:hAnsi="Arial"/>
          <w:sz w:val="21"/>
          <w:szCs w:val="21"/>
          <w:color w:val="auto"/>
        </w:rPr>
        <w:t>AFUDC, which represents the cost of debt and equity funds used to finance the construction of utility plant, is added to the cost of utility plant. Although it is not a current source of cash, AFUDC increases income and is recorded partly as an offset to interest charges and partly as a component of Other Income, Net in the Statements of Consolidated Income. AFUDC amounted to $12 million, $12 million and $17 million for 2005, 2004 and 2003, respectively.</w:t>
      </w:r>
    </w:p>
    <w:p>
      <w:pPr>
        <w:spacing w:after="0" w:line="16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Nuclear Decommissioning Liability</w:t>
      </w:r>
    </w:p>
    <w:p>
      <w:pPr>
        <w:spacing w:after="0" w:line="212"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At December 31, 2005 and 2004, the company had asset retirement obligations of $339 million and $328 million, respectively, and related regulatory liabilities of $346 million and $333 million, respectively, related to nuclear decommissioning, in accordance with SFAS 143. Information about San Onofre Nuclear Generating Station (SONGS) decommissioning costs is included below in "New Accounting Standards."</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Legal Fees</w:t>
      </w:r>
    </w:p>
    <w:p>
      <w:pPr>
        <w:spacing w:after="0" w:line="212" w:lineRule="exact"/>
        <w:rPr>
          <w:sz w:val="20"/>
          <w:szCs w:val="20"/>
          <w:color w:val="auto"/>
        </w:rPr>
      </w:pPr>
    </w:p>
    <w:p>
      <w:pPr>
        <w:ind w:right="260"/>
        <w:spacing w:after="0" w:line="251" w:lineRule="auto"/>
        <w:rPr>
          <w:sz w:val="20"/>
          <w:szCs w:val="20"/>
          <w:color w:val="auto"/>
        </w:rPr>
      </w:pPr>
      <w:r>
        <w:rPr>
          <w:rFonts w:ascii="Arial" w:cs="Arial" w:eastAsia="Arial" w:hAnsi="Arial"/>
          <w:sz w:val="22"/>
          <w:szCs w:val="22"/>
          <w:color w:val="auto"/>
        </w:rPr>
        <w:t>Legal fees that are associated with a past event for which a contingent liability has been recorded are accrued when it is probable that fees also will be incurred.</w:t>
      </w:r>
    </w:p>
    <w:p>
      <w:pPr>
        <w:spacing w:after="0" w:line="16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Comprehensive Income</w:t>
      </w:r>
    </w:p>
    <w:p>
      <w:pPr>
        <w:spacing w:after="0" w:line="212" w:lineRule="exact"/>
        <w:rPr>
          <w:sz w:val="20"/>
          <w:szCs w:val="20"/>
          <w:color w:val="auto"/>
        </w:rPr>
      </w:pPr>
    </w:p>
    <w:p>
      <w:pPr>
        <w:ind w:right="60"/>
        <w:spacing w:after="0" w:line="279" w:lineRule="auto"/>
        <w:rPr>
          <w:sz w:val="20"/>
          <w:szCs w:val="20"/>
          <w:color w:val="auto"/>
        </w:rPr>
      </w:pPr>
      <w:r>
        <w:rPr>
          <w:rFonts w:ascii="Arial" w:cs="Arial" w:eastAsia="Arial" w:hAnsi="Arial"/>
          <w:sz w:val="19"/>
          <w:szCs w:val="19"/>
          <w:color w:val="auto"/>
        </w:rPr>
        <w:t>Comprehensive income includes all changes, except those resulting from investments by owners and distributions to owners, in the equity of a business enterprise from transactions and other events, including foreign-currency translation adjustments, minimum pension liability adjustments and certain hedging activities. The components of other comprehensive income, which consists of all these changes other than net income as shown on the Statements of Consolidated Income, are shown in the Statements of Consolidated Changes in Shareholders' Equity. At December 31, 2005, Accumulated Other Comprehensive Income consisted entirely of minimum pension liability adjustments, net of related income tax.</w:t>
      </w:r>
    </w:p>
    <w:p>
      <w:pPr>
        <w:spacing w:after="0" w:line="14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Revenues</w:t>
      </w:r>
    </w:p>
    <w:p>
      <w:pPr>
        <w:spacing w:after="0" w:line="212" w:lineRule="exact"/>
        <w:rPr>
          <w:sz w:val="20"/>
          <w:szCs w:val="20"/>
          <w:color w:val="auto"/>
        </w:rPr>
      </w:pPr>
    </w:p>
    <w:p>
      <w:pPr>
        <w:ind w:right="20"/>
        <w:spacing w:after="0" w:line="246" w:lineRule="auto"/>
        <w:rPr>
          <w:sz w:val="20"/>
          <w:szCs w:val="20"/>
          <w:color w:val="auto"/>
        </w:rPr>
      </w:pPr>
      <w:r>
        <w:rPr>
          <w:rFonts w:ascii="Arial" w:cs="Arial" w:eastAsia="Arial" w:hAnsi="Arial"/>
          <w:sz w:val="21"/>
          <w:szCs w:val="21"/>
          <w:color w:val="auto"/>
        </w:rPr>
        <w:t>Revenues are primarily derived from deliveries of electricity and natural gas to customers and changes in related regulatory balancing accounts. Revenues from electricity and natural gas sales and services are recorded under the accrual method and recognized upon delivery. The portion of SDG&amp;E's electric commodity that was procured for its customers by the California Department of Water Resources (DWR) and delivered by SDG&amp;E is not included in SDG&amp;E's revenues or costs. Commodity costs associated with long-term contracts allocated to SDG&amp;E from the DWR also are not included in the Statements of Consolidated Income, since the DWR retains legal and financial responsibility for these contracts. Note 9 includes a discussion of the electric industry restructuring. Operating revenue includes amounts for services rendered but unbilled (approximately one-half month's deliveries) at the end of each year.</w:t>
      </w:r>
    </w:p>
    <w:p>
      <w:pPr>
        <w:spacing w:after="0" w:line="181" w:lineRule="exact"/>
        <w:rPr>
          <w:sz w:val="20"/>
          <w:szCs w:val="20"/>
          <w:color w:val="auto"/>
        </w:rPr>
      </w:pPr>
    </w:p>
    <w:p>
      <w:pPr>
        <w:ind w:right="1880"/>
        <w:spacing w:after="0" w:line="435" w:lineRule="auto"/>
        <w:rPr>
          <w:sz w:val="20"/>
          <w:szCs w:val="20"/>
          <w:color w:val="auto"/>
        </w:rPr>
      </w:pPr>
      <w:r>
        <w:rPr>
          <w:rFonts w:ascii="Arial" w:cs="Arial" w:eastAsia="Arial" w:hAnsi="Arial"/>
          <w:sz w:val="22"/>
          <w:szCs w:val="22"/>
          <w:color w:val="auto"/>
        </w:rPr>
        <w:t xml:space="preserve">Additional information concerning utility revenue recognition is discussed above under "Regulatory Matters." </w:t>
      </w:r>
      <w:r>
        <w:rPr>
          <w:rFonts w:ascii="Arial" w:cs="Arial" w:eastAsia="Arial" w:hAnsi="Arial"/>
          <w:sz w:val="22"/>
          <w:szCs w:val="22"/>
          <w:b w:val="1"/>
          <w:bCs w:val="1"/>
          <w:color w:val="auto"/>
        </w:rPr>
        <w:t>Transactions with Affiliates</w:t>
      </w:r>
    </w:p>
    <w:p>
      <w:pPr>
        <w:spacing w:after="0" w:line="1" w:lineRule="exact"/>
        <w:rPr>
          <w:sz w:val="20"/>
          <w:szCs w:val="20"/>
          <w:color w:val="auto"/>
        </w:rPr>
      </w:pPr>
    </w:p>
    <w:p>
      <w:pPr>
        <w:ind w:right="60"/>
        <w:spacing w:after="0" w:line="251" w:lineRule="auto"/>
        <w:rPr>
          <w:sz w:val="20"/>
          <w:szCs w:val="20"/>
          <w:color w:val="auto"/>
        </w:rPr>
      </w:pPr>
      <w:r>
        <w:rPr>
          <w:rFonts w:ascii="Arial" w:cs="Arial" w:eastAsia="Arial" w:hAnsi="Arial"/>
          <w:sz w:val="22"/>
          <w:szCs w:val="22"/>
          <w:color w:val="auto"/>
        </w:rPr>
        <w:t>On a daily basis, SDG&amp;E and SoCalGas share numerous functions with each other and they also receive various services from and provide various services to Sempra Energy.</w:t>
      </w:r>
    </w:p>
    <w:p>
      <w:pPr>
        <w:spacing w:after="0" w:line="173" w:lineRule="exact"/>
        <w:rPr>
          <w:sz w:val="20"/>
          <w:szCs w:val="20"/>
          <w:color w:val="auto"/>
        </w:rPr>
      </w:pPr>
    </w:p>
    <w:p>
      <w:pPr>
        <w:ind w:right="320"/>
        <w:spacing w:after="0" w:line="251" w:lineRule="auto"/>
        <w:rPr>
          <w:sz w:val="20"/>
          <w:szCs w:val="20"/>
          <w:color w:val="auto"/>
        </w:rPr>
      </w:pPr>
      <w:r>
        <w:rPr>
          <w:rFonts w:ascii="Arial" w:cs="Arial" w:eastAsia="Arial" w:hAnsi="Arial"/>
          <w:sz w:val="22"/>
          <w:szCs w:val="22"/>
          <w:color w:val="auto"/>
        </w:rPr>
        <w:t>At December 31, 2005 and 2004, SDG&amp;E had $32 million and $30 million, respectively, due from affiliates. These amounts are included in current assets as Due from Unconsolidated Affiliates.</w:t>
      </w:r>
    </w:p>
    <w:p>
      <w:pPr>
        <w:spacing w:after="0" w:line="173" w:lineRule="exact"/>
        <w:rPr>
          <w:sz w:val="20"/>
          <w:szCs w:val="20"/>
          <w:color w:val="auto"/>
        </w:rPr>
      </w:pPr>
    </w:p>
    <w:p>
      <w:pPr>
        <w:ind w:right="40"/>
        <w:spacing w:after="0" w:line="287" w:lineRule="auto"/>
        <w:rPr>
          <w:sz w:val="20"/>
          <w:szCs w:val="20"/>
          <w:color w:val="auto"/>
        </w:rPr>
      </w:pPr>
      <w:r>
        <w:rPr>
          <w:rFonts w:ascii="Arial" w:cs="Arial" w:eastAsia="Arial" w:hAnsi="Arial"/>
          <w:sz w:val="19"/>
          <w:szCs w:val="19"/>
          <w:color w:val="auto"/>
        </w:rPr>
        <w:t>Additionally, at December 31, 2005, SDG&amp;E had $441 million due to affiliates, including $20 million to Sempra Energy and $417 million related to the Palomar project, which is included in current liabilities as Due to Unconsolidated Affiliates. At December 31, 2004, SDG&amp;E had $15 million due to Sempra Energy, which is included in current liabilities and $267 million related to the Palomar project, which is included in noncurrent liabilities. These amounts are reported as Due to Unconsolidated Affiliates.</w:t>
      </w:r>
    </w:p>
    <w:p>
      <w:pPr>
        <w:spacing w:after="0" w:line="13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Other Income, Net</w:t>
      </w:r>
    </w:p>
    <w:p>
      <w:pPr>
        <w:sectPr>
          <w:pgSz w:w="11900" w:h="16839" w:orient="portrait"/>
          <w:cols w:equalWidth="0" w:num="1">
            <w:col w:w="11400"/>
          </w:cols>
          <w:pgMar w:left="240" w:top="428" w:right="259" w:bottom="0" w:gutter="0" w:footer="0" w:header="0"/>
        </w:sectPr>
      </w:pPr>
    </w:p>
    <w:bookmarkStart w:id="30" w:name="page31"/>
    <w:bookmarkEnd w:id="30"/>
    <w:p>
      <w:pPr>
        <w:spacing w:after="0"/>
        <w:rPr>
          <w:sz w:val="20"/>
          <w:szCs w:val="20"/>
          <w:color w:val="auto"/>
        </w:rPr>
      </w:pPr>
      <w:r>
        <w:rPr>
          <w:rFonts w:ascii="Arial" w:cs="Arial" w:eastAsia="Arial" w:hAnsi="Arial"/>
          <w:sz w:val="22"/>
          <w:szCs w:val="22"/>
          <w:color w:val="auto"/>
        </w:rPr>
        <w:t>Other Income, Net consists of the following:</w:t>
      </w:r>
    </w:p>
    <w:p>
      <w:pPr>
        <w:spacing w:after="0" w:line="200" w:lineRule="exact"/>
        <w:rPr>
          <w:sz w:val="20"/>
          <w:szCs w:val="20"/>
          <w:color w:val="auto"/>
        </w:rPr>
      </w:pPr>
    </w:p>
    <w:p>
      <w:pPr>
        <w:spacing w:after="0" w:line="303" w:lineRule="exact"/>
        <w:rPr>
          <w:sz w:val="20"/>
          <w:szCs w:val="20"/>
          <w:color w:val="auto"/>
        </w:rPr>
      </w:pPr>
    </w:p>
    <w:tbl>
      <w:tblPr>
        <w:tblLayout w:type="fixed"/>
        <w:tblInd w:w="1560" w:type="dxa"/>
        <w:tblCellMar>
          <w:top w:w="0" w:type="dxa"/>
          <w:left w:w="0" w:type="dxa"/>
          <w:bottom w:w="0" w:type="dxa"/>
          <w:right w:w="0" w:type="dxa"/>
        </w:tblCellMar>
      </w:tblPr>
      <w:tr>
        <w:trPr>
          <w:trHeight w:val="230"/>
        </w:trPr>
        <w:tc>
          <w:tcPr>
            <w:tcW w:w="5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140" w:type="dxa"/>
            <w:vAlign w:val="bottom"/>
            <w:gridSpan w:val="4"/>
          </w:tcPr>
          <w:p>
            <w:pPr>
              <w:jc w:val="right"/>
              <w:spacing w:after="0"/>
              <w:rPr>
                <w:sz w:val="20"/>
                <w:szCs w:val="20"/>
                <w:color w:val="auto"/>
              </w:rPr>
            </w:pPr>
            <w:r>
              <w:rPr>
                <w:rFonts w:ascii="Arial" w:cs="Arial" w:eastAsia="Arial" w:hAnsi="Arial"/>
                <w:sz w:val="18"/>
                <w:szCs w:val="18"/>
                <w:color w:val="auto"/>
                <w:w w:val="94"/>
              </w:rPr>
              <w:t>Years ended December 31,</w:t>
            </w:r>
          </w:p>
        </w:tc>
        <w:tc>
          <w:tcPr>
            <w:tcW w:w="560" w:type="dxa"/>
            <w:vAlign w:val="bottom"/>
          </w:tcPr>
          <w:p>
            <w:pPr>
              <w:spacing w:after="0"/>
              <w:rPr>
                <w:sz w:val="20"/>
                <w:szCs w:val="20"/>
                <w:color w:val="auto"/>
              </w:rPr>
            </w:pPr>
          </w:p>
        </w:tc>
      </w:tr>
      <w:tr>
        <w:trPr>
          <w:trHeight w:val="251"/>
        </w:trPr>
        <w:tc>
          <w:tcPr>
            <w:tcW w:w="5120" w:type="dxa"/>
            <w:vAlign w:val="bottom"/>
          </w:tcPr>
          <w:p>
            <w:pPr>
              <w:spacing w:after="0"/>
              <w:rPr>
                <w:sz w:val="21"/>
                <w:szCs w:val="21"/>
                <w:color w:val="auto"/>
              </w:rPr>
            </w:pPr>
          </w:p>
        </w:tc>
        <w:tc>
          <w:tcPr>
            <w:tcW w:w="1140" w:type="dxa"/>
            <w:vAlign w:val="bottom"/>
            <w:gridSpan w:val="2"/>
            <w:shd w:val="clear" w:color="auto" w:fill="000000"/>
          </w:tcPr>
          <w:p>
            <w:pPr>
              <w:spacing w:after="0"/>
              <w:rPr>
                <w:sz w:val="21"/>
                <w:szCs w:val="21"/>
                <w:color w:val="auto"/>
              </w:rPr>
            </w:pPr>
          </w:p>
        </w:tc>
        <w:tc>
          <w:tcPr>
            <w:tcW w:w="360" w:type="dxa"/>
            <w:vAlign w:val="bottom"/>
            <w:shd w:val="clear" w:color="auto" w:fill="000000"/>
          </w:tcPr>
          <w:p>
            <w:pPr>
              <w:spacing w:after="0"/>
              <w:rPr>
                <w:sz w:val="21"/>
                <w:szCs w:val="21"/>
                <w:color w:val="auto"/>
              </w:rPr>
            </w:pPr>
          </w:p>
        </w:tc>
        <w:tc>
          <w:tcPr>
            <w:tcW w:w="760" w:type="dxa"/>
            <w:vAlign w:val="bottom"/>
            <w:shd w:val="clear" w:color="auto" w:fill="000000"/>
          </w:tcPr>
          <w:p>
            <w:pPr>
              <w:spacing w:after="0"/>
              <w:rPr>
                <w:sz w:val="21"/>
                <w:szCs w:val="21"/>
                <w:color w:val="auto"/>
              </w:rPr>
            </w:pPr>
          </w:p>
        </w:tc>
        <w:tc>
          <w:tcPr>
            <w:tcW w:w="360" w:type="dxa"/>
            <w:vAlign w:val="bottom"/>
            <w:shd w:val="clear" w:color="auto" w:fill="000000"/>
          </w:tcPr>
          <w:p>
            <w:pPr>
              <w:spacing w:after="0"/>
              <w:rPr>
                <w:sz w:val="21"/>
                <w:szCs w:val="21"/>
                <w:color w:val="auto"/>
              </w:rPr>
            </w:pPr>
          </w:p>
        </w:tc>
        <w:tc>
          <w:tcPr>
            <w:tcW w:w="560" w:type="dxa"/>
            <w:vAlign w:val="bottom"/>
            <w:shd w:val="clear" w:color="auto" w:fill="000000"/>
          </w:tcPr>
          <w:p>
            <w:pPr>
              <w:spacing w:after="0"/>
              <w:rPr>
                <w:sz w:val="21"/>
                <w:szCs w:val="21"/>
                <w:color w:val="auto"/>
              </w:rPr>
            </w:pPr>
          </w:p>
        </w:tc>
      </w:tr>
      <w:tr>
        <w:trPr>
          <w:trHeight w:val="262"/>
        </w:trPr>
        <w:tc>
          <w:tcPr>
            <w:tcW w:w="5120" w:type="dxa"/>
            <w:vAlign w:val="bottom"/>
          </w:tcPr>
          <w:p>
            <w:pPr>
              <w:ind w:left="20"/>
              <w:spacing w:after="0"/>
              <w:rPr>
                <w:sz w:val="20"/>
                <w:szCs w:val="20"/>
                <w:color w:val="auto"/>
              </w:rPr>
            </w:pPr>
            <w:r>
              <w:rPr>
                <w:rFonts w:ascii="Arial" w:cs="Arial" w:eastAsia="Arial" w:hAnsi="Arial"/>
                <w:sz w:val="18"/>
                <w:szCs w:val="18"/>
                <w:color w:val="auto"/>
              </w:rPr>
              <w:t>(Dollars in millions)</w:t>
            </w:r>
          </w:p>
        </w:tc>
        <w:tc>
          <w:tcPr>
            <w:tcW w:w="1140" w:type="dxa"/>
            <w:vAlign w:val="bottom"/>
            <w:gridSpan w:val="2"/>
          </w:tcPr>
          <w:p>
            <w:pPr>
              <w:jc w:val="right"/>
              <w:ind w:right="392"/>
              <w:spacing w:after="0"/>
              <w:rPr>
                <w:sz w:val="20"/>
                <w:szCs w:val="20"/>
                <w:color w:val="auto"/>
              </w:rPr>
            </w:pPr>
            <w:r>
              <w:rPr>
                <w:rFonts w:ascii="Arial" w:cs="Arial" w:eastAsia="Arial" w:hAnsi="Arial"/>
                <w:sz w:val="18"/>
                <w:szCs w:val="18"/>
                <w:color w:val="auto"/>
              </w:rPr>
              <w:t>2005</w:t>
            </w:r>
          </w:p>
        </w:tc>
        <w:tc>
          <w:tcPr>
            <w:tcW w:w="360" w:type="dxa"/>
            <w:vAlign w:val="bottom"/>
          </w:tcPr>
          <w:p>
            <w:pPr>
              <w:spacing w:after="0"/>
              <w:rPr>
                <w:sz w:val="22"/>
                <w:szCs w:val="22"/>
                <w:color w:val="auto"/>
              </w:rPr>
            </w:pPr>
          </w:p>
        </w:tc>
        <w:tc>
          <w:tcPr>
            <w:tcW w:w="760" w:type="dxa"/>
            <w:vAlign w:val="bottom"/>
          </w:tcPr>
          <w:p>
            <w:pPr>
              <w:jc w:val="right"/>
              <w:ind w:right="272"/>
              <w:spacing w:after="0"/>
              <w:rPr>
                <w:sz w:val="20"/>
                <w:szCs w:val="20"/>
                <w:color w:val="auto"/>
              </w:rPr>
            </w:pPr>
            <w:r>
              <w:rPr>
                <w:rFonts w:ascii="Arial" w:cs="Arial" w:eastAsia="Arial" w:hAnsi="Arial"/>
                <w:sz w:val="18"/>
                <w:szCs w:val="18"/>
                <w:color w:val="auto"/>
                <w:w w:val="94"/>
              </w:rPr>
              <w:t>2004</w:t>
            </w:r>
          </w:p>
        </w:tc>
        <w:tc>
          <w:tcPr>
            <w:tcW w:w="360" w:type="dxa"/>
            <w:vAlign w:val="bottom"/>
          </w:tcPr>
          <w:p>
            <w:pPr>
              <w:spacing w:after="0"/>
              <w:rPr>
                <w:sz w:val="22"/>
                <w:szCs w:val="22"/>
                <w:color w:val="auto"/>
              </w:rPr>
            </w:pPr>
          </w:p>
        </w:tc>
        <w:tc>
          <w:tcPr>
            <w:tcW w:w="560" w:type="dxa"/>
            <w:vAlign w:val="bottom"/>
          </w:tcPr>
          <w:p>
            <w:pPr>
              <w:jc w:val="right"/>
              <w:ind w:right="92"/>
              <w:spacing w:after="0"/>
              <w:rPr>
                <w:sz w:val="20"/>
                <w:szCs w:val="20"/>
                <w:color w:val="auto"/>
              </w:rPr>
            </w:pPr>
            <w:r>
              <w:rPr>
                <w:rFonts w:ascii="Arial" w:cs="Arial" w:eastAsia="Arial" w:hAnsi="Arial"/>
                <w:sz w:val="18"/>
                <w:szCs w:val="18"/>
                <w:color w:val="auto"/>
                <w:w w:val="89"/>
              </w:rPr>
              <w:t>2003</w:t>
            </w:r>
          </w:p>
        </w:tc>
      </w:tr>
      <w:tr>
        <w:trPr>
          <w:trHeight w:val="251"/>
        </w:trPr>
        <w:tc>
          <w:tcPr>
            <w:tcW w:w="5120" w:type="dxa"/>
            <w:vAlign w:val="bottom"/>
            <w:shd w:val="clear" w:color="auto" w:fill="000000"/>
          </w:tcPr>
          <w:p>
            <w:pPr>
              <w:spacing w:after="0"/>
              <w:rPr>
                <w:sz w:val="21"/>
                <w:szCs w:val="21"/>
                <w:color w:val="auto"/>
              </w:rPr>
            </w:pPr>
          </w:p>
        </w:tc>
        <w:tc>
          <w:tcPr>
            <w:tcW w:w="480" w:type="dxa"/>
            <w:vAlign w:val="bottom"/>
            <w:shd w:val="clear" w:color="auto" w:fill="000000"/>
          </w:tcPr>
          <w:p>
            <w:pPr>
              <w:spacing w:after="0"/>
              <w:rPr>
                <w:sz w:val="21"/>
                <w:szCs w:val="21"/>
                <w:color w:val="auto"/>
              </w:rPr>
            </w:pPr>
          </w:p>
        </w:tc>
        <w:tc>
          <w:tcPr>
            <w:tcW w:w="660" w:type="dxa"/>
            <w:vAlign w:val="bottom"/>
            <w:shd w:val="clear" w:color="auto" w:fill="000000"/>
          </w:tcPr>
          <w:p>
            <w:pPr>
              <w:spacing w:after="0"/>
              <w:rPr>
                <w:sz w:val="21"/>
                <w:szCs w:val="21"/>
                <w:color w:val="auto"/>
              </w:rPr>
            </w:pPr>
          </w:p>
        </w:tc>
        <w:tc>
          <w:tcPr>
            <w:tcW w:w="360" w:type="dxa"/>
            <w:vAlign w:val="bottom"/>
            <w:shd w:val="clear" w:color="auto" w:fill="000000"/>
          </w:tcPr>
          <w:p>
            <w:pPr>
              <w:spacing w:after="0"/>
              <w:rPr>
                <w:sz w:val="21"/>
                <w:szCs w:val="21"/>
                <w:color w:val="auto"/>
              </w:rPr>
            </w:pPr>
          </w:p>
        </w:tc>
        <w:tc>
          <w:tcPr>
            <w:tcW w:w="760" w:type="dxa"/>
            <w:vAlign w:val="bottom"/>
            <w:shd w:val="clear" w:color="auto" w:fill="000000"/>
          </w:tcPr>
          <w:p>
            <w:pPr>
              <w:spacing w:after="0"/>
              <w:rPr>
                <w:sz w:val="21"/>
                <w:szCs w:val="21"/>
                <w:color w:val="auto"/>
              </w:rPr>
            </w:pPr>
          </w:p>
        </w:tc>
        <w:tc>
          <w:tcPr>
            <w:tcW w:w="360" w:type="dxa"/>
            <w:vAlign w:val="bottom"/>
            <w:shd w:val="clear" w:color="auto" w:fill="000000"/>
          </w:tcPr>
          <w:p>
            <w:pPr>
              <w:spacing w:after="0"/>
              <w:rPr>
                <w:sz w:val="21"/>
                <w:szCs w:val="21"/>
                <w:color w:val="auto"/>
              </w:rPr>
            </w:pPr>
          </w:p>
        </w:tc>
        <w:tc>
          <w:tcPr>
            <w:tcW w:w="560" w:type="dxa"/>
            <w:vAlign w:val="bottom"/>
            <w:shd w:val="clear" w:color="auto" w:fill="000000"/>
          </w:tcPr>
          <w:p>
            <w:pPr>
              <w:spacing w:after="0"/>
              <w:rPr>
                <w:sz w:val="21"/>
                <w:szCs w:val="21"/>
                <w:color w:val="auto"/>
              </w:rPr>
            </w:pPr>
          </w:p>
        </w:tc>
      </w:tr>
      <w:tr>
        <w:trPr>
          <w:trHeight w:val="255"/>
        </w:trPr>
        <w:tc>
          <w:tcPr>
            <w:tcW w:w="5120" w:type="dxa"/>
            <w:vAlign w:val="bottom"/>
          </w:tcPr>
          <w:p>
            <w:pPr>
              <w:ind w:left="20"/>
              <w:spacing w:after="0"/>
              <w:rPr>
                <w:sz w:val="20"/>
                <w:szCs w:val="20"/>
                <w:color w:val="auto"/>
              </w:rPr>
            </w:pPr>
            <w:r>
              <w:rPr>
                <w:rFonts w:ascii="Arial" w:cs="Arial" w:eastAsia="Arial" w:hAnsi="Arial"/>
                <w:sz w:val="18"/>
                <w:szCs w:val="18"/>
                <w:color w:val="auto"/>
              </w:rPr>
              <w:t>Interest income</w:t>
            </w:r>
          </w:p>
        </w:tc>
        <w:tc>
          <w:tcPr>
            <w:tcW w:w="48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232"/>
              <w:spacing w:after="0"/>
              <w:rPr>
                <w:sz w:val="20"/>
                <w:szCs w:val="20"/>
                <w:color w:val="auto"/>
              </w:rPr>
            </w:pPr>
            <w:r>
              <w:rPr>
                <w:rFonts w:ascii="Arial" w:cs="Arial" w:eastAsia="Arial" w:hAnsi="Arial"/>
                <w:sz w:val="18"/>
                <w:szCs w:val="18"/>
                <w:color w:val="auto"/>
              </w:rPr>
              <w:t>23</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232"/>
              <w:spacing w:after="0"/>
              <w:rPr>
                <w:sz w:val="20"/>
                <w:szCs w:val="20"/>
                <w:color w:val="auto"/>
              </w:rPr>
            </w:pPr>
            <w:r>
              <w:rPr>
                <w:rFonts w:ascii="Arial" w:cs="Arial" w:eastAsia="Arial" w:hAnsi="Arial"/>
                <w:sz w:val="18"/>
                <w:szCs w:val="18"/>
                <w:color w:val="auto"/>
              </w:rPr>
              <w:t>25</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ind w:right="12"/>
              <w:spacing w:after="0"/>
              <w:rPr>
                <w:sz w:val="20"/>
                <w:szCs w:val="20"/>
                <w:color w:val="auto"/>
              </w:rPr>
            </w:pPr>
            <w:r>
              <w:rPr>
                <w:rFonts w:ascii="Arial" w:cs="Arial" w:eastAsia="Arial" w:hAnsi="Arial"/>
                <w:sz w:val="18"/>
                <w:szCs w:val="18"/>
                <w:color w:val="auto"/>
              </w:rPr>
              <w:t>42</w:t>
            </w:r>
          </w:p>
        </w:tc>
      </w:tr>
      <w:tr>
        <w:trPr>
          <w:trHeight w:val="270"/>
        </w:trPr>
        <w:tc>
          <w:tcPr>
            <w:tcW w:w="5120" w:type="dxa"/>
            <w:vAlign w:val="bottom"/>
          </w:tcPr>
          <w:p>
            <w:pPr>
              <w:ind w:left="20"/>
              <w:spacing w:after="0"/>
              <w:rPr>
                <w:sz w:val="20"/>
                <w:szCs w:val="20"/>
                <w:color w:val="auto"/>
              </w:rPr>
            </w:pPr>
            <w:r>
              <w:rPr>
                <w:rFonts w:ascii="Arial" w:cs="Arial" w:eastAsia="Arial" w:hAnsi="Arial"/>
                <w:sz w:val="18"/>
                <w:szCs w:val="18"/>
                <w:color w:val="auto"/>
              </w:rPr>
              <w:t>Regulatory interest, net</w:t>
            </w:r>
          </w:p>
        </w:tc>
        <w:tc>
          <w:tcPr>
            <w:tcW w:w="480" w:type="dxa"/>
            <w:vAlign w:val="bottom"/>
          </w:tcPr>
          <w:p>
            <w:pPr>
              <w:spacing w:after="0"/>
              <w:rPr>
                <w:sz w:val="23"/>
                <w:szCs w:val="23"/>
                <w:color w:val="auto"/>
              </w:rPr>
            </w:pPr>
          </w:p>
        </w:tc>
        <w:tc>
          <w:tcPr>
            <w:tcW w:w="660" w:type="dxa"/>
            <w:vAlign w:val="bottom"/>
          </w:tcPr>
          <w:p>
            <w:pPr>
              <w:jc w:val="right"/>
              <w:ind w:right="152"/>
              <w:spacing w:after="0"/>
              <w:rPr>
                <w:sz w:val="20"/>
                <w:szCs w:val="20"/>
                <w:color w:val="auto"/>
              </w:rPr>
            </w:pPr>
            <w:r>
              <w:rPr>
                <w:rFonts w:ascii="Arial" w:cs="Arial" w:eastAsia="Arial" w:hAnsi="Arial"/>
                <w:sz w:val="18"/>
                <w:szCs w:val="18"/>
                <w:color w:val="auto"/>
              </w:rPr>
              <w:t>(3 )</w:t>
            </w:r>
          </w:p>
        </w:tc>
        <w:tc>
          <w:tcPr>
            <w:tcW w:w="360" w:type="dxa"/>
            <w:vAlign w:val="bottom"/>
          </w:tcPr>
          <w:p>
            <w:pPr>
              <w:spacing w:after="0"/>
              <w:rPr>
                <w:sz w:val="23"/>
                <w:szCs w:val="23"/>
                <w:color w:val="auto"/>
              </w:rPr>
            </w:pPr>
          </w:p>
        </w:tc>
        <w:tc>
          <w:tcPr>
            <w:tcW w:w="760" w:type="dxa"/>
            <w:vAlign w:val="bottom"/>
          </w:tcPr>
          <w:p>
            <w:pPr>
              <w:jc w:val="right"/>
              <w:ind w:right="152"/>
              <w:spacing w:after="0"/>
              <w:rPr>
                <w:sz w:val="20"/>
                <w:szCs w:val="20"/>
                <w:color w:val="auto"/>
              </w:rPr>
            </w:pPr>
            <w:r>
              <w:rPr>
                <w:rFonts w:ascii="Arial" w:cs="Arial" w:eastAsia="Arial" w:hAnsi="Arial"/>
                <w:sz w:val="18"/>
                <w:szCs w:val="18"/>
                <w:color w:val="auto"/>
              </w:rPr>
              <w:t>(6 )</w:t>
            </w:r>
          </w:p>
        </w:tc>
        <w:tc>
          <w:tcPr>
            <w:tcW w:w="360" w:type="dxa"/>
            <w:vAlign w:val="bottom"/>
          </w:tcPr>
          <w:p>
            <w:pPr>
              <w:spacing w:after="0"/>
              <w:rPr>
                <w:sz w:val="23"/>
                <w:szCs w:val="23"/>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(5 )</w:t>
            </w:r>
          </w:p>
        </w:tc>
      </w:tr>
      <w:tr>
        <w:trPr>
          <w:trHeight w:val="270"/>
        </w:trPr>
        <w:tc>
          <w:tcPr>
            <w:tcW w:w="5120" w:type="dxa"/>
            <w:vAlign w:val="bottom"/>
          </w:tcPr>
          <w:p>
            <w:pPr>
              <w:ind w:left="20"/>
              <w:spacing w:after="0"/>
              <w:rPr>
                <w:sz w:val="20"/>
                <w:szCs w:val="20"/>
                <w:color w:val="auto"/>
              </w:rPr>
            </w:pPr>
            <w:r>
              <w:rPr>
                <w:rFonts w:ascii="Arial" w:cs="Arial" w:eastAsia="Arial" w:hAnsi="Arial"/>
                <w:sz w:val="18"/>
                <w:szCs w:val="18"/>
                <w:color w:val="auto"/>
              </w:rPr>
              <w:t>Allowance for equity funds used during construction</w:t>
            </w:r>
          </w:p>
        </w:tc>
        <w:tc>
          <w:tcPr>
            <w:tcW w:w="480" w:type="dxa"/>
            <w:vAlign w:val="bottom"/>
          </w:tcPr>
          <w:p>
            <w:pPr>
              <w:spacing w:after="0"/>
              <w:rPr>
                <w:sz w:val="23"/>
                <w:szCs w:val="23"/>
                <w:color w:val="auto"/>
              </w:rPr>
            </w:pPr>
          </w:p>
        </w:tc>
        <w:tc>
          <w:tcPr>
            <w:tcW w:w="660" w:type="dxa"/>
            <w:vAlign w:val="bottom"/>
          </w:tcPr>
          <w:p>
            <w:pPr>
              <w:jc w:val="right"/>
              <w:ind w:right="232"/>
              <w:spacing w:after="0"/>
              <w:rPr>
                <w:sz w:val="20"/>
                <w:szCs w:val="20"/>
                <w:color w:val="auto"/>
              </w:rPr>
            </w:pPr>
            <w:r>
              <w:rPr>
                <w:rFonts w:ascii="Arial" w:cs="Arial" w:eastAsia="Arial" w:hAnsi="Arial"/>
                <w:sz w:val="18"/>
                <w:szCs w:val="18"/>
                <w:color w:val="auto"/>
              </w:rPr>
              <w:t>9</w:t>
            </w:r>
          </w:p>
        </w:tc>
        <w:tc>
          <w:tcPr>
            <w:tcW w:w="360" w:type="dxa"/>
            <w:vAlign w:val="bottom"/>
          </w:tcPr>
          <w:p>
            <w:pPr>
              <w:spacing w:after="0"/>
              <w:rPr>
                <w:sz w:val="23"/>
                <w:szCs w:val="23"/>
                <w:color w:val="auto"/>
              </w:rPr>
            </w:pPr>
          </w:p>
        </w:tc>
        <w:tc>
          <w:tcPr>
            <w:tcW w:w="760" w:type="dxa"/>
            <w:vAlign w:val="bottom"/>
          </w:tcPr>
          <w:p>
            <w:pPr>
              <w:jc w:val="right"/>
              <w:ind w:right="232"/>
              <w:spacing w:after="0"/>
              <w:rPr>
                <w:sz w:val="20"/>
                <w:szCs w:val="20"/>
                <w:color w:val="auto"/>
              </w:rPr>
            </w:pPr>
            <w:r>
              <w:rPr>
                <w:rFonts w:ascii="Arial" w:cs="Arial" w:eastAsia="Arial" w:hAnsi="Arial"/>
                <w:sz w:val="18"/>
                <w:szCs w:val="18"/>
                <w:color w:val="auto"/>
              </w:rPr>
              <w:t>9</w:t>
            </w:r>
          </w:p>
        </w:tc>
        <w:tc>
          <w:tcPr>
            <w:tcW w:w="360" w:type="dxa"/>
            <w:vAlign w:val="bottom"/>
          </w:tcPr>
          <w:p>
            <w:pPr>
              <w:spacing w:after="0"/>
              <w:rPr>
                <w:sz w:val="23"/>
                <w:szCs w:val="23"/>
                <w:color w:val="auto"/>
              </w:rPr>
            </w:pPr>
          </w:p>
        </w:tc>
        <w:tc>
          <w:tcPr>
            <w:tcW w:w="560" w:type="dxa"/>
            <w:vAlign w:val="bottom"/>
          </w:tcPr>
          <w:p>
            <w:pPr>
              <w:jc w:val="right"/>
              <w:ind w:right="12"/>
              <w:spacing w:after="0"/>
              <w:rPr>
                <w:sz w:val="20"/>
                <w:szCs w:val="20"/>
                <w:color w:val="auto"/>
              </w:rPr>
            </w:pPr>
            <w:r>
              <w:rPr>
                <w:rFonts w:ascii="Arial" w:cs="Arial" w:eastAsia="Arial" w:hAnsi="Arial"/>
                <w:sz w:val="18"/>
                <w:szCs w:val="18"/>
                <w:color w:val="auto"/>
              </w:rPr>
              <w:t>12</w:t>
            </w:r>
          </w:p>
        </w:tc>
      </w:tr>
      <w:tr>
        <w:trPr>
          <w:trHeight w:val="270"/>
        </w:trPr>
        <w:tc>
          <w:tcPr>
            <w:tcW w:w="5120" w:type="dxa"/>
            <w:vAlign w:val="bottom"/>
          </w:tcPr>
          <w:p>
            <w:pPr>
              <w:ind w:left="20"/>
              <w:spacing w:after="0"/>
              <w:rPr>
                <w:sz w:val="20"/>
                <w:szCs w:val="20"/>
                <w:color w:val="auto"/>
              </w:rPr>
            </w:pPr>
            <w:r>
              <w:rPr>
                <w:rFonts w:ascii="Arial" w:cs="Arial" w:eastAsia="Arial" w:hAnsi="Arial"/>
                <w:sz w:val="18"/>
                <w:szCs w:val="18"/>
                <w:color w:val="auto"/>
              </w:rPr>
              <w:t>Income taxes on non-operating income</w:t>
            </w:r>
          </w:p>
        </w:tc>
        <w:tc>
          <w:tcPr>
            <w:tcW w:w="480" w:type="dxa"/>
            <w:vAlign w:val="bottom"/>
          </w:tcPr>
          <w:p>
            <w:pPr>
              <w:spacing w:after="0"/>
              <w:rPr>
                <w:sz w:val="23"/>
                <w:szCs w:val="23"/>
                <w:color w:val="auto"/>
              </w:rPr>
            </w:pPr>
          </w:p>
        </w:tc>
        <w:tc>
          <w:tcPr>
            <w:tcW w:w="660" w:type="dxa"/>
            <w:vAlign w:val="bottom"/>
          </w:tcPr>
          <w:p>
            <w:pPr>
              <w:jc w:val="right"/>
              <w:ind w:right="232"/>
              <w:spacing w:after="0"/>
              <w:rPr>
                <w:sz w:val="20"/>
                <w:szCs w:val="20"/>
                <w:color w:val="auto"/>
              </w:rPr>
            </w:pPr>
            <w:r>
              <w:rPr>
                <w:rFonts w:ascii="Arial" w:cs="Arial" w:eastAsia="Arial" w:hAnsi="Arial"/>
                <w:sz w:val="18"/>
                <w:szCs w:val="18"/>
                <w:color w:val="auto"/>
              </w:rPr>
              <w:t>21</w:t>
            </w:r>
          </w:p>
        </w:tc>
        <w:tc>
          <w:tcPr>
            <w:tcW w:w="360" w:type="dxa"/>
            <w:vAlign w:val="bottom"/>
          </w:tcPr>
          <w:p>
            <w:pPr>
              <w:spacing w:after="0"/>
              <w:rPr>
                <w:sz w:val="23"/>
                <w:szCs w:val="23"/>
                <w:color w:val="auto"/>
              </w:rPr>
            </w:pPr>
          </w:p>
        </w:tc>
        <w:tc>
          <w:tcPr>
            <w:tcW w:w="760" w:type="dxa"/>
            <w:vAlign w:val="bottom"/>
          </w:tcPr>
          <w:p>
            <w:pPr>
              <w:jc w:val="right"/>
              <w:ind w:right="152"/>
              <w:spacing w:after="0"/>
              <w:rPr>
                <w:sz w:val="20"/>
                <w:szCs w:val="20"/>
                <w:color w:val="auto"/>
              </w:rPr>
            </w:pPr>
            <w:r>
              <w:rPr>
                <w:rFonts w:ascii="Arial" w:cs="Arial" w:eastAsia="Arial" w:hAnsi="Arial"/>
                <w:sz w:val="18"/>
                <w:szCs w:val="18"/>
                <w:color w:val="auto"/>
              </w:rPr>
              <w:t>(11 )</w:t>
            </w:r>
          </w:p>
        </w:tc>
        <w:tc>
          <w:tcPr>
            <w:tcW w:w="360" w:type="dxa"/>
            <w:vAlign w:val="bottom"/>
          </w:tcPr>
          <w:p>
            <w:pPr>
              <w:spacing w:after="0"/>
              <w:rPr>
                <w:sz w:val="23"/>
                <w:szCs w:val="23"/>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(21 )</w:t>
            </w:r>
          </w:p>
        </w:tc>
      </w:tr>
      <w:tr>
        <w:trPr>
          <w:trHeight w:val="278"/>
        </w:trPr>
        <w:tc>
          <w:tcPr>
            <w:tcW w:w="5120" w:type="dxa"/>
            <w:vAlign w:val="bottom"/>
          </w:tcPr>
          <w:p>
            <w:pPr>
              <w:ind w:left="20"/>
              <w:spacing w:after="0"/>
              <w:rPr>
                <w:sz w:val="20"/>
                <w:szCs w:val="20"/>
                <w:color w:val="auto"/>
              </w:rPr>
            </w:pPr>
            <w:r>
              <w:rPr>
                <w:rFonts w:ascii="Arial" w:cs="Arial" w:eastAsia="Arial" w:hAnsi="Arial"/>
                <w:sz w:val="18"/>
                <w:szCs w:val="18"/>
                <w:color w:val="auto"/>
              </w:rPr>
              <w:t>Sundry, net</w:t>
            </w:r>
          </w:p>
        </w:tc>
        <w:tc>
          <w:tcPr>
            <w:tcW w:w="480" w:type="dxa"/>
            <w:vAlign w:val="bottom"/>
          </w:tcPr>
          <w:p>
            <w:pPr>
              <w:spacing w:after="0"/>
              <w:rPr>
                <w:sz w:val="24"/>
                <w:szCs w:val="24"/>
                <w:color w:val="auto"/>
              </w:rPr>
            </w:pPr>
          </w:p>
        </w:tc>
        <w:tc>
          <w:tcPr>
            <w:tcW w:w="660" w:type="dxa"/>
            <w:vAlign w:val="bottom"/>
          </w:tcPr>
          <w:p>
            <w:pPr>
              <w:jc w:val="right"/>
              <w:ind w:right="232"/>
              <w:spacing w:after="0"/>
              <w:rPr>
                <w:sz w:val="20"/>
                <w:szCs w:val="20"/>
                <w:color w:val="auto"/>
              </w:rPr>
            </w:pPr>
            <w:r>
              <w:rPr>
                <w:rFonts w:ascii="Arial" w:cs="Arial" w:eastAsia="Arial" w:hAnsi="Arial"/>
                <w:sz w:val="18"/>
                <w:szCs w:val="18"/>
                <w:color w:val="auto"/>
              </w:rPr>
              <w:t>8</w:t>
            </w:r>
          </w:p>
        </w:tc>
        <w:tc>
          <w:tcPr>
            <w:tcW w:w="360" w:type="dxa"/>
            <w:vAlign w:val="bottom"/>
          </w:tcPr>
          <w:p>
            <w:pPr>
              <w:spacing w:after="0"/>
              <w:rPr>
                <w:sz w:val="24"/>
                <w:szCs w:val="24"/>
                <w:color w:val="auto"/>
              </w:rPr>
            </w:pPr>
          </w:p>
        </w:tc>
        <w:tc>
          <w:tcPr>
            <w:tcW w:w="760" w:type="dxa"/>
            <w:vAlign w:val="bottom"/>
          </w:tcPr>
          <w:p>
            <w:pPr>
              <w:jc w:val="right"/>
              <w:ind w:right="232"/>
              <w:spacing w:after="0"/>
              <w:rPr>
                <w:sz w:val="20"/>
                <w:szCs w:val="20"/>
                <w:color w:val="auto"/>
              </w:rPr>
            </w:pPr>
            <w:r>
              <w:rPr>
                <w:rFonts w:ascii="Arial" w:cs="Arial" w:eastAsia="Arial" w:hAnsi="Arial"/>
                <w:sz w:val="18"/>
                <w:szCs w:val="18"/>
                <w:color w:val="auto"/>
              </w:rPr>
              <w:t>8</w:t>
            </w:r>
          </w:p>
        </w:tc>
        <w:tc>
          <w:tcPr>
            <w:tcW w:w="36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(3 )</w:t>
            </w:r>
          </w:p>
        </w:tc>
      </w:tr>
      <w:tr>
        <w:trPr>
          <w:trHeight w:val="251"/>
        </w:trPr>
        <w:tc>
          <w:tcPr>
            <w:tcW w:w="5120" w:type="dxa"/>
            <w:vAlign w:val="bottom"/>
          </w:tcPr>
          <w:p>
            <w:pPr>
              <w:spacing w:after="0"/>
              <w:rPr>
                <w:sz w:val="21"/>
                <w:szCs w:val="21"/>
                <w:color w:val="auto"/>
              </w:rPr>
            </w:pPr>
          </w:p>
        </w:tc>
        <w:tc>
          <w:tcPr>
            <w:tcW w:w="480" w:type="dxa"/>
            <w:vAlign w:val="bottom"/>
            <w:shd w:val="clear" w:color="auto" w:fill="000000"/>
          </w:tcPr>
          <w:p>
            <w:pPr>
              <w:spacing w:after="0"/>
              <w:rPr>
                <w:sz w:val="21"/>
                <w:szCs w:val="21"/>
                <w:color w:val="auto"/>
              </w:rPr>
            </w:pPr>
          </w:p>
        </w:tc>
        <w:tc>
          <w:tcPr>
            <w:tcW w:w="660" w:type="dxa"/>
            <w:vAlign w:val="bottom"/>
            <w:shd w:val="clear" w:color="auto" w:fill="000000"/>
          </w:tcPr>
          <w:p>
            <w:pPr>
              <w:spacing w:after="0"/>
              <w:rPr>
                <w:sz w:val="21"/>
                <w:szCs w:val="21"/>
                <w:color w:val="auto"/>
              </w:rPr>
            </w:pPr>
          </w:p>
        </w:tc>
        <w:tc>
          <w:tcPr>
            <w:tcW w:w="360" w:type="dxa"/>
            <w:vAlign w:val="bottom"/>
            <w:shd w:val="clear" w:color="auto" w:fill="000000"/>
          </w:tcPr>
          <w:p>
            <w:pPr>
              <w:spacing w:after="0"/>
              <w:rPr>
                <w:sz w:val="21"/>
                <w:szCs w:val="21"/>
                <w:color w:val="auto"/>
              </w:rPr>
            </w:pPr>
          </w:p>
        </w:tc>
        <w:tc>
          <w:tcPr>
            <w:tcW w:w="760" w:type="dxa"/>
            <w:vAlign w:val="bottom"/>
            <w:shd w:val="clear" w:color="auto" w:fill="000000"/>
          </w:tcPr>
          <w:p>
            <w:pPr>
              <w:spacing w:after="0"/>
              <w:rPr>
                <w:sz w:val="21"/>
                <w:szCs w:val="21"/>
                <w:color w:val="auto"/>
              </w:rPr>
            </w:pPr>
          </w:p>
        </w:tc>
        <w:tc>
          <w:tcPr>
            <w:tcW w:w="360" w:type="dxa"/>
            <w:vAlign w:val="bottom"/>
            <w:shd w:val="clear" w:color="auto" w:fill="000000"/>
          </w:tcPr>
          <w:p>
            <w:pPr>
              <w:spacing w:after="0"/>
              <w:rPr>
                <w:sz w:val="21"/>
                <w:szCs w:val="21"/>
                <w:color w:val="auto"/>
              </w:rPr>
            </w:pPr>
          </w:p>
        </w:tc>
        <w:tc>
          <w:tcPr>
            <w:tcW w:w="560" w:type="dxa"/>
            <w:vAlign w:val="bottom"/>
            <w:shd w:val="clear" w:color="auto" w:fill="000000"/>
          </w:tcPr>
          <w:p>
            <w:pPr>
              <w:spacing w:after="0"/>
              <w:rPr>
                <w:sz w:val="21"/>
                <w:szCs w:val="21"/>
                <w:color w:val="auto"/>
              </w:rPr>
            </w:pPr>
          </w:p>
        </w:tc>
      </w:tr>
      <w:tr>
        <w:trPr>
          <w:trHeight w:val="262"/>
        </w:trPr>
        <w:tc>
          <w:tcPr>
            <w:tcW w:w="5120" w:type="dxa"/>
            <w:vAlign w:val="bottom"/>
          </w:tcPr>
          <w:p>
            <w:pPr>
              <w:ind w:left="740"/>
              <w:spacing w:after="0"/>
              <w:rPr>
                <w:sz w:val="20"/>
                <w:szCs w:val="20"/>
                <w:color w:val="auto"/>
              </w:rPr>
            </w:pPr>
            <w:r>
              <w:rPr>
                <w:rFonts w:ascii="Arial" w:cs="Arial" w:eastAsia="Arial" w:hAnsi="Arial"/>
                <w:sz w:val="18"/>
                <w:szCs w:val="18"/>
                <w:color w:val="auto"/>
              </w:rPr>
              <w:t>Total</w:t>
            </w:r>
          </w:p>
        </w:tc>
        <w:tc>
          <w:tcPr>
            <w:tcW w:w="48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232"/>
              <w:spacing w:after="0"/>
              <w:rPr>
                <w:sz w:val="20"/>
                <w:szCs w:val="20"/>
                <w:color w:val="auto"/>
              </w:rPr>
            </w:pPr>
            <w:r>
              <w:rPr>
                <w:rFonts w:ascii="Arial" w:cs="Arial" w:eastAsia="Arial" w:hAnsi="Arial"/>
                <w:sz w:val="18"/>
                <w:szCs w:val="18"/>
                <w:color w:val="auto"/>
              </w:rPr>
              <w:t>58</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232"/>
              <w:spacing w:after="0"/>
              <w:rPr>
                <w:sz w:val="20"/>
                <w:szCs w:val="20"/>
                <w:color w:val="auto"/>
              </w:rPr>
            </w:pPr>
            <w:r>
              <w:rPr>
                <w:rFonts w:ascii="Arial" w:cs="Arial" w:eastAsia="Arial" w:hAnsi="Arial"/>
                <w:sz w:val="18"/>
                <w:szCs w:val="18"/>
                <w:color w:val="auto"/>
              </w:rPr>
              <w:t>25</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ind w:right="12"/>
              <w:spacing w:after="0"/>
              <w:rPr>
                <w:sz w:val="20"/>
                <w:szCs w:val="20"/>
                <w:color w:val="auto"/>
              </w:rPr>
            </w:pPr>
            <w:r>
              <w:rPr>
                <w:rFonts w:ascii="Arial" w:cs="Arial" w:eastAsia="Arial" w:hAnsi="Arial"/>
                <w:sz w:val="18"/>
                <w:szCs w:val="18"/>
                <w:color w:val="auto"/>
              </w:rPr>
              <w:t>25</w:t>
            </w:r>
          </w:p>
        </w:tc>
      </w:tr>
      <w:tr>
        <w:trPr>
          <w:trHeight w:val="251"/>
        </w:trPr>
        <w:tc>
          <w:tcPr>
            <w:tcW w:w="5120" w:type="dxa"/>
            <w:vAlign w:val="bottom"/>
            <w:shd w:val="clear" w:color="auto" w:fill="000000"/>
          </w:tcPr>
          <w:p>
            <w:pPr>
              <w:spacing w:after="0"/>
              <w:rPr>
                <w:sz w:val="21"/>
                <w:szCs w:val="21"/>
                <w:color w:val="auto"/>
              </w:rPr>
            </w:pPr>
          </w:p>
        </w:tc>
        <w:tc>
          <w:tcPr>
            <w:tcW w:w="480" w:type="dxa"/>
            <w:vAlign w:val="bottom"/>
            <w:shd w:val="clear" w:color="auto" w:fill="000000"/>
          </w:tcPr>
          <w:p>
            <w:pPr>
              <w:spacing w:after="0"/>
              <w:rPr>
                <w:sz w:val="21"/>
                <w:szCs w:val="21"/>
                <w:color w:val="auto"/>
              </w:rPr>
            </w:pPr>
          </w:p>
        </w:tc>
        <w:tc>
          <w:tcPr>
            <w:tcW w:w="660" w:type="dxa"/>
            <w:vAlign w:val="bottom"/>
            <w:shd w:val="clear" w:color="auto" w:fill="000000"/>
          </w:tcPr>
          <w:p>
            <w:pPr>
              <w:spacing w:after="0"/>
              <w:rPr>
                <w:sz w:val="21"/>
                <w:szCs w:val="21"/>
                <w:color w:val="auto"/>
              </w:rPr>
            </w:pPr>
          </w:p>
        </w:tc>
        <w:tc>
          <w:tcPr>
            <w:tcW w:w="360" w:type="dxa"/>
            <w:vAlign w:val="bottom"/>
            <w:shd w:val="clear" w:color="auto" w:fill="000000"/>
          </w:tcPr>
          <w:p>
            <w:pPr>
              <w:spacing w:after="0"/>
              <w:rPr>
                <w:sz w:val="21"/>
                <w:szCs w:val="21"/>
                <w:color w:val="auto"/>
              </w:rPr>
            </w:pPr>
          </w:p>
        </w:tc>
        <w:tc>
          <w:tcPr>
            <w:tcW w:w="760" w:type="dxa"/>
            <w:vAlign w:val="bottom"/>
            <w:shd w:val="clear" w:color="auto" w:fill="000000"/>
          </w:tcPr>
          <w:p>
            <w:pPr>
              <w:spacing w:after="0"/>
              <w:rPr>
                <w:sz w:val="21"/>
                <w:szCs w:val="21"/>
                <w:color w:val="auto"/>
              </w:rPr>
            </w:pPr>
          </w:p>
        </w:tc>
        <w:tc>
          <w:tcPr>
            <w:tcW w:w="360" w:type="dxa"/>
            <w:vAlign w:val="bottom"/>
            <w:shd w:val="clear" w:color="auto" w:fill="000000"/>
          </w:tcPr>
          <w:p>
            <w:pPr>
              <w:spacing w:after="0"/>
              <w:rPr>
                <w:sz w:val="21"/>
                <w:szCs w:val="21"/>
                <w:color w:val="auto"/>
              </w:rPr>
            </w:pPr>
          </w:p>
        </w:tc>
        <w:tc>
          <w:tcPr>
            <w:tcW w:w="560" w:type="dxa"/>
            <w:vAlign w:val="bottom"/>
            <w:shd w:val="clear" w:color="auto" w:fill="000000"/>
          </w:tcPr>
          <w:p>
            <w:pPr>
              <w:spacing w:after="0"/>
              <w:rPr>
                <w:sz w:val="21"/>
                <w:szCs w:val="21"/>
                <w:color w:val="auto"/>
              </w:rPr>
            </w:pPr>
          </w:p>
        </w:tc>
      </w:tr>
    </w:tbl>
    <w:p>
      <w:pPr>
        <w:spacing w:after="0" w:line="18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New Accounting Standards</w:t>
      </w:r>
    </w:p>
    <w:p>
      <w:pPr>
        <w:spacing w:after="0" w:line="206" w:lineRule="exact"/>
        <w:rPr>
          <w:sz w:val="20"/>
          <w:szCs w:val="20"/>
          <w:color w:val="auto"/>
        </w:rPr>
      </w:pPr>
    </w:p>
    <w:p>
      <w:pPr>
        <w:ind w:right="80"/>
        <w:spacing w:after="0" w:line="274" w:lineRule="auto"/>
        <w:rPr>
          <w:sz w:val="20"/>
          <w:szCs w:val="20"/>
          <w:color w:val="auto"/>
        </w:rPr>
      </w:pPr>
      <w:r>
        <w:rPr>
          <w:rFonts w:ascii="Arial" w:cs="Arial" w:eastAsia="Arial" w:hAnsi="Arial"/>
          <w:sz w:val="19"/>
          <w:szCs w:val="19"/>
          <w:b w:val="1"/>
          <w:bCs w:val="1"/>
          <w:i w:val="1"/>
          <w:iCs w:val="1"/>
          <w:color w:val="auto"/>
        </w:rPr>
        <w:t>SFAS 123 (revised 2004)</w:t>
      </w:r>
      <w:r>
        <w:rPr>
          <w:rFonts w:ascii="Arial" w:cs="Arial" w:eastAsia="Arial" w:hAnsi="Arial"/>
          <w:sz w:val="19"/>
          <w:szCs w:val="19"/>
          <w:b w:val="1"/>
          <w:bCs w:val="1"/>
          <w:color w:val="auto"/>
        </w:rPr>
        <w:t>,</w:t>
      </w:r>
      <w:r>
        <w:rPr>
          <w:rFonts w:ascii="Arial" w:cs="Arial" w:eastAsia="Arial" w:hAnsi="Arial"/>
          <w:sz w:val="19"/>
          <w:szCs w:val="19"/>
          <w:b w:val="1"/>
          <w:bCs w:val="1"/>
          <w:i w:val="1"/>
          <w:iCs w:val="1"/>
          <w:color w:val="auto"/>
        </w:rPr>
        <w:t xml:space="preserve"> "Share-Based Payment" (SFAS 123R): </w:t>
      </w:r>
      <w:r>
        <w:rPr>
          <w:rFonts w:ascii="Arial" w:cs="Arial" w:eastAsia="Arial" w:hAnsi="Arial"/>
          <w:sz w:val="19"/>
          <w:szCs w:val="19"/>
          <w:color w:val="auto"/>
        </w:rPr>
        <w:t>In December 2004, the Financial Accounting Standards Board</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 xml:space="preserve">(FASB) issued SFAS 123R, a revision of SFAS 123, </w:t>
      </w:r>
      <w:r>
        <w:rPr>
          <w:rFonts w:ascii="Arial" w:cs="Arial" w:eastAsia="Arial" w:hAnsi="Arial"/>
          <w:sz w:val="19"/>
          <w:szCs w:val="19"/>
          <w:i w:val="1"/>
          <w:iCs w:val="1"/>
          <w:color w:val="auto"/>
        </w:rPr>
        <w:t>Accounting for Stock-Based Compensation</w:t>
      </w:r>
      <w:r>
        <w:rPr>
          <w:rFonts w:ascii="Arial" w:cs="Arial" w:eastAsia="Arial" w:hAnsi="Arial"/>
          <w:sz w:val="19"/>
          <w:szCs w:val="19"/>
          <w:color w:val="auto"/>
        </w:rPr>
        <w:t xml:space="preserve"> (SFAS 123), which establishes the accounting for transactions in which an entity exchanges its equity instruments for goods or services received. This statement requires companies to measure and record the cost of employee services received in exchange for an award of equity instruments based on the grant-date fair value of the award. Sempra Energy expects to adopt the provisions of SFAS 123R using a modified prospective application. The modified prospective method requires companies to recognize compensation cost for unvested awards that are outstanding on the effective date based on the fair value that the company had originally estimated for purposes of preparing its SFAS 123 pro forma disclosures. For all new awards that are granted or modified after the effective dat e, a company would use SFAS 123R's measurement model. The effect of adopting FAS 123R has not been determined. The effective date of this statement is January 1, 2006 for Sempra Energy.</w:t>
      </w:r>
    </w:p>
    <w:p>
      <w:pPr>
        <w:spacing w:after="0" w:line="159" w:lineRule="exact"/>
        <w:rPr>
          <w:sz w:val="20"/>
          <w:szCs w:val="20"/>
          <w:color w:val="auto"/>
        </w:rPr>
      </w:pPr>
    </w:p>
    <w:p>
      <w:pPr>
        <w:spacing w:after="0" w:line="246" w:lineRule="auto"/>
        <w:rPr>
          <w:sz w:val="20"/>
          <w:szCs w:val="20"/>
          <w:color w:val="auto"/>
        </w:rPr>
      </w:pPr>
      <w:r>
        <w:rPr>
          <w:rFonts w:ascii="Arial" w:cs="Arial" w:eastAsia="Arial" w:hAnsi="Arial"/>
          <w:sz w:val="21"/>
          <w:szCs w:val="21"/>
          <w:b w:val="1"/>
          <w:bCs w:val="1"/>
          <w:i w:val="1"/>
          <w:iCs w:val="1"/>
          <w:color w:val="auto"/>
        </w:rPr>
        <w:t xml:space="preserve">SFAS 143, "Accounting for Asset Retirement Obligations" and FASB Interpretation No (FIN) 47, "Accounting for Conditional Asset Retirement Obligations, an interpretation of SFAS 143": </w:t>
      </w:r>
      <w:r>
        <w:rPr>
          <w:rFonts w:ascii="Arial" w:cs="Arial" w:eastAsia="Arial" w:hAnsi="Arial"/>
          <w:sz w:val="21"/>
          <w:szCs w:val="21"/>
          <w:color w:val="auto"/>
        </w:rPr>
        <w:t>Beginning in 2003, SFAS 143 requires entities to</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record the present value of liabilities for future costs expected to be incurred when assets are retired from service, if the retirement process is legally required. It requires recording of the estimated retirement cost over the life of the related asset by depreciating the present value of the obligation (measured at the time of the asset's acquisition) and accreting the discount until the liability is settled. The adoption of SFAS 143 on January 1, 2003 resulted in the recording of an addition to utility plant of $71 million, representing the company's share of SONGS' estimated future decommissioning costs (as discounted to the present value at the dates the units began operation), and accumulate d depreciation of $41 million related to the increase to utility plant, for a net increase of $30 million. On January 1, 2003, the company recorded additional asset retirement obligations of $10 million associated with the future retirement of a former power plant.</w:t>
      </w:r>
    </w:p>
    <w:p>
      <w:pPr>
        <w:spacing w:after="0" w:line="185" w:lineRule="exact"/>
        <w:rPr>
          <w:sz w:val="20"/>
          <w:szCs w:val="20"/>
          <w:color w:val="auto"/>
        </w:rPr>
      </w:pPr>
    </w:p>
    <w:p>
      <w:pPr>
        <w:ind w:right="80"/>
        <w:spacing w:after="0" w:line="249" w:lineRule="auto"/>
        <w:rPr>
          <w:sz w:val="20"/>
          <w:szCs w:val="20"/>
          <w:color w:val="auto"/>
        </w:rPr>
      </w:pPr>
      <w:r>
        <w:rPr>
          <w:rFonts w:ascii="Arial" w:cs="Arial" w:eastAsia="Arial" w:hAnsi="Arial"/>
          <w:sz w:val="21"/>
          <w:szCs w:val="21"/>
          <w:color w:val="auto"/>
        </w:rPr>
        <w:t xml:space="preserve">In March 2005, the FASB issued FIN 47, </w:t>
      </w:r>
      <w:r>
        <w:rPr>
          <w:rFonts w:ascii="Arial" w:cs="Arial" w:eastAsia="Arial" w:hAnsi="Arial"/>
          <w:sz w:val="21"/>
          <w:szCs w:val="21"/>
          <w:i w:val="1"/>
          <w:iCs w:val="1"/>
          <w:color w:val="auto"/>
        </w:rPr>
        <w:t>"Accounting for Conditional Asset Retirement Obligations, an interpretation of SFAS</w:t>
      </w:r>
      <w:r>
        <w:rPr>
          <w:rFonts w:ascii="Arial" w:cs="Arial" w:eastAsia="Arial" w:hAnsi="Arial"/>
          <w:sz w:val="21"/>
          <w:szCs w:val="21"/>
          <w:color w:val="auto"/>
        </w:rPr>
        <w:t xml:space="preserve"> </w:t>
      </w:r>
      <w:r>
        <w:rPr>
          <w:rFonts w:ascii="Arial" w:cs="Arial" w:eastAsia="Arial" w:hAnsi="Arial"/>
          <w:sz w:val="21"/>
          <w:szCs w:val="21"/>
          <w:i w:val="1"/>
          <w:iCs w:val="1"/>
          <w:color w:val="auto"/>
        </w:rPr>
        <w:t xml:space="preserve">143." </w:t>
      </w:r>
      <w:r>
        <w:rPr>
          <w:rFonts w:ascii="Arial" w:cs="Arial" w:eastAsia="Arial" w:hAnsi="Arial"/>
          <w:sz w:val="21"/>
          <w:szCs w:val="21"/>
          <w:color w:val="auto"/>
        </w:rPr>
        <w:t>The interpretation clarifies that the term "conditional asset-retirement obligation" as used in SFAS 143, refers to a legal</w:t>
      </w:r>
      <w:r>
        <w:rPr>
          <w:rFonts w:ascii="Arial" w:cs="Arial" w:eastAsia="Arial" w:hAnsi="Arial"/>
          <w:sz w:val="21"/>
          <w:szCs w:val="21"/>
          <w:i w:val="1"/>
          <w:iCs w:val="1"/>
          <w:color w:val="auto"/>
        </w:rPr>
        <w:t xml:space="preserve"> </w:t>
      </w:r>
      <w:r>
        <w:rPr>
          <w:rFonts w:ascii="Arial" w:cs="Arial" w:eastAsia="Arial" w:hAnsi="Arial"/>
          <w:sz w:val="21"/>
          <w:szCs w:val="21"/>
          <w:color w:val="auto"/>
        </w:rPr>
        <w:t>obligation to perform an asset-retirement activity in which the timing and/or method of settlement are conditional on a future event that may or may not be within the control of the entity. FIN 47 requires companies to recognize a liability for the fair value of a conditional asset-retirement obligation if the fair value of the obligation can be reasonably estimated.</w:t>
      </w:r>
    </w:p>
    <w:p>
      <w:pPr>
        <w:spacing w:after="0" w:line="179" w:lineRule="exact"/>
        <w:rPr>
          <w:sz w:val="20"/>
          <w:szCs w:val="20"/>
          <w:color w:val="auto"/>
        </w:rPr>
      </w:pPr>
    </w:p>
    <w:p>
      <w:pPr>
        <w:ind w:right="380"/>
        <w:spacing w:after="0" w:line="282" w:lineRule="auto"/>
        <w:rPr>
          <w:sz w:val="20"/>
          <w:szCs w:val="20"/>
          <w:color w:val="auto"/>
        </w:rPr>
      </w:pPr>
      <w:r>
        <w:rPr>
          <w:rFonts w:ascii="Arial" w:cs="Arial" w:eastAsia="Arial" w:hAnsi="Arial"/>
          <w:sz w:val="19"/>
          <w:szCs w:val="19"/>
          <w:color w:val="auto"/>
        </w:rPr>
        <w:t>The adoption of FIN 47 on December 31, 2005 resulted in the recording of an addition to utility plant of $32 million and accumulated depreciation of $13 million related to the increase to utility plant, for a net increase of $19 million. In addition, the company recorded a corresponding retirement obligation liability of $116 million (which includes accretion of that discounted value to December 31, 2005) and a regulatory liability of $164 million to reflect that the company has collected the funds from customers more quickly than FIN 47 would accrete the retirement liability and depreciate the asset.</w:t>
      </w:r>
    </w:p>
    <w:p>
      <w:pPr>
        <w:spacing w:after="0" w:line="148" w:lineRule="exact"/>
        <w:rPr>
          <w:sz w:val="20"/>
          <w:szCs w:val="20"/>
          <w:color w:val="auto"/>
        </w:rPr>
      </w:pPr>
    </w:p>
    <w:p>
      <w:pPr>
        <w:ind w:right="60"/>
        <w:spacing w:after="0" w:line="236" w:lineRule="auto"/>
        <w:rPr>
          <w:sz w:val="20"/>
          <w:szCs w:val="20"/>
          <w:color w:val="auto"/>
        </w:rPr>
      </w:pPr>
      <w:r>
        <w:rPr>
          <w:rFonts w:ascii="Arial" w:cs="Arial" w:eastAsia="Arial" w:hAnsi="Arial"/>
          <w:sz w:val="22"/>
          <w:szCs w:val="22"/>
          <w:color w:val="auto"/>
        </w:rPr>
        <w:t>The adoption of SFAS 143 required the reclassification of estimated removal costs collected in rates, which had historically been recorded in accumulated depreciation, to a regulatory liability. At December 31, 2005 and 2004, these costs were $724 million and $913 million, respectively. The change in the balance is due to the implementation of FIN 47, which required the reclassification of disposal costs that previously have been included in the company's estimated cost of removal obligations to a regulatory liability and to Asset Retirement Obligations.</w:t>
      </w:r>
    </w:p>
    <w:p>
      <w:pPr>
        <w:spacing w:after="0" w:line="188" w:lineRule="exact"/>
        <w:rPr>
          <w:sz w:val="20"/>
          <w:szCs w:val="20"/>
          <w:color w:val="auto"/>
        </w:rPr>
      </w:pPr>
    </w:p>
    <w:p>
      <w:pPr>
        <w:ind w:right="120"/>
        <w:spacing w:after="0" w:line="249" w:lineRule="auto"/>
        <w:rPr>
          <w:sz w:val="20"/>
          <w:szCs w:val="20"/>
          <w:color w:val="auto"/>
        </w:rPr>
      </w:pPr>
      <w:r>
        <w:rPr>
          <w:rFonts w:ascii="Arial" w:cs="Arial" w:eastAsia="Arial" w:hAnsi="Arial"/>
          <w:sz w:val="21"/>
          <w:szCs w:val="21"/>
          <w:color w:val="auto"/>
        </w:rPr>
        <w:t>In accordance with FIN 47, the company has determined that the amount of asbestos-containing materials could not be determined and, therefore, no liability has been recognized for the related removal obligations. Since most, if not all, of the cost of removing such materials would be expected to be recovered in rates, the effect of not recognizing these liabilities is not material to the company's financial condition or results of operations. A liability for the obligations will be recorded in the period in which sufficient information is available to reasonably estimate the removal cost.</w:t>
      </w:r>
    </w:p>
    <w:p>
      <w:pPr>
        <w:spacing w:after="0" w:line="179" w:lineRule="exact"/>
        <w:rPr>
          <w:sz w:val="20"/>
          <w:szCs w:val="20"/>
          <w:color w:val="auto"/>
        </w:rPr>
      </w:pPr>
    </w:p>
    <w:p>
      <w:pPr>
        <w:ind w:right="160"/>
        <w:spacing w:after="0" w:line="251" w:lineRule="auto"/>
        <w:rPr>
          <w:sz w:val="20"/>
          <w:szCs w:val="20"/>
          <w:color w:val="auto"/>
        </w:rPr>
      </w:pPr>
      <w:r>
        <w:rPr>
          <w:rFonts w:ascii="Arial" w:cs="Arial" w:eastAsia="Arial" w:hAnsi="Arial"/>
          <w:sz w:val="22"/>
          <w:szCs w:val="22"/>
          <w:color w:val="auto"/>
        </w:rPr>
        <w:t>Had FIN 47 been in effect on December 31, 2004, the asset retirement obligation liability would have been $109 million as of that date.</w:t>
      </w:r>
    </w:p>
    <w:p>
      <w:pPr>
        <w:sectPr>
          <w:pgSz w:w="11900" w:h="16838" w:orient="portrait"/>
          <w:cols w:equalWidth="0" w:num="1">
            <w:col w:w="11420"/>
          </w:cols>
          <w:pgMar w:left="240" w:top="118" w:right="239" w:bottom="82" w:gutter="0" w:footer="0" w:header="0"/>
        </w:sectPr>
      </w:pPr>
    </w:p>
    <w:bookmarkStart w:id="31" w:name="page32"/>
    <w:bookmarkEnd w:id="31"/>
    <w:p>
      <w:pPr>
        <w:spacing w:after="0" w:line="62" w:lineRule="exact"/>
        <w:rPr>
          <w:sz w:val="20"/>
          <w:szCs w:val="20"/>
          <w:color w:val="auto"/>
        </w:rPr>
      </w:pPr>
    </w:p>
    <w:p>
      <w:pPr>
        <w:ind w:right="320"/>
        <w:spacing w:after="0" w:line="251" w:lineRule="auto"/>
        <w:rPr>
          <w:sz w:val="20"/>
          <w:szCs w:val="20"/>
          <w:color w:val="auto"/>
        </w:rPr>
      </w:pPr>
      <w:r>
        <w:rPr>
          <w:rFonts w:ascii="Arial" w:cs="Arial" w:eastAsia="Arial" w:hAnsi="Arial"/>
          <w:sz w:val="22"/>
          <w:szCs w:val="22"/>
          <w:color w:val="auto"/>
        </w:rPr>
        <w:t>Except for the items noted above, the company has determined that there are no other material retirement obligations associated with tangible long-lived assets.</w:t>
      </w:r>
    </w:p>
    <w:p>
      <w:pPr>
        <w:spacing w:after="0" w:line="174" w:lineRule="exact"/>
        <w:rPr>
          <w:sz w:val="20"/>
          <w:szCs w:val="20"/>
          <w:color w:val="auto"/>
        </w:rPr>
      </w:pPr>
    </w:p>
    <w:p>
      <w:pPr>
        <w:ind w:right="60"/>
        <w:spacing w:after="0" w:line="251" w:lineRule="auto"/>
        <w:rPr>
          <w:sz w:val="20"/>
          <w:szCs w:val="20"/>
          <w:color w:val="auto"/>
        </w:rPr>
      </w:pPr>
      <w:r>
        <w:rPr>
          <w:rFonts w:ascii="Arial" w:cs="Arial" w:eastAsia="Arial" w:hAnsi="Arial"/>
          <w:sz w:val="22"/>
          <w:szCs w:val="22"/>
          <w:color w:val="auto"/>
        </w:rPr>
        <w:t>Implementation of SFAS 143 and FIN 47 had no significant effect on results of operations and is not expected to have a significant effect in the future.</w:t>
      </w:r>
    </w:p>
    <w:p>
      <w:pPr>
        <w:spacing w:after="0" w:line="173" w:lineRule="exact"/>
        <w:rPr>
          <w:sz w:val="20"/>
          <w:szCs w:val="20"/>
          <w:color w:val="auto"/>
        </w:rPr>
      </w:pPr>
    </w:p>
    <w:p>
      <w:pPr>
        <w:ind w:right="820"/>
        <w:spacing w:after="0" w:line="251" w:lineRule="auto"/>
        <w:rPr>
          <w:sz w:val="20"/>
          <w:szCs w:val="20"/>
          <w:color w:val="auto"/>
        </w:rPr>
      </w:pPr>
      <w:r>
        <w:rPr>
          <w:rFonts w:ascii="Arial" w:cs="Arial" w:eastAsia="Arial" w:hAnsi="Arial"/>
          <w:sz w:val="22"/>
          <w:szCs w:val="22"/>
          <w:color w:val="auto"/>
        </w:rPr>
        <w:t>The changes in the asset retirement obligations for the years ended December 31, 2005 and 2004 are as follows (dollars in millions):</w:t>
      </w:r>
    </w:p>
    <w:p>
      <w:pPr>
        <w:spacing w:after="0" w:line="159" w:lineRule="exact"/>
        <w:rPr>
          <w:sz w:val="20"/>
          <w:szCs w:val="20"/>
          <w:color w:val="auto"/>
        </w:rPr>
      </w:pPr>
    </w:p>
    <w:tbl>
      <w:tblPr>
        <w:tblLayout w:type="fixed"/>
        <w:tblInd w:w="1820" w:type="dxa"/>
        <w:tblCellMar>
          <w:top w:w="0" w:type="dxa"/>
          <w:left w:w="0" w:type="dxa"/>
          <w:bottom w:w="0" w:type="dxa"/>
          <w:right w:w="0" w:type="dxa"/>
        </w:tblCellMar>
      </w:tblPr>
      <w:tr>
        <w:trPr>
          <w:trHeight w:val="222"/>
        </w:trPr>
        <w:tc>
          <w:tcPr>
            <w:tcW w:w="5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80" w:type="dxa"/>
            <w:vAlign w:val="bottom"/>
          </w:tcPr>
          <w:p>
            <w:pPr>
              <w:jc w:val="right"/>
              <w:ind w:right="32"/>
              <w:spacing w:after="0"/>
              <w:rPr>
                <w:sz w:val="20"/>
                <w:szCs w:val="20"/>
                <w:color w:val="auto"/>
              </w:rPr>
            </w:pPr>
            <w:r>
              <w:rPr>
                <w:rFonts w:ascii="Arial" w:cs="Arial" w:eastAsia="Arial" w:hAnsi="Arial"/>
                <w:sz w:val="18"/>
                <w:szCs w:val="18"/>
                <w:color w:val="auto"/>
              </w:rPr>
              <w:t>2005</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60" w:type="dxa"/>
            <w:vAlign w:val="bottom"/>
          </w:tcPr>
          <w:p>
            <w:pPr>
              <w:jc w:val="right"/>
              <w:ind w:right="32"/>
              <w:spacing w:after="0"/>
              <w:rPr>
                <w:sz w:val="20"/>
                <w:szCs w:val="20"/>
                <w:color w:val="auto"/>
              </w:rPr>
            </w:pPr>
            <w:r>
              <w:rPr>
                <w:rFonts w:ascii="Arial" w:cs="Arial" w:eastAsia="Arial" w:hAnsi="Arial"/>
                <w:sz w:val="18"/>
                <w:szCs w:val="18"/>
                <w:color w:val="auto"/>
              </w:rPr>
              <w:t>2004</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
        </w:trPr>
        <w:tc>
          <w:tcPr>
            <w:tcW w:w="5840" w:type="dxa"/>
            <w:vAlign w:val="bottom"/>
          </w:tcPr>
          <w:p>
            <w:pPr>
              <w:spacing w:after="0"/>
              <w:rPr>
                <w:sz w:val="3"/>
                <w:szCs w:val="3"/>
                <w:color w:val="auto"/>
              </w:rPr>
            </w:pPr>
          </w:p>
        </w:tc>
        <w:tc>
          <w:tcPr>
            <w:tcW w:w="220" w:type="dxa"/>
            <w:vAlign w:val="bottom"/>
          </w:tcPr>
          <w:p>
            <w:pPr>
              <w:spacing w:after="0"/>
              <w:rPr>
                <w:sz w:val="3"/>
                <w:szCs w:val="3"/>
                <w:color w:val="auto"/>
              </w:rPr>
            </w:pPr>
          </w:p>
        </w:tc>
        <w:tc>
          <w:tcPr>
            <w:tcW w:w="580" w:type="dxa"/>
            <w:vAlign w:val="bottom"/>
          </w:tcPr>
          <w:p>
            <w:pPr>
              <w:spacing w:after="0"/>
              <w:rPr>
                <w:sz w:val="3"/>
                <w:szCs w:val="3"/>
                <w:color w:val="auto"/>
              </w:rPr>
            </w:pPr>
          </w:p>
        </w:tc>
        <w:tc>
          <w:tcPr>
            <w:tcW w:w="180" w:type="dxa"/>
            <w:vAlign w:val="bottom"/>
          </w:tcPr>
          <w:p>
            <w:pPr>
              <w:spacing w:after="0"/>
              <w:rPr>
                <w:sz w:val="3"/>
                <w:szCs w:val="3"/>
                <w:color w:val="auto"/>
              </w:rPr>
            </w:pPr>
          </w:p>
        </w:tc>
        <w:tc>
          <w:tcPr>
            <w:tcW w:w="240" w:type="dxa"/>
            <w:vAlign w:val="bottom"/>
          </w:tcPr>
          <w:p>
            <w:pPr>
              <w:spacing w:after="0"/>
              <w:rPr>
                <w:sz w:val="3"/>
                <w:szCs w:val="3"/>
                <w:color w:val="auto"/>
              </w:rPr>
            </w:pPr>
          </w:p>
        </w:tc>
        <w:tc>
          <w:tcPr>
            <w:tcW w:w="560" w:type="dxa"/>
            <w:vAlign w:val="bottom"/>
          </w:tcPr>
          <w:p>
            <w:pPr>
              <w:spacing w:after="0"/>
              <w:rPr>
                <w:sz w:val="3"/>
                <w:szCs w:val="3"/>
                <w:color w:val="auto"/>
              </w:rPr>
            </w:pPr>
          </w:p>
        </w:tc>
        <w:tc>
          <w:tcPr>
            <w:tcW w:w="1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5840" w:type="dxa"/>
            <w:vAlign w:val="bottom"/>
            <w:shd w:val="clear" w:color="auto" w:fill="000000"/>
          </w:tcPr>
          <w:p>
            <w:pPr>
              <w:spacing w:after="0"/>
              <w:rPr>
                <w:sz w:val="21"/>
                <w:szCs w:val="21"/>
                <w:color w:val="auto"/>
              </w:rPr>
            </w:pPr>
          </w:p>
        </w:tc>
        <w:tc>
          <w:tcPr>
            <w:tcW w:w="220" w:type="dxa"/>
            <w:vAlign w:val="bottom"/>
            <w:shd w:val="clear" w:color="auto" w:fill="000000"/>
          </w:tcPr>
          <w:p>
            <w:pPr>
              <w:spacing w:after="0"/>
              <w:rPr>
                <w:sz w:val="21"/>
                <w:szCs w:val="21"/>
                <w:color w:val="auto"/>
              </w:rPr>
            </w:pPr>
          </w:p>
        </w:tc>
        <w:tc>
          <w:tcPr>
            <w:tcW w:w="580" w:type="dxa"/>
            <w:vAlign w:val="bottom"/>
            <w:shd w:val="clear" w:color="auto" w:fill="000000"/>
          </w:tcPr>
          <w:p>
            <w:pPr>
              <w:spacing w:after="0"/>
              <w:rPr>
                <w:sz w:val="21"/>
                <w:szCs w:val="21"/>
                <w:color w:val="auto"/>
              </w:rPr>
            </w:pPr>
          </w:p>
        </w:tc>
        <w:tc>
          <w:tcPr>
            <w:tcW w:w="180" w:type="dxa"/>
            <w:vAlign w:val="bottom"/>
            <w:shd w:val="clear" w:color="auto" w:fill="000000"/>
          </w:tcPr>
          <w:p>
            <w:pPr>
              <w:spacing w:after="0"/>
              <w:rPr>
                <w:sz w:val="21"/>
                <w:szCs w:val="21"/>
                <w:color w:val="auto"/>
              </w:rPr>
            </w:pPr>
          </w:p>
        </w:tc>
        <w:tc>
          <w:tcPr>
            <w:tcW w:w="240" w:type="dxa"/>
            <w:vAlign w:val="bottom"/>
            <w:shd w:val="clear" w:color="auto" w:fill="000000"/>
          </w:tcPr>
          <w:p>
            <w:pPr>
              <w:spacing w:after="0"/>
              <w:rPr>
                <w:sz w:val="21"/>
                <w:szCs w:val="21"/>
                <w:color w:val="auto"/>
              </w:rPr>
            </w:pPr>
          </w:p>
        </w:tc>
        <w:tc>
          <w:tcPr>
            <w:tcW w:w="560" w:type="dxa"/>
            <w:vAlign w:val="bottom"/>
            <w:shd w:val="clear" w:color="auto" w:fill="000000"/>
          </w:tcPr>
          <w:p>
            <w:pPr>
              <w:spacing w:after="0"/>
              <w:rPr>
                <w:sz w:val="21"/>
                <w:szCs w:val="21"/>
                <w:color w:val="auto"/>
              </w:rPr>
            </w:pPr>
          </w:p>
        </w:tc>
        <w:tc>
          <w:tcPr>
            <w:tcW w:w="180" w:type="dxa"/>
            <w:vAlign w:val="bottom"/>
            <w:shd w:val="clear" w:color="auto" w:fill="000000"/>
          </w:tcPr>
          <w:p>
            <w:pPr>
              <w:spacing w:after="0"/>
              <w:rPr>
                <w:sz w:val="21"/>
                <w:szCs w:val="21"/>
                <w:color w:val="auto"/>
              </w:rPr>
            </w:pPr>
          </w:p>
        </w:tc>
        <w:tc>
          <w:tcPr>
            <w:tcW w:w="0" w:type="dxa"/>
            <w:vAlign w:val="bottom"/>
          </w:tcPr>
          <w:p>
            <w:pPr>
              <w:spacing w:after="0"/>
              <w:rPr>
                <w:sz w:val="1"/>
                <w:szCs w:val="1"/>
                <w:color w:val="auto"/>
              </w:rPr>
            </w:pPr>
          </w:p>
        </w:tc>
      </w:tr>
      <w:tr>
        <w:trPr>
          <w:trHeight w:val="228"/>
        </w:trPr>
        <w:tc>
          <w:tcPr>
            <w:tcW w:w="5840" w:type="dxa"/>
            <w:vAlign w:val="bottom"/>
          </w:tcPr>
          <w:p>
            <w:pPr>
              <w:ind w:left="20"/>
              <w:spacing w:after="0"/>
              <w:rPr>
                <w:sz w:val="20"/>
                <w:szCs w:val="20"/>
                <w:color w:val="auto"/>
              </w:rPr>
            </w:pPr>
            <w:r>
              <w:rPr>
                <w:rFonts w:ascii="Arial" w:cs="Arial" w:eastAsia="Arial" w:hAnsi="Arial"/>
                <w:sz w:val="18"/>
                <w:szCs w:val="18"/>
                <w:color w:val="auto"/>
              </w:rPr>
              <w:t>Balance as of January 1</w:t>
            </w:r>
          </w:p>
        </w:tc>
        <w:tc>
          <w:tcPr>
            <w:tcW w:w="220" w:type="dxa"/>
            <w:vAlign w:val="bottom"/>
          </w:tcPr>
          <w:p>
            <w:pPr>
              <w:jc w:val="right"/>
              <w:ind w:right="32"/>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339</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326</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5840" w:type="dxa"/>
            <w:vAlign w:val="bottom"/>
          </w:tcPr>
          <w:p>
            <w:pPr>
              <w:ind w:left="20"/>
              <w:spacing w:after="0"/>
              <w:rPr>
                <w:sz w:val="20"/>
                <w:szCs w:val="20"/>
                <w:color w:val="auto"/>
              </w:rPr>
            </w:pPr>
            <w:r>
              <w:rPr>
                <w:rFonts w:ascii="Arial" w:cs="Arial" w:eastAsia="Arial" w:hAnsi="Arial"/>
                <w:sz w:val="18"/>
                <w:szCs w:val="18"/>
                <w:color w:val="auto"/>
              </w:rPr>
              <w:t>Adoption of FIN 47</w:t>
            </w:r>
          </w:p>
        </w:tc>
        <w:tc>
          <w:tcPr>
            <w:tcW w:w="22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116</w:t>
            </w:r>
          </w:p>
        </w:tc>
        <w:tc>
          <w:tcPr>
            <w:tcW w:w="1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840" w:type="dxa"/>
            <w:vAlign w:val="bottom"/>
          </w:tcPr>
          <w:p>
            <w:pPr>
              <w:ind w:left="20"/>
              <w:spacing w:after="0"/>
              <w:rPr>
                <w:sz w:val="20"/>
                <w:szCs w:val="20"/>
                <w:color w:val="auto"/>
              </w:rPr>
            </w:pPr>
            <w:r>
              <w:rPr>
                <w:rFonts w:ascii="Arial" w:cs="Arial" w:eastAsia="Arial" w:hAnsi="Arial"/>
                <w:sz w:val="18"/>
                <w:szCs w:val="18"/>
                <w:color w:val="auto"/>
              </w:rPr>
              <w:t>Accretion expense</w:t>
            </w:r>
          </w:p>
        </w:tc>
        <w:tc>
          <w:tcPr>
            <w:tcW w:w="22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23</w:t>
            </w:r>
          </w:p>
        </w:tc>
        <w:tc>
          <w:tcPr>
            <w:tcW w:w="1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23</w:t>
            </w:r>
          </w:p>
        </w:tc>
        <w:tc>
          <w:tcPr>
            <w:tcW w:w="1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840" w:type="dxa"/>
            <w:vAlign w:val="bottom"/>
          </w:tcPr>
          <w:p>
            <w:pPr>
              <w:ind w:left="20"/>
              <w:spacing w:after="0"/>
              <w:rPr>
                <w:sz w:val="20"/>
                <w:szCs w:val="20"/>
                <w:color w:val="auto"/>
              </w:rPr>
            </w:pPr>
            <w:r>
              <w:rPr>
                <w:rFonts w:ascii="Arial" w:cs="Arial" w:eastAsia="Arial" w:hAnsi="Arial"/>
                <w:sz w:val="18"/>
                <w:szCs w:val="18"/>
                <w:color w:val="auto"/>
              </w:rPr>
              <w:t>Payments</w:t>
            </w:r>
          </w:p>
        </w:tc>
        <w:tc>
          <w:tcPr>
            <w:tcW w:w="220" w:type="dxa"/>
            <w:vAlign w:val="bottom"/>
          </w:tcPr>
          <w:p>
            <w:pPr>
              <w:spacing w:after="0"/>
              <w:rPr>
                <w:sz w:val="23"/>
                <w:szCs w:val="23"/>
                <w:color w:val="auto"/>
              </w:rPr>
            </w:pPr>
          </w:p>
        </w:tc>
        <w:tc>
          <w:tcPr>
            <w:tcW w:w="760" w:type="dxa"/>
            <w:vAlign w:val="bottom"/>
            <w:gridSpan w:val="2"/>
          </w:tcPr>
          <w:p>
            <w:pPr>
              <w:jc w:val="right"/>
              <w:ind w:right="12"/>
              <w:spacing w:after="0"/>
              <w:rPr>
                <w:sz w:val="20"/>
                <w:szCs w:val="20"/>
                <w:color w:val="auto"/>
              </w:rPr>
            </w:pPr>
            <w:r>
              <w:rPr>
                <w:rFonts w:ascii="Arial" w:cs="Arial" w:eastAsia="Arial" w:hAnsi="Arial"/>
                <w:sz w:val="18"/>
                <w:szCs w:val="18"/>
                <w:color w:val="auto"/>
              </w:rPr>
              <w:t>(15 )</w:t>
            </w:r>
          </w:p>
        </w:tc>
        <w:tc>
          <w:tcPr>
            <w:tcW w:w="240" w:type="dxa"/>
            <w:vAlign w:val="bottom"/>
          </w:tcPr>
          <w:p>
            <w:pPr>
              <w:spacing w:after="0"/>
              <w:rPr>
                <w:sz w:val="23"/>
                <w:szCs w:val="23"/>
                <w:color w:val="auto"/>
              </w:rPr>
            </w:pPr>
          </w:p>
        </w:tc>
        <w:tc>
          <w:tcPr>
            <w:tcW w:w="740" w:type="dxa"/>
            <w:vAlign w:val="bottom"/>
            <w:gridSpan w:val="2"/>
          </w:tcPr>
          <w:p>
            <w:pPr>
              <w:jc w:val="right"/>
              <w:ind w:right="12"/>
              <w:spacing w:after="0"/>
              <w:rPr>
                <w:sz w:val="20"/>
                <w:szCs w:val="20"/>
                <w:color w:val="auto"/>
              </w:rPr>
            </w:pPr>
            <w:r>
              <w:rPr>
                <w:rFonts w:ascii="Arial" w:cs="Arial" w:eastAsia="Arial" w:hAnsi="Arial"/>
                <w:sz w:val="18"/>
                <w:szCs w:val="18"/>
                <w:color w:val="auto"/>
              </w:rPr>
              <w:t>(10 )</w:t>
            </w:r>
          </w:p>
        </w:tc>
        <w:tc>
          <w:tcPr>
            <w:tcW w:w="0" w:type="dxa"/>
            <w:vAlign w:val="bottom"/>
          </w:tcPr>
          <w:p>
            <w:pPr>
              <w:spacing w:after="0"/>
              <w:rPr>
                <w:sz w:val="1"/>
                <w:szCs w:val="1"/>
                <w:color w:val="auto"/>
              </w:rPr>
            </w:pPr>
          </w:p>
        </w:tc>
      </w:tr>
      <w:tr>
        <w:trPr>
          <w:trHeight w:val="43"/>
        </w:trPr>
        <w:tc>
          <w:tcPr>
            <w:tcW w:w="5840" w:type="dxa"/>
            <w:vAlign w:val="bottom"/>
            <w:vMerge w:val="restart"/>
          </w:tcPr>
          <w:p>
            <w:pPr>
              <w:ind w:left="20"/>
              <w:spacing w:after="0"/>
              <w:rPr>
                <w:sz w:val="20"/>
                <w:szCs w:val="20"/>
                <w:color w:val="auto"/>
              </w:rPr>
            </w:pPr>
            <w:r>
              <w:rPr>
                <w:rFonts w:ascii="Arial" w:cs="Arial" w:eastAsia="Arial" w:hAnsi="Arial"/>
                <w:sz w:val="18"/>
                <w:szCs w:val="18"/>
                <w:color w:val="auto"/>
              </w:rPr>
              <w:t>Balance as of December 31</w:t>
            </w:r>
          </w:p>
        </w:tc>
        <w:tc>
          <w:tcPr>
            <w:tcW w:w="220" w:type="dxa"/>
            <w:vAlign w:val="bottom"/>
          </w:tcPr>
          <w:p>
            <w:pPr>
              <w:spacing w:after="0"/>
              <w:rPr>
                <w:sz w:val="3"/>
                <w:szCs w:val="3"/>
                <w:color w:val="auto"/>
              </w:rPr>
            </w:pPr>
          </w:p>
        </w:tc>
        <w:tc>
          <w:tcPr>
            <w:tcW w:w="580" w:type="dxa"/>
            <w:vAlign w:val="bottom"/>
          </w:tcPr>
          <w:p>
            <w:pPr>
              <w:spacing w:after="0"/>
              <w:rPr>
                <w:sz w:val="3"/>
                <w:szCs w:val="3"/>
                <w:color w:val="auto"/>
              </w:rPr>
            </w:pPr>
          </w:p>
        </w:tc>
        <w:tc>
          <w:tcPr>
            <w:tcW w:w="180" w:type="dxa"/>
            <w:vAlign w:val="bottom"/>
          </w:tcPr>
          <w:p>
            <w:pPr>
              <w:spacing w:after="0"/>
              <w:rPr>
                <w:sz w:val="3"/>
                <w:szCs w:val="3"/>
                <w:color w:val="auto"/>
              </w:rPr>
            </w:pPr>
          </w:p>
        </w:tc>
        <w:tc>
          <w:tcPr>
            <w:tcW w:w="240" w:type="dxa"/>
            <w:vAlign w:val="bottom"/>
          </w:tcPr>
          <w:p>
            <w:pPr>
              <w:spacing w:after="0"/>
              <w:rPr>
                <w:sz w:val="3"/>
                <w:szCs w:val="3"/>
                <w:color w:val="auto"/>
              </w:rPr>
            </w:pPr>
          </w:p>
        </w:tc>
        <w:tc>
          <w:tcPr>
            <w:tcW w:w="560" w:type="dxa"/>
            <w:vAlign w:val="bottom"/>
          </w:tcPr>
          <w:p>
            <w:pPr>
              <w:spacing w:after="0"/>
              <w:rPr>
                <w:sz w:val="3"/>
                <w:szCs w:val="3"/>
                <w:color w:val="auto"/>
              </w:rPr>
            </w:pPr>
          </w:p>
        </w:tc>
        <w:tc>
          <w:tcPr>
            <w:tcW w:w="1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5840" w:type="dxa"/>
            <w:vAlign w:val="bottom"/>
            <w:vMerge w:val="continue"/>
          </w:tcPr>
          <w:p>
            <w:pPr>
              <w:spacing w:after="0"/>
              <w:rPr>
                <w:sz w:val="21"/>
                <w:szCs w:val="21"/>
                <w:color w:val="auto"/>
              </w:rPr>
            </w:pPr>
          </w:p>
        </w:tc>
        <w:tc>
          <w:tcPr>
            <w:tcW w:w="220" w:type="dxa"/>
            <w:vAlign w:val="bottom"/>
            <w:shd w:val="clear" w:color="auto" w:fill="000000"/>
          </w:tcPr>
          <w:p>
            <w:pPr>
              <w:spacing w:after="0"/>
              <w:rPr>
                <w:sz w:val="21"/>
                <w:szCs w:val="21"/>
                <w:color w:val="auto"/>
              </w:rPr>
            </w:pPr>
          </w:p>
        </w:tc>
        <w:tc>
          <w:tcPr>
            <w:tcW w:w="580" w:type="dxa"/>
            <w:vAlign w:val="bottom"/>
            <w:shd w:val="clear" w:color="auto" w:fill="000000"/>
          </w:tcPr>
          <w:p>
            <w:pPr>
              <w:spacing w:after="0"/>
              <w:rPr>
                <w:sz w:val="21"/>
                <w:szCs w:val="21"/>
                <w:color w:val="auto"/>
              </w:rPr>
            </w:pPr>
          </w:p>
        </w:tc>
        <w:tc>
          <w:tcPr>
            <w:tcW w:w="180" w:type="dxa"/>
            <w:vAlign w:val="bottom"/>
            <w:shd w:val="clear" w:color="auto" w:fill="000000"/>
          </w:tcPr>
          <w:p>
            <w:pPr>
              <w:spacing w:after="0"/>
              <w:rPr>
                <w:sz w:val="21"/>
                <w:szCs w:val="21"/>
                <w:color w:val="auto"/>
              </w:rPr>
            </w:pPr>
          </w:p>
        </w:tc>
        <w:tc>
          <w:tcPr>
            <w:tcW w:w="240" w:type="dxa"/>
            <w:vAlign w:val="bottom"/>
            <w:shd w:val="clear" w:color="auto" w:fill="000000"/>
          </w:tcPr>
          <w:p>
            <w:pPr>
              <w:spacing w:after="0"/>
              <w:rPr>
                <w:sz w:val="21"/>
                <w:szCs w:val="21"/>
                <w:color w:val="auto"/>
              </w:rPr>
            </w:pPr>
          </w:p>
        </w:tc>
        <w:tc>
          <w:tcPr>
            <w:tcW w:w="560" w:type="dxa"/>
            <w:vAlign w:val="bottom"/>
            <w:shd w:val="clear" w:color="auto" w:fill="000000"/>
          </w:tcPr>
          <w:p>
            <w:pPr>
              <w:spacing w:after="0"/>
              <w:rPr>
                <w:sz w:val="21"/>
                <w:szCs w:val="21"/>
                <w:color w:val="auto"/>
              </w:rPr>
            </w:pPr>
          </w:p>
        </w:tc>
        <w:tc>
          <w:tcPr>
            <w:tcW w:w="180" w:type="dxa"/>
            <w:vAlign w:val="bottom"/>
            <w:shd w:val="clear" w:color="auto" w:fill="000000"/>
          </w:tcPr>
          <w:p>
            <w:pPr>
              <w:spacing w:after="0"/>
              <w:rPr>
                <w:sz w:val="21"/>
                <w:szCs w:val="21"/>
                <w:color w:val="auto"/>
              </w:rPr>
            </w:pPr>
          </w:p>
        </w:tc>
        <w:tc>
          <w:tcPr>
            <w:tcW w:w="0" w:type="dxa"/>
            <w:vAlign w:val="bottom"/>
          </w:tcPr>
          <w:p>
            <w:pPr>
              <w:spacing w:after="0"/>
              <w:rPr>
                <w:sz w:val="1"/>
                <w:szCs w:val="1"/>
                <w:color w:val="auto"/>
              </w:rPr>
            </w:pPr>
          </w:p>
        </w:tc>
      </w:tr>
      <w:tr>
        <w:trPr>
          <w:trHeight w:val="228"/>
        </w:trPr>
        <w:tc>
          <w:tcPr>
            <w:tcW w:w="5840" w:type="dxa"/>
            <w:vAlign w:val="bottom"/>
            <w:vMerge w:val="continue"/>
          </w:tcPr>
          <w:p>
            <w:pPr>
              <w:spacing w:after="0"/>
              <w:rPr>
                <w:sz w:val="19"/>
                <w:szCs w:val="19"/>
                <w:color w:val="auto"/>
              </w:rPr>
            </w:pPr>
          </w:p>
        </w:tc>
        <w:tc>
          <w:tcPr>
            <w:tcW w:w="220" w:type="dxa"/>
            <w:vAlign w:val="bottom"/>
          </w:tcPr>
          <w:p>
            <w:pPr>
              <w:jc w:val="right"/>
              <w:ind w:right="32"/>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463</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339</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3"/>
        </w:trPr>
        <w:tc>
          <w:tcPr>
            <w:tcW w:w="5840" w:type="dxa"/>
            <w:vAlign w:val="bottom"/>
          </w:tcPr>
          <w:p>
            <w:pPr>
              <w:spacing w:after="0"/>
              <w:rPr>
                <w:sz w:val="3"/>
                <w:szCs w:val="3"/>
                <w:color w:val="auto"/>
              </w:rPr>
            </w:pPr>
          </w:p>
        </w:tc>
        <w:tc>
          <w:tcPr>
            <w:tcW w:w="220" w:type="dxa"/>
            <w:vAlign w:val="bottom"/>
          </w:tcPr>
          <w:p>
            <w:pPr>
              <w:spacing w:after="0"/>
              <w:rPr>
                <w:sz w:val="3"/>
                <w:szCs w:val="3"/>
                <w:color w:val="auto"/>
              </w:rPr>
            </w:pPr>
          </w:p>
        </w:tc>
        <w:tc>
          <w:tcPr>
            <w:tcW w:w="580" w:type="dxa"/>
            <w:vAlign w:val="bottom"/>
          </w:tcPr>
          <w:p>
            <w:pPr>
              <w:spacing w:after="0"/>
              <w:rPr>
                <w:sz w:val="3"/>
                <w:szCs w:val="3"/>
                <w:color w:val="auto"/>
              </w:rPr>
            </w:pPr>
          </w:p>
        </w:tc>
        <w:tc>
          <w:tcPr>
            <w:tcW w:w="180" w:type="dxa"/>
            <w:vAlign w:val="bottom"/>
          </w:tcPr>
          <w:p>
            <w:pPr>
              <w:spacing w:after="0"/>
              <w:rPr>
                <w:sz w:val="3"/>
                <w:szCs w:val="3"/>
                <w:color w:val="auto"/>
              </w:rPr>
            </w:pPr>
          </w:p>
        </w:tc>
        <w:tc>
          <w:tcPr>
            <w:tcW w:w="240" w:type="dxa"/>
            <w:vAlign w:val="bottom"/>
          </w:tcPr>
          <w:p>
            <w:pPr>
              <w:spacing w:after="0"/>
              <w:rPr>
                <w:sz w:val="3"/>
                <w:szCs w:val="3"/>
                <w:color w:val="auto"/>
              </w:rPr>
            </w:pPr>
          </w:p>
        </w:tc>
        <w:tc>
          <w:tcPr>
            <w:tcW w:w="560" w:type="dxa"/>
            <w:vAlign w:val="bottom"/>
          </w:tcPr>
          <w:p>
            <w:pPr>
              <w:spacing w:after="0"/>
              <w:rPr>
                <w:sz w:val="3"/>
                <w:szCs w:val="3"/>
                <w:color w:val="auto"/>
              </w:rPr>
            </w:pPr>
          </w:p>
        </w:tc>
        <w:tc>
          <w:tcPr>
            <w:tcW w:w="1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5840" w:type="dxa"/>
            <w:vAlign w:val="bottom"/>
            <w:shd w:val="clear" w:color="auto" w:fill="000000"/>
          </w:tcPr>
          <w:p>
            <w:pPr>
              <w:spacing w:after="0"/>
              <w:rPr>
                <w:sz w:val="21"/>
                <w:szCs w:val="21"/>
                <w:color w:val="auto"/>
              </w:rPr>
            </w:pPr>
          </w:p>
        </w:tc>
        <w:tc>
          <w:tcPr>
            <w:tcW w:w="220" w:type="dxa"/>
            <w:vAlign w:val="bottom"/>
            <w:shd w:val="clear" w:color="auto" w:fill="000000"/>
          </w:tcPr>
          <w:p>
            <w:pPr>
              <w:spacing w:after="0"/>
              <w:rPr>
                <w:sz w:val="21"/>
                <w:szCs w:val="21"/>
                <w:color w:val="auto"/>
              </w:rPr>
            </w:pPr>
          </w:p>
        </w:tc>
        <w:tc>
          <w:tcPr>
            <w:tcW w:w="580" w:type="dxa"/>
            <w:vAlign w:val="bottom"/>
            <w:shd w:val="clear" w:color="auto" w:fill="000000"/>
          </w:tcPr>
          <w:p>
            <w:pPr>
              <w:spacing w:after="0"/>
              <w:rPr>
                <w:sz w:val="21"/>
                <w:szCs w:val="21"/>
                <w:color w:val="auto"/>
              </w:rPr>
            </w:pPr>
          </w:p>
        </w:tc>
        <w:tc>
          <w:tcPr>
            <w:tcW w:w="180" w:type="dxa"/>
            <w:vAlign w:val="bottom"/>
            <w:shd w:val="clear" w:color="auto" w:fill="000000"/>
          </w:tcPr>
          <w:p>
            <w:pPr>
              <w:spacing w:after="0"/>
              <w:rPr>
                <w:sz w:val="21"/>
                <w:szCs w:val="21"/>
                <w:color w:val="auto"/>
              </w:rPr>
            </w:pPr>
          </w:p>
        </w:tc>
        <w:tc>
          <w:tcPr>
            <w:tcW w:w="240" w:type="dxa"/>
            <w:vAlign w:val="bottom"/>
            <w:shd w:val="clear" w:color="auto" w:fill="000000"/>
          </w:tcPr>
          <w:p>
            <w:pPr>
              <w:spacing w:after="0"/>
              <w:rPr>
                <w:sz w:val="21"/>
                <w:szCs w:val="21"/>
                <w:color w:val="auto"/>
              </w:rPr>
            </w:pPr>
          </w:p>
        </w:tc>
        <w:tc>
          <w:tcPr>
            <w:tcW w:w="560" w:type="dxa"/>
            <w:vAlign w:val="bottom"/>
            <w:shd w:val="clear" w:color="auto" w:fill="000000"/>
          </w:tcPr>
          <w:p>
            <w:pPr>
              <w:spacing w:after="0"/>
              <w:rPr>
                <w:sz w:val="21"/>
                <w:szCs w:val="21"/>
                <w:color w:val="auto"/>
              </w:rPr>
            </w:pPr>
          </w:p>
        </w:tc>
        <w:tc>
          <w:tcPr>
            <w:tcW w:w="180" w:type="dxa"/>
            <w:vAlign w:val="bottom"/>
            <w:shd w:val="clear" w:color="auto" w:fill="000000"/>
          </w:tcPr>
          <w:p>
            <w:pPr>
              <w:spacing w:after="0"/>
              <w:rPr>
                <w:sz w:val="21"/>
                <w:szCs w:val="21"/>
                <w:color w:val="auto"/>
              </w:rPr>
            </w:pPr>
          </w:p>
        </w:tc>
        <w:tc>
          <w:tcPr>
            <w:tcW w:w="0" w:type="dxa"/>
            <w:vAlign w:val="bottom"/>
          </w:tcPr>
          <w:p>
            <w:pPr>
              <w:spacing w:after="0"/>
              <w:rPr>
                <w:sz w:val="1"/>
                <w:szCs w:val="1"/>
                <w:color w:val="auto"/>
              </w:rPr>
            </w:pPr>
          </w:p>
        </w:tc>
      </w:tr>
    </w:tbl>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 The current portion of the obligation is included in Other Current Liabilities on the Consolidated Balance Sheets.</w:t>
      </w:r>
    </w:p>
    <w:p>
      <w:pPr>
        <w:spacing w:after="0" w:line="212" w:lineRule="exact"/>
        <w:rPr>
          <w:sz w:val="20"/>
          <w:szCs w:val="20"/>
          <w:color w:val="auto"/>
        </w:rPr>
      </w:pPr>
    </w:p>
    <w:p>
      <w:pPr>
        <w:ind w:right="100"/>
        <w:spacing w:after="0" w:line="277" w:lineRule="auto"/>
        <w:rPr>
          <w:sz w:val="20"/>
          <w:szCs w:val="20"/>
          <w:color w:val="auto"/>
        </w:rPr>
      </w:pPr>
      <w:r>
        <w:rPr>
          <w:rFonts w:ascii="Arial" w:cs="Arial" w:eastAsia="Arial" w:hAnsi="Arial"/>
          <w:sz w:val="19"/>
          <w:szCs w:val="19"/>
          <w:b w:val="1"/>
          <w:bCs w:val="1"/>
          <w:i w:val="1"/>
          <w:iCs w:val="1"/>
          <w:color w:val="auto"/>
        </w:rPr>
        <w:t xml:space="preserve">SFAS 154, "Accounting Changes and Error Corrections, a replacement of Accounting Principles Board Opinion (APBO) 20 and FASB Statement No. 3:" </w:t>
      </w:r>
      <w:r>
        <w:rPr>
          <w:rFonts w:ascii="Arial" w:cs="Arial" w:eastAsia="Arial" w:hAnsi="Arial"/>
          <w:sz w:val="19"/>
          <w:szCs w:val="19"/>
          <w:color w:val="auto"/>
        </w:rPr>
        <w:t>This statement applies to all voluntary changes in accounting principles and to changes required by</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an accounting pronouncement in instances where the pronouncement does not include specific transition provisions. APBO 20 previously required that most voluntary changes in accounting principle be recognized by including in net income of the period of the change the cumulative effect of changing to the new accounting principle. SFAS 154 requires retrospective application to prior periods' financial statements of changes in accounting principle</w:t>
      </w:r>
      <w:r>
        <w:rPr>
          <w:rFonts w:ascii="Arial" w:cs="Arial" w:eastAsia="Arial" w:hAnsi="Arial"/>
          <w:sz w:val="19"/>
          <w:szCs w:val="19"/>
          <w:b w:val="1"/>
          <w:bCs w:val="1"/>
          <w:color w:val="auto"/>
        </w:rPr>
        <w:t>,</w:t>
      </w:r>
      <w:r>
        <w:rPr>
          <w:rFonts w:ascii="Arial" w:cs="Arial" w:eastAsia="Arial" w:hAnsi="Arial"/>
          <w:sz w:val="19"/>
          <w:szCs w:val="19"/>
          <w:color w:val="auto"/>
        </w:rPr>
        <w:t xml:space="preserve"> unless it is impracticable to do so. This statement is effective for accounting changes and corrections of errors made in fiscal years beginning after December 15, 2005.</w:t>
      </w:r>
    </w:p>
    <w:p>
      <w:pPr>
        <w:spacing w:after="0" w:line="147" w:lineRule="exact"/>
        <w:rPr>
          <w:sz w:val="20"/>
          <w:szCs w:val="20"/>
          <w:color w:val="auto"/>
        </w:rPr>
      </w:pPr>
    </w:p>
    <w:p>
      <w:pPr>
        <w:ind w:right="280"/>
        <w:spacing w:after="0" w:line="243" w:lineRule="auto"/>
        <w:rPr>
          <w:sz w:val="20"/>
          <w:szCs w:val="20"/>
          <w:color w:val="auto"/>
        </w:rPr>
      </w:pPr>
      <w:r>
        <w:rPr>
          <w:rFonts w:ascii="Arial" w:cs="Arial" w:eastAsia="Arial" w:hAnsi="Arial"/>
          <w:sz w:val="22"/>
          <w:szCs w:val="22"/>
          <w:b w:val="1"/>
          <w:bCs w:val="1"/>
          <w:i w:val="1"/>
          <w:iCs w:val="1"/>
          <w:color w:val="auto"/>
        </w:rPr>
        <w:t>FIN 46</w:t>
      </w:r>
      <w:r>
        <w:rPr>
          <w:rFonts w:ascii="Arial" w:cs="Arial" w:eastAsia="Arial" w:hAnsi="Arial"/>
          <w:sz w:val="22"/>
          <w:szCs w:val="22"/>
          <w:b w:val="1"/>
          <w:bCs w:val="1"/>
          <w:color w:val="auto"/>
        </w:rPr>
        <w:t>,</w:t>
      </w:r>
      <w:r>
        <w:rPr>
          <w:rFonts w:ascii="Arial" w:cs="Arial" w:eastAsia="Arial" w:hAnsi="Arial"/>
          <w:sz w:val="22"/>
          <w:szCs w:val="22"/>
          <w:b w:val="1"/>
          <w:bCs w:val="1"/>
          <w:i w:val="1"/>
          <w:iCs w:val="1"/>
          <w:color w:val="auto"/>
        </w:rPr>
        <w:t xml:space="preserve"> "Consolidation of Variable Interest Entities, an interpretation of Accounting Research Bulletin (ARB) No. 51": </w:t>
      </w:r>
      <w:r>
        <w:rPr>
          <w:rFonts w:ascii="Arial" w:cs="Arial" w:eastAsia="Arial" w:hAnsi="Arial"/>
          <w:sz w:val="22"/>
          <w:szCs w:val="22"/>
          <w:color w:val="auto"/>
        </w:rPr>
        <w:t>FIN</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46, as revised by FIN 46R, requires an enterprise to consolidate a variable interest entity (VIE), as defined in FIN 46, if the company is the primary beneficiary of a VIE's activities.</w:t>
      </w:r>
    </w:p>
    <w:p>
      <w:pPr>
        <w:spacing w:after="0" w:line="183" w:lineRule="exact"/>
        <w:rPr>
          <w:sz w:val="20"/>
          <w:szCs w:val="20"/>
          <w:color w:val="auto"/>
        </w:rPr>
      </w:pPr>
    </w:p>
    <w:p>
      <w:pPr>
        <w:ind w:right="80"/>
        <w:spacing w:after="0" w:line="236" w:lineRule="auto"/>
        <w:rPr>
          <w:sz w:val="20"/>
          <w:szCs w:val="20"/>
          <w:color w:val="auto"/>
        </w:rPr>
      </w:pPr>
      <w:r>
        <w:rPr>
          <w:rFonts w:ascii="Arial" w:cs="Arial" w:eastAsia="Arial" w:hAnsi="Arial"/>
          <w:sz w:val="22"/>
          <w:szCs w:val="22"/>
          <w:color w:val="auto"/>
        </w:rPr>
        <w:t>Contracts under which SDG&amp;E acquires power from generation facilities otherwise unrelated to SDG&amp;E could result in a requirement for SDG&amp;E to consolidate the entity that owns the facility. In accordance with FIN 46, SDG&amp;E is continuing the process of determining whether it has any such situations and, if so, gathering the information that would be needed to perform the consolidation. The effects of this, if any, are not expected to significantly affect the financial position of SDG&amp;E and there would be no effect on results of operations or liquidity.</w:t>
      </w:r>
    </w:p>
    <w:p>
      <w:pPr>
        <w:spacing w:after="0" w:line="18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2. DEBT AND CREDIT FACILITIES</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Committed Lines of Credit</w:t>
      </w:r>
    </w:p>
    <w:p>
      <w:pPr>
        <w:spacing w:after="0" w:line="212" w:lineRule="exact"/>
        <w:rPr>
          <w:sz w:val="20"/>
          <w:szCs w:val="20"/>
          <w:color w:val="auto"/>
        </w:rPr>
      </w:pPr>
    </w:p>
    <w:p>
      <w:pPr>
        <w:spacing w:after="0" w:line="247" w:lineRule="auto"/>
        <w:rPr>
          <w:sz w:val="20"/>
          <w:szCs w:val="20"/>
          <w:color w:val="auto"/>
        </w:rPr>
      </w:pPr>
      <w:r>
        <w:rPr>
          <w:rFonts w:ascii="Arial" w:cs="Arial" w:eastAsia="Arial" w:hAnsi="Arial"/>
          <w:sz w:val="21"/>
          <w:szCs w:val="21"/>
          <w:color w:val="auto"/>
        </w:rPr>
        <w:t>SDG&amp;E and its affiliate, SoCalGas, have a combined $600 million five-year syndicated revolving credit facility expiring in 2010, under which each utility individually may borrow up to $500 million, subject to the combined borrowing limit for both utilities of $600 million. Borrowings under the agreement bear interest at rates varying with market rates and SDG&amp;E's credit rating. The agreement requires SDG&amp;E to maintain, at the end of each quarter, a ratio of total indebtedness to total capitalization (as defined in the facility) of no more than 65 percent. Borrowings under the agreement are individual obligations of the borrowing utility and a default by one utility would not constitute a default, or preclude borrowings by, the other. At December 31, 2005, SDG&amp;E had no amounts outstanding under this facility.</w:t>
      </w:r>
    </w:p>
    <w:p>
      <w:pPr>
        <w:spacing w:after="0" w:line="17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LONG-TERM DEBT</w:t>
      </w:r>
    </w:p>
    <w:p>
      <w:pPr>
        <w:spacing w:after="0" w:line="234" w:lineRule="exact"/>
        <w:rPr>
          <w:sz w:val="20"/>
          <w:szCs w:val="20"/>
          <w:color w:val="auto"/>
        </w:rPr>
      </w:pPr>
    </w:p>
    <w:tbl>
      <w:tblPr>
        <w:tblLayout w:type="fixed"/>
        <w:tblInd w:w="1760" w:type="dxa"/>
        <w:tblCellMar>
          <w:top w:w="0" w:type="dxa"/>
          <w:left w:w="0" w:type="dxa"/>
          <w:bottom w:w="0" w:type="dxa"/>
          <w:right w:w="0" w:type="dxa"/>
        </w:tblCellMar>
      </w:tblPr>
      <w:tr>
        <w:trPr>
          <w:trHeight w:val="243"/>
        </w:trPr>
        <w:tc>
          <w:tcPr>
            <w:tcW w:w="540" w:type="dxa"/>
            <w:vAlign w:val="bottom"/>
            <w:shd w:val="clear" w:color="auto" w:fill="000000"/>
          </w:tcPr>
          <w:p>
            <w:pPr>
              <w:spacing w:after="0"/>
              <w:rPr>
                <w:sz w:val="21"/>
                <w:szCs w:val="21"/>
                <w:color w:val="auto"/>
              </w:rPr>
            </w:pPr>
          </w:p>
        </w:tc>
        <w:tc>
          <w:tcPr>
            <w:tcW w:w="5060" w:type="dxa"/>
            <w:vAlign w:val="bottom"/>
            <w:shd w:val="clear" w:color="auto" w:fill="000000"/>
          </w:tcPr>
          <w:p>
            <w:pPr>
              <w:spacing w:after="0"/>
              <w:rPr>
                <w:sz w:val="21"/>
                <w:szCs w:val="21"/>
                <w:color w:val="auto"/>
              </w:rPr>
            </w:pPr>
          </w:p>
        </w:tc>
        <w:tc>
          <w:tcPr>
            <w:tcW w:w="440" w:type="dxa"/>
            <w:vAlign w:val="bottom"/>
            <w:shd w:val="clear" w:color="auto" w:fill="000000"/>
          </w:tcPr>
          <w:p>
            <w:pPr>
              <w:spacing w:after="0"/>
              <w:rPr>
                <w:sz w:val="21"/>
                <w:szCs w:val="21"/>
                <w:color w:val="auto"/>
              </w:rPr>
            </w:pPr>
          </w:p>
        </w:tc>
        <w:tc>
          <w:tcPr>
            <w:tcW w:w="760" w:type="dxa"/>
            <w:vAlign w:val="bottom"/>
            <w:shd w:val="clear" w:color="auto" w:fill="000000"/>
          </w:tcPr>
          <w:p>
            <w:pPr>
              <w:spacing w:after="0"/>
              <w:rPr>
                <w:sz w:val="21"/>
                <w:szCs w:val="21"/>
                <w:color w:val="auto"/>
              </w:rPr>
            </w:pPr>
          </w:p>
        </w:tc>
        <w:tc>
          <w:tcPr>
            <w:tcW w:w="620" w:type="dxa"/>
            <w:vAlign w:val="bottom"/>
            <w:shd w:val="clear" w:color="auto" w:fill="000000"/>
          </w:tcPr>
          <w:p>
            <w:pPr>
              <w:spacing w:after="0"/>
              <w:rPr>
                <w:sz w:val="21"/>
                <w:szCs w:val="21"/>
                <w:color w:val="auto"/>
              </w:rPr>
            </w:pPr>
          </w:p>
        </w:tc>
        <w:tc>
          <w:tcPr>
            <w:tcW w:w="500" w:type="dxa"/>
            <w:vAlign w:val="bottom"/>
            <w:shd w:val="clear" w:color="auto" w:fill="000000"/>
          </w:tcPr>
          <w:p>
            <w:pPr>
              <w:spacing w:after="0"/>
              <w:rPr>
                <w:sz w:val="21"/>
                <w:szCs w:val="21"/>
                <w:color w:val="auto"/>
              </w:rPr>
            </w:pPr>
          </w:p>
        </w:tc>
      </w:tr>
      <w:tr>
        <w:trPr>
          <w:trHeight w:val="228"/>
        </w:trPr>
        <w:tc>
          <w:tcPr>
            <w:tcW w:w="540" w:type="dxa"/>
            <w:vAlign w:val="bottom"/>
          </w:tcPr>
          <w:p>
            <w:pPr>
              <w:spacing w:after="0"/>
              <w:rPr>
                <w:sz w:val="19"/>
                <w:szCs w:val="19"/>
                <w:color w:val="auto"/>
              </w:rPr>
            </w:pPr>
          </w:p>
        </w:tc>
        <w:tc>
          <w:tcPr>
            <w:tcW w:w="50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December 31,</w:t>
            </w:r>
          </w:p>
        </w:tc>
        <w:tc>
          <w:tcPr>
            <w:tcW w:w="500" w:type="dxa"/>
            <w:vAlign w:val="bottom"/>
          </w:tcPr>
          <w:p>
            <w:pPr>
              <w:spacing w:after="0"/>
              <w:rPr>
                <w:sz w:val="19"/>
                <w:szCs w:val="19"/>
                <w:color w:val="auto"/>
              </w:rPr>
            </w:pPr>
          </w:p>
        </w:tc>
      </w:tr>
      <w:tr>
        <w:trPr>
          <w:trHeight w:val="270"/>
        </w:trPr>
        <w:tc>
          <w:tcPr>
            <w:tcW w:w="5600" w:type="dxa"/>
            <w:vAlign w:val="bottom"/>
            <w:gridSpan w:val="2"/>
          </w:tcPr>
          <w:p>
            <w:pPr>
              <w:ind w:left="20"/>
              <w:spacing w:after="0"/>
              <w:rPr>
                <w:sz w:val="20"/>
                <w:szCs w:val="20"/>
                <w:color w:val="auto"/>
              </w:rPr>
            </w:pPr>
            <w:r>
              <w:rPr>
                <w:rFonts w:ascii="Arial" w:cs="Arial" w:eastAsia="Arial" w:hAnsi="Arial"/>
                <w:sz w:val="18"/>
                <w:szCs w:val="18"/>
                <w:color w:val="auto"/>
              </w:rPr>
              <w:t>(Dollars in millions)</w:t>
            </w:r>
          </w:p>
        </w:tc>
        <w:tc>
          <w:tcPr>
            <w:tcW w:w="440" w:type="dxa"/>
            <w:vAlign w:val="bottom"/>
          </w:tcPr>
          <w:p>
            <w:pPr>
              <w:spacing w:after="0"/>
              <w:rPr>
                <w:sz w:val="23"/>
                <w:szCs w:val="23"/>
                <w:color w:val="auto"/>
              </w:rPr>
            </w:pPr>
          </w:p>
        </w:tc>
        <w:tc>
          <w:tcPr>
            <w:tcW w:w="760" w:type="dxa"/>
            <w:vAlign w:val="bottom"/>
          </w:tcPr>
          <w:p>
            <w:pPr>
              <w:jc w:val="right"/>
              <w:ind w:right="212"/>
              <w:spacing w:after="0"/>
              <w:rPr>
                <w:sz w:val="20"/>
                <w:szCs w:val="20"/>
                <w:color w:val="auto"/>
              </w:rPr>
            </w:pPr>
            <w:r>
              <w:rPr>
                <w:rFonts w:ascii="Arial" w:cs="Arial" w:eastAsia="Arial" w:hAnsi="Arial"/>
                <w:sz w:val="18"/>
                <w:szCs w:val="18"/>
                <w:color w:val="auto"/>
              </w:rPr>
              <w:t>2005</w:t>
            </w:r>
          </w:p>
        </w:tc>
        <w:tc>
          <w:tcPr>
            <w:tcW w:w="620" w:type="dxa"/>
            <w:vAlign w:val="bottom"/>
          </w:tcPr>
          <w:p>
            <w:pPr>
              <w:spacing w:after="0"/>
              <w:rPr>
                <w:sz w:val="23"/>
                <w:szCs w:val="23"/>
                <w:color w:val="auto"/>
              </w:rPr>
            </w:pPr>
          </w:p>
        </w:tc>
        <w:tc>
          <w:tcPr>
            <w:tcW w:w="500" w:type="dxa"/>
            <w:vAlign w:val="bottom"/>
          </w:tcPr>
          <w:p>
            <w:pPr>
              <w:jc w:val="right"/>
              <w:ind w:right="32"/>
              <w:spacing w:after="0"/>
              <w:rPr>
                <w:sz w:val="20"/>
                <w:szCs w:val="20"/>
                <w:color w:val="auto"/>
              </w:rPr>
            </w:pPr>
            <w:r>
              <w:rPr>
                <w:rFonts w:ascii="Arial" w:cs="Arial" w:eastAsia="Arial" w:hAnsi="Arial"/>
                <w:sz w:val="18"/>
                <w:szCs w:val="18"/>
                <w:color w:val="auto"/>
                <w:w w:val="89"/>
              </w:rPr>
              <w:t>2004</w:t>
            </w:r>
          </w:p>
        </w:tc>
      </w:tr>
      <w:tr>
        <w:trPr>
          <w:trHeight w:val="43"/>
        </w:trPr>
        <w:tc>
          <w:tcPr>
            <w:tcW w:w="5600" w:type="dxa"/>
            <w:vAlign w:val="bottom"/>
            <w:gridSpan w:val="2"/>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620" w:type="dxa"/>
            <w:vAlign w:val="bottom"/>
          </w:tcPr>
          <w:p>
            <w:pPr>
              <w:spacing w:after="0"/>
              <w:rPr>
                <w:sz w:val="3"/>
                <w:szCs w:val="3"/>
                <w:color w:val="auto"/>
              </w:rPr>
            </w:pPr>
          </w:p>
        </w:tc>
        <w:tc>
          <w:tcPr>
            <w:tcW w:w="500" w:type="dxa"/>
            <w:vAlign w:val="bottom"/>
          </w:tcPr>
          <w:p>
            <w:pPr>
              <w:spacing w:after="0"/>
              <w:rPr>
                <w:sz w:val="3"/>
                <w:szCs w:val="3"/>
                <w:color w:val="auto"/>
              </w:rPr>
            </w:pPr>
          </w:p>
        </w:tc>
      </w:tr>
      <w:tr>
        <w:trPr>
          <w:trHeight w:val="243"/>
        </w:trPr>
        <w:tc>
          <w:tcPr>
            <w:tcW w:w="5600" w:type="dxa"/>
            <w:vAlign w:val="bottom"/>
            <w:gridSpan w:val="2"/>
            <w:shd w:val="clear" w:color="auto" w:fill="000000"/>
          </w:tcPr>
          <w:p>
            <w:pPr>
              <w:spacing w:after="0"/>
              <w:rPr>
                <w:sz w:val="21"/>
                <w:szCs w:val="21"/>
                <w:color w:val="auto"/>
              </w:rPr>
            </w:pPr>
          </w:p>
        </w:tc>
        <w:tc>
          <w:tcPr>
            <w:tcW w:w="440" w:type="dxa"/>
            <w:vAlign w:val="bottom"/>
            <w:shd w:val="clear" w:color="auto" w:fill="000000"/>
          </w:tcPr>
          <w:p>
            <w:pPr>
              <w:spacing w:after="0"/>
              <w:rPr>
                <w:sz w:val="21"/>
                <w:szCs w:val="21"/>
                <w:color w:val="auto"/>
              </w:rPr>
            </w:pPr>
          </w:p>
        </w:tc>
        <w:tc>
          <w:tcPr>
            <w:tcW w:w="760" w:type="dxa"/>
            <w:vAlign w:val="bottom"/>
            <w:shd w:val="clear" w:color="auto" w:fill="000000"/>
          </w:tcPr>
          <w:p>
            <w:pPr>
              <w:spacing w:after="0"/>
              <w:rPr>
                <w:sz w:val="21"/>
                <w:szCs w:val="21"/>
                <w:color w:val="auto"/>
              </w:rPr>
            </w:pPr>
          </w:p>
        </w:tc>
        <w:tc>
          <w:tcPr>
            <w:tcW w:w="620" w:type="dxa"/>
            <w:vAlign w:val="bottom"/>
            <w:shd w:val="clear" w:color="auto" w:fill="000000"/>
          </w:tcPr>
          <w:p>
            <w:pPr>
              <w:spacing w:after="0"/>
              <w:rPr>
                <w:sz w:val="21"/>
                <w:szCs w:val="21"/>
                <w:color w:val="auto"/>
              </w:rPr>
            </w:pPr>
          </w:p>
        </w:tc>
        <w:tc>
          <w:tcPr>
            <w:tcW w:w="500" w:type="dxa"/>
            <w:vAlign w:val="bottom"/>
            <w:shd w:val="clear" w:color="auto" w:fill="000000"/>
          </w:tcPr>
          <w:p>
            <w:pPr>
              <w:spacing w:after="0"/>
              <w:rPr>
                <w:sz w:val="21"/>
                <w:szCs w:val="21"/>
                <w:color w:val="auto"/>
              </w:rPr>
            </w:pPr>
          </w:p>
        </w:tc>
      </w:tr>
      <w:tr>
        <w:trPr>
          <w:trHeight w:val="228"/>
        </w:trPr>
        <w:tc>
          <w:tcPr>
            <w:tcW w:w="5600" w:type="dxa"/>
            <w:vAlign w:val="bottom"/>
            <w:gridSpan w:val="2"/>
          </w:tcPr>
          <w:p>
            <w:pPr>
              <w:ind w:left="20"/>
              <w:spacing w:after="0"/>
              <w:rPr>
                <w:sz w:val="20"/>
                <w:szCs w:val="20"/>
                <w:color w:val="auto"/>
              </w:rPr>
            </w:pPr>
            <w:r>
              <w:rPr>
                <w:rFonts w:ascii="Arial" w:cs="Arial" w:eastAsia="Arial" w:hAnsi="Arial"/>
                <w:sz w:val="18"/>
                <w:szCs w:val="18"/>
                <w:color w:val="auto"/>
              </w:rPr>
              <w:t>First mortgage bonds</w:t>
            </w: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00" w:type="dxa"/>
            <w:vAlign w:val="bottom"/>
          </w:tcPr>
          <w:p>
            <w:pPr>
              <w:spacing w:after="0"/>
              <w:rPr>
                <w:sz w:val="19"/>
                <w:szCs w:val="19"/>
                <w:color w:val="auto"/>
              </w:rPr>
            </w:pPr>
          </w:p>
        </w:tc>
      </w:tr>
      <w:tr>
        <w:trPr>
          <w:trHeight w:val="270"/>
        </w:trPr>
        <w:tc>
          <w:tcPr>
            <w:tcW w:w="540" w:type="dxa"/>
            <w:vAlign w:val="bottom"/>
          </w:tcPr>
          <w:p>
            <w:pPr>
              <w:ind w:left="140"/>
              <w:spacing w:after="0"/>
              <w:rPr>
                <w:sz w:val="20"/>
                <w:szCs w:val="20"/>
                <w:color w:val="auto"/>
              </w:rPr>
            </w:pPr>
            <w:r>
              <w:rPr>
                <w:rFonts w:ascii="Arial" w:cs="Arial" w:eastAsia="Arial" w:hAnsi="Arial"/>
                <w:sz w:val="18"/>
                <w:szCs w:val="18"/>
                <w:color w:val="auto"/>
                <w:w w:val="92"/>
              </w:rPr>
              <w:t>6.8%</w:t>
            </w:r>
          </w:p>
        </w:tc>
        <w:tc>
          <w:tcPr>
            <w:tcW w:w="5060" w:type="dxa"/>
            <w:vAlign w:val="bottom"/>
          </w:tcPr>
          <w:p>
            <w:pPr>
              <w:ind w:left="20"/>
              <w:spacing w:after="0"/>
              <w:rPr>
                <w:sz w:val="20"/>
                <w:szCs w:val="20"/>
                <w:color w:val="auto"/>
              </w:rPr>
            </w:pPr>
            <w:r>
              <w:rPr>
                <w:rFonts w:ascii="Arial" w:cs="Arial" w:eastAsia="Arial" w:hAnsi="Arial"/>
                <w:sz w:val="18"/>
                <w:szCs w:val="18"/>
                <w:color w:val="auto"/>
              </w:rPr>
              <w:t>June 1, 2015</w:t>
            </w:r>
          </w:p>
        </w:tc>
        <w:tc>
          <w:tcPr>
            <w:tcW w:w="44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212"/>
              <w:spacing w:after="0"/>
              <w:rPr>
                <w:sz w:val="20"/>
                <w:szCs w:val="20"/>
                <w:color w:val="auto"/>
              </w:rPr>
            </w:pPr>
            <w:r>
              <w:rPr>
                <w:rFonts w:ascii="Arial" w:cs="Arial" w:eastAsia="Arial" w:hAnsi="Arial"/>
                <w:sz w:val="18"/>
                <w:szCs w:val="18"/>
                <w:color w:val="auto"/>
              </w:rPr>
              <w:t>14</w:t>
            </w:r>
          </w:p>
        </w:tc>
        <w:tc>
          <w:tcPr>
            <w:tcW w:w="62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500" w:type="dxa"/>
            <w:vAlign w:val="bottom"/>
          </w:tcPr>
          <w:p>
            <w:pPr>
              <w:jc w:val="right"/>
              <w:ind w:right="32"/>
              <w:spacing w:after="0"/>
              <w:rPr>
                <w:sz w:val="20"/>
                <w:szCs w:val="20"/>
                <w:color w:val="auto"/>
              </w:rPr>
            </w:pPr>
            <w:r>
              <w:rPr>
                <w:rFonts w:ascii="Arial" w:cs="Arial" w:eastAsia="Arial" w:hAnsi="Arial"/>
                <w:sz w:val="18"/>
                <w:szCs w:val="18"/>
                <w:color w:val="auto"/>
              </w:rPr>
              <w:t>14</w:t>
            </w:r>
          </w:p>
        </w:tc>
      </w:tr>
      <w:tr>
        <w:trPr>
          <w:trHeight w:val="270"/>
        </w:trPr>
        <w:tc>
          <w:tcPr>
            <w:tcW w:w="540" w:type="dxa"/>
            <w:vAlign w:val="bottom"/>
          </w:tcPr>
          <w:p>
            <w:pPr>
              <w:ind w:left="140"/>
              <w:spacing w:after="0"/>
              <w:rPr>
                <w:sz w:val="20"/>
                <w:szCs w:val="20"/>
                <w:color w:val="auto"/>
              </w:rPr>
            </w:pPr>
            <w:r>
              <w:rPr>
                <w:rFonts w:ascii="Arial" w:cs="Arial" w:eastAsia="Arial" w:hAnsi="Arial"/>
                <w:sz w:val="18"/>
                <w:szCs w:val="18"/>
                <w:color w:val="auto"/>
                <w:w w:val="92"/>
              </w:rPr>
              <w:t>5.3%</w:t>
            </w:r>
          </w:p>
        </w:tc>
        <w:tc>
          <w:tcPr>
            <w:tcW w:w="5060" w:type="dxa"/>
            <w:vAlign w:val="bottom"/>
          </w:tcPr>
          <w:p>
            <w:pPr>
              <w:ind w:left="20"/>
              <w:spacing w:after="0"/>
              <w:rPr>
                <w:sz w:val="20"/>
                <w:szCs w:val="20"/>
                <w:color w:val="auto"/>
              </w:rPr>
            </w:pPr>
            <w:r>
              <w:rPr>
                <w:rFonts w:ascii="Arial" w:cs="Arial" w:eastAsia="Arial" w:hAnsi="Arial"/>
                <w:sz w:val="18"/>
                <w:szCs w:val="18"/>
                <w:color w:val="auto"/>
              </w:rPr>
              <w:t>November 15, 2015</w:t>
            </w:r>
          </w:p>
        </w:tc>
        <w:tc>
          <w:tcPr>
            <w:tcW w:w="440" w:type="dxa"/>
            <w:vAlign w:val="bottom"/>
          </w:tcPr>
          <w:p>
            <w:pPr>
              <w:spacing w:after="0"/>
              <w:rPr>
                <w:sz w:val="23"/>
                <w:szCs w:val="23"/>
                <w:color w:val="auto"/>
              </w:rPr>
            </w:pPr>
          </w:p>
        </w:tc>
        <w:tc>
          <w:tcPr>
            <w:tcW w:w="760" w:type="dxa"/>
            <w:vAlign w:val="bottom"/>
          </w:tcPr>
          <w:p>
            <w:pPr>
              <w:jc w:val="right"/>
              <w:ind w:right="212"/>
              <w:spacing w:after="0"/>
              <w:rPr>
                <w:sz w:val="20"/>
                <w:szCs w:val="20"/>
                <w:color w:val="auto"/>
              </w:rPr>
            </w:pPr>
            <w:r>
              <w:rPr>
                <w:rFonts w:ascii="Arial" w:cs="Arial" w:eastAsia="Arial" w:hAnsi="Arial"/>
                <w:sz w:val="18"/>
                <w:szCs w:val="18"/>
                <w:color w:val="auto"/>
              </w:rPr>
              <w:t>250</w:t>
            </w:r>
          </w:p>
        </w:tc>
        <w:tc>
          <w:tcPr>
            <w:tcW w:w="620" w:type="dxa"/>
            <w:vAlign w:val="bottom"/>
          </w:tcPr>
          <w:p>
            <w:pPr>
              <w:spacing w:after="0"/>
              <w:rPr>
                <w:sz w:val="23"/>
                <w:szCs w:val="23"/>
                <w:color w:val="auto"/>
              </w:rPr>
            </w:pPr>
          </w:p>
        </w:tc>
        <w:tc>
          <w:tcPr>
            <w:tcW w:w="500" w:type="dxa"/>
            <w:vAlign w:val="bottom"/>
          </w:tcPr>
          <w:p>
            <w:pPr>
              <w:jc w:val="right"/>
              <w:ind w:right="32"/>
              <w:spacing w:after="0"/>
              <w:rPr>
                <w:sz w:val="20"/>
                <w:szCs w:val="20"/>
                <w:color w:val="auto"/>
              </w:rPr>
            </w:pPr>
            <w:r>
              <w:rPr>
                <w:rFonts w:ascii="Arial" w:cs="Arial" w:eastAsia="Arial" w:hAnsi="Arial"/>
                <w:sz w:val="18"/>
                <w:szCs w:val="18"/>
                <w:color w:val="auto"/>
              </w:rPr>
              <w:t>--</w:t>
            </w:r>
          </w:p>
        </w:tc>
      </w:tr>
      <w:tr>
        <w:trPr>
          <w:trHeight w:val="270"/>
        </w:trPr>
        <w:tc>
          <w:tcPr>
            <w:tcW w:w="540" w:type="dxa"/>
            <w:vAlign w:val="bottom"/>
          </w:tcPr>
          <w:p>
            <w:pPr>
              <w:ind w:left="140"/>
              <w:spacing w:after="0"/>
              <w:rPr>
                <w:sz w:val="20"/>
                <w:szCs w:val="20"/>
                <w:color w:val="auto"/>
              </w:rPr>
            </w:pPr>
            <w:r>
              <w:rPr>
                <w:rFonts w:ascii="Arial" w:cs="Arial" w:eastAsia="Arial" w:hAnsi="Arial"/>
                <w:sz w:val="18"/>
                <w:szCs w:val="18"/>
                <w:color w:val="auto"/>
                <w:w w:val="92"/>
              </w:rPr>
              <w:t>5.9%</w:t>
            </w:r>
          </w:p>
        </w:tc>
        <w:tc>
          <w:tcPr>
            <w:tcW w:w="5060" w:type="dxa"/>
            <w:vAlign w:val="bottom"/>
          </w:tcPr>
          <w:p>
            <w:pPr>
              <w:ind w:left="20"/>
              <w:spacing w:after="0"/>
              <w:rPr>
                <w:sz w:val="20"/>
                <w:szCs w:val="20"/>
                <w:color w:val="auto"/>
              </w:rPr>
            </w:pPr>
            <w:r>
              <w:rPr>
                <w:rFonts w:ascii="Arial" w:cs="Arial" w:eastAsia="Arial" w:hAnsi="Arial"/>
                <w:sz w:val="18"/>
                <w:szCs w:val="18"/>
                <w:color w:val="auto"/>
              </w:rPr>
              <w:t>June 1, 2018</w:t>
            </w:r>
          </w:p>
        </w:tc>
        <w:tc>
          <w:tcPr>
            <w:tcW w:w="440" w:type="dxa"/>
            <w:vAlign w:val="bottom"/>
          </w:tcPr>
          <w:p>
            <w:pPr>
              <w:spacing w:after="0"/>
              <w:rPr>
                <w:sz w:val="23"/>
                <w:szCs w:val="23"/>
                <w:color w:val="auto"/>
              </w:rPr>
            </w:pPr>
          </w:p>
        </w:tc>
        <w:tc>
          <w:tcPr>
            <w:tcW w:w="760" w:type="dxa"/>
            <w:vAlign w:val="bottom"/>
          </w:tcPr>
          <w:p>
            <w:pPr>
              <w:jc w:val="right"/>
              <w:ind w:right="212"/>
              <w:spacing w:after="0"/>
              <w:rPr>
                <w:sz w:val="20"/>
                <w:szCs w:val="20"/>
                <w:color w:val="auto"/>
              </w:rPr>
            </w:pPr>
            <w:r>
              <w:rPr>
                <w:rFonts w:ascii="Arial" w:cs="Arial" w:eastAsia="Arial" w:hAnsi="Arial"/>
                <w:sz w:val="18"/>
                <w:szCs w:val="18"/>
                <w:color w:val="auto"/>
              </w:rPr>
              <w:t>68</w:t>
            </w:r>
          </w:p>
        </w:tc>
        <w:tc>
          <w:tcPr>
            <w:tcW w:w="620" w:type="dxa"/>
            <w:vAlign w:val="bottom"/>
          </w:tcPr>
          <w:p>
            <w:pPr>
              <w:spacing w:after="0"/>
              <w:rPr>
                <w:sz w:val="23"/>
                <w:szCs w:val="23"/>
                <w:color w:val="auto"/>
              </w:rPr>
            </w:pPr>
          </w:p>
        </w:tc>
        <w:tc>
          <w:tcPr>
            <w:tcW w:w="500" w:type="dxa"/>
            <w:vAlign w:val="bottom"/>
          </w:tcPr>
          <w:p>
            <w:pPr>
              <w:jc w:val="right"/>
              <w:ind w:right="32"/>
              <w:spacing w:after="0"/>
              <w:rPr>
                <w:sz w:val="20"/>
                <w:szCs w:val="20"/>
                <w:color w:val="auto"/>
              </w:rPr>
            </w:pPr>
            <w:r>
              <w:rPr>
                <w:rFonts w:ascii="Arial" w:cs="Arial" w:eastAsia="Arial" w:hAnsi="Arial"/>
                <w:sz w:val="18"/>
                <w:szCs w:val="18"/>
                <w:color w:val="auto"/>
              </w:rPr>
              <w:t>68</w:t>
            </w:r>
          </w:p>
        </w:tc>
      </w:tr>
      <w:tr>
        <w:trPr>
          <w:trHeight w:val="270"/>
        </w:trPr>
        <w:tc>
          <w:tcPr>
            <w:tcW w:w="540" w:type="dxa"/>
            <w:vAlign w:val="bottom"/>
          </w:tcPr>
          <w:p>
            <w:pPr>
              <w:ind w:left="140"/>
              <w:spacing w:after="0"/>
              <w:rPr>
                <w:sz w:val="20"/>
                <w:szCs w:val="20"/>
                <w:color w:val="auto"/>
              </w:rPr>
            </w:pPr>
            <w:r>
              <w:rPr>
                <w:rFonts w:ascii="Arial" w:cs="Arial" w:eastAsia="Arial" w:hAnsi="Arial"/>
                <w:sz w:val="18"/>
                <w:szCs w:val="18"/>
                <w:color w:val="auto"/>
                <w:w w:val="92"/>
              </w:rPr>
              <w:t>5.9%</w:t>
            </w:r>
          </w:p>
        </w:tc>
        <w:tc>
          <w:tcPr>
            <w:tcW w:w="5060" w:type="dxa"/>
            <w:vAlign w:val="bottom"/>
          </w:tcPr>
          <w:p>
            <w:pPr>
              <w:ind w:left="20"/>
              <w:spacing w:after="0"/>
              <w:rPr>
                <w:sz w:val="20"/>
                <w:szCs w:val="20"/>
                <w:color w:val="auto"/>
              </w:rPr>
            </w:pPr>
            <w:r>
              <w:rPr>
                <w:rFonts w:ascii="Arial" w:cs="Arial" w:eastAsia="Arial" w:hAnsi="Arial"/>
                <w:sz w:val="18"/>
                <w:szCs w:val="18"/>
                <w:color w:val="auto"/>
              </w:rPr>
              <w:t>September 1, 2018</w:t>
            </w:r>
          </w:p>
        </w:tc>
        <w:tc>
          <w:tcPr>
            <w:tcW w:w="440" w:type="dxa"/>
            <w:vAlign w:val="bottom"/>
          </w:tcPr>
          <w:p>
            <w:pPr>
              <w:spacing w:after="0"/>
              <w:rPr>
                <w:sz w:val="23"/>
                <w:szCs w:val="23"/>
                <w:color w:val="auto"/>
              </w:rPr>
            </w:pPr>
          </w:p>
        </w:tc>
        <w:tc>
          <w:tcPr>
            <w:tcW w:w="760" w:type="dxa"/>
            <w:vAlign w:val="bottom"/>
          </w:tcPr>
          <w:p>
            <w:pPr>
              <w:jc w:val="right"/>
              <w:ind w:right="212"/>
              <w:spacing w:after="0"/>
              <w:rPr>
                <w:sz w:val="20"/>
                <w:szCs w:val="20"/>
                <w:color w:val="auto"/>
              </w:rPr>
            </w:pPr>
            <w:r>
              <w:rPr>
                <w:rFonts w:ascii="Arial" w:cs="Arial" w:eastAsia="Arial" w:hAnsi="Arial"/>
                <w:sz w:val="18"/>
                <w:szCs w:val="18"/>
                <w:color w:val="auto"/>
              </w:rPr>
              <w:t>93</w:t>
            </w:r>
          </w:p>
        </w:tc>
        <w:tc>
          <w:tcPr>
            <w:tcW w:w="620" w:type="dxa"/>
            <w:vAlign w:val="bottom"/>
          </w:tcPr>
          <w:p>
            <w:pPr>
              <w:spacing w:after="0"/>
              <w:rPr>
                <w:sz w:val="23"/>
                <w:szCs w:val="23"/>
                <w:color w:val="auto"/>
              </w:rPr>
            </w:pPr>
          </w:p>
        </w:tc>
        <w:tc>
          <w:tcPr>
            <w:tcW w:w="500" w:type="dxa"/>
            <w:vAlign w:val="bottom"/>
          </w:tcPr>
          <w:p>
            <w:pPr>
              <w:jc w:val="right"/>
              <w:ind w:right="32"/>
              <w:spacing w:after="0"/>
              <w:rPr>
                <w:sz w:val="20"/>
                <w:szCs w:val="20"/>
                <w:color w:val="auto"/>
              </w:rPr>
            </w:pPr>
            <w:r>
              <w:rPr>
                <w:rFonts w:ascii="Arial" w:cs="Arial" w:eastAsia="Arial" w:hAnsi="Arial"/>
                <w:sz w:val="18"/>
                <w:szCs w:val="18"/>
                <w:color w:val="auto"/>
              </w:rPr>
              <w:t>93</w:t>
            </w:r>
          </w:p>
        </w:tc>
      </w:tr>
      <w:tr>
        <w:trPr>
          <w:trHeight w:val="270"/>
        </w:trPr>
        <w:tc>
          <w:tcPr>
            <w:tcW w:w="5600" w:type="dxa"/>
            <w:vAlign w:val="bottom"/>
            <w:gridSpan w:val="2"/>
          </w:tcPr>
          <w:p>
            <w:pPr>
              <w:ind w:left="140"/>
              <w:spacing w:after="0"/>
              <w:rPr>
                <w:sz w:val="20"/>
                <w:szCs w:val="20"/>
                <w:color w:val="auto"/>
              </w:rPr>
            </w:pPr>
            <w:r>
              <w:rPr>
                <w:rFonts w:ascii="Arial" w:cs="Arial" w:eastAsia="Arial" w:hAnsi="Arial"/>
                <w:sz w:val="18"/>
                <w:szCs w:val="18"/>
                <w:color w:val="auto"/>
              </w:rPr>
              <w:t>5.85% June 1, 2021</w:t>
            </w:r>
          </w:p>
        </w:tc>
        <w:tc>
          <w:tcPr>
            <w:tcW w:w="440" w:type="dxa"/>
            <w:vAlign w:val="bottom"/>
          </w:tcPr>
          <w:p>
            <w:pPr>
              <w:spacing w:after="0"/>
              <w:rPr>
                <w:sz w:val="23"/>
                <w:szCs w:val="23"/>
                <w:color w:val="auto"/>
              </w:rPr>
            </w:pPr>
          </w:p>
        </w:tc>
        <w:tc>
          <w:tcPr>
            <w:tcW w:w="760" w:type="dxa"/>
            <w:vAlign w:val="bottom"/>
          </w:tcPr>
          <w:p>
            <w:pPr>
              <w:jc w:val="right"/>
              <w:ind w:right="212"/>
              <w:spacing w:after="0"/>
              <w:rPr>
                <w:sz w:val="20"/>
                <w:szCs w:val="20"/>
                <w:color w:val="auto"/>
              </w:rPr>
            </w:pPr>
            <w:r>
              <w:rPr>
                <w:rFonts w:ascii="Arial" w:cs="Arial" w:eastAsia="Arial" w:hAnsi="Arial"/>
                <w:sz w:val="18"/>
                <w:szCs w:val="18"/>
                <w:color w:val="auto"/>
              </w:rPr>
              <w:t>60</w:t>
            </w:r>
          </w:p>
        </w:tc>
        <w:tc>
          <w:tcPr>
            <w:tcW w:w="620" w:type="dxa"/>
            <w:vAlign w:val="bottom"/>
          </w:tcPr>
          <w:p>
            <w:pPr>
              <w:spacing w:after="0"/>
              <w:rPr>
                <w:sz w:val="23"/>
                <w:szCs w:val="23"/>
                <w:color w:val="auto"/>
              </w:rPr>
            </w:pPr>
          </w:p>
        </w:tc>
        <w:tc>
          <w:tcPr>
            <w:tcW w:w="500" w:type="dxa"/>
            <w:vAlign w:val="bottom"/>
          </w:tcPr>
          <w:p>
            <w:pPr>
              <w:jc w:val="right"/>
              <w:ind w:right="32"/>
              <w:spacing w:after="0"/>
              <w:rPr>
                <w:sz w:val="20"/>
                <w:szCs w:val="20"/>
                <w:color w:val="auto"/>
              </w:rPr>
            </w:pPr>
            <w:r>
              <w:rPr>
                <w:rFonts w:ascii="Arial" w:cs="Arial" w:eastAsia="Arial" w:hAnsi="Arial"/>
                <w:sz w:val="18"/>
                <w:szCs w:val="18"/>
                <w:color w:val="auto"/>
              </w:rPr>
              <w:t>60</w:t>
            </w:r>
          </w:p>
        </w:tc>
      </w:tr>
      <w:tr>
        <w:trPr>
          <w:trHeight w:val="270"/>
        </w:trPr>
        <w:tc>
          <w:tcPr>
            <w:tcW w:w="5600" w:type="dxa"/>
            <w:vAlign w:val="bottom"/>
            <w:gridSpan w:val="2"/>
          </w:tcPr>
          <w:p>
            <w:pPr>
              <w:ind w:left="140"/>
              <w:spacing w:after="0"/>
              <w:rPr>
                <w:sz w:val="20"/>
                <w:szCs w:val="20"/>
                <w:color w:val="auto"/>
              </w:rPr>
            </w:pPr>
            <w:r>
              <w:rPr>
                <w:rFonts w:ascii="Arial" w:cs="Arial" w:eastAsia="Arial" w:hAnsi="Arial"/>
                <w:sz w:val="18"/>
                <w:szCs w:val="18"/>
                <w:color w:val="auto"/>
              </w:rPr>
              <w:t>5% to 5.25% December 1, 2027</w:t>
            </w:r>
          </w:p>
        </w:tc>
        <w:tc>
          <w:tcPr>
            <w:tcW w:w="440" w:type="dxa"/>
            <w:vAlign w:val="bottom"/>
          </w:tcPr>
          <w:p>
            <w:pPr>
              <w:spacing w:after="0"/>
              <w:rPr>
                <w:sz w:val="23"/>
                <w:szCs w:val="23"/>
                <w:color w:val="auto"/>
              </w:rPr>
            </w:pPr>
          </w:p>
        </w:tc>
        <w:tc>
          <w:tcPr>
            <w:tcW w:w="760" w:type="dxa"/>
            <w:vAlign w:val="bottom"/>
          </w:tcPr>
          <w:p>
            <w:pPr>
              <w:jc w:val="right"/>
              <w:ind w:right="212"/>
              <w:spacing w:after="0"/>
              <w:rPr>
                <w:sz w:val="20"/>
                <w:szCs w:val="20"/>
                <w:color w:val="auto"/>
              </w:rPr>
            </w:pPr>
            <w:r>
              <w:rPr>
                <w:rFonts w:ascii="Arial" w:cs="Arial" w:eastAsia="Arial" w:hAnsi="Arial"/>
                <w:sz w:val="18"/>
                <w:szCs w:val="18"/>
                <w:color w:val="auto"/>
              </w:rPr>
              <w:t>150</w:t>
            </w:r>
          </w:p>
        </w:tc>
        <w:tc>
          <w:tcPr>
            <w:tcW w:w="620" w:type="dxa"/>
            <w:vAlign w:val="bottom"/>
          </w:tcPr>
          <w:p>
            <w:pPr>
              <w:spacing w:after="0"/>
              <w:rPr>
                <w:sz w:val="23"/>
                <w:szCs w:val="23"/>
                <w:color w:val="auto"/>
              </w:rPr>
            </w:pPr>
          </w:p>
        </w:tc>
        <w:tc>
          <w:tcPr>
            <w:tcW w:w="500" w:type="dxa"/>
            <w:vAlign w:val="bottom"/>
          </w:tcPr>
          <w:p>
            <w:pPr>
              <w:jc w:val="right"/>
              <w:ind w:right="32"/>
              <w:spacing w:after="0"/>
              <w:rPr>
                <w:sz w:val="20"/>
                <w:szCs w:val="20"/>
                <w:color w:val="auto"/>
              </w:rPr>
            </w:pPr>
            <w:r>
              <w:rPr>
                <w:rFonts w:ascii="Arial" w:cs="Arial" w:eastAsia="Arial" w:hAnsi="Arial"/>
                <w:sz w:val="18"/>
                <w:szCs w:val="18"/>
                <w:color w:val="auto"/>
              </w:rPr>
              <w:t>150</w:t>
            </w:r>
          </w:p>
        </w:tc>
      </w:tr>
      <w:tr>
        <w:trPr>
          <w:trHeight w:val="270"/>
        </w:trPr>
        <w:tc>
          <w:tcPr>
            <w:tcW w:w="5600" w:type="dxa"/>
            <w:vAlign w:val="bottom"/>
            <w:gridSpan w:val="2"/>
          </w:tcPr>
          <w:p>
            <w:pPr>
              <w:ind w:left="140"/>
              <w:spacing w:after="0"/>
              <w:rPr>
                <w:sz w:val="20"/>
                <w:szCs w:val="20"/>
                <w:color w:val="auto"/>
              </w:rPr>
            </w:pPr>
            <w:r>
              <w:rPr>
                <w:rFonts w:ascii="Arial" w:cs="Arial" w:eastAsia="Arial" w:hAnsi="Arial"/>
                <w:sz w:val="18"/>
                <w:szCs w:val="18"/>
                <w:color w:val="auto"/>
              </w:rPr>
              <w:t>2.516% to 2.832%* January and February 2034</w:t>
            </w:r>
          </w:p>
        </w:tc>
        <w:tc>
          <w:tcPr>
            <w:tcW w:w="440" w:type="dxa"/>
            <w:vAlign w:val="bottom"/>
          </w:tcPr>
          <w:p>
            <w:pPr>
              <w:spacing w:after="0"/>
              <w:rPr>
                <w:sz w:val="23"/>
                <w:szCs w:val="23"/>
                <w:color w:val="auto"/>
              </w:rPr>
            </w:pPr>
          </w:p>
        </w:tc>
        <w:tc>
          <w:tcPr>
            <w:tcW w:w="760" w:type="dxa"/>
            <w:vAlign w:val="bottom"/>
          </w:tcPr>
          <w:p>
            <w:pPr>
              <w:jc w:val="right"/>
              <w:ind w:right="212"/>
              <w:spacing w:after="0"/>
              <w:rPr>
                <w:sz w:val="20"/>
                <w:szCs w:val="20"/>
                <w:color w:val="auto"/>
              </w:rPr>
            </w:pPr>
            <w:r>
              <w:rPr>
                <w:rFonts w:ascii="Arial" w:cs="Arial" w:eastAsia="Arial" w:hAnsi="Arial"/>
                <w:sz w:val="18"/>
                <w:szCs w:val="18"/>
                <w:color w:val="auto"/>
              </w:rPr>
              <w:t>176</w:t>
            </w:r>
          </w:p>
        </w:tc>
        <w:tc>
          <w:tcPr>
            <w:tcW w:w="620" w:type="dxa"/>
            <w:vAlign w:val="bottom"/>
          </w:tcPr>
          <w:p>
            <w:pPr>
              <w:spacing w:after="0"/>
              <w:rPr>
                <w:sz w:val="23"/>
                <w:szCs w:val="23"/>
                <w:color w:val="auto"/>
              </w:rPr>
            </w:pPr>
          </w:p>
        </w:tc>
        <w:tc>
          <w:tcPr>
            <w:tcW w:w="500" w:type="dxa"/>
            <w:vAlign w:val="bottom"/>
          </w:tcPr>
          <w:p>
            <w:pPr>
              <w:jc w:val="right"/>
              <w:ind w:right="32"/>
              <w:spacing w:after="0"/>
              <w:rPr>
                <w:sz w:val="20"/>
                <w:szCs w:val="20"/>
                <w:color w:val="auto"/>
              </w:rPr>
            </w:pPr>
            <w:r>
              <w:rPr>
                <w:rFonts w:ascii="Arial" w:cs="Arial" w:eastAsia="Arial" w:hAnsi="Arial"/>
                <w:sz w:val="18"/>
                <w:szCs w:val="18"/>
                <w:color w:val="auto"/>
              </w:rPr>
              <w:t>176</w:t>
            </w:r>
          </w:p>
        </w:tc>
      </w:tr>
      <w:tr>
        <w:trPr>
          <w:trHeight w:val="270"/>
        </w:trPr>
        <w:tc>
          <w:tcPr>
            <w:tcW w:w="5600" w:type="dxa"/>
            <w:vAlign w:val="bottom"/>
            <w:gridSpan w:val="2"/>
          </w:tcPr>
          <w:p>
            <w:pPr>
              <w:ind w:left="140"/>
              <w:spacing w:after="0"/>
              <w:rPr>
                <w:sz w:val="20"/>
                <w:szCs w:val="20"/>
                <w:color w:val="auto"/>
              </w:rPr>
            </w:pPr>
            <w:r>
              <w:rPr>
                <w:rFonts w:ascii="Arial" w:cs="Arial" w:eastAsia="Arial" w:hAnsi="Arial"/>
                <w:sz w:val="18"/>
                <w:szCs w:val="18"/>
                <w:color w:val="auto"/>
              </w:rPr>
              <w:t>5.35% May 15, 2035</w:t>
            </w:r>
          </w:p>
        </w:tc>
        <w:tc>
          <w:tcPr>
            <w:tcW w:w="440" w:type="dxa"/>
            <w:vAlign w:val="bottom"/>
          </w:tcPr>
          <w:p>
            <w:pPr>
              <w:spacing w:after="0"/>
              <w:rPr>
                <w:sz w:val="23"/>
                <w:szCs w:val="23"/>
                <w:color w:val="auto"/>
              </w:rPr>
            </w:pPr>
          </w:p>
        </w:tc>
        <w:tc>
          <w:tcPr>
            <w:tcW w:w="760" w:type="dxa"/>
            <w:vAlign w:val="bottom"/>
          </w:tcPr>
          <w:p>
            <w:pPr>
              <w:jc w:val="right"/>
              <w:ind w:right="212"/>
              <w:spacing w:after="0"/>
              <w:rPr>
                <w:sz w:val="20"/>
                <w:szCs w:val="20"/>
                <w:color w:val="auto"/>
              </w:rPr>
            </w:pPr>
            <w:r>
              <w:rPr>
                <w:rFonts w:ascii="Arial" w:cs="Arial" w:eastAsia="Arial" w:hAnsi="Arial"/>
                <w:sz w:val="18"/>
                <w:szCs w:val="18"/>
                <w:color w:val="auto"/>
              </w:rPr>
              <w:t>250</w:t>
            </w:r>
          </w:p>
        </w:tc>
        <w:tc>
          <w:tcPr>
            <w:tcW w:w="620" w:type="dxa"/>
            <w:vAlign w:val="bottom"/>
          </w:tcPr>
          <w:p>
            <w:pPr>
              <w:spacing w:after="0"/>
              <w:rPr>
                <w:sz w:val="23"/>
                <w:szCs w:val="23"/>
                <w:color w:val="auto"/>
              </w:rPr>
            </w:pPr>
          </w:p>
        </w:tc>
        <w:tc>
          <w:tcPr>
            <w:tcW w:w="500" w:type="dxa"/>
            <w:vAlign w:val="bottom"/>
          </w:tcPr>
          <w:p>
            <w:pPr>
              <w:jc w:val="right"/>
              <w:ind w:right="32"/>
              <w:spacing w:after="0"/>
              <w:rPr>
                <w:sz w:val="20"/>
                <w:szCs w:val="20"/>
                <w:color w:val="auto"/>
              </w:rPr>
            </w:pPr>
            <w:r>
              <w:rPr>
                <w:rFonts w:ascii="Arial" w:cs="Arial" w:eastAsia="Arial" w:hAnsi="Arial"/>
                <w:sz w:val="18"/>
                <w:szCs w:val="18"/>
                <w:color w:val="auto"/>
              </w:rPr>
              <w:t>--</w:t>
            </w:r>
          </w:p>
        </w:tc>
      </w:tr>
      <w:tr>
        <w:trPr>
          <w:trHeight w:val="270"/>
        </w:trPr>
        <w:tc>
          <w:tcPr>
            <w:tcW w:w="5600" w:type="dxa"/>
            <w:vAlign w:val="bottom"/>
            <w:gridSpan w:val="2"/>
          </w:tcPr>
          <w:p>
            <w:pPr>
              <w:ind w:left="140"/>
              <w:spacing w:after="0"/>
              <w:rPr>
                <w:sz w:val="20"/>
                <w:szCs w:val="20"/>
                <w:color w:val="auto"/>
              </w:rPr>
            </w:pPr>
            <w:r>
              <w:rPr>
                <w:rFonts w:ascii="Arial" w:cs="Arial" w:eastAsia="Arial" w:hAnsi="Arial"/>
                <w:sz w:val="18"/>
                <w:szCs w:val="18"/>
                <w:color w:val="auto"/>
              </w:rPr>
              <w:t>2.8275%* May 1, 2039</w:t>
            </w:r>
          </w:p>
        </w:tc>
        <w:tc>
          <w:tcPr>
            <w:tcW w:w="440" w:type="dxa"/>
            <w:vAlign w:val="bottom"/>
          </w:tcPr>
          <w:p>
            <w:pPr>
              <w:spacing w:after="0"/>
              <w:rPr>
                <w:sz w:val="23"/>
                <w:szCs w:val="23"/>
                <w:color w:val="auto"/>
              </w:rPr>
            </w:pPr>
          </w:p>
        </w:tc>
        <w:tc>
          <w:tcPr>
            <w:tcW w:w="760" w:type="dxa"/>
            <w:vAlign w:val="bottom"/>
          </w:tcPr>
          <w:p>
            <w:pPr>
              <w:jc w:val="right"/>
              <w:ind w:right="212"/>
              <w:spacing w:after="0"/>
              <w:rPr>
                <w:sz w:val="20"/>
                <w:szCs w:val="20"/>
                <w:color w:val="auto"/>
              </w:rPr>
            </w:pPr>
            <w:r>
              <w:rPr>
                <w:rFonts w:ascii="Arial" w:cs="Arial" w:eastAsia="Arial" w:hAnsi="Arial"/>
                <w:sz w:val="18"/>
                <w:szCs w:val="18"/>
                <w:color w:val="auto"/>
              </w:rPr>
              <w:t>75</w:t>
            </w:r>
          </w:p>
        </w:tc>
        <w:tc>
          <w:tcPr>
            <w:tcW w:w="620" w:type="dxa"/>
            <w:vAlign w:val="bottom"/>
          </w:tcPr>
          <w:p>
            <w:pPr>
              <w:spacing w:after="0"/>
              <w:rPr>
                <w:sz w:val="23"/>
                <w:szCs w:val="23"/>
                <w:color w:val="auto"/>
              </w:rPr>
            </w:pPr>
          </w:p>
        </w:tc>
        <w:tc>
          <w:tcPr>
            <w:tcW w:w="500" w:type="dxa"/>
            <w:vAlign w:val="bottom"/>
          </w:tcPr>
          <w:p>
            <w:pPr>
              <w:jc w:val="right"/>
              <w:ind w:right="32"/>
              <w:spacing w:after="0"/>
              <w:rPr>
                <w:sz w:val="20"/>
                <w:szCs w:val="20"/>
                <w:color w:val="auto"/>
              </w:rPr>
            </w:pPr>
            <w:r>
              <w:rPr>
                <w:rFonts w:ascii="Arial" w:cs="Arial" w:eastAsia="Arial" w:hAnsi="Arial"/>
                <w:sz w:val="18"/>
                <w:szCs w:val="18"/>
                <w:color w:val="auto"/>
              </w:rPr>
              <w:t>75</w:t>
            </w:r>
          </w:p>
        </w:tc>
      </w:tr>
      <w:tr>
        <w:trPr>
          <w:trHeight w:val="43"/>
        </w:trPr>
        <w:tc>
          <w:tcPr>
            <w:tcW w:w="540" w:type="dxa"/>
            <w:vAlign w:val="bottom"/>
          </w:tcPr>
          <w:p>
            <w:pPr>
              <w:spacing w:after="0"/>
              <w:rPr>
                <w:sz w:val="3"/>
                <w:szCs w:val="3"/>
                <w:color w:val="auto"/>
              </w:rPr>
            </w:pPr>
          </w:p>
        </w:tc>
        <w:tc>
          <w:tcPr>
            <w:tcW w:w="50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620" w:type="dxa"/>
            <w:vAlign w:val="bottom"/>
          </w:tcPr>
          <w:p>
            <w:pPr>
              <w:spacing w:after="0"/>
              <w:rPr>
                <w:sz w:val="3"/>
                <w:szCs w:val="3"/>
                <w:color w:val="auto"/>
              </w:rPr>
            </w:pPr>
          </w:p>
        </w:tc>
        <w:tc>
          <w:tcPr>
            <w:tcW w:w="500" w:type="dxa"/>
            <w:vAlign w:val="bottom"/>
          </w:tcPr>
          <w:p>
            <w:pPr>
              <w:spacing w:after="0"/>
              <w:rPr>
                <w:sz w:val="3"/>
                <w:szCs w:val="3"/>
                <w:color w:val="auto"/>
              </w:rPr>
            </w:pPr>
          </w:p>
        </w:tc>
      </w:tr>
      <w:tr>
        <w:trPr>
          <w:trHeight w:val="205"/>
        </w:trPr>
        <w:tc>
          <w:tcPr>
            <w:tcW w:w="540" w:type="dxa"/>
            <w:vAlign w:val="bottom"/>
          </w:tcPr>
          <w:p>
            <w:pPr>
              <w:spacing w:after="0"/>
              <w:rPr>
                <w:sz w:val="17"/>
                <w:szCs w:val="17"/>
                <w:color w:val="auto"/>
              </w:rPr>
            </w:pPr>
          </w:p>
        </w:tc>
        <w:tc>
          <w:tcPr>
            <w:tcW w:w="5060" w:type="dxa"/>
            <w:vAlign w:val="bottom"/>
          </w:tcPr>
          <w:p>
            <w:pPr>
              <w:spacing w:after="0"/>
              <w:rPr>
                <w:sz w:val="17"/>
                <w:szCs w:val="17"/>
                <w:color w:val="auto"/>
              </w:rPr>
            </w:pPr>
          </w:p>
        </w:tc>
        <w:tc>
          <w:tcPr>
            <w:tcW w:w="440" w:type="dxa"/>
            <w:vAlign w:val="bottom"/>
            <w:shd w:val="clear" w:color="auto" w:fill="000000"/>
          </w:tcPr>
          <w:p>
            <w:pPr>
              <w:spacing w:after="0"/>
              <w:rPr>
                <w:sz w:val="17"/>
                <w:szCs w:val="17"/>
                <w:color w:val="auto"/>
              </w:rPr>
            </w:pPr>
          </w:p>
        </w:tc>
        <w:tc>
          <w:tcPr>
            <w:tcW w:w="760" w:type="dxa"/>
            <w:vAlign w:val="bottom"/>
            <w:shd w:val="clear" w:color="auto" w:fill="000000"/>
          </w:tcPr>
          <w:p>
            <w:pPr>
              <w:spacing w:after="0"/>
              <w:rPr>
                <w:sz w:val="17"/>
                <w:szCs w:val="17"/>
                <w:color w:val="auto"/>
              </w:rPr>
            </w:pPr>
          </w:p>
        </w:tc>
        <w:tc>
          <w:tcPr>
            <w:tcW w:w="620" w:type="dxa"/>
            <w:vAlign w:val="bottom"/>
            <w:shd w:val="clear" w:color="auto" w:fill="000000"/>
          </w:tcPr>
          <w:p>
            <w:pPr>
              <w:spacing w:after="0"/>
              <w:rPr>
                <w:sz w:val="17"/>
                <w:szCs w:val="17"/>
                <w:color w:val="auto"/>
              </w:rPr>
            </w:pPr>
          </w:p>
        </w:tc>
        <w:tc>
          <w:tcPr>
            <w:tcW w:w="500" w:type="dxa"/>
            <w:vAlign w:val="bottom"/>
            <w:shd w:val="clear" w:color="auto" w:fill="000000"/>
          </w:tcPr>
          <w:p>
            <w:pPr>
              <w:spacing w:after="0"/>
              <w:rPr>
                <w:sz w:val="17"/>
                <w:szCs w:val="17"/>
                <w:color w:val="auto"/>
              </w:rPr>
            </w:pPr>
          </w:p>
        </w:tc>
      </w:tr>
    </w:tbl>
    <w:p>
      <w:pPr>
        <w:sectPr>
          <w:pgSz w:w="11900" w:h="16900" w:orient="portrait"/>
          <w:cols w:equalWidth="0" w:num="1">
            <w:col w:w="11380"/>
          </w:cols>
          <w:pgMar w:left="240" w:top="118" w:right="279" w:bottom="0" w:gutter="0" w:footer="0" w:header="0"/>
        </w:sectPr>
      </w:pPr>
    </w:p>
    <w:bookmarkStart w:id="32" w:name="page33"/>
    <w:bookmarkEnd w:id="32"/>
    <w:p>
      <w:pPr>
        <w:spacing w:after="0" w:line="1" w:lineRule="exact"/>
        <w:rPr>
          <w:sz w:val="20"/>
          <w:szCs w:val="20"/>
          <w:color w:val="auto"/>
        </w:rPr>
      </w:pPr>
    </w:p>
    <w:tbl>
      <w:tblPr>
        <w:tblLayout w:type="fixed"/>
        <w:tblInd w:w="1760" w:type="dxa"/>
        <w:tblCellMar>
          <w:top w:w="0" w:type="dxa"/>
          <w:left w:w="0" w:type="dxa"/>
          <w:bottom w:w="0" w:type="dxa"/>
          <w:right w:w="0" w:type="dxa"/>
        </w:tblCellMar>
      </w:tblPr>
      <w:tr>
        <w:trPr>
          <w:trHeight w:val="241"/>
        </w:trPr>
        <w:tc>
          <w:tcPr>
            <w:tcW w:w="540" w:type="dxa"/>
            <w:vAlign w:val="bottom"/>
          </w:tcPr>
          <w:p>
            <w:pPr>
              <w:spacing w:after="0"/>
              <w:rPr>
                <w:sz w:val="20"/>
                <w:szCs w:val="20"/>
                <w:color w:val="auto"/>
              </w:rPr>
            </w:pPr>
          </w:p>
        </w:tc>
        <w:tc>
          <w:tcPr>
            <w:tcW w:w="5060" w:type="dxa"/>
            <w:vAlign w:val="bottom"/>
          </w:tcPr>
          <w:p>
            <w:pPr>
              <w:spacing w:after="0"/>
              <w:rPr>
                <w:sz w:val="20"/>
                <w:szCs w:val="20"/>
                <w:color w:val="auto"/>
              </w:rPr>
            </w:pPr>
          </w:p>
        </w:tc>
        <w:tc>
          <w:tcPr>
            <w:tcW w:w="1240" w:type="dxa"/>
            <w:vAlign w:val="bottom"/>
            <w:tcBorders>
              <w:top w:val="single" w:sz="8" w:color="auto"/>
            </w:tcBorders>
          </w:tcPr>
          <w:p>
            <w:pPr>
              <w:jc w:val="right"/>
              <w:ind w:right="252"/>
              <w:spacing w:after="0"/>
              <w:rPr>
                <w:sz w:val="20"/>
                <w:szCs w:val="20"/>
                <w:color w:val="auto"/>
              </w:rPr>
            </w:pPr>
            <w:r>
              <w:rPr>
                <w:rFonts w:ascii="Arial" w:cs="Arial" w:eastAsia="Arial" w:hAnsi="Arial"/>
                <w:sz w:val="18"/>
                <w:szCs w:val="18"/>
                <w:color w:val="auto"/>
              </w:rPr>
              <w:t>1,136</w:t>
            </w:r>
          </w:p>
        </w:tc>
        <w:tc>
          <w:tcPr>
            <w:tcW w:w="10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636</w:t>
            </w:r>
          </w:p>
        </w:tc>
        <w:tc>
          <w:tcPr>
            <w:tcW w:w="0" w:type="dxa"/>
            <w:vAlign w:val="bottom"/>
          </w:tcPr>
          <w:p>
            <w:pPr>
              <w:spacing w:after="0"/>
              <w:rPr>
                <w:sz w:val="1"/>
                <w:szCs w:val="1"/>
                <w:color w:val="auto"/>
              </w:rPr>
            </w:pPr>
          </w:p>
        </w:tc>
      </w:tr>
      <w:tr>
        <w:trPr>
          <w:trHeight w:val="43"/>
        </w:trPr>
        <w:tc>
          <w:tcPr>
            <w:tcW w:w="5600" w:type="dxa"/>
            <w:vAlign w:val="bottom"/>
            <w:gridSpan w:val="2"/>
            <w:vMerge w:val="restart"/>
          </w:tcPr>
          <w:p>
            <w:pPr>
              <w:ind w:left="20"/>
              <w:spacing w:after="0"/>
              <w:rPr>
                <w:sz w:val="20"/>
                <w:szCs w:val="20"/>
                <w:color w:val="auto"/>
              </w:rPr>
            </w:pPr>
            <w:r>
              <w:rPr>
                <w:rFonts w:ascii="Arial" w:cs="Arial" w:eastAsia="Arial" w:hAnsi="Arial"/>
                <w:sz w:val="18"/>
                <w:szCs w:val="18"/>
                <w:color w:val="auto"/>
                <w:w w:val="99"/>
              </w:rPr>
              <w:t>Rate-reduction bonds, 6.31% to 6.37% at December 31, 2005 payable</w:t>
            </w:r>
          </w:p>
        </w:tc>
        <w:tc>
          <w:tcPr>
            <w:tcW w:w="12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5600" w:type="dxa"/>
            <w:vAlign w:val="bottom"/>
            <w:gridSpan w:val="2"/>
            <w:vMerge w:val="continue"/>
          </w:tcPr>
          <w:p>
            <w:pPr>
              <w:spacing w:after="0"/>
              <w:rPr>
                <w:sz w:val="21"/>
                <w:szCs w:val="21"/>
                <w:color w:val="auto"/>
              </w:rPr>
            </w:pPr>
          </w:p>
        </w:tc>
        <w:tc>
          <w:tcPr>
            <w:tcW w:w="1240" w:type="dxa"/>
            <w:vAlign w:val="bottom"/>
            <w:shd w:val="clear" w:color="auto" w:fill="000000"/>
          </w:tcPr>
          <w:p>
            <w:pPr>
              <w:spacing w:after="0"/>
              <w:rPr>
                <w:sz w:val="21"/>
                <w:szCs w:val="21"/>
                <w:color w:val="auto"/>
              </w:rPr>
            </w:pPr>
          </w:p>
        </w:tc>
        <w:tc>
          <w:tcPr>
            <w:tcW w:w="1080" w:type="dxa"/>
            <w:vAlign w:val="bottom"/>
            <w:shd w:val="clear" w:color="auto" w:fill="000000"/>
          </w:tcPr>
          <w:p>
            <w:pPr>
              <w:spacing w:after="0"/>
              <w:rPr>
                <w:sz w:val="21"/>
                <w:szCs w:val="21"/>
                <w:color w:val="auto"/>
              </w:rPr>
            </w:pPr>
          </w:p>
        </w:tc>
        <w:tc>
          <w:tcPr>
            <w:tcW w:w="0" w:type="dxa"/>
            <w:vAlign w:val="bottom"/>
          </w:tcPr>
          <w:p>
            <w:pPr>
              <w:spacing w:after="0"/>
              <w:rPr>
                <w:sz w:val="1"/>
                <w:szCs w:val="1"/>
                <w:color w:val="auto"/>
              </w:rPr>
            </w:pPr>
          </w:p>
        </w:tc>
      </w:tr>
      <w:tr>
        <w:trPr>
          <w:trHeight w:val="228"/>
        </w:trPr>
        <w:tc>
          <w:tcPr>
            <w:tcW w:w="5600" w:type="dxa"/>
            <w:vAlign w:val="bottom"/>
            <w:gridSpan w:val="2"/>
            <w:vMerge w:val="continue"/>
          </w:tcPr>
          <w:p>
            <w:pPr>
              <w:spacing w:after="0"/>
              <w:rPr>
                <w:sz w:val="19"/>
                <w:szCs w:val="19"/>
                <w:color w:val="auto"/>
              </w:rPr>
            </w:pPr>
          </w:p>
        </w:tc>
        <w:tc>
          <w:tcPr>
            <w:tcW w:w="12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5600" w:type="dxa"/>
            <w:vAlign w:val="bottom"/>
            <w:gridSpan w:val="2"/>
          </w:tcPr>
          <w:p>
            <w:pPr>
              <w:ind w:left="140"/>
              <w:spacing w:after="0"/>
              <w:rPr>
                <w:sz w:val="20"/>
                <w:szCs w:val="20"/>
                <w:color w:val="auto"/>
              </w:rPr>
            </w:pPr>
            <w:r>
              <w:rPr>
                <w:rFonts w:ascii="Arial" w:cs="Arial" w:eastAsia="Arial" w:hAnsi="Arial"/>
                <w:sz w:val="18"/>
                <w:szCs w:val="18"/>
                <w:color w:val="auto"/>
              </w:rPr>
              <w:t>through 2007</w:t>
            </w:r>
          </w:p>
        </w:tc>
        <w:tc>
          <w:tcPr>
            <w:tcW w:w="1240" w:type="dxa"/>
            <w:vAlign w:val="bottom"/>
          </w:tcPr>
          <w:p>
            <w:pPr>
              <w:jc w:val="right"/>
              <w:ind w:right="252"/>
              <w:spacing w:after="0"/>
              <w:rPr>
                <w:sz w:val="20"/>
                <w:szCs w:val="20"/>
                <w:color w:val="auto"/>
              </w:rPr>
            </w:pPr>
            <w:r>
              <w:rPr>
                <w:rFonts w:ascii="Arial" w:cs="Arial" w:eastAsia="Arial" w:hAnsi="Arial"/>
                <w:sz w:val="18"/>
                <w:szCs w:val="18"/>
                <w:color w:val="auto"/>
              </w:rPr>
              <w:t>132</w:t>
            </w: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198</w:t>
            </w:r>
          </w:p>
        </w:tc>
        <w:tc>
          <w:tcPr>
            <w:tcW w:w="0" w:type="dxa"/>
            <w:vAlign w:val="bottom"/>
          </w:tcPr>
          <w:p>
            <w:pPr>
              <w:spacing w:after="0"/>
              <w:rPr>
                <w:sz w:val="1"/>
                <w:szCs w:val="1"/>
                <w:color w:val="auto"/>
              </w:rPr>
            </w:pPr>
          </w:p>
        </w:tc>
      </w:tr>
      <w:tr>
        <w:trPr>
          <w:trHeight w:val="540"/>
        </w:trPr>
        <w:tc>
          <w:tcPr>
            <w:tcW w:w="5600" w:type="dxa"/>
            <w:vAlign w:val="bottom"/>
            <w:gridSpan w:val="2"/>
          </w:tcPr>
          <w:p>
            <w:pPr>
              <w:ind w:left="20"/>
              <w:spacing w:after="0"/>
              <w:rPr>
                <w:sz w:val="20"/>
                <w:szCs w:val="20"/>
                <w:color w:val="auto"/>
              </w:rPr>
            </w:pPr>
            <w:r>
              <w:rPr>
                <w:rFonts w:ascii="Arial" w:cs="Arial" w:eastAsia="Arial" w:hAnsi="Arial"/>
                <w:sz w:val="18"/>
                <w:szCs w:val="18"/>
                <w:color w:val="auto"/>
              </w:rPr>
              <w:t>Other bonds</w:t>
            </w:r>
          </w:p>
        </w:tc>
        <w:tc>
          <w:tcPr>
            <w:tcW w:w="12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540" w:type="dxa"/>
            <w:vAlign w:val="bottom"/>
          </w:tcPr>
          <w:p>
            <w:pPr>
              <w:ind w:left="140"/>
              <w:spacing w:after="0"/>
              <w:rPr>
                <w:sz w:val="20"/>
                <w:szCs w:val="20"/>
                <w:color w:val="auto"/>
              </w:rPr>
            </w:pPr>
            <w:r>
              <w:rPr>
                <w:rFonts w:ascii="Arial" w:cs="Arial" w:eastAsia="Arial" w:hAnsi="Arial"/>
                <w:sz w:val="18"/>
                <w:szCs w:val="18"/>
                <w:color w:val="auto"/>
                <w:w w:val="92"/>
              </w:rPr>
              <w:t>5.9%</w:t>
            </w:r>
          </w:p>
        </w:tc>
        <w:tc>
          <w:tcPr>
            <w:tcW w:w="5060" w:type="dxa"/>
            <w:vAlign w:val="bottom"/>
          </w:tcPr>
          <w:p>
            <w:pPr>
              <w:ind w:left="20"/>
              <w:spacing w:after="0"/>
              <w:rPr>
                <w:sz w:val="20"/>
                <w:szCs w:val="20"/>
                <w:color w:val="auto"/>
              </w:rPr>
            </w:pPr>
            <w:r>
              <w:rPr>
                <w:rFonts w:ascii="Arial" w:cs="Arial" w:eastAsia="Arial" w:hAnsi="Arial"/>
                <w:sz w:val="18"/>
                <w:szCs w:val="18"/>
                <w:color w:val="auto"/>
              </w:rPr>
              <w:t>June 1, 2014</w:t>
            </w:r>
          </w:p>
        </w:tc>
        <w:tc>
          <w:tcPr>
            <w:tcW w:w="1240" w:type="dxa"/>
            <w:vAlign w:val="bottom"/>
          </w:tcPr>
          <w:p>
            <w:pPr>
              <w:jc w:val="right"/>
              <w:ind w:right="252"/>
              <w:spacing w:after="0"/>
              <w:rPr>
                <w:sz w:val="20"/>
                <w:szCs w:val="20"/>
                <w:color w:val="auto"/>
              </w:rPr>
            </w:pPr>
            <w:r>
              <w:rPr>
                <w:rFonts w:ascii="Arial" w:cs="Arial" w:eastAsia="Arial" w:hAnsi="Arial"/>
                <w:sz w:val="18"/>
                <w:szCs w:val="18"/>
                <w:color w:val="auto"/>
              </w:rPr>
              <w:t>130</w:t>
            </w: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270"/>
        </w:trPr>
        <w:tc>
          <w:tcPr>
            <w:tcW w:w="540" w:type="dxa"/>
            <w:vAlign w:val="bottom"/>
          </w:tcPr>
          <w:p>
            <w:pPr>
              <w:ind w:left="140"/>
              <w:spacing w:after="0"/>
              <w:rPr>
                <w:sz w:val="20"/>
                <w:szCs w:val="20"/>
                <w:color w:val="auto"/>
              </w:rPr>
            </w:pPr>
            <w:r>
              <w:rPr>
                <w:rFonts w:ascii="Arial" w:cs="Arial" w:eastAsia="Arial" w:hAnsi="Arial"/>
                <w:sz w:val="18"/>
                <w:szCs w:val="18"/>
                <w:color w:val="auto"/>
                <w:w w:val="92"/>
              </w:rPr>
              <w:t>5.3%</w:t>
            </w:r>
          </w:p>
        </w:tc>
        <w:tc>
          <w:tcPr>
            <w:tcW w:w="5060" w:type="dxa"/>
            <w:vAlign w:val="bottom"/>
          </w:tcPr>
          <w:p>
            <w:pPr>
              <w:ind w:left="20"/>
              <w:spacing w:after="0"/>
              <w:rPr>
                <w:sz w:val="20"/>
                <w:szCs w:val="20"/>
                <w:color w:val="auto"/>
              </w:rPr>
            </w:pPr>
            <w:r>
              <w:rPr>
                <w:rFonts w:ascii="Arial" w:cs="Arial" w:eastAsia="Arial" w:hAnsi="Arial"/>
                <w:sz w:val="18"/>
                <w:szCs w:val="18"/>
                <w:color w:val="auto"/>
              </w:rPr>
              <w:t>July 1, 2021</w:t>
            </w:r>
          </w:p>
        </w:tc>
        <w:tc>
          <w:tcPr>
            <w:tcW w:w="1240" w:type="dxa"/>
            <w:vAlign w:val="bottom"/>
          </w:tcPr>
          <w:p>
            <w:pPr>
              <w:jc w:val="right"/>
              <w:ind w:right="252"/>
              <w:spacing w:after="0"/>
              <w:rPr>
                <w:sz w:val="20"/>
                <w:szCs w:val="20"/>
                <w:color w:val="auto"/>
              </w:rPr>
            </w:pPr>
            <w:r>
              <w:rPr>
                <w:rFonts w:ascii="Arial" w:cs="Arial" w:eastAsia="Arial" w:hAnsi="Arial"/>
                <w:sz w:val="18"/>
                <w:szCs w:val="18"/>
                <w:color w:val="auto"/>
              </w:rPr>
              <w:t>39</w:t>
            </w: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70"/>
        </w:trPr>
        <w:tc>
          <w:tcPr>
            <w:tcW w:w="540" w:type="dxa"/>
            <w:vAlign w:val="bottom"/>
          </w:tcPr>
          <w:p>
            <w:pPr>
              <w:ind w:left="140"/>
              <w:spacing w:after="0"/>
              <w:rPr>
                <w:sz w:val="20"/>
                <w:szCs w:val="20"/>
                <w:color w:val="auto"/>
              </w:rPr>
            </w:pPr>
            <w:r>
              <w:rPr>
                <w:rFonts w:ascii="Arial" w:cs="Arial" w:eastAsia="Arial" w:hAnsi="Arial"/>
                <w:sz w:val="18"/>
                <w:szCs w:val="18"/>
                <w:color w:val="auto"/>
                <w:w w:val="92"/>
              </w:rPr>
              <w:t>5.5%</w:t>
            </w:r>
          </w:p>
        </w:tc>
        <w:tc>
          <w:tcPr>
            <w:tcW w:w="5060" w:type="dxa"/>
            <w:vAlign w:val="bottom"/>
          </w:tcPr>
          <w:p>
            <w:pPr>
              <w:ind w:left="20"/>
              <w:spacing w:after="0"/>
              <w:rPr>
                <w:sz w:val="20"/>
                <w:szCs w:val="20"/>
                <w:color w:val="auto"/>
              </w:rPr>
            </w:pPr>
            <w:r>
              <w:rPr>
                <w:rFonts w:ascii="Arial" w:cs="Arial" w:eastAsia="Arial" w:hAnsi="Arial"/>
                <w:sz w:val="18"/>
                <w:szCs w:val="18"/>
                <w:color w:val="auto"/>
              </w:rPr>
              <w:t>December 1, 2021</w:t>
            </w:r>
          </w:p>
        </w:tc>
        <w:tc>
          <w:tcPr>
            <w:tcW w:w="1240" w:type="dxa"/>
            <w:vAlign w:val="bottom"/>
          </w:tcPr>
          <w:p>
            <w:pPr>
              <w:jc w:val="right"/>
              <w:ind w:right="252"/>
              <w:spacing w:after="0"/>
              <w:rPr>
                <w:sz w:val="20"/>
                <w:szCs w:val="20"/>
                <w:color w:val="auto"/>
              </w:rPr>
            </w:pPr>
            <w:r>
              <w:rPr>
                <w:rFonts w:ascii="Arial" w:cs="Arial" w:eastAsia="Arial" w:hAnsi="Arial"/>
                <w:sz w:val="18"/>
                <w:szCs w:val="18"/>
                <w:color w:val="auto"/>
              </w:rPr>
              <w:t>60</w:t>
            </w: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70"/>
        </w:trPr>
        <w:tc>
          <w:tcPr>
            <w:tcW w:w="540" w:type="dxa"/>
            <w:vAlign w:val="bottom"/>
          </w:tcPr>
          <w:p>
            <w:pPr>
              <w:ind w:left="140"/>
              <w:spacing w:after="0"/>
              <w:rPr>
                <w:sz w:val="20"/>
                <w:szCs w:val="20"/>
                <w:color w:val="auto"/>
              </w:rPr>
            </w:pPr>
            <w:r>
              <w:rPr>
                <w:rFonts w:ascii="Arial" w:cs="Arial" w:eastAsia="Arial" w:hAnsi="Arial"/>
                <w:sz w:val="18"/>
                <w:szCs w:val="18"/>
                <w:color w:val="auto"/>
                <w:w w:val="92"/>
              </w:rPr>
              <w:t>4.9%</w:t>
            </w:r>
          </w:p>
        </w:tc>
        <w:tc>
          <w:tcPr>
            <w:tcW w:w="5060" w:type="dxa"/>
            <w:vAlign w:val="bottom"/>
          </w:tcPr>
          <w:p>
            <w:pPr>
              <w:ind w:left="20"/>
              <w:spacing w:after="0"/>
              <w:rPr>
                <w:sz w:val="20"/>
                <w:szCs w:val="20"/>
                <w:color w:val="auto"/>
              </w:rPr>
            </w:pPr>
            <w:r>
              <w:rPr>
                <w:rFonts w:ascii="Arial" w:cs="Arial" w:eastAsia="Arial" w:hAnsi="Arial"/>
                <w:sz w:val="18"/>
                <w:szCs w:val="18"/>
                <w:color w:val="auto"/>
              </w:rPr>
              <w:t>March 1, 2023</w:t>
            </w:r>
          </w:p>
        </w:tc>
        <w:tc>
          <w:tcPr>
            <w:tcW w:w="1240" w:type="dxa"/>
            <w:vAlign w:val="bottom"/>
          </w:tcPr>
          <w:p>
            <w:pPr>
              <w:jc w:val="right"/>
              <w:ind w:right="252"/>
              <w:spacing w:after="0"/>
              <w:rPr>
                <w:sz w:val="20"/>
                <w:szCs w:val="20"/>
                <w:color w:val="auto"/>
              </w:rPr>
            </w:pPr>
            <w:r>
              <w:rPr>
                <w:rFonts w:ascii="Arial" w:cs="Arial" w:eastAsia="Arial" w:hAnsi="Arial"/>
                <w:sz w:val="18"/>
                <w:szCs w:val="18"/>
                <w:color w:val="auto"/>
              </w:rPr>
              <w:t>25</w:t>
            </w: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43"/>
        </w:trPr>
        <w:tc>
          <w:tcPr>
            <w:tcW w:w="540" w:type="dxa"/>
            <w:vAlign w:val="bottom"/>
          </w:tcPr>
          <w:p>
            <w:pPr>
              <w:spacing w:after="0"/>
              <w:rPr>
                <w:sz w:val="3"/>
                <w:szCs w:val="3"/>
                <w:color w:val="auto"/>
              </w:rPr>
            </w:pPr>
          </w:p>
        </w:tc>
        <w:tc>
          <w:tcPr>
            <w:tcW w:w="5060" w:type="dxa"/>
            <w:vAlign w:val="bottom"/>
          </w:tcPr>
          <w:p>
            <w:pPr>
              <w:spacing w:after="0"/>
              <w:rPr>
                <w:sz w:val="3"/>
                <w:szCs w:val="3"/>
                <w:color w:val="auto"/>
              </w:rPr>
            </w:pPr>
          </w:p>
        </w:tc>
        <w:tc>
          <w:tcPr>
            <w:tcW w:w="12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540" w:type="dxa"/>
            <w:vAlign w:val="bottom"/>
          </w:tcPr>
          <w:p>
            <w:pPr>
              <w:spacing w:after="0"/>
              <w:rPr>
                <w:sz w:val="21"/>
                <w:szCs w:val="21"/>
                <w:color w:val="auto"/>
              </w:rPr>
            </w:pPr>
          </w:p>
        </w:tc>
        <w:tc>
          <w:tcPr>
            <w:tcW w:w="5060" w:type="dxa"/>
            <w:vAlign w:val="bottom"/>
          </w:tcPr>
          <w:p>
            <w:pPr>
              <w:spacing w:after="0"/>
              <w:rPr>
                <w:sz w:val="21"/>
                <w:szCs w:val="21"/>
                <w:color w:val="auto"/>
              </w:rPr>
            </w:pPr>
          </w:p>
        </w:tc>
        <w:tc>
          <w:tcPr>
            <w:tcW w:w="1240" w:type="dxa"/>
            <w:vAlign w:val="bottom"/>
            <w:shd w:val="clear" w:color="auto" w:fill="000000"/>
          </w:tcPr>
          <w:p>
            <w:pPr>
              <w:spacing w:after="0"/>
              <w:rPr>
                <w:sz w:val="21"/>
                <w:szCs w:val="21"/>
                <w:color w:val="auto"/>
              </w:rPr>
            </w:pPr>
          </w:p>
        </w:tc>
        <w:tc>
          <w:tcPr>
            <w:tcW w:w="1080" w:type="dxa"/>
            <w:vAlign w:val="bottom"/>
            <w:shd w:val="clear" w:color="auto" w:fill="000000"/>
          </w:tcPr>
          <w:p>
            <w:pPr>
              <w:spacing w:after="0"/>
              <w:rPr>
                <w:sz w:val="21"/>
                <w:szCs w:val="21"/>
                <w:color w:val="auto"/>
              </w:rPr>
            </w:pPr>
          </w:p>
        </w:tc>
        <w:tc>
          <w:tcPr>
            <w:tcW w:w="0" w:type="dxa"/>
            <w:vAlign w:val="bottom"/>
          </w:tcPr>
          <w:p>
            <w:pPr>
              <w:spacing w:after="0"/>
              <w:rPr>
                <w:sz w:val="1"/>
                <w:szCs w:val="1"/>
                <w:color w:val="auto"/>
              </w:rPr>
            </w:pPr>
          </w:p>
        </w:tc>
      </w:tr>
      <w:tr>
        <w:trPr>
          <w:trHeight w:val="228"/>
        </w:trPr>
        <w:tc>
          <w:tcPr>
            <w:tcW w:w="540" w:type="dxa"/>
            <w:vAlign w:val="bottom"/>
          </w:tcPr>
          <w:p>
            <w:pPr>
              <w:spacing w:after="0"/>
              <w:rPr>
                <w:sz w:val="19"/>
                <w:szCs w:val="19"/>
                <w:color w:val="auto"/>
              </w:rPr>
            </w:pPr>
          </w:p>
        </w:tc>
        <w:tc>
          <w:tcPr>
            <w:tcW w:w="5060" w:type="dxa"/>
            <w:vAlign w:val="bottom"/>
          </w:tcPr>
          <w:p>
            <w:pPr>
              <w:spacing w:after="0"/>
              <w:rPr>
                <w:sz w:val="19"/>
                <w:szCs w:val="19"/>
                <w:color w:val="auto"/>
              </w:rPr>
            </w:pPr>
          </w:p>
        </w:tc>
        <w:tc>
          <w:tcPr>
            <w:tcW w:w="1240" w:type="dxa"/>
            <w:vAlign w:val="bottom"/>
          </w:tcPr>
          <w:p>
            <w:pPr>
              <w:jc w:val="right"/>
              <w:ind w:right="252"/>
              <w:spacing w:after="0"/>
              <w:rPr>
                <w:sz w:val="20"/>
                <w:szCs w:val="20"/>
                <w:color w:val="auto"/>
              </w:rPr>
            </w:pPr>
            <w:r>
              <w:rPr>
                <w:rFonts w:ascii="Arial" w:cs="Arial" w:eastAsia="Arial" w:hAnsi="Arial"/>
                <w:sz w:val="18"/>
                <w:szCs w:val="18"/>
                <w:color w:val="auto"/>
              </w:rPr>
              <w:t>254</w:t>
            </w: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254</w:t>
            </w:r>
          </w:p>
        </w:tc>
        <w:tc>
          <w:tcPr>
            <w:tcW w:w="0" w:type="dxa"/>
            <w:vAlign w:val="bottom"/>
          </w:tcPr>
          <w:p>
            <w:pPr>
              <w:spacing w:after="0"/>
              <w:rPr>
                <w:sz w:val="1"/>
                <w:szCs w:val="1"/>
                <w:color w:val="auto"/>
              </w:rPr>
            </w:pPr>
          </w:p>
        </w:tc>
      </w:tr>
      <w:tr>
        <w:trPr>
          <w:trHeight w:val="43"/>
        </w:trPr>
        <w:tc>
          <w:tcPr>
            <w:tcW w:w="540" w:type="dxa"/>
            <w:vAlign w:val="bottom"/>
          </w:tcPr>
          <w:p>
            <w:pPr>
              <w:spacing w:after="0"/>
              <w:rPr>
                <w:sz w:val="3"/>
                <w:szCs w:val="3"/>
                <w:color w:val="auto"/>
              </w:rPr>
            </w:pPr>
          </w:p>
        </w:tc>
        <w:tc>
          <w:tcPr>
            <w:tcW w:w="5060" w:type="dxa"/>
            <w:vAlign w:val="bottom"/>
          </w:tcPr>
          <w:p>
            <w:pPr>
              <w:spacing w:after="0"/>
              <w:rPr>
                <w:sz w:val="3"/>
                <w:szCs w:val="3"/>
                <w:color w:val="auto"/>
              </w:rPr>
            </w:pPr>
          </w:p>
        </w:tc>
        <w:tc>
          <w:tcPr>
            <w:tcW w:w="12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540" w:type="dxa"/>
            <w:vAlign w:val="bottom"/>
          </w:tcPr>
          <w:p>
            <w:pPr>
              <w:spacing w:after="0"/>
              <w:rPr>
                <w:sz w:val="21"/>
                <w:szCs w:val="21"/>
                <w:color w:val="auto"/>
              </w:rPr>
            </w:pPr>
          </w:p>
        </w:tc>
        <w:tc>
          <w:tcPr>
            <w:tcW w:w="5060" w:type="dxa"/>
            <w:vAlign w:val="bottom"/>
          </w:tcPr>
          <w:p>
            <w:pPr>
              <w:spacing w:after="0"/>
              <w:rPr>
                <w:sz w:val="21"/>
                <w:szCs w:val="21"/>
                <w:color w:val="auto"/>
              </w:rPr>
            </w:pPr>
          </w:p>
        </w:tc>
        <w:tc>
          <w:tcPr>
            <w:tcW w:w="1240" w:type="dxa"/>
            <w:vAlign w:val="bottom"/>
            <w:shd w:val="clear" w:color="auto" w:fill="000000"/>
          </w:tcPr>
          <w:p>
            <w:pPr>
              <w:spacing w:after="0"/>
              <w:rPr>
                <w:sz w:val="21"/>
                <w:szCs w:val="21"/>
                <w:color w:val="auto"/>
              </w:rPr>
            </w:pPr>
          </w:p>
        </w:tc>
        <w:tc>
          <w:tcPr>
            <w:tcW w:w="1080" w:type="dxa"/>
            <w:vAlign w:val="bottom"/>
            <w:shd w:val="clear" w:color="auto" w:fill="000000"/>
          </w:tcPr>
          <w:p>
            <w:pPr>
              <w:spacing w:after="0"/>
              <w:rPr>
                <w:sz w:val="21"/>
                <w:szCs w:val="21"/>
                <w:color w:val="auto"/>
              </w:rPr>
            </w:pPr>
          </w:p>
        </w:tc>
        <w:tc>
          <w:tcPr>
            <w:tcW w:w="0" w:type="dxa"/>
            <w:vAlign w:val="bottom"/>
          </w:tcPr>
          <w:p>
            <w:pPr>
              <w:spacing w:after="0"/>
              <w:rPr>
                <w:sz w:val="1"/>
                <w:szCs w:val="1"/>
                <w:color w:val="auto"/>
              </w:rPr>
            </w:pPr>
          </w:p>
        </w:tc>
      </w:tr>
      <w:tr>
        <w:trPr>
          <w:trHeight w:val="228"/>
        </w:trPr>
        <w:tc>
          <w:tcPr>
            <w:tcW w:w="540" w:type="dxa"/>
            <w:vAlign w:val="bottom"/>
          </w:tcPr>
          <w:p>
            <w:pPr>
              <w:spacing w:after="0"/>
              <w:rPr>
                <w:sz w:val="19"/>
                <w:szCs w:val="19"/>
                <w:color w:val="auto"/>
              </w:rPr>
            </w:pPr>
          </w:p>
        </w:tc>
        <w:tc>
          <w:tcPr>
            <w:tcW w:w="5060" w:type="dxa"/>
            <w:vAlign w:val="bottom"/>
          </w:tcPr>
          <w:p>
            <w:pPr>
              <w:spacing w:after="0"/>
              <w:rPr>
                <w:sz w:val="19"/>
                <w:szCs w:val="19"/>
                <w:color w:val="auto"/>
              </w:rPr>
            </w:pPr>
          </w:p>
        </w:tc>
        <w:tc>
          <w:tcPr>
            <w:tcW w:w="1240" w:type="dxa"/>
            <w:vAlign w:val="bottom"/>
          </w:tcPr>
          <w:p>
            <w:pPr>
              <w:jc w:val="right"/>
              <w:ind w:right="252"/>
              <w:spacing w:after="0"/>
              <w:rPr>
                <w:sz w:val="20"/>
                <w:szCs w:val="20"/>
                <w:color w:val="auto"/>
              </w:rPr>
            </w:pPr>
            <w:r>
              <w:rPr>
                <w:rFonts w:ascii="Arial" w:cs="Arial" w:eastAsia="Arial" w:hAnsi="Arial"/>
                <w:sz w:val="18"/>
                <w:szCs w:val="18"/>
                <w:color w:val="auto"/>
              </w:rPr>
              <w:t>1,522</w:t>
            </w: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1,088</w:t>
            </w:r>
          </w:p>
        </w:tc>
        <w:tc>
          <w:tcPr>
            <w:tcW w:w="0" w:type="dxa"/>
            <w:vAlign w:val="bottom"/>
          </w:tcPr>
          <w:p>
            <w:pPr>
              <w:spacing w:after="0"/>
              <w:rPr>
                <w:sz w:val="1"/>
                <w:szCs w:val="1"/>
                <w:color w:val="auto"/>
              </w:rPr>
            </w:pPr>
          </w:p>
        </w:tc>
      </w:tr>
      <w:tr>
        <w:trPr>
          <w:trHeight w:val="540"/>
        </w:trPr>
        <w:tc>
          <w:tcPr>
            <w:tcW w:w="5600" w:type="dxa"/>
            <w:vAlign w:val="bottom"/>
            <w:gridSpan w:val="2"/>
          </w:tcPr>
          <w:p>
            <w:pPr>
              <w:ind w:left="20"/>
              <w:spacing w:after="0"/>
              <w:rPr>
                <w:sz w:val="20"/>
                <w:szCs w:val="20"/>
                <w:color w:val="auto"/>
              </w:rPr>
            </w:pPr>
            <w:r>
              <w:rPr>
                <w:rFonts w:ascii="Arial" w:cs="Arial" w:eastAsia="Arial" w:hAnsi="Arial"/>
                <w:sz w:val="18"/>
                <w:szCs w:val="18"/>
                <w:color w:val="auto"/>
              </w:rPr>
              <w:t>Current portion of long-term debt</w:t>
            </w:r>
          </w:p>
        </w:tc>
        <w:tc>
          <w:tcPr>
            <w:tcW w:w="1240" w:type="dxa"/>
            <w:vAlign w:val="bottom"/>
          </w:tcPr>
          <w:p>
            <w:pPr>
              <w:jc w:val="right"/>
              <w:ind w:right="172"/>
              <w:spacing w:after="0"/>
              <w:rPr>
                <w:sz w:val="20"/>
                <w:szCs w:val="20"/>
                <w:color w:val="auto"/>
              </w:rPr>
            </w:pPr>
            <w:r>
              <w:rPr>
                <w:rFonts w:ascii="Arial" w:cs="Arial" w:eastAsia="Arial" w:hAnsi="Arial"/>
                <w:sz w:val="18"/>
                <w:szCs w:val="18"/>
                <w:color w:val="auto"/>
              </w:rPr>
              <w:t>(66 )</w:t>
            </w:r>
          </w:p>
        </w:tc>
        <w:tc>
          <w:tcPr>
            <w:tcW w:w="1080" w:type="dxa"/>
            <w:vAlign w:val="bottom"/>
          </w:tcPr>
          <w:p>
            <w:pPr>
              <w:jc w:val="right"/>
              <w:spacing w:after="0"/>
              <w:rPr>
                <w:sz w:val="20"/>
                <w:szCs w:val="20"/>
                <w:color w:val="auto"/>
              </w:rPr>
            </w:pPr>
            <w:r>
              <w:rPr>
                <w:rFonts w:ascii="Arial" w:cs="Arial" w:eastAsia="Arial" w:hAnsi="Arial"/>
                <w:sz w:val="18"/>
                <w:szCs w:val="18"/>
                <w:color w:val="auto"/>
              </w:rPr>
              <w:t>(66 )</w:t>
            </w:r>
          </w:p>
        </w:tc>
        <w:tc>
          <w:tcPr>
            <w:tcW w:w="0" w:type="dxa"/>
            <w:vAlign w:val="bottom"/>
          </w:tcPr>
          <w:p>
            <w:pPr>
              <w:spacing w:after="0"/>
              <w:rPr>
                <w:sz w:val="1"/>
                <w:szCs w:val="1"/>
                <w:color w:val="auto"/>
              </w:rPr>
            </w:pPr>
          </w:p>
        </w:tc>
      </w:tr>
      <w:tr>
        <w:trPr>
          <w:trHeight w:val="270"/>
        </w:trPr>
        <w:tc>
          <w:tcPr>
            <w:tcW w:w="5600" w:type="dxa"/>
            <w:vAlign w:val="bottom"/>
            <w:gridSpan w:val="2"/>
          </w:tcPr>
          <w:p>
            <w:pPr>
              <w:ind w:left="20"/>
              <w:spacing w:after="0"/>
              <w:rPr>
                <w:sz w:val="20"/>
                <w:szCs w:val="20"/>
                <w:color w:val="auto"/>
              </w:rPr>
            </w:pPr>
            <w:r>
              <w:rPr>
                <w:rFonts w:ascii="Arial" w:cs="Arial" w:eastAsia="Arial" w:hAnsi="Arial"/>
                <w:sz w:val="18"/>
                <w:szCs w:val="18"/>
                <w:color w:val="auto"/>
              </w:rPr>
              <w:t>Unamortized discount on long-term debt</w:t>
            </w:r>
          </w:p>
        </w:tc>
        <w:tc>
          <w:tcPr>
            <w:tcW w:w="1240" w:type="dxa"/>
            <w:vAlign w:val="bottom"/>
          </w:tcPr>
          <w:p>
            <w:pPr>
              <w:jc w:val="right"/>
              <w:ind w:right="172"/>
              <w:spacing w:after="0"/>
              <w:rPr>
                <w:sz w:val="20"/>
                <w:szCs w:val="20"/>
                <w:color w:val="auto"/>
              </w:rPr>
            </w:pPr>
            <w:r>
              <w:rPr>
                <w:rFonts w:ascii="Arial" w:cs="Arial" w:eastAsia="Arial" w:hAnsi="Arial"/>
                <w:sz w:val="18"/>
                <w:szCs w:val="18"/>
                <w:color w:val="auto"/>
              </w:rPr>
              <w:t>(1 )</w:t>
            </w: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3"/>
        </w:trPr>
        <w:tc>
          <w:tcPr>
            <w:tcW w:w="540" w:type="dxa"/>
            <w:vAlign w:val="bottom"/>
            <w:vMerge w:val="restart"/>
          </w:tcPr>
          <w:p>
            <w:pPr>
              <w:ind w:left="20"/>
              <w:spacing w:after="0"/>
              <w:rPr>
                <w:sz w:val="20"/>
                <w:szCs w:val="20"/>
                <w:color w:val="auto"/>
              </w:rPr>
            </w:pPr>
            <w:r>
              <w:rPr>
                <w:rFonts w:ascii="Arial" w:cs="Arial" w:eastAsia="Arial" w:hAnsi="Arial"/>
                <w:sz w:val="18"/>
                <w:szCs w:val="18"/>
                <w:color w:val="auto"/>
              </w:rPr>
              <w:t>Total</w:t>
            </w:r>
          </w:p>
        </w:tc>
        <w:tc>
          <w:tcPr>
            <w:tcW w:w="5060" w:type="dxa"/>
            <w:vAlign w:val="bottom"/>
          </w:tcPr>
          <w:p>
            <w:pPr>
              <w:spacing w:after="0"/>
              <w:rPr>
                <w:sz w:val="3"/>
                <w:szCs w:val="3"/>
                <w:color w:val="auto"/>
              </w:rPr>
            </w:pPr>
          </w:p>
        </w:tc>
        <w:tc>
          <w:tcPr>
            <w:tcW w:w="12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540" w:type="dxa"/>
            <w:vAlign w:val="bottom"/>
            <w:vMerge w:val="continue"/>
          </w:tcPr>
          <w:p>
            <w:pPr>
              <w:spacing w:after="0"/>
              <w:rPr>
                <w:sz w:val="21"/>
                <w:szCs w:val="21"/>
                <w:color w:val="auto"/>
              </w:rPr>
            </w:pPr>
          </w:p>
        </w:tc>
        <w:tc>
          <w:tcPr>
            <w:tcW w:w="5060" w:type="dxa"/>
            <w:vAlign w:val="bottom"/>
          </w:tcPr>
          <w:p>
            <w:pPr>
              <w:spacing w:after="0"/>
              <w:rPr>
                <w:sz w:val="21"/>
                <w:szCs w:val="21"/>
                <w:color w:val="auto"/>
              </w:rPr>
            </w:pPr>
          </w:p>
        </w:tc>
        <w:tc>
          <w:tcPr>
            <w:tcW w:w="1240" w:type="dxa"/>
            <w:vAlign w:val="bottom"/>
            <w:shd w:val="clear" w:color="auto" w:fill="000000"/>
          </w:tcPr>
          <w:p>
            <w:pPr>
              <w:spacing w:after="0"/>
              <w:rPr>
                <w:sz w:val="21"/>
                <w:szCs w:val="21"/>
                <w:color w:val="auto"/>
              </w:rPr>
            </w:pPr>
          </w:p>
        </w:tc>
        <w:tc>
          <w:tcPr>
            <w:tcW w:w="1080" w:type="dxa"/>
            <w:vAlign w:val="bottom"/>
            <w:shd w:val="clear" w:color="auto" w:fill="000000"/>
          </w:tcPr>
          <w:p>
            <w:pPr>
              <w:spacing w:after="0"/>
              <w:rPr>
                <w:sz w:val="21"/>
                <w:szCs w:val="21"/>
                <w:color w:val="auto"/>
              </w:rPr>
            </w:pPr>
          </w:p>
        </w:tc>
        <w:tc>
          <w:tcPr>
            <w:tcW w:w="0" w:type="dxa"/>
            <w:vAlign w:val="bottom"/>
          </w:tcPr>
          <w:p>
            <w:pPr>
              <w:spacing w:after="0"/>
              <w:rPr>
                <w:sz w:val="1"/>
                <w:szCs w:val="1"/>
                <w:color w:val="auto"/>
              </w:rPr>
            </w:pPr>
          </w:p>
        </w:tc>
      </w:tr>
      <w:tr>
        <w:trPr>
          <w:trHeight w:val="228"/>
        </w:trPr>
        <w:tc>
          <w:tcPr>
            <w:tcW w:w="540" w:type="dxa"/>
            <w:vAlign w:val="bottom"/>
            <w:vMerge w:val="continue"/>
          </w:tcPr>
          <w:p>
            <w:pPr>
              <w:spacing w:after="0"/>
              <w:rPr>
                <w:sz w:val="19"/>
                <w:szCs w:val="19"/>
                <w:color w:val="auto"/>
              </w:rPr>
            </w:pPr>
          </w:p>
        </w:tc>
        <w:tc>
          <w:tcPr>
            <w:tcW w:w="5060" w:type="dxa"/>
            <w:vAlign w:val="bottom"/>
          </w:tcPr>
          <w:p>
            <w:pPr>
              <w:spacing w:after="0"/>
              <w:rPr>
                <w:sz w:val="19"/>
                <w:szCs w:val="19"/>
                <w:color w:val="auto"/>
              </w:rPr>
            </w:pPr>
          </w:p>
        </w:tc>
        <w:tc>
          <w:tcPr>
            <w:tcW w:w="1240" w:type="dxa"/>
            <w:vAlign w:val="bottom"/>
          </w:tcPr>
          <w:p>
            <w:pPr>
              <w:jc w:val="right"/>
              <w:ind w:right="252"/>
              <w:spacing w:after="0"/>
              <w:rPr>
                <w:sz w:val="20"/>
                <w:szCs w:val="20"/>
                <w:color w:val="auto"/>
              </w:rPr>
            </w:pPr>
            <w:r>
              <w:rPr>
                <w:rFonts w:ascii="Arial" w:cs="Arial" w:eastAsia="Arial" w:hAnsi="Arial"/>
                <w:sz w:val="18"/>
                <w:szCs w:val="18"/>
                <w:color w:val="auto"/>
              </w:rPr>
              <w:t>$  1,455</w:t>
            </w: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   1,022</w:t>
            </w:r>
          </w:p>
        </w:tc>
        <w:tc>
          <w:tcPr>
            <w:tcW w:w="0" w:type="dxa"/>
            <w:vAlign w:val="bottom"/>
          </w:tcPr>
          <w:p>
            <w:pPr>
              <w:spacing w:after="0"/>
              <w:rPr>
                <w:sz w:val="1"/>
                <w:szCs w:val="1"/>
                <w:color w:val="auto"/>
              </w:rPr>
            </w:pPr>
          </w:p>
        </w:tc>
      </w:tr>
      <w:tr>
        <w:trPr>
          <w:trHeight w:val="43"/>
        </w:trPr>
        <w:tc>
          <w:tcPr>
            <w:tcW w:w="540" w:type="dxa"/>
            <w:vAlign w:val="bottom"/>
          </w:tcPr>
          <w:p>
            <w:pPr>
              <w:spacing w:after="0"/>
              <w:rPr>
                <w:sz w:val="3"/>
                <w:szCs w:val="3"/>
                <w:color w:val="auto"/>
              </w:rPr>
            </w:pPr>
          </w:p>
        </w:tc>
        <w:tc>
          <w:tcPr>
            <w:tcW w:w="5060" w:type="dxa"/>
            <w:vAlign w:val="bottom"/>
          </w:tcPr>
          <w:p>
            <w:pPr>
              <w:spacing w:after="0"/>
              <w:rPr>
                <w:sz w:val="3"/>
                <w:szCs w:val="3"/>
                <w:color w:val="auto"/>
              </w:rPr>
            </w:pPr>
          </w:p>
        </w:tc>
        <w:tc>
          <w:tcPr>
            <w:tcW w:w="12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540" w:type="dxa"/>
            <w:vAlign w:val="bottom"/>
            <w:shd w:val="clear" w:color="auto" w:fill="000000"/>
          </w:tcPr>
          <w:p>
            <w:pPr>
              <w:spacing w:after="0"/>
              <w:rPr>
                <w:sz w:val="21"/>
                <w:szCs w:val="21"/>
                <w:color w:val="auto"/>
              </w:rPr>
            </w:pPr>
          </w:p>
        </w:tc>
        <w:tc>
          <w:tcPr>
            <w:tcW w:w="5060" w:type="dxa"/>
            <w:vAlign w:val="bottom"/>
            <w:shd w:val="clear" w:color="auto" w:fill="000000"/>
          </w:tcPr>
          <w:p>
            <w:pPr>
              <w:spacing w:after="0"/>
              <w:rPr>
                <w:sz w:val="21"/>
                <w:szCs w:val="21"/>
                <w:color w:val="auto"/>
              </w:rPr>
            </w:pPr>
          </w:p>
        </w:tc>
        <w:tc>
          <w:tcPr>
            <w:tcW w:w="1240" w:type="dxa"/>
            <w:vAlign w:val="bottom"/>
            <w:shd w:val="clear" w:color="auto" w:fill="000000"/>
          </w:tcPr>
          <w:p>
            <w:pPr>
              <w:spacing w:after="0"/>
              <w:rPr>
                <w:sz w:val="21"/>
                <w:szCs w:val="21"/>
                <w:color w:val="auto"/>
              </w:rPr>
            </w:pPr>
          </w:p>
        </w:tc>
        <w:tc>
          <w:tcPr>
            <w:tcW w:w="1080" w:type="dxa"/>
            <w:vAlign w:val="bottom"/>
            <w:shd w:val="clear" w:color="auto" w:fill="000000"/>
          </w:tcPr>
          <w:p>
            <w:pPr>
              <w:spacing w:after="0"/>
              <w:rPr>
                <w:sz w:val="21"/>
                <w:szCs w:val="21"/>
                <w:color w:val="auto"/>
              </w:rPr>
            </w:pPr>
          </w:p>
        </w:tc>
        <w:tc>
          <w:tcPr>
            <w:tcW w:w="0" w:type="dxa"/>
            <w:vAlign w:val="bottom"/>
          </w:tcPr>
          <w:p>
            <w:pPr>
              <w:spacing w:after="0"/>
              <w:rPr>
                <w:sz w:val="1"/>
                <w:szCs w:val="1"/>
                <w:color w:val="auto"/>
              </w:rPr>
            </w:pPr>
          </w:p>
        </w:tc>
      </w:tr>
    </w:tbl>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 After floating-to-fixed rate swaps expiring in 2009.</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22"/>
          <w:szCs w:val="22"/>
          <w:color w:val="auto"/>
        </w:rPr>
        <w:t>Maturities of long-term debt are:</w:t>
      </w:r>
    </w:p>
    <w:p>
      <w:pPr>
        <w:spacing w:after="0" w:line="260"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(Dollars in millions)</w:t>
      </w:r>
    </w:p>
    <w:p>
      <w:pPr>
        <w:spacing w:after="0" w:line="35" w:lineRule="exact"/>
        <w:rPr>
          <w:sz w:val="20"/>
          <w:szCs w:val="20"/>
          <w:color w:val="auto"/>
        </w:rPr>
      </w:pPr>
    </w:p>
    <w:tbl>
      <w:tblPr>
        <w:tblLayout w:type="fixed"/>
        <w:tblInd w:w="1820" w:type="dxa"/>
        <w:tblCellMar>
          <w:top w:w="0" w:type="dxa"/>
          <w:left w:w="0" w:type="dxa"/>
          <w:bottom w:w="0" w:type="dxa"/>
          <w:right w:w="0" w:type="dxa"/>
        </w:tblCellMar>
      </w:tblPr>
      <w:tr>
        <w:trPr>
          <w:trHeight w:val="239"/>
        </w:trPr>
        <w:tc>
          <w:tcPr>
            <w:tcW w:w="7120" w:type="dxa"/>
            <w:vAlign w:val="bottom"/>
            <w:shd w:val="clear" w:color="auto" w:fill="000000"/>
          </w:tcPr>
          <w:p>
            <w:pPr>
              <w:spacing w:after="0"/>
              <w:rPr>
                <w:sz w:val="20"/>
                <w:szCs w:val="20"/>
                <w:color w:val="auto"/>
              </w:rPr>
            </w:pPr>
          </w:p>
        </w:tc>
        <w:tc>
          <w:tcPr>
            <w:tcW w:w="180" w:type="dxa"/>
            <w:vAlign w:val="bottom"/>
            <w:shd w:val="clear" w:color="auto" w:fill="000000"/>
          </w:tcPr>
          <w:p>
            <w:pPr>
              <w:spacing w:after="0"/>
              <w:rPr>
                <w:sz w:val="20"/>
                <w:szCs w:val="20"/>
                <w:color w:val="auto"/>
              </w:rPr>
            </w:pPr>
          </w:p>
        </w:tc>
        <w:tc>
          <w:tcPr>
            <w:tcW w:w="500" w:type="dxa"/>
            <w:vAlign w:val="bottom"/>
            <w:shd w:val="clear" w:color="auto" w:fill="000000"/>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7120" w:type="dxa"/>
            <w:vAlign w:val="bottom"/>
          </w:tcPr>
          <w:p>
            <w:pPr>
              <w:ind w:left="20"/>
              <w:spacing w:after="0"/>
              <w:rPr>
                <w:sz w:val="20"/>
                <w:szCs w:val="20"/>
                <w:color w:val="auto"/>
              </w:rPr>
            </w:pPr>
            <w:r>
              <w:rPr>
                <w:rFonts w:ascii="Arial" w:cs="Arial" w:eastAsia="Arial" w:hAnsi="Arial"/>
                <w:sz w:val="18"/>
                <w:szCs w:val="18"/>
                <w:color w:val="auto"/>
              </w:rPr>
              <w:t>2006</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70"/>
        </w:trPr>
        <w:tc>
          <w:tcPr>
            <w:tcW w:w="7120" w:type="dxa"/>
            <w:vAlign w:val="bottom"/>
          </w:tcPr>
          <w:p>
            <w:pPr>
              <w:ind w:left="20"/>
              <w:spacing w:after="0"/>
              <w:rPr>
                <w:sz w:val="20"/>
                <w:szCs w:val="20"/>
                <w:color w:val="auto"/>
              </w:rPr>
            </w:pPr>
            <w:r>
              <w:rPr>
                <w:rFonts w:ascii="Arial" w:cs="Arial" w:eastAsia="Arial" w:hAnsi="Arial"/>
                <w:sz w:val="18"/>
                <w:szCs w:val="18"/>
                <w:color w:val="auto"/>
              </w:rPr>
              <w:t>2007</w:t>
            </w:r>
          </w:p>
        </w:tc>
        <w:tc>
          <w:tcPr>
            <w:tcW w:w="180" w:type="dxa"/>
            <w:vAlign w:val="bottom"/>
          </w:tcPr>
          <w:p>
            <w:pPr>
              <w:spacing w:after="0"/>
              <w:rPr>
                <w:sz w:val="23"/>
                <w:szCs w:val="23"/>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70"/>
        </w:trPr>
        <w:tc>
          <w:tcPr>
            <w:tcW w:w="7120" w:type="dxa"/>
            <w:vAlign w:val="bottom"/>
          </w:tcPr>
          <w:p>
            <w:pPr>
              <w:ind w:left="20"/>
              <w:spacing w:after="0"/>
              <w:rPr>
                <w:sz w:val="20"/>
                <w:szCs w:val="20"/>
                <w:color w:val="auto"/>
              </w:rPr>
            </w:pPr>
            <w:r>
              <w:rPr>
                <w:rFonts w:ascii="Arial" w:cs="Arial" w:eastAsia="Arial" w:hAnsi="Arial"/>
                <w:sz w:val="18"/>
                <w:szCs w:val="18"/>
                <w:color w:val="auto"/>
              </w:rPr>
              <w:t>2008</w:t>
            </w:r>
          </w:p>
        </w:tc>
        <w:tc>
          <w:tcPr>
            <w:tcW w:w="180" w:type="dxa"/>
            <w:vAlign w:val="bottom"/>
          </w:tcPr>
          <w:p>
            <w:pPr>
              <w:spacing w:after="0"/>
              <w:rPr>
                <w:sz w:val="23"/>
                <w:szCs w:val="23"/>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7120" w:type="dxa"/>
            <w:vAlign w:val="bottom"/>
          </w:tcPr>
          <w:p>
            <w:pPr>
              <w:ind w:left="20"/>
              <w:spacing w:after="0"/>
              <w:rPr>
                <w:sz w:val="20"/>
                <w:szCs w:val="20"/>
                <w:color w:val="auto"/>
              </w:rPr>
            </w:pPr>
            <w:r>
              <w:rPr>
                <w:rFonts w:ascii="Arial" w:cs="Arial" w:eastAsia="Arial" w:hAnsi="Arial"/>
                <w:sz w:val="18"/>
                <w:szCs w:val="18"/>
                <w:color w:val="auto"/>
              </w:rPr>
              <w:t>2009</w:t>
            </w:r>
          </w:p>
        </w:tc>
        <w:tc>
          <w:tcPr>
            <w:tcW w:w="180" w:type="dxa"/>
            <w:vAlign w:val="bottom"/>
          </w:tcPr>
          <w:p>
            <w:pPr>
              <w:spacing w:after="0"/>
              <w:rPr>
                <w:sz w:val="23"/>
                <w:szCs w:val="23"/>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7120" w:type="dxa"/>
            <w:vAlign w:val="bottom"/>
          </w:tcPr>
          <w:p>
            <w:pPr>
              <w:ind w:left="20"/>
              <w:spacing w:after="0"/>
              <w:rPr>
                <w:sz w:val="20"/>
                <w:szCs w:val="20"/>
                <w:color w:val="auto"/>
              </w:rPr>
            </w:pPr>
            <w:r>
              <w:rPr>
                <w:rFonts w:ascii="Arial" w:cs="Arial" w:eastAsia="Arial" w:hAnsi="Arial"/>
                <w:sz w:val="18"/>
                <w:szCs w:val="18"/>
                <w:color w:val="auto"/>
              </w:rPr>
              <w:t>2010</w:t>
            </w:r>
          </w:p>
        </w:tc>
        <w:tc>
          <w:tcPr>
            <w:tcW w:w="180" w:type="dxa"/>
            <w:vAlign w:val="bottom"/>
          </w:tcPr>
          <w:p>
            <w:pPr>
              <w:spacing w:after="0"/>
              <w:rPr>
                <w:sz w:val="23"/>
                <w:szCs w:val="23"/>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7120" w:type="dxa"/>
            <w:vAlign w:val="bottom"/>
          </w:tcPr>
          <w:p>
            <w:pPr>
              <w:ind w:left="20"/>
              <w:spacing w:after="0"/>
              <w:rPr>
                <w:sz w:val="20"/>
                <w:szCs w:val="20"/>
                <w:color w:val="auto"/>
              </w:rPr>
            </w:pPr>
            <w:r>
              <w:rPr>
                <w:rFonts w:ascii="Arial" w:cs="Arial" w:eastAsia="Arial" w:hAnsi="Arial"/>
                <w:sz w:val="18"/>
                <w:szCs w:val="18"/>
                <w:color w:val="auto"/>
              </w:rPr>
              <w:t>Thereafter</w:t>
            </w:r>
          </w:p>
        </w:tc>
        <w:tc>
          <w:tcPr>
            <w:tcW w:w="180" w:type="dxa"/>
            <w:vAlign w:val="bottom"/>
          </w:tcPr>
          <w:p>
            <w:pPr>
              <w:spacing w:after="0"/>
              <w:rPr>
                <w:sz w:val="23"/>
                <w:szCs w:val="23"/>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1,390</w:t>
            </w:r>
          </w:p>
        </w:tc>
        <w:tc>
          <w:tcPr>
            <w:tcW w:w="0" w:type="dxa"/>
            <w:vAlign w:val="bottom"/>
          </w:tcPr>
          <w:p>
            <w:pPr>
              <w:spacing w:after="0"/>
              <w:rPr>
                <w:sz w:val="1"/>
                <w:szCs w:val="1"/>
                <w:color w:val="auto"/>
              </w:rPr>
            </w:pPr>
          </w:p>
        </w:tc>
      </w:tr>
      <w:tr>
        <w:trPr>
          <w:trHeight w:val="259"/>
        </w:trPr>
        <w:tc>
          <w:tcPr>
            <w:tcW w:w="7120" w:type="dxa"/>
            <w:vAlign w:val="bottom"/>
            <w:vMerge w:val="restart"/>
          </w:tcPr>
          <w:p>
            <w:pPr>
              <w:ind w:left="20"/>
              <w:spacing w:after="0"/>
              <w:rPr>
                <w:sz w:val="20"/>
                <w:szCs w:val="20"/>
                <w:color w:val="auto"/>
              </w:rPr>
            </w:pPr>
            <w:r>
              <w:rPr>
                <w:rFonts w:ascii="Arial" w:cs="Arial" w:eastAsia="Arial" w:hAnsi="Arial"/>
                <w:sz w:val="18"/>
                <w:szCs w:val="18"/>
                <w:color w:val="auto"/>
              </w:rPr>
              <w:t>Total</w:t>
            </w:r>
          </w:p>
        </w:tc>
        <w:tc>
          <w:tcPr>
            <w:tcW w:w="180" w:type="dxa"/>
            <w:vAlign w:val="bottom"/>
            <w:shd w:val="clear" w:color="auto" w:fill="000000"/>
          </w:tcPr>
          <w:p>
            <w:pPr>
              <w:spacing w:after="0"/>
              <w:rPr>
                <w:sz w:val="22"/>
                <w:szCs w:val="22"/>
                <w:color w:val="auto"/>
              </w:rPr>
            </w:pPr>
          </w:p>
        </w:tc>
        <w:tc>
          <w:tcPr>
            <w:tcW w:w="500" w:type="dxa"/>
            <w:vAlign w:val="bottom"/>
            <w:shd w:val="clear" w:color="auto" w:fill="000000"/>
          </w:tcPr>
          <w:p>
            <w:pPr>
              <w:spacing w:after="0"/>
              <w:rPr>
                <w:sz w:val="22"/>
                <w:szCs w:val="22"/>
                <w:color w:val="auto"/>
              </w:rPr>
            </w:pPr>
          </w:p>
        </w:tc>
        <w:tc>
          <w:tcPr>
            <w:tcW w:w="0" w:type="dxa"/>
            <w:vAlign w:val="bottom"/>
          </w:tcPr>
          <w:p>
            <w:pPr>
              <w:spacing w:after="0"/>
              <w:rPr>
                <w:sz w:val="1"/>
                <w:szCs w:val="1"/>
                <w:color w:val="auto"/>
              </w:rPr>
            </w:pPr>
          </w:p>
        </w:tc>
      </w:tr>
      <w:tr>
        <w:trPr>
          <w:trHeight w:val="235"/>
        </w:trPr>
        <w:tc>
          <w:tcPr>
            <w:tcW w:w="7120" w:type="dxa"/>
            <w:vAlign w:val="bottom"/>
            <w:vMerge w:val="continue"/>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1,522</w:t>
            </w:r>
          </w:p>
        </w:tc>
        <w:tc>
          <w:tcPr>
            <w:tcW w:w="0" w:type="dxa"/>
            <w:vAlign w:val="bottom"/>
          </w:tcPr>
          <w:p>
            <w:pPr>
              <w:spacing w:after="0"/>
              <w:rPr>
                <w:sz w:val="1"/>
                <w:szCs w:val="1"/>
                <w:color w:val="auto"/>
              </w:rPr>
            </w:pPr>
          </w:p>
        </w:tc>
      </w:tr>
      <w:tr>
        <w:trPr>
          <w:trHeight w:val="251"/>
        </w:trPr>
        <w:tc>
          <w:tcPr>
            <w:tcW w:w="7120" w:type="dxa"/>
            <w:vAlign w:val="bottom"/>
            <w:shd w:val="clear" w:color="auto" w:fill="000000"/>
          </w:tcPr>
          <w:p>
            <w:pPr>
              <w:spacing w:after="0"/>
              <w:rPr>
                <w:sz w:val="21"/>
                <w:szCs w:val="21"/>
                <w:color w:val="auto"/>
              </w:rPr>
            </w:pPr>
          </w:p>
        </w:tc>
        <w:tc>
          <w:tcPr>
            <w:tcW w:w="180" w:type="dxa"/>
            <w:vAlign w:val="bottom"/>
            <w:shd w:val="clear" w:color="auto" w:fill="000000"/>
          </w:tcPr>
          <w:p>
            <w:pPr>
              <w:spacing w:after="0"/>
              <w:rPr>
                <w:sz w:val="21"/>
                <w:szCs w:val="21"/>
                <w:color w:val="auto"/>
              </w:rPr>
            </w:pPr>
          </w:p>
        </w:tc>
        <w:tc>
          <w:tcPr>
            <w:tcW w:w="500" w:type="dxa"/>
            <w:vAlign w:val="bottom"/>
            <w:shd w:val="clear" w:color="auto" w:fill="000000"/>
          </w:tcPr>
          <w:p>
            <w:pPr>
              <w:spacing w:after="0"/>
              <w:rPr>
                <w:sz w:val="21"/>
                <w:szCs w:val="21"/>
                <w:color w:val="auto"/>
              </w:rPr>
            </w:pPr>
          </w:p>
        </w:tc>
        <w:tc>
          <w:tcPr>
            <w:tcW w:w="0" w:type="dxa"/>
            <w:vAlign w:val="bottom"/>
          </w:tcPr>
          <w:p>
            <w:pPr>
              <w:spacing w:after="0"/>
              <w:rPr>
                <w:sz w:val="1"/>
                <w:szCs w:val="1"/>
                <w:color w:val="auto"/>
              </w:rPr>
            </w:pPr>
          </w:p>
        </w:tc>
      </w:tr>
    </w:tbl>
    <w:p>
      <w:pPr>
        <w:spacing w:after="0" w:line="18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Callable Bonds</w:t>
      </w:r>
    </w:p>
    <w:p>
      <w:pPr>
        <w:spacing w:after="0" w:line="212" w:lineRule="exact"/>
        <w:rPr>
          <w:sz w:val="20"/>
          <w:szCs w:val="20"/>
          <w:color w:val="auto"/>
        </w:rPr>
      </w:pPr>
    </w:p>
    <w:p>
      <w:pPr>
        <w:spacing w:after="0" w:line="251" w:lineRule="auto"/>
        <w:rPr>
          <w:sz w:val="20"/>
          <w:szCs w:val="20"/>
          <w:color w:val="auto"/>
        </w:rPr>
      </w:pPr>
      <w:r>
        <w:rPr>
          <w:rFonts w:ascii="Arial" w:cs="Arial" w:eastAsia="Arial" w:hAnsi="Arial"/>
          <w:sz w:val="22"/>
          <w:szCs w:val="22"/>
          <w:color w:val="auto"/>
        </w:rPr>
        <w:t>At the company's option, certain bonds are callable at various dates: $472 million in 2006 and $274 million after 2010. In addition, $500 million of bonds is callable subject to make-whole provisions.</w:t>
      </w:r>
    </w:p>
    <w:p>
      <w:pPr>
        <w:spacing w:after="0" w:line="16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First Mortgage Bonds</w:t>
      </w:r>
    </w:p>
    <w:p>
      <w:pPr>
        <w:spacing w:after="0" w:line="212" w:lineRule="exact"/>
        <w:rPr>
          <w:sz w:val="20"/>
          <w:szCs w:val="20"/>
          <w:color w:val="auto"/>
        </w:rPr>
      </w:pPr>
    </w:p>
    <w:p>
      <w:pPr>
        <w:ind w:right="40"/>
        <w:spacing w:after="0" w:line="282" w:lineRule="auto"/>
        <w:rPr>
          <w:sz w:val="20"/>
          <w:szCs w:val="20"/>
          <w:color w:val="auto"/>
        </w:rPr>
      </w:pPr>
      <w:r>
        <w:rPr>
          <w:rFonts w:ascii="Arial" w:cs="Arial" w:eastAsia="Arial" w:hAnsi="Arial"/>
          <w:sz w:val="19"/>
          <w:szCs w:val="19"/>
          <w:color w:val="auto"/>
        </w:rPr>
        <w:t>First mortgage bonds are secured by a lien on utility plant. SDG&amp;E may issue additional first mortgage bonds upon compliance with the provisions of its bond indenture, which requires, among other things, the satisfaction of pro forma earnings-coverage tests on first mortgage bond interest and the availability of sufficient mortgaged property to support the additional bonds, after giving effect to prior bond redemptions. The most restrictive of these tests (the property test) would permit the issuance, subject to CPUC authorization, of an additional $2.3 billion of first mortgage bonds at December 31, 2005.</w:t>
      </w:r>
    </w:p>
    <w:p>
      <w:pPr>
        <w:spacing w:after="0" w:line="148" w:lineRule="exact"/>
        <w:rPr>
          <w:sz w:val="20"/>
          <w:szCs w:val="20"/>
          <w:color w:val="auto"/>
        </w:rPr>
      </w:pPr>
    </w:p>
    <w:p>
      <w:pPr>
        <w:ind w:right="60"/>
        <w:spacing w:after="0" w:line="251" w:lineRule="auto"/>
        <w:rPr>
          <w:sz w:val="20"/>
          <w:szCs w:val="20"/>
          <w:color w:val="auto"/>
        </w:rPr>
      </w:pPr>
      <w:r>
        <w:rPr>
          <w:rFonts w:ascii="Arial" w:cs="Arial" w:eastAsia="Arial" w:hAnsi="Arial"/>
          <w:sz w:val="22"/>
          <w:szCs w:val="22"/>
          <w:color w:val="auto"/>
        </w:rPr>
        <w:t>In November 2005, the company issued $250 million of first mortgage bonds maturing in 2015. In May 2005, the company issued $250 million of first mortgage bonds maturing in 2035.</w:t>
      </w:r>
    </w:p>
    <w:p>
      <w:pPr>
        <w:spacing w:after="0" w:line="16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Unsecured Long-term Debt</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color w:val="auto"/>
        </w:rPr>
        <w:t>Various long-term obligations totaling $254 million at December 31, 2005 are unsecured.</w:t>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Rate-Reduction Bonds</w:t>
      </w:r>
    </w:p>
    <w:p>
      <w:pPr>
        <w:spacing w:after="0" w:line="212" w:lineRule="exact"/>
        <w:rPr>
          <w:sz w:val="20"/>
          <w:szCs w:val="20"/>
          <w:color w:val="auto"/>
        </w:rPr>
      </w:pPr>
    </w:p>
    <w:p>
      <w:pPr>
        <w:ind w:right="320"/>
        <w:spacing w:after="0" w:line="249" w:lineRule="auto"/>
        <w:rPr>
          <w:sz w:val="20"/>
          <w:szCs w:val="20"/>
          <w:color w:val="auto"/>
        </w:rPr>
      </w:pPr>
      <w:r>
        <w:rPr>
          <w:rFonts w:ascii="Arial" w:cs="Arial" w:eastAsia="Arial" w:hAnsi="Arial"/>
          <w:sz w:val="21"/>
          <w:szCs w:val="21"/>
          <w:color w:val="auto"/>
        </w:rPr>
        <w:t>In December 1997, $658 million of rate-reduction bonds were issued on behalf of SDG&amp;E at an average interest rate of 6.26%. These bonds were issued to facilitate the 10percent rate reduction mandated by California's electric-restructuring law, which is described in Note 9. They are being repaid over ten years by SDG&amp;E's residential and small-commercial customers through a specified charge on their electricity bills. These bonds are secured by the revenue streams collected from customers and are not secured by, or payable from, utility property.</w:t>
      </w:r>
    </w:p>
    <w:p>
      <w:pPr>
        <w:sectPr>
          <w:pgSz w:w="11900" w:h="16838" w:orient="portrait"/>
          <w:cols w:equalWidth="0" w:num="1">
            <w:col w:w="11340"/>
          </w:cols>
          <w:pgMar w:left="240" w:top="120" w:right="319" w:bottom="0" w:gutter="0" w:footer="0" w:header="0"/>
        </w:sectPr>
      </w:pPr>
    </w:p>
    <w:bookmarkStart w:id="33" w:name="page34"/>
    <w:bookmarkEnd w:id="33"/>
    <w:p>
      <w:pPr>
        <w:spacing w:after="0"/>
        <w:rPr>
          <w:sz w:val="20"/>
          <w:szCs w:val="20"/>
          <w:color w:val="auto"/>
        </w:rPr>
      </w:pPr>
      <w:r>
        <w:rPr>
          <w:rFonts w:ascii="Arial" w:cs="Arial" w:eastAsia="Arial" w:hAnsi="Arial"/>
          <w:sz w:val="22"/>
          <w:szCs w:val="22"/>
          <w:b w:val="1"/>
          <w:bCs w:val="1"/>
          <w:color w:val="auto"/>
        </w:rPr>
        <w:t>Interest-Rate Swaps</w:t>
      </w:r>
    </w:p>
    <w:p>
      <w:pPr>
        <w:spacing w:after="0" w:line="213" w:lineRule="exact"/>
        <w:rPr>
          <w:sz w:val="20"/>
          <w:szCs w:val="20"/>
          <w:color w:val="auto"/>
        </w:rPr>
      </w:pPr>
    </w:p>
    <w:p>
      <w:pPr>
        <w:ind w:right="140"/>
        <w:spacing w:after="0" w:line="251" w:lineRule="auto"/>
        <w:rPr>
          <w:sz w:val="20"/>
          <w:szCs w:val="20"/>
          <w:color w:val="auto"/>
        </w:rPr>
      </w:pPr>
      <w:r>
        <w:rPr>
          <w:rFonts w:ascii="Arial" w:cs="Arial" w:eastAsia="Arial" w:hAnsi="Arial"/>
          <w:sz w:val="22"/>
          <w:szCs w:val="22"/>
          <w:color w:val="auto"/>
        </w:rPr>
        <w:t>The company periodically enters into interest-rate swap agreements to moderate its exposure to interest-rate changes and to lower its overall cost of borrowing.</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Cash flow hedges</w:t>
      </w:r>
    </w:p>
    <w:p>
      <w:pPr>
        <w:spacing w:after="0" w:line="206" w:lineRule="exact"/>
        <w:rPr>
          <w:sz w:val="20"/>
          <w:szCs w:val="20"/>
          <w:color w:val="auto"/>
        </w:rPr>
      </w:pPr>
    </w:p>
    <w:p>
      <w:pPr>
        <w:ind w:right="40"/>
        <w:spacing w:after="0" w:line="279" w:lineRule="auto"/>
        <w:rPr>
          <w:sz w:val="20"/>
          <w:szCs w:val="20"/>
          <w:color w:val="auto"/>
        </w:rPr>
      </w:pPr>
      <w:r>
        <w:rPr>
          <w:rFonts w:ascii="Arial" w:cs="Arial" w:eastAsia="Arial" w:hAnsi="Arial"/>
          <w:sz w:val="19"/>
          <w:szCs w:val="19"/>
          <w:color w:val="auto"/>
        </w:rPr>
        <w:t>In September 2004, SDG&amp;E entered into interest-rate swaps to exchange the floating rates on its $251 million Chula Vista Series 2004 bonds maturing from 2034 through 2039 for fixed rates. The swaps expire in 2009. At December 31, 2005 pre-tax income arising from the ineffective portion of interest-rate cash flow hedges included $4 million recorded in Other Income, Net on the Statements of Consolidated Income. The effect of the interest-rate cash flow hedges on other comprehensive income (loss) was immaterial for the years ended December 31, 2005 and 2004. The balance in Accumulated Other Comprehensive Income (Loss) at December 31, 2005, related to interest-rate cash flow hedges was reduced to zero due to the hedge ineffectiveness.</w:t>
      </w:r>
    </w:p>
    <w:p>
      <w:pPr>
        <w:spacing w:after="0" w:line="14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3. FACILITIES UNDER JOINT OWNERSHIP</w:t>
      </w:r>
    </w:p>
    <w:p>
      <w:pPr>
        <w:spacing w:after="0" w:line="212" w:lineRule="exact"/>
        <w:rPr>
          <w:sz w:val="20"/>
          <w:szCs w:val="20"/>
          <w:color w:val="auto"/>
        </w:rPr>
      </w:pPr>
    </w:p>
    <w:p>
      <w:pPr>
        <w:spacing w:after="0" w:line="251" w:lineRule="auto"/>
        <w:rPr>
          <w:sz w:val="20"/>
          <w:szCs w:val="20"/>
          <w:color w:val="auto"/>
        </w:rPr>
      </w:pPr>
      <w:r>
        <w:rPr>
          <w:rFonts w:ascii="Arial" w:cs="Arial" w:eastAsia="Arial" w:hAnsi="Arial"/>
          <w:sz w:val="22"/>
          <w:szCs w:val="22"/>
          <w:color w:val="auto"/>
        </w:rPr>
        <w:t>SONGS and the Southwest Powerlink transmission line are owned jointly with other utilities. The company's interests at December 31, 2005 were as follows:</w:t>
      </w:r>
    </w:p>
    <w:p>
      <w:pPr>
        <w:spacing w:after="0" w:line="281" w:lineRule="exact"/>
        <w:rPr>
          <w:sz w:val="20"/>
          <w:szCs w:val="20"/>
          <w:color w:val="auto"/>
        </w:rPr>
      </w:pPr>
    </w:p>
    <w:tbl>
      <w:tblPr>
        <w:tblLayout w:type="fixed"/>
        <w:tblInd w:w="1740" w:type="dxa"/>
        <w:tblCellMar>
          <w:top w:w="0" w:type="dxa"/>
          <w:left w:w="0" w:type="dxa"/>
          <w:bottom w:w="0" w:type="dxa"/>
          <w:right w:w="0" w:type="dxa"/>
        </w:tblCellMar>
      </w:tblPr>
      <w:tr>
        <w:trPr>
          <w:trHeight w:val="216"/>
        </w:trPr>
        <w:tc>
          <w:tcPr>
            <w:tcW w:w="450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180" w:type="dxa"/>
            <w:vAlign w:val="bottom"/>
          </w:tcPr>
          <w:p>
            <w:pPr>
              <w:ind w:left="340"/>
              <w:spacing w:after="0"/>
              <w:rPr>
                <w:sz w:val="20"/>
                <w:szCs w:val="20"/>
                <w:color w:val="auto"/>
              </w:rPr>
            </w:pPr>
            <w:r>
              <w:rPr>
                <w:rFonts w:ascii="Arial" w:cs="Arial" w:eastAsia="Arial" w:hAnsi="Arial"/>
                <w:sz w:val="18"/>
                <w:szCs w:val="18"/>
                <w:color w:val="auto"/>
                <w:w w:val="97"/>
              </w:rPr>
              <w:t>Southwest</w:t>
            </w:r>
          </w:p>
        </w:tc>
      </w:tr>
      <w:tr>
        <w:trPr>
          <w:trHeight w:val="222"/>
        </w:trPr>
        <w:tc>
          <w:tcPr>
            <w:tcW w:w="4500" w:type="dxa"/>
            <w:vAlign w:val="bottom"/>
          </w:tcPr>
          <w:p>
            <w:pPr>
              <w:ind w:left="80"/>
              <w:spacing w:after="0"/>
              <w:rPr>
                <w:sz w:val="20"/>
                <w:szCs w:val="20"/>
                <w:color w:val="auto"/>
              </w:rPr>
            </w:pPr>
            <w:r>
              <w:rPr>
                <w:rFonts w:ascii="Arial" w:cs="Arial" w:eastAsia="Arial" w:hAnsi="Arial"/>
                <w:sz w:val="18"/>
                <w:szCs w:val="18"/>
                <w:color w:val="auto"/>
              </w:rPr>
              <w:t>(Dollars in millions)</w:t>
            </w:r>
          </w:p>
        </w:tc>
        <w:tc>
          <w:tcPr>
            <w:tcW w:w="2280" w:type="dxa"/>
            <w:vAlign w:val="bottom"/>
          </w:tcPr>
          <w:p>
            <w:pPr>
              <w:jc w:val="center"/>
              <w:ind w:left="972"/>
              <w:spacing w:after="0"/>
              <w:rPr>
                <w:sz w:val="20"/>
                <w:szCs w:val="20"/>
                <w:color w:val="auto"/>
              </w:rPr>
            </w:pPr>
            <w:r>
              <w:rPr>
                <w:rFonts w:ascii="Arial" w:cs="Arial" w:eastAsia="Arial" w:hAnsi="Arial"/>
                <w:sz w:val="18"/>
                <w:szCs w:val="18"/>
                <w:color w:val="auto"/>
                <w:w w:val="89"/>
              </w:rPr>
              <w:t>SONGS</w:t>
            </w:r>
          </w:p>
        </w:tc>
        <w:tc>
          <w:tcPr>
            <w:tcW w:w="1180" w:type="dxa"/>
            <w:vAlign w:val="bottom"/>
          </w:tcPr>
          <w:p>
            <w:pPr>
              <w:ind w:left="340"/>
              <w:spacing w:after="0"/>
              <w:rPr>
                <w:sz w:val="20"/>
                <w:szCs w:val="20"/>
                <w:color w:val="auto"/>
              </w:rPr>
            </w:pPr>
            <w:r>
              <w:rPr>
                <w:rFonts w:ascii="Arial" w:cs="Arial" w:eastAsia="Arial" w:hAnsi="Arial"/>
                <w:sz w:val="18"/>
                <w:szCs w:val="18"/>
                <w:color w:val="auto"/>
              </w:rPr>
              <w:t>Powerlink</w:t>
            </w:r>
          </w:p>
        </w:tc>
      </w:tr>
      <w:tr>
        <w:trPr>
          <w:trHeight w:val="97"/>
        </w:trPr>
        <w:tc>
          <w:tcPr>
            <w:tcW w:w="4500" w:type="dxa"/>
            <w:vAlign w:val="bottom"/>
          </w:tcPr>
          <w:p>
            <w:pPr>
              <w:spacing w:after="0"/>
              <w:rPr>
                <w:sz w:val="8"/>
                <w:szCs w:val="8"/>
                <w:color w:val="auto"/>
              </w:rPr>
            </w:pPr>
          </w:p>
        </w:tc>
        <w:tc>
          <w:tcPr>
            <w:tcW w:w="2280" w:type="dxa"/>
            <w:vAlign w:val="bottom"/>
          </w:tcPr>
          <w:p>
            <w:pPr>
              <w:spacing w:after="0"/>
              <w:rPr>
                <w:sz w:val="8"/>
                <w:szCs w:val="8"/>
                <w:color w:val="auto"/>
              </w:rPr>
            </w:pPr>
          </w:p>
        </w:tc>
        <w:tc>
          <w:tcPr>
            <w:tcW w:w="1180" w:type="dxa"/>
            <w:vAlign w:val="bottom"/>
          </w:tcPr>
          <w:p>
            <w:pPr>
              <w:spacing w:after="0"/>
              <w:rPr>
                <w:sz w:val="8"/>
                <w:szCs w:val="8"/>
                <w:color w:val="auto"/>
              </w:rPr>
            </w:pPr>
          </w:p>
        </w:tc>
      </w:tr>
      <w:tr>
        <w:trPr>
          <w:trHeight w:val="405"/>
        </w:trPr>
        <w:tc>
          <w:tcPr>
            <w:tcW w:w="4500" w:type="dxa"/>
            <w:vAlign w:val="bottom"/>
            <w:shd w:val="clear" w:color="auto" w:fill="000000"/>
          </w:tcPr>
          <w:p>
            <w:pPr>
              <w:spacing w:after="0"/>
              <w:rPr>
                <w:sz w:val="24"/>
                <w:szCs w:val="24"/>
                <w:color w:val="auto"/>
              </w:rPr>
            </w:pPr>
          </w:p>
        </w:tc>
        <w:tc>
          <w:tcPr>
            <w:tcW w:w="2280" w:type="dxa"/>
            <w:vAlign w:val="bottom"/>
            <w:shd w:val="clear" w:color="auto" w:fill="000000"/>
          </w:tcPr>
          <w:p>
            <w:pPr>
              <w:spacing w:after="0"/>
              <w:rPr>
                <w:sz w:val="24"/>
                <w:szCs w:val="24"/>
                <w:color w:val="auto"/>
              </w:rPr>
            </w:pPr>
          </w:p>
        </w:tc>
        <w:tc>
          <w:tcPr>
            <w:tcW w:w="1180" w:type="dxa"/>
            <w:vAlign w:val="bottom"/>
            <w:shd w:val="clear" w:color="auto" w:fill="000000"/>
          </w:tcPr>
          <w:p>
            <w:pPr>
              <w:spacing w:after="0"/>
              <w:rPr>
                <w:sz w:val="24"/>
                <w:szCs w:val="24"/>
                <w:color w:val="auto"/>
              </w:rPr>
            </w:pPr>
          </w:p>
        </w:tc>
      </w:tr>
      <w:tr>
        <w:trPr>
          <w:trHeight w:val="309"/>
        </w:trPr>
        <w:tc>
          <w:tcPr>
            <w:tcW w:w="4500" w:type="dxa"/>
            <w:vAlign w:val="bottom"/>
          </w:tcPr>
          <w:p>
            <w:pPr>
              <w:ind w:left="80"/>
              <w:spacing w:after="0"/>
              <w:rPr>
                <w:sz w:val="20"/>
                <w:szCs w:val="20"/>
                <w:color w:val="auto"/>
              </w:rPr>
            </w:pPr>
            <w:r>
              <w:rPr>
                <w:rFonts w:ascii="Arial" w:cs="Arial" w:eastAsia="Arial" w:hAnsi="Arial"/>
                <w:sz w:val="18"/>
                <w:szCs w:val="18"/>
                <w:color w:val="auto"/>
              </w:rPr>
              <w:t>Percentage ownership</w:t>
            </w:r>
          </w:p>
        </w:tc>
        <w:tc>
          <w:tcPr>
            <w:tcW w:w="2280" w:type="dxa"/>
            <w:vAlign w:val="bottom"/>
          </w:tcPr>
          <w:p>
            <w:pPr>
              <w:jc w:val="right"/>
              <w:ind w:right="352"/>
              <w:spacing w:after="0"/>
              <w:rPr>
                <w:sz w:val="20"/>
                <w:szCs w:val="20"/>
                <w:color w:val="auto"/>
              </w:rPr>
            </w:pPr>
            <w:r>
              <w:rPr>
                <w:rFonts w:ascii="Arial" w:cs="Arial" w:eastAsia="Arial" w:hAnsi="Arial"/>
                <w:sz w:val="18"/>
                <w:szCs w:val="18"/>
                <w:color w:val="auto"/>
              </w:rPr>
              <w:t>20%</w:t>
            </w:r>
          </w:p>
        </w:tc>
        <w:tc>
          <w:tcPr>
            <w:tcW w:w="1180" w:type="dxa"/>
            <w:vAlign w:val="bottom"/>
          </w:tcPr>
          <w:p>
            <w:pPr>
              <w:jc w:val="right"/>
              <w:ind w:right="232"/>
              <w:spacing w:after="0"/>
              <w:rPr>
                <w:sz w:val="20"/>
                <w:szCs w:val="20"/>
                <w:color w:val="auto"/>
              </w:rPr>
            </w:pPr>
            <w:r>
              <w:rPr>
                <w:rFonts w:ascii="Arial" w:cs="Arial" w:eastAsia="Arial" w:hAnsi="Arial"/>
                <w:sz w:val="18"/>
                <w:szCs w:val="18"/>
                <w:color w:val="auto"/>
              </w:rPr>
              <w:t>91%</w:t>
            </w:r>
          </w:p>
        </w:tc>
      </w:tr>
      <w:tr>
        <w:trPr>
          <w:trHeight w:val="405"/>
        </w:trPr>
        <w:tc>
          <w:tcPr>
            <w:tcW w:w="4500" w:type="dxa"/>
            <w:vAlign w:val="bottom"/>
          </w:tcPr>
          <w:p>
            <w:pPr>
              <w:ind w:left="80"/>
              <w:spacing w:after="0"/>
              <w:rPr>
                <w:sz w:val="20"/>
                <w:szCs w:val="20"/>
                <w:color w:val="auto"/>
              </w:rPr>
            </w:pPr>
            <w:r>
              <w:rPr>
                <w:rFonts w:ascii="Arial" w:cs="Arial" w:eastAsia="Arial" w:hAnsi="Arial"/>
                <w:sz w:val="18"/>
                <w:szCs w:val="18"/>
                <w:color w:val="auto"/>
              </w:rPr>
              <w:t>Utility plant in service</w:t>
            </w:r>
          </w:p>
        </w:tc>
        <w:tc>
          <w:tcPr>
            <w:tcW w:w="2280" w:type="dxa"/>
            <w:vAlign w:val="bottom"/>
          </w:tcPr>
          <w:p>
            <w:pPr>
              <w:ind w:left="1340"/>
              <w:spacing w:after="0"/>
              <w:rPr>
                <w:sz w:val="20"/>
                <w:szCs w:val="20"/>
                <w:color w:val="auto"/>
              </w:rPr>
            </w:pPr>
            <w:r>
              <w:rPr>
                <w:rFonts w:ascii="Arial" w:cs="Arial" w:eastAsia="Arial" w:hAnsi="Arial"/>
                <w:sz w:val="18"/>
                <w:szCs w:val="18"/>
                <w:color w:val="auto"/>
              </w:rPr>
              <w:t>$ 39</w:t>
            </w:r>
          </w:p>
        </w:tc>
        <w:tc>
          <w:tcPr>
            <w:tcW w:w="1180" w:type="dxa"/>
            <w:vAlign w:val="bottom"/>
          </w:tcPr>
          <w:p>
            <w:pPr>
              <w:jc w:val="right"/>
              <w:ind w:right="392"/>
              <w:spacing w:after="0"/>
              <w:rPr>
                <w:sz w:val="20"/>
                <w:szCs w:val="20"/>
                <w:color w:val="auto"/>
              </w:rPr>
            </w:pPr>
            <w:r>
              <w:rPr>
                <w:rFonts w:ascii="Arial" w:cs="Arial" w:eastAsia="Arial" w:hAnsi="Arial"/>
                <w:sz w:val="18"/>
                <w:szCs w:val="18"/>
                <w:color w:val="auto"/>
              </w:rPr>
              <w:t>$ 290</w:t>
            </w:r>
          </w:p>
        </w:tc>
      </w:tr>
      <w:tr>
        <w:trPr>
          <w:trHeight w:val="405"/>
        </w:trPr>
        <w:tc>
          <w:tcPr>
            <w:tcW w:w="4500" w:type="dxa"/>
            <w:vAlign w:val="bottom"/>
          </w:tcPr>
          <w:p>
            <w:pPr>
              <w:ind w:left="80"/>
              <w:spacing w:after="0"/>
              <w:rPr>
                <w:sz w:val="20"/>
                <w:szCs w:val="20"/>
                <w:color w:val="auto"/>
              </w:rPr>
            </w:pPr>
            <w:r>
              <w:rPr>
                <w:rFonts w:ascii="Arial" w:cs="Arial" w:eastAsia="Arial" w:hAnsi="Arial"/>
                <w:sz w:val="18"/>
                <w:szCs w:val="18"/>
                <w:color w:val="auto"/>
              </w:rPr>
              <w:t>Accumulated depreciation and amortization</w:t>
            </w:r>
          </w:p>
        </w:tc>
        <w:tc>
          <w:tcPr>
            <w:tcW w:w="2280" w:type="dxa"/>
            <w:vAlign w:val="bottom"/>
          </w:tcPr>
          <w:p>
            <w:pPr>
              <w:ind w:left="1340"/>
              <w:spacing w:after="0"/>
              <w:rPr>
                <w:sz w:val="20"/>
                <w:szCs w:val="20"/>
                <w:color w:val="auto"/>
              </w:rPr>
            </w:pPr>
            <w:r>
              <w:rPr>
                <w:rFonts w:ascii="Arial" w:cs="Arial" w:eastAsia="Arial" w:hAnsi="Arial"/>
                <w:sz w:val="18"/>
                <w:szCs w:val="18"/>
                <w:color w:val="auto"/>
              </w:rPr>
              <w:t>$ 2</w:t>
            </w:r>
          </w:p>
        </w:tc>
        <w:tc>
          <w:tcPr>
            <w:tcW w:w="1180" w:type="dxa"/>
            <w:vAlign w:val="bottom"/>
          </w:tcPr>
          <w:p>
            <w:pPr>
              <w:jc w:val="right"/>
              <w:ind w:right="392"/>
              <w:spacing w:after="0"/>
              <w:rPr>
                <w:sz w:val="20"/>
                <w:szCs w:val="20"/>
                <w:color w:val="auto"/>
              </w:rPr>
            </w:pPr>
            <w:r>
              <w:rPr>
                <w:rFonts w:ascii="Arial" w:cs="Arial" w:eastAsia="Arial" w:hAnsi="Arial"/>
                <w:sz w:val="18"/>
                <w:szCs w:val="18"/>
                <w:color w:val="auto"/>
              </w:rPr>
              <w:t>$ 156</w:t>
            </w:r>
          </w:p>
        </w:tc>
      </w:tr>
      <w:tr>
        <w:trPr>
          <w:trHeight w:val="405"/>
        </w:trPr>
        <w:tc>
          <w:tcPr>
            <w:tcW w:w="4500" w:type="dxa"/>
            <w:vAlign w:val="bottom"/>
          </w:tcPr>
          <w:p>
            <w:pPr>
              <w:ind w:left="80"/>
              <w:spacing w:after="0"/>
              <w:rPr>
                <w:sz w:val="20"/>
                <w:szCs w:val="20"/>
                <w:color w:val="auto"/>
              </w:rPr>
            </w:pPr>
            <w:r>
              <w:rPr>
                <w:rFonts w:ascii="Arial" w:cs="Arial" w:eastAsia="Arial" w:hAnsi="Arial"/>
                <w:sz w:val="18"/>
                <w:szCs w:val="18"/>
                <w:color w:val="auto"/>
              </w:rPr>
              <w:t>Construction work in progress</w:t>
            </w:r>
          </w:p>
        </w:tc>
        <w:tc>
          <w:tcPr>
            <w:tcW w:w="2280" w:type="dxa"/>
            <w:vAlign w:val="bottom"/>
          </w:tcPr>
          <w:p>
            <w:pPr>
              <w:ind w:left="1340"/>
              <w:spacing w:after="0"/>
              <w:rPr>
                <w:sz w:val="20"/>
                <w:szCs w:val="20"/>
                <w:color w:val="auto"/>
              </w:rPr>
            </w:pPr>
            <w:r>
              <w:rPr>
                <w:rFonts w:ascii="Arial" w:cs="Arial" w:eastAsia="Arial" w:hAnsi="Arial"/>
                <w:sz w:val="18"/>
                <w:szCs w:val="18"/>
                <w:color w:val="auto"/>
              </w:rPr>
              <w:t>$ 21</w:t>
            </w:r>
          </w:p>
        </w:tc>
        <w:tc>
          <w:tcPr>
            <w:tcW w:w="1180" w:type="dxa"/>
            <w:vAlign w:val="bottom"/>
          </w:tcPr>
          <w:p>
            <w:pPr>
              <w:ind w:left="320"/>
              <w:spacing w:after="0"/>
              <w:rPr>
                <w:sz w:val="20"/>
                <w:szCs w:val="20"/>
                <w:color w:val="auto"/>
              </w:rPr>
            </w:pPr>
            <w:r>
              <w:rPr>
                <w:rFonts w:ascii="Arial" w:cs="Arial" w:eastAsia="Arial" w:hAnsi="Arial"/>
                <w:sz w:val="18"/>
                <w:szCs w:val="18"/>
                <w:color w:val="auto"/>
              </w:rPr>
              <w:t>$ 9</w:t>
            </w:r>
          </w:p>
        </w:tc>
      </w:tr>
      <w:tr>
        <w:trPr>
          <w:trHeight w:val="97"/>
        </w:trPr>
        <w:tc>
          <w:tcPr>
            <w:tcW w:w="4500" w:type="dxa"/>
            <w:vAlign w:val="bottom"/>
          </w:tcPr>
          <w:p>
            <w:pPr>
              <w:spacing w:after="0"/>
              <w:rPr>
                <w:sz w:val="8"/>
                <w:szCs w:val="8"/>
                <w:color w:val="auto"/>
              </w:rPr>
            </w:pPr>
          </w:p>
        </w:tc>
        <w:tc>
          <w:tcPr>
            <w:tcW w:w="2280" w:type="dxa"/>
            <w:vAlign w:val="bottom"/>
          </w:tcPr>
          <w:p>
            <w:pPr>
              <w:spacing w:after="0"/>
              <w:rPr>
                <w:sz w:val="8"/>
                <w:szCs w:val="8"/>
                <w:color w:val="auto"/>
              </w:rPr>
            </w:pPr>
          </w:p>
        </w:tc>
        <w:tc>
          <w:tcPr>
            <w:tcW w:w="1180" w:type="dxa"/>
            <w:vAlign w:val="bottom"/>
          </w:tcPr>
          <w:p>
            <w:pPr>
              <w:spacing w:after="0"/>
              <w:rPr>
                <w:sz w:val="8"/>
                <w:szCs w:val="8"/>
                <w:color w:val="auto"/>
              </w:rPr>
            </w:pPr>
          </w:p>
        </w:tc>
      </w:tr>
      <w:tr>
        <w:trPr>
          <w:trHeight w:val="405"/>
        </w:trPr>
        <w:tc>
          <w:tcPr>
            <w:tcW w:w="4500" w:type="dxa"/>
            <w:vAlign w:val="bottom"/>
            <w:shd w:val="clear" w:color="auto" w:fill="000000"/>
          </w:tcPr>
          <w:p>
            <w:pPr>
              <w:spacing w:after="0"/>
              <w:rPr>
                <w:sz w:val="24"/>
                <w:szCs w:val="24"/>
                <w:color w:val="auto"/>
              </w:rPr>
            </w:pPr>
          </w:p>
        </w:tc>
        <w:tc>
          <w:tcPr>
            <w:tcW w:w="2280" w:type="dxa"/>
            <w:vAlign w:val="bottom"/>
            <w:shd w:val="clear" w:color="auto" w:fill="000000"/>
          </w:tcPr>
          <w:p>
            <w:pPr>
              <w:spacing w:after="0"/>
              <w:rPr>
                <w:sz w:val="24"/>
                <w:szCs w:val="24"/>
                <w:color w:val="auto"/>
              </w:rPr>
            </w:pPr>
          </w:p>
        </w:tc>
        <w:tc>
          <w:tcPr>
            <w:tcW w:w="1180" w:type="dxa"/>
            <w:vAlign w:val="bottom"/>
            <w:shd w:val="clear" w:color="auto" w:fill="000000"/>
          </w:tcPr>
          <w:p>
            <w:pPr>
              <w:spacing w:after="0"/>
              <w:rPr>
                <w:sz w:val="24"/>
                <w:szCs w:val="24"/>
                <w:color w:val="auto"/>
              </w:rPr>
            </w:pPr>
          </w:p>
        </w:tc>
      </w:tr>
    </w:tbl>
    <w:p>
      <w:pPr>
        <w:spacing w:after="0" w:line="195" w:lineRule="exact"/>
        <w:rPr>
          <w:sz w:val="20"/>
          <w:szCs w:val="20"/>
          <w:color w:val="auto"/>
        </w:rPr>
      </w:pPr>
    </w:p>
    <w:p>
      <w:pPr>
        <w:ind w:right="500"/>
        <w:spacing w:after="0"/>
        <w:rPr>
          <w:sz w:val="20"/>
          <w:szCs w:val="20"/>
          <w:color w:val="auto"/>
        </w:rPr>
      </w:pPr>
      <w:r>
        <w:rPr>
          <w:rFonts w:ascii="Arial" w:cs="Arial" w:eastAsia="Arial" w:hAnsi="Arial"/>
          <w:sz w:val="22"/>
          <w:szCs w:val="22"/>
          <w:color w:val="auto"/>
        </w:rPr>
        <w:t>The company and the other owners each holds its interest as an undivided interest as tenants in common in the property. Each owner is responsible for financing its share of each project and participates in decisions concerning operations and capital expenditures.</w:t>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color w:val="auto"/>
        </w:rPr>
        <w:t>The company's share of operating expenses is included in the Statements of Consolidated Income.</w:t>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SONGS Decommissioning</w:t>
      </w:r>
    </w:p>
    <w:p>
      <w:pPr>
        <w:spacing w:after="0" w:line="212" w:lineRule="exact"/>
        <w:rPr>
          <w:sz w:val="20"/>
          <w:szCs w:val="20"/>
          <w:color w:val="auto"/>
        </w:rPr>
      </w:pPr>
    </w:p>
    <w:p>
      <w:pPr>
        <w:jc w:val="both"/>
        <w:ind w:right="160"/>
        <w:spacing w:after="0"/>
        <w:rPr>
          <w:sz w:val="20"/>
          <w:szCs w:val="20"/>
          <w:color w:val="auto"/>
        </w:rPr>
      </w:pPr>
      <w:r>
        <w:rPr>
          <w:rFonts w:ascii="Arial" w:cs="Arial" w:eastAsia="Arial" w:hAnsi="Arial"/>
          <w:sz w:val="22"/>
          <w:szCs w:val="22"/>
          <w:color w:val="auto"/>
        </w:rPr>
        <w:t>Objectives, work scope and procedures for the dismantling and decontamination of the SONGS units must meet the requirements of the Nuclear Regulatory Commission (NRC), the Environmental Protection Agency, the U.S. Department of the Navy (the land owner), the CPUC and other regulatory bodies.</w:t>
      </w:r>
    </w:p>
    <w:p>
      <w:pPr>
        <w:spacing w:after="0" w:line="186" w:lineRule="exact"/>
        <w:rPr>
          <w:sz w:val="20"/>
          <w:szCs w:val="20"/>
          <w:color w:val="auto"/>
        </w:rPr>
      </w:pPr>
    </w:p>
    <w:p>
      <w:pPr>
        <w:ind w:right="60"/>
        <w:spacing w:after="0" w:line="234" w:lineRule="auto"/>
        <w:rPr>
          <w:sz w:val="20"/>
          <w:szCs w:val="20"/>
          <w:color w:val="auto"/>
        </w:rPr>
      </w:pPr>
      <w:r>
        <w:rPr>
          <w:rFonts w:ascii="Arial" w:cs="Arial" w:eastAsia="Arial" w:hAnsi="Arial"/>
          <w:sz w:val="22"/>
          <w:szCs w:val="22"/>
          <w:color w:val="auto"/>
        </w:rPr>
        <w:t>The company's share of decommissioning costs for the SONGS units is estimated to be $339 million in 2005 dollars. That amount includes the cost to decommission Units 2 and 3, and the remaining cost to complete Unit 1's decommissioning, which is currently in progress. Cost studies are updated every three years. The most recent update was submitted to the CPUC for its approval in 2005. Rate recovery of decommissioning costs is allowed until the time that the costs are fully recovered, and is subject to adjustment every three years based on the costs allowed by regulators. Collections are authorized to continue until 2013, at which time sufficient funds are expected to have been collected to fully decommission SONGS, but may be extended by CPUC approval until 2022, when the units' NRC operating licenses terminate and the decommissioning of Units 2 and 3 would be expected to begin.</w:t>
      </w:r>
    </w:p>
    <w:p>
      <w:pPr>
        <w:spacing w:after="0" w:line="188" w:lineRule="exact"/>
        <w:rPr>
          <w:sz w:val="20"/>
          <w:szCs w:val="20"/>
          <w:color w:val="auto"/>
        </w:rPr>
      </w:pPr>
    </w:p>
    <w:p>
      <w:pPr>
        <w:ind w:right="80"/>
        <w:spacing w:after="0" w:line="234" w:lineRule="auto"/>
        <w:rPr>
          <w:sz w:val="20"/>
          <w:szCs w:val="20"/>
          <w:color w:val="auto"/>
        </w:rPr>
      </w:pPr>
      <w:r>
        <w:rPr>
          <w:rFonts w:ascii="Arial" w:cs="Arial" w:eastAsia="Arial" w:hAnsi="Arial"/>
          <w:sz w:val="22"/>
          <w:szCs w:val="22"/>
          <w:color w:val="auto"/>
        </w:rPr>
        <w:t>The amounts collected in rates are invested in externally managed trust funds. Amounts held by the trusts are invested in accordance with CPUC regulations that establish maximum amounts for investments in equity securities (50 percent of a qualified trust and 60 percent of a nonqualified trust), international equity securities (20 percent) and securities of electric utilities having ownership interests in nuclear power plants (10 percent). Not less than 50 percent of the equity portion of the trusts must be invested passively. The securities held by the trust are considered available for sale. These trusts are shown on the Consolidated Balance Sheets at market value with the offsetting credits recorded in Asset Retirement Obligations and Regulatory Liabilities Arising from Removal Obligations.</w:t>
      </w:r>
    </w:p>
    <w:p>
      <w:pPr>
        <w:spacing w:after="0" w:line="191" w:lineRule="exact"/>
        <w:rPr>
          <w:sz w:val="20"/>
          <w:szCs w:val="20"/>
          <w:color w:val="auto"/>
        </w:rPr>
      </w:pPr>
    </w:p>
    <w:p>
      <w:pPr>
        <w:ind w:right="20"/>
        <w:spacing w:after="0" w:line="277" w:lineRule="auto"/>
        <w:rPr>
          <w:sz w:val="20"/>
          <w:szCs w:val="20"/>
          <w:color w:val="auto"/>
        </w:rPr>
      </w:pPr>
      <w:r>
        <w:rPr>
          <w:rFonts w:ascii="Arial" w:cs="Arial" w:eastAsia="Arial" w:hAnsi="Arial"/>
          <w:sz w:val="19"/>
          <w:szCs w:val="19"/>
          <w:color w:val="auto"/>
        </w:rPr>
        <w:t>Unit 1 was permanently shut down in 1992, and physical decommissioning began in January 2000. Several structures, foundations and large components have been dismantled, removed and disposed of. Spent nuclear fuel has been removed from the Unit 1 Spent Fuel Pool and stored on-site in an independent spent fuel storage installation (ISFSI) licensed by the NRC. The remaining major work will include dismantling, removal and disposal of all remaining equipment and facilities (both nuclear and non-nuclear components), and decontamination of the site. These activities are expected to be completed in 2008. The ISFSI will be decommissioned after a permanent storage facility becomes available and the spent fuel is removed from the site by the U.S. Department of Energy. Unit 1's reactor vessel is expected to remain on site until Units 2 and 3 are decommissioned.</w:t>
      </w:r>
    </w:p>
    <w:p>
      <w:pPr>
        <w:sectPr>
          <w:pgSz w:w="11900" w:h="16838" w:orient="portrait"/>
          <w:cols w:equalWidth="0" w:num="1">
            <w:col w:w="11360"/>
          </w:cols>
          <w:pgMar w:left="240" w:top="111" w:right="299" w:bottom="0" w:gutter="0" w:footer="0" w:header="0"/>
        </w:sectPr>
      </w:pPr>
    </w:p>
    <w:bookmarkStart w:id="34" w:name="page35"/>
    <w:bookmarkEnd w:id="34"/>
    <w:p>
      <w:pPr>
        <w:spacing w:after="0" w:line="59" w:lineRule="exact"/>
        <w:rPr>
          <w:sz w:val="20"/>
          <w:szCs w:val="20"/>
          <w:color w:val="auto"/>
        </w:rPr>
      </w:pPr>
    </w:p>
    <w:p>
      <w:pPr>
        <w:spacing w:after="0"/>
        <w:rPr>
          <w:sz w:val="20"/>
          <w:szCs w:val="20"/>
          <w:color w:val="auto"/>
        </w:rPr>
      </w:pPr>
      <w:r>
        <w:rPr>
          <w:rFonts w:ascii="Arial" w:cs="Arial" w:eastAsia="Arial" w:hAnsi="Arial"/>
          <w:sz w:val="22"/>
          <w:szCs w:val="22"/>
          <w:color w:val="auto"/>
        </w:rPr>
        <w:t>Trust investments include:</w:t>
      </w:r>
    </w:p>
    <w:p>
      <w:pPr>
        <w:spacing w:after="0" w:line="341" w:lineRule="exact"/>
        <w:rPr>
          <w:sz w:val="20"/>
          <w:szCs w:val="20"/>
          <w:color w:val="auto"/>
        </w:rPr>
      </w:pPr>
    </w:p>
    <w:tbl>
      <w:tblPr>
        <w:tblLayout w:type="fixed"/>
        <w:tblInd w:w="1780" w:type="dxa"/>
        <w:tblCellMar>
          <w:top w:w="0" w:type="dxa"/>
          <w:left w:w="0" w:type="dxa"/>
          <w:bottom w:w="0" w:type="dxa"/>
          <w:right w:w="0" w:type="dxa"/>
        </w:tblCellMar>
      </w:tblPr>
      <w:tr>
        <w:trPr>
          <w:trHeight w:val="222"/>
        </w:trPr>
        <w:tc>
          <w:tcPr>
            <w:tcW w:w="256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December 31,</w:t>
            </w:r>
          </w:p>
        </w:tc>
        <w:tc>
          <w:tcPr>
            <w:tcW w:w="560" w:type="dxa"/>
            <w:vAlign w:val="bottom"/>
          </w:tcPr>
          <w:p>
            <w:pPr>
              <w:spacing w:after="0"/>
              <w:rPr>
                <w:sz w:val="19"/>
                <w:szCs w:val="19"/>
                <w:color w:val="auto"/>
              </w:rPr>
            </w:pPr>
          </w:p>
        </w:tc>
      </w:tr>
      <w:tr>
        <w:trPr>
          <w:trHeight w:val="97"/>
        </w:trPr>
        <w:tc>
          <w:tcPr>
            <w:tcW w:w="2560" w:type="dxa"/>
            <w:vAlign w:val="bottom"/>
          </w:tcPr>
          <w:p>
            <w:pPr>
              <w:spacing w:after="0"/>
              <w:rPr>
                <w:sz w:val="8"/>
                <w:szCs w:val="8"/>
                <w:color w:val="auto"/>
              </w:rPr>
            </w:pPr>
          </w:p>
        </w:tc>
        <w:tc>
          <w:tcPr>
            <w:tcW w:w="2400" w:type="dxa"/>
            <w:vAlign w:val="bottom"/>
          </w:tcPr>
          <w:p>
            <w:pPr>
              <w:spacing w:after="0"/>
              <w:rPr>
                <w:sz w:val="8"/>
                <w:szCs w:val="8"/>
                <w:color w:val="auto"/>
              </w:rPr>
            </w:pPr>
          </w:p>
        </w:tc>
        <w:tc>
          <w:tcPr>
            <w:tcW w:w="840" w:type="dxa"/>
            <w:vAlign w:val="bottom"/>
          </w:tcPr>
          <w:p>
            <w:pPr>
              <w:spacing w:after="0"/>
              <w:rPr>
                <w:sz w:val="8"/>
                <w:szCs w:val="8"/>
                <w:color w:val="auto"/>
              </w:rPr>
            </w:pPr>
          </w:p>
        </w:tc>
        <w:tc>
          <w:tcPr>
            <w:tcW w:w="920" w:type="dxa"/>
            <w:vAlign w:val="bottom"/>
          </w:tcPr>
          <w:p>
            <w:pPr>
              <w:spacing w:after="0"/>
              <w:rPr>
                <w:sz w:val="8"/>
                <w:szCs w:val="8"/>
                <w:color w:val="auto"/>
              </w:rPr>
            </w:pPr>
          </w:p>
        </w:tc>
        <w:tc>
          <w:tcPr>
            <w:tcW w:w="600" w:type="dxa"/>
            <w:vAlign w:val="bottom"/>
          </w:tcPr>
          <w:p>
            <w:pPr>
              <w:spacing w:after="0"/>
              <w:rPr>
                <w:sz w:val="8"/>
                <w:szCs w:val="8"/>
                <w:color w:val="auto"/>
              </w:rPr>
            </w:pPr>
          </w:p>
        </w:tc>
        <w:tc>
          <w:tcPr>
            <w:tcW w:w="560" w:type="dxa"/>
            <w:vAlign w:val="bottom"/>
          </w:tcPr>
          <w:p>
            <w:pPr>
              <w:spacing w:after="0"/>
              <w:rPr>
                <w:sz w:val="8"/>
                <w:szCs w:val="8"/>
                <w:color w:val="auto"/>
              </w:rPr>
            </w:pPr>
          </w:p>
        </w:tc>
      </w:tr>
      <w:tr>
        <w:trPr>
          <w:trHeight w:val="405"/>
        </w:trPr>
        <w:tc>
          <w:tcPr>
            <w:tcW w:w="256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20" w:type="dxa"/>
            <w:vAlign w:val="bottom"/>
            <w:shd w:val="clear" w:color="auto" w:fill="000000"/>
          </w:tcPr>
          <w:p>
            <w:pPr>
              <w:spacing w:after="0"/>
              <w:rPr>
                <w:sz w:val="24"/>
                <w:szCs w:val="24"/>
                <w:color w:val="auto"/>
              </w:rPr>
            </w:pPr>
          </w:p>
        </w:tc>
        <w:tc>
          <w:tcPr>
            <w:tcW w:w="600" w:type="dxa"/>
            <w:vAlign w:val="bottom"/>
            <w:shd w:val="clear" w:color="auto" w:fill="000000"/>
          </w:tcPr>
          <w:p>
            <w:pPr>
              <w:spacing w:after="0"/>
              <w:rPr>
                <w:sz w:val="24"/>
                <w:szCs w:val="24"/>
                <w:color w:val="auto"/>
              </w:rPr>
            </w:pPr>
          </w:p>
        </w:tc>
        <w:tc>
          <w:tcPr>
            <w:tcW w:w="560" w:type="dxa"/>
            <w:vAlign w:val="bottom"/>
            <w:shd w:val="clear" w:color="auto" w:fill="000000"/>
          </w:tcPr>
          <w:p>
            <w:pPr>
              <w:spacing w:after="0"/>
              <w:rPr>
                <w:sz w:val="24"/>
                <w:szCs w:val="24"/>
                <w:color w:val="auto"/>
              </w:rPr>
            </w:pPr>
          </w:p>
        </w:tc>
      </w:tr>
      <w:tr>
        <w:trPr>
          <w:trHeight w:val="336"/>
        </w:trPr>
        <w:tc>
          <w:tcPr>
            <w:tcW w:w="2560" w:type="dxa"/>
            <w:vAlign w:val="bottom"/>
          </w:tcPr>
          <w:p>
            <w:pPr>
              <w:ind w:left="100"/>
              <w:spacing w:after="0"/>
              <w:rPr>
                <w:sz w:val="20"/>
                <w:szCs w:val="20"/>
                <w:color w:val="auto"/>
              </w:rPr>
            </w:pPr>
            <w:r>
              <w:rPr>
                <w:rFonts w:ascii="Arial" w:cs="Arial" w:eastAsia="Arial" w:hAnsi="Arial"/>
                <w:sz w:val="18"/>
                <w:szCs w:val="18"/>
                <w:color w:val="auto"/>
              </w:rPr>
              <w:t>(Dollars in millions)</w:t>
            </w:r>
          </w:p>
        </w:tc>
        <w:tc>
          <w:tcPr>
            <w:tcW w:w="2400" w:type="dxa"/>
            <w:vAlign w:val="bottom"/>
          </w:tcPr>
          <w:p>
            <w:pPr>
              <w:ind w:left="720"/>
              <w:spacing w:after="0"/>
              <w:rPr>
                <w:sz w:val="20"/>
                <w:szCs w:val="20"/>
                <w:color w:val="auto"/>
              </w:rPr>
            </w:pPr>
            <w:r>
              <w:rPr>
                <w:rFonts w:ascii="Arial" w:cs="Arial" w:eastAsia="Arial" w:hAnsi="Arial"/>
                <w:sz w:val="18"/>
                <w:szCs w:val="18"/>
                <w:color w:val="auto"/>
              </w:rPr>
              <w:t>Maturity dates</w:t>
            </w:r>
          </w:p>
        </w:tc>
        <w:tc>
          <w:tcPr>
            <w:tcW w:w="840" w:type="dxa"/>
            <w:vAlign w:val="bottom"/>
          </w:tcPr>
          <w:p>
            <w:pPr>
              <w:spacing w:after="0"/>
              <w:rPr>
                <w:sz w:val="24"/>
                <w:szCs w:val="24"/>
                <w:color w:val="auto"/>
              </w:rPr>
            </w:pPr>
          </w:p>
        </w:tc>
        <w:tc>
          <w:tcPr>
            <w:tcW w:w="920" w:type="dxa"/>
            <w:vAlign w:val="bottom"/>
          </w:tcPr>
          <w:p>
            <w:pPr>
              <w:jc w:val="right"/>
              <w:ind w:right="272"/>
              <w:spacing w:after="0"/>
              <w:rPr>
                <w:sz w:val="20"/>
                <w:szCs w:val="20"/>
                <w:color w:val="auto"/>
              </w:rPr>
            </w:pPr>
            <w:r>
              <w:rPr>
                <w:rFonts w:ascii="Arial" w:cs="Arial" w:eastAsia="Arial" w:hAnsi="Arial"/>
                <w:sz w:val="18"/>
                <w:szCs w:val="18"/>
                <w:color w:val="auto"/>
              </w:rPr>
              <w:t>2005</w:t>
            </w:r>
          </w:p>
        </w:tc>
        <w:tc>
          <w:tcPr>
            <w:tcW w:w="600" w:type="dxa"/>
            <w:vAlign w:val="bottom"/>
          </w:tcPr>
          <w:p>
            <w:pPr>
              <w:spacing w:after="0"/>
              <w:rPr>
                <w:sz w:val="24"/>
                <w:szCs w:val="24"/>
                <w:color w:val="auto"/>
              </w:rPr>
            </w:pPr>
          </w:p>
        </w:tc>
        <w:tc>
          <w:tcPr>
            <w:tcW w:w="560" w:type="dxa"/>
            <w:vAlign w:val="bottom"/>
          </w:tcPr>
          <w:p>
            <w:pPr>
              <w:jc w:val="right"/>
              <w:ind w:right="112"/>
              <w:spacing w:after="0"/>
              <w:rPr>
                <w:sz w:val="20"/>
                <w:szCs w:val="20"/>
                <w:color w:val="auto"/>
              </w:rPr>
            </w:pPr>
            <w:r>
              <w:rPr>
                <w:rFonts w:ascii="Arial" w:cs="Arial" w:eastAsia="Arial" w:hAnsi="Arial"/>
                <w:sz w:val="18"/>
                <w:szCs w:val="18"/>
                <w:color w:val="auto"/>
                <w:w w:val="84"/>
              </w:rPr>
              <w:t>2004</w:t>
            </w:r>
          </w:p>
        </w:tc>
      </w:tr>
      <w:tr>
        <w:trPr>
          <w:trHeight w:val="97"/>
        </w:trPr>
        <w:tc>
          <w:tcPr>
            <w:tcW w:w="2560" w:type="dxa"/>
            <w:vAlign w:val="bottom"/>
          </w:tcPr>
          <w:p>
            <w:pPr>
              <w:spacing w:after="0"/>
              <w:rPr>
                <w:sz w:val="8"/>
                <w:szCs w:val="8"/>
                <w:color w:val="auto"/>
              </w:rPr>
            </w:pPr>
          </w:p>
        </w:tc>
        <w:tc>
          <w:tcPr>
            <w:tcW w:w="2400" w:type="dxa"/>
            <w:vAlign w:val="bottom"/>
          </w:tcPr>
          <w:p>
            <w:pPr>
              <w:spacing w:after="0"/>
              <w:rPr>
                <w:sz w:val="8"/>
                <w:szCs w:val="8"/>
                <w:color w:val="auto"/>
              </w:rPr>
            </w:pPr>
          </w:p>
        </w:tc>
        <w:tc>
          <w:tcPr>
            <w:tcW w:w="840" w:type="dxa"/>
            <w:vAlign w:val="bottom"/>
          </w:tcPr>
          <w:p>
            <w:pPr>
              <w:spacing w:after="0"/>
              <w:rPr>
                <w:sz w:val="8"/>
                <w:szCs w:val="8"/>
                <w:color w:val="auto"/>
              </w:rPr>
            </w:pPr>
          </w:p>
        </w:tc>
        <w:tc>
          <w:tcPr>
            <w:tcW w:w="920" w:type="dxa"/>
            <w:vAlign w:val="bottom"/>
          </w:tcPr>
          <w:p>
            <w:pPr>
              <w:spacing w:after="0"/>
              <w:rPr>
                <w:sz w:val="8"/>
                <w:szCs w:val="8"/>
                <w:color w:val="auto"/>
              </w:rPr>
            </w:pPr>
          </w:p>
        </w:tc>
        <w:tc>
          <w:tcPr>
            <w:tcW w:w="600" w:type="dxa"/>
            <w:vAlign w:val="bottom"/>
          </w:tcPr>
          <w:p>
            <w:pPr>
              <w:spacing w:after="0"/>
              <w:rPr>
                <w:sz w:val="8"/>
                <w:szCs w:val="8"/>
                <w:color w:val="auto"/>
              </w:rPr>
            </w:pPr>
          </w:p>
        </w:tc>
        <w:tc>
          <w:tcPr>
            <w:tcW w:w="560" w:type="dxa"/>
            <w:vAlign w:val="bottom"/>
          </w:tcPr>
          <w:p>
            <w:pPr>
              <w:spacing w:after="0"/>
              <w:rPr>
                <w:sz w:val="8"/>
                <w:szCs w:val="8"/>
                <w:color w:val="auto"/>
              </w:rPr>
            </w:pPr>
          </w:p>
        </w:tc>
      </w:tr>
      <w:tr>
        <w:trPr>
          <w:trHeight w:val="405"/>
        </w:trPr>
        <w:tc>
          <w:tcPr>
            <w:tcW w:w="2560" w:type="dxa"/>
            <w:vAlign w:val="bottom"/>
            <w:shd w:val="clear" w:color="auto" w:fill="000000"/>
          </w:tcPr>
          <w:p>
            <w:pPr>
              <w:spacing w:after="0"/>
              <w:rPr>
                <w:sz w:val="24"/>
                <w:szCs w:val="24"/>
                <w:color w:val="auto"/>
              </w:rPr>
            </w:pPr>
          </w:p>
        </w:tc>
        <w:tc>
          <w:tcPr>
            <w:tcW w:w="2400" w:type="dxa"/>
            <w:vAlign w:val="bottom"/>
            <w:shd w:val="clear" w:color="auto" w:fill="000000"/>
          </w:tcPr>
          <w:p>
            <w:pPr>
              <w:spacing w:after="0"/>
              <w:rPr>
                <w:sz w:val="24"/>
                <w:szCs w:val="24"/>
                <w:color w:val="auto"/>
              </w:rPr>
            </w:pPr>
          </w:p>
        </w:tc>
        <w:tc>
          <w:tcPr>
            <w:tcW w:w="840" w:type="dxa"/>
            <w:vAlign w:val="bottom"/>
            <w:shd w:val="clear" w:color="auto" w:fill="000000"/>
          </w:tcPr>
          <w:p>
            <w:pPr>
              <w:spacing w:after="0"/>
              <w:rPr>
                <w:sz w:val="24"/>
                <w:szCs w:val="24"/>
                <w:color w:val="auto"/>
              </w:rPr>
            </w:pPr>
          </w:p>
        </w:tc>
        <w:tc>
          <w:tcPr>
            <w:tcW w:w="920" w:type="dxa"/>
            <w:vAlign w:val="bottom"/>
            <w:shd w:val="clear" w:color="auto" w:fill="000000"/>
          </w:tcPr>
          <w:p>
            <w:pPr>
              <w:spacing w:after="0"/>
              <w:rPr>
                <w:sz w:val="24"/>
                <w:szCs w:val="24"/>
                <w:color w:val="auto"/>
              </w:rPr>
            </w:pPr>
          </w:p>
        </w:tc>
        <w:tc>
          <w:tcPr>
            <w:tcW w:w="600" w:type="dxa"/>
            <w:vAlign w:val="bottom"/>
            <w:shd w:val="clear" w:color="auto" w:fill="000000"/>
          </w:tcPr>
          <w:p>
            <w:pPr>
              <w:spacing w:after="0"/>
              <w:rPr>
                <w:sz w:val="24"/>
                <w:szCs w:val="24"/>
                <w:color w:val="auto"/>
              </w:rPr>
            </w:pPr>
          </w:p>
        </w:tc>
        <w:tc>
          <w:tcPr>
            <w:tcW w:w="560" w:type="dxa"/>
            <w:vAlign w:val="bottom"/>
            <w:shd w:val="clear" w:color="auto" w:fill="000000"/>
          </w:tcPr>
          <w:p>
            <w:pPr>
              <w:spacing w:after="0"/>
              <w:rPr>
                <w:sz w:val="24"/>
                <w:szCs w:val="24"/>
                <w:color w:val="auto"/>
              </w:rPr>
            </w:pPr>
          </w:p>
        </w:tc>
      </w:tr>
      <w:tr>
        <w:trPr>
          <w:trHeight w:val="336"/>
        </w:trPr>
        <w:tc>
          <w:tcPr>
            <w:tcW w:w="2560" w:type="dxa"/>
            <w:vAlign w:val="bottom"/>
          </w:tcPr>
          <w:p>
            <w:pPr>
              <w:ind w:left="100"/>
              <w:spacing w:after="0"/>
              <w:rPr>
                <w:sz w:val="20"/>
                <w:szCs w:val="20"/>
                <w:color w:val="auto"/>
              </w:rPr>
            </w:pPr>
            <w:r>
              <w:rPr>
                <w:rFonts w:ascii="Arial" w:cs="Arial" w:eastAsia="Arial" w:hAnsi="Arial"/>
                <w:sz w:val="18"/>
                <w:szCs w:val="18"/>
                <w:color w:val="auto"/>
              </w:rPr>
              <w:t>Municipal bonds</w:t>
            </w:r>
          </w:p>
        </w:tc>
        <w:tc>
          <w:tcPr>
            <w:tcW w:w="2400" w:type="dxa"/>
            <w:vAlign w:val="bottom"/>
          </w:tcPr>
          <w:p>
            <w:pPr>
              <w:ind w:left="720"/>
              <w:spacing w:after="0"/>
              <w:rPr>
                <w:sz w:val="20"/>
                <w:szCs w:val="20"/>
                <w:color w:val="auto"/>
              </w:rPr>
            </w:pPr>
            <w:r>
              <w:rPr>
                <w:rFonts w:ascii="Arial" w:cs="Arial" w:eastAsia="Arial" w:hAnsi="Arial"/>
                <w:sz w:val="18"/>
                <w:szCs w:val="18"/>
                <w:color w:val="auto"/>
              </w:rPr>
              <w:t>2006 - 2034</w:t>
            </w:r>
          </w:p>
        </w:tc>
        <w:tc>
          <w:tcPr>
            <w:tcW w:w="84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32"/>
              <w:spacing w:after="0"/>
              <w:rPr>
                <w:sz w:val="20"/>
                <w:szCs w:val="20"/>
                <w:color w:val="auto"/>
              </w:rPr>
            </w:pPr>
            <w:r>
              <w:rPr>
                <w:rFonts w:ascii="Arial" w:cs="Arial" w:eastAsia="Arial" w:hAnsi="Arial"/>
                <w:sz w:val="18"/>
                <w:szCs w:val="18"/>
                <w:color w:val="auto"/>
              </w:rPr>
              <w:t>54</w:t>
            </w:r>
          </w:p>
        </w:tc>
        <w:tc>
          <w:tcPr>
            <w:tcW w:w="600" w:type="dxa"/>
            <w:vAlign w:val="bottom"/>
          </w:tcPr>
          <w:p>
            <w:pPr>
              <w:jc w:val="right"/>
              <w:ind w:right="192"/>
              <w:spacing w:after="0"/>
              <w:rPr>
                <w:sz w:val="20"/>
                <w:szCs w:val="20"/>
                <w:color w:val="auto"/>
              </w:rPr>
            </w:pPr>
            <w:r>
              <w:rPr>
                <w:rFonts w:ascii="Arial" w:cs="Arial" w:eastAsia="Arial" w:hAnsi="Arial"/>
                <w:sz w:val="18"/>
                <w:szCs w:val="18"/>
                <w:color w:val="auto"/>
              </w:rPr>
              <w:t>$</w:t>
            </w:r>
          </w:p>
        </w:tc>
        <w:tc>
          <w:tcPr>
            <w:tcW w:w="560" w:type="dxa"/>
            <w:vAlign w:val="bottom"/>
          </w:tcPr>
          <w:p>
            <w:pPr>
              <w:jc w:val="right"/>
              <w:ind w:right="12"/>
              <w:spacing w:after="0"/>
              <w:rPr>
                <w:sz w:val="20"/>
                <w:szCs w:val="20"/>
                <w:color w:val="auto"/>
              </w:rPr>
            </w:pPr>
            <w:r>
              <w:rPr>
                <w:rFonts w:ascii="Arial" w:cs="Arial" w:eastAsia="Arial" w:hAnsi="Arial"/>
                <w:sz w:val="18"/>
                <w:szCs w:val="18"/>
                <w:color w:val="auto"/>
              </w:rPr>
              <w:t>45</w:t>
            </w:r>
          </w:p>
        </w:tc>
      </w:tr>
      <w:tr>
        <w:trPr>
          <w:trHeight w:val="432"/>
        </w:trPr>
        <w:tc>
          <w:tcPr>
            <w:tcW w:w="2560" w:type="dxa"/>
            <w:vAlign w:val="bottom"/>
          </w:tcPr>
          <w:p>
            <w:pPr>
              <w:ind w:left="100"/>
              <w:spacing w:after="0"/>
              <w:rPr>
                <w:sz w:val="20"/>
                <w:szCs w:val="20"/>
                <w:color w:val="auto"/>
              </w:rPr>
            </w:pPr>
            <w:r>
              <w:rPr>
                <w:rFonts w:ascii="Arial" w:cs="Arial" w:eastAsia="Arial" w:hAnsi="Arial"/>
                <w:sz w:val="18"/>
                <w:szCs w:val="18"/>
                <w:color w:val="auto"/>
              </w:rPr>
              <w:t>U.S. government issues</w:t>
            </w:r>
          </w:p>
        </w:tc>
        <w:tc>
          <w:tcPr>
            <w:tcW w:w="2400" w:type="dxa"/>
            <w:vAlign w:val="bottom"/>
          </w:tcPr>
          <w:p>
            <w:pPr>
              <w:ind w:left="720"/>
              <w:spacing w:after="0"/>
              <w:rPr>
                <w:sz w:val="20"/>
                <w:szCs w:val="20"/>
                <w:color w:val="auto"/>
              </w:rPr>
            </w:pPr>
            <w:r>
              <w:rPr>
                <w:rFonts w:ascii="Arial" w:cs="Arial" w:eastAsia="Arial" w:hAnsi="Arial"/>
                <w:sz w:val="18"/>
                <w:szCs w:val="18"/>
                <w:color w:val="auto"/>
              </w:rPr>
              <w:t>2006 - 2038</w:t>
            </w:r>
          </w:p>
        </w:tc>
        <w:tc>
          <w:tcPr>
            <w:tcW w:w="840" w:type="dxa"/>
            <w:vAlign w:val="bottom"/>
          </w:tcPr>
          <w:p>
            <w:pPr>
              <w:spacing w:after="0"/>
              <w:rPr>
                <w:sz w:val="24"/>
                <w:szCs w:val="24"/>
                <w:color w:val="auto"/>
              </w:rPr>
            </w:pPr>
          </w:p>
        </w:tc>
        <w:tc>
          <w:tcPr>
            <w:tcW w:w="920" w:type="dxa"/>
            <w:vAlign w:val="bottom"/>
          </w:tcPr>
          <w:p>
            <w:pPr>
              <w:jc w:val="right"/>
              <w:ind w:right="132"/>
              <w:spacing w:after="0"/>
              <w:rPr>
                <w:sz w:val="20"/>
                <w:szCs w:val="20"/>
                <w:color w:val="auto"/>
              </w:rPr>
            </w:pPr>
            <w:r>
              <w:rPr>
                <w:rFonts w:ascii="Arial" w:cs="Arial" w:eastAsia="Arial" w:hAnsi="Arial"/>
                <w:sz w:val="18"/>
                <w:szCs w:val="18"/>
                <w:color w:val="auto"/>
              </w:rPr>
              <w:t>222</w:t>
            </w:r>
          </w:p>
        </w:tc>
        <w:tc>
          <w:tcPr>
            <w:tcW w:w="600" w:type="dxa"/>
            <w:vAlign w:val="bottom"/>
          </w:tcPr>
          <w:p>
            <w:pPr>
              <w:spacing w:after="0"/>
              <w:rPr>
                <w:sz w:val="24"/>
                <w:szCs w:val="24"/>
                <w:color w:val="auto"/>
              </w:rPr>
            </w:pPr>
          </w:p>
        </w:tc>
        <w:tc>
          <w:tcPr>
            <w:tcW w:w="560" w:type="dxa"/>
            <w:vAlign w:val="bottom"/>
          </w:tcPr>
          <w:p>
            <w:pPr>
              <w:jc w:val="right"/>
              <w:ind w:right="12"/>
              <w:spacing w:after="0"/>
              <w:rPr>
                <w:sz w:val="20"/>
                <w:szCs w:val="20"/>
                <w:color w:val="auto"/>
              </w:rPr>
            </w:pPr>
            <w:r>
              <w:rPr>
                <w:rFonts w:ascii="Arial" w:cs="Arial" w:eastAsia="Arial" w:hAnsi="Arial"/>
                <w:sz w:val="18"/>
                <w:szCs w:val="18"/>
                <w:color w:val="auto"/>
              </w:rPr>
              <w:t>209</w:t>
            </w:r>
          </w:p>
        </w:tc>
      </w:tr>
      <w:tr>
        <w:trPr>
          <w:trHeight w:val="432"/>
        </w:trPr>
        <w:tc>
          <w:tcPr>
            <w:tcW w:w="2560" w:type="dxa"/>
            <w:vAlign w:val="bottom"/>
          </w:tcPr>
          <w:p>
            <w:pPr>
              <w:ind w:left="100"/>
              <w:spacing w:after="0"/>
              <w:rPr>
                <w:sz w:val="20"/>
                <w:szCs w:val="20"/>
                <w:color w:val="auto"/>
              </w:rPr>
            </w:pPr>
            <w:r>
              <w:rPr>
                <w:rFonts w:ascii="Arial" w:cs="Arial" w:eastAsia="Arial" w:hAnsi="Arial"/>
                <w:sz w:val="18"/>
                <w:szCs w:val="18"/>
                <w:color w:val="auto"/>
              </w:rPr>
              <w:t>Cash and other securities</w:t>
            </w:r>
          </w:p>
        </w:tc>
        <w:tc>
          <w:tcPr>
            <w:tcW w:w="2400" w:type="dxa"/>
            <w:vAlign w:val="bottom"/>
          </w:tcPr>
          <w:p>
            <w:pPr>
              <w:ind w:left="720"/>
              <w:spacing w:after="0"/>
              <w:rPr>
                <w:sz w:val="20"/>
                <w:szCs w:val="20"/>
                <w:color w:val="auto"/>
              </w:rPr>
            </w:pPr>
            <w:r>
              <w:rPr>
                <w:rFonts w:ascii="Arial" w:cs="Arial" w:eastAsia="Arial" w:hAnsi="Arial"/>
                <w:sz w:val="18"/>
                <w:szCs w:val="18"/>
                <w:color w:val="auto"/>
              </w:rPr>
              <w:t>2006 - 2033</w:t>
            </w:r>
          </w:p>
        </w:tc>
        <w:tc>
          <w:tcPr>
            <w:tcW w:w="840" w:type="dxa"/>
            <w:vAlign w:val="bottom"/>
          </w:tcPr>
          <w:p>
            <w:pPr>
              <w:spacing w:after="0"/>
              <w:rPr>
                <w:sz w:val="24"/>
                <w:szCs w:val="24"/>
                <w:color w:val="auto"/>
              </w:rPr>
            </w:pPr>
          </w:p>
        </w:tc>
        <w:tc>
          <w:tcPr>
            <w:tcW w:w="920" w:type="dxa"/>
            <w:vAlign w:val="bottom"/>
          </w:tcPr>
          <w:p>
            <w:pPr>
              <w:jc w:val="right"/>
              <w:ind w:right="132"/>
              <w:spacing w:after="0"/>
              <w:rPr>
                <w:sz w:val="20"/>
                <w:szCs w:val="20"/>
                <w:color w:val="auto"/>
              </w:rPr>
            </w:pPr>
            <w:r>
              <w:rPr>
                <w:rFonts w:ascii="Arial" w:cs="Arial" w:eastAsia="Arial" w:hAnsi="Arial"/>
                <w:sz w:val="18"/>
                <w:szCs w:val="18"/>
                <w:color w:val="auto"/>
              </w:rPr>
              <w:t>35</w:t>
            </w:r>
          </w:p>
        </w:tc>
        <w:tc>
          <w:tcPr>
            <w:tcW w:w="600" w:type="dxa"/>
            <w:vAlign w:val="bottom"/>
          </w:tcPr>
          <w:p>
            <w:pPr>
              <w:spacing w:after="0"/>
              <w:rPr>
                <w:sz w:val="24"/>
                <w:szCs w:val="24"/>
                <w:color w:val="auto"/>
              </w:rPr>
            </w:pPr>
          </w:p>
        </w:tc>
        <w:tc>
          <w:tcPr>
            <w:tcW w:w="560" w:type="dxa"/>
            <w:vAlign w:val="bottom"/>
          </w:tcPr>
          <w:p>
            <w:pPr>
              <w:jc w:val="right"/>
              <w:ind w:right="12"/>
              <w:spacing w:after="0"/>
              <w:rPr>
                <w:sz w:val="20"/>
                <w:szCs w:val="20"/>
                <w:color w:val="auto"/>
              </w:rPr>
            </w:pPr>
            <w:r>
              <w:rPr>
                <w:rFonts w:ascii="Arial" w:cs="Arial" w:eastAsia="Arial" w:hAnsi="Arial"/>
                <w:sz w:val="18"/>
                <w:szCs w:val="18"/>
                <w:color w:val="auto"/>
              </w:rPr>
              <w:t>55</w:t>
            </w:r>
          </w:p>
        </w:tc>
      </w:tr>
      <w:tr>
        <w:trPr>
          <w:trHeight w:val="432"/>
        </w:trPr>
        <w:tc>
          <w:tcPr>
            <w:tcW w:w="2560" w:type="dxa"/>
            <w:vAlign w:val="bottom"/>
          </w:tcPr>
          <w:p>
            <w:pPr>
              <w:ind w:left="100"/>
              <w:spacing w:after="0"/>
              <w:rPr>
                <w:sz w:val="20"/>
                <w:szCs w:val="20"/>
                <w:color w:val="auto"/>
              </w:rPr>
            </w:pPr>
            <w:r>
              <w:rPr>
                <w:rFonts w:ascii="Arial" w:cs="Arial" w:eastAsia="Arial" w:hAnsi="Arial"/>
                <w:sz w:val="18"/>
                <w:szCs w:val="18"/>
                <w:color w:val="auto"/>
              </w:rPr>
              <w:t>Equity securities</w:t>
            </w:r>
          </w:p>
        </w:tc>
        <w:tc>
          <w:tcPr>
            <w:tcW w:w="24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20" w:type="dxa"/>
            <w:vAlign w:val="bottom"/>
          </w:tcPr>
          <w:p>
            <w:pPr>
              <w:jc w:val="right"/>
              <w:ind w:right="132"/>
              <w:spacing w:after="0"/>
              <w:rPr>
                <w:sz w:val="20"/>
                <w:szCs w:val="20"/>
                <w:color w:val="auto"/>
              </w:rPr>
            </w:pPr>
            <w:r>
              <w:rPr>
                <w:rFonts w:ascii="Arial" w:cs="Arial" w:eastAsia="Arial" w:hAnsi="Arial"/>
                <w:sz w:val="18"/>
                <w:szCs w:val="18"/>
                <w:color w:val="auto"/>
              </w:rPr>
              <w:t>327</w:t>
            </w:r>
          </w:p>
        </w:tc>
        <w:tc>
          <w:tcPr>
            <w:tcW w:w="600" w:type="dxa"/>
            <w:vAlign w:val="bottom"/>
          </w:tcPr>
          <w:p>
            <w:pPr>
              <w:spacing w:after="0"/>
              <w:rPr>
                <w:sz w:val="24"/>
                <w:szCs w:val="24"/>
                <w:color w:val="auto"/>
              </w:rPr>
            </w:pPr>
          </w:p>
        </w:tc>
        <w:tc>
          <w:tcPr>
            <w:tcW w:w="560" w:type="dxa"/>
            <w:vAlign w:val="bottom"/>
          </w:tcPr>
          <w:p>
            <w:pPr>
              <w:jc w:val="right"/>
              <w:ind w:right="12"/>
              <w:spacing w:after="0"/>
              <w:rPr>
                <w:sz w:val="20"/>
                <w:szCs w:val="20"/>
                <w:color w:val="auto"/>
              </w:rPr>
            </w:pPr>
            <w:r>
              <w:rPr>
                <w:rFonts w:ascii="Arial" w:cs="Arial" w:eastAsia="Arial" w:hAnsi="Arial"/>
                <w:sz w:val="18"/>
                <w:szCs w:val="18"/>
                <w:color w:val="auto"/>
              </w:rPr>
              <w:t>303</w:t>
            </w:r>
          </w:p>
        </w:tc>
      </w:tr>
      <w:tr>
        <w:trPr>
          <w:trHeight w:val="97"/>
        </w:trPr>
        <w:tc>
          <w:tcPr>
            <w:tcW w:w="2560" w:type="dxa"/>
            <w:vAlign w:val="bottom"/>
          </w:tcPr>
          <w:p>
            <w:pPr>
              <w:spacing w:after="0"/>
              <w:rPr>
                <w:sz w:val="8"/>
                <w:szCs w:val="8"/>
                <w:color w:val="auto"/>
              </w:rPr>
            </w:pPr>
          </w:p>
        </w:tc>
        <w:tc>
          <w:tcPr>
            <w:tcW w:w="2400" w:type="dxa"/>
            <w:vAlign w:val="bottom"/>
          </w:tcPr>
          <w:p>
            <w:pPr>
              <w:spacing w:after="0"/>
              <w:rPr>
                <w:sz w:val="8"/>
                <w:szCs w:val="8"/>
                <w:color w:val="auto"/>
              </w:rPr>
            </w:pPr>
          </w:p>
        </w:tc>
        <w:tc>
          <w:tcPr>
            <w:tcW w:w="840" w:type="dxa"/>
            <w:vAlign w:val="bottom"/>
          </w:tcPr>
          <w:p>
            <w:pPr>
              <w:spacing w:after="0"/>
              <w:rPr>
                <w:sz w:val="8"/>
                <w:szCs w:val="8"/>
                <w:color w:val="auto"/>
              </w:rPr>
            </w:pPr>
          </w:p>
        </w:tc>
        <w:tc>
          <w:tcPr>
            <w:tcW w:w="920" w:type="dxa"/>
            <w:vAlign w:val="bottom"/>
          </w:tcPr>
          <w:p>
            <w:pPr>
              <w:spacing w:after="0"/>
              <w:rPr>
                <w:sz w:val="8"/>
                <w:szCs w:val="8"/>
                <w:color w:val="auto"/>
              </w:rPr>
            </w:pPr>
          </w:p>
        </w:tc>
        <w:tc>
          <w:tcPr>
            <w:tcW w:w="600" w:type="dxa"/>
            <w:vAlign w:val="bottom"/>
          </w:tcPr>
          <w:p>
            <w:pPr>
              <w:spacing w:after="0"/>
              <w:rPr>
                <w:sz w:val="8"/>
                <w:szCs w:val="8"/>
                <w:color w:val="auto"/>
              </w:rPr>
            </w:pPr>
          </w:p>
        </w:tc>
        <w:tc>
          <w:tcPr>
            <w:tcW w:w="560" w:type="dxa"/>
            <w:vAlign w:val="bottom"/>
          </w:tcPr>
          <w:p>
            <w:pPr>
              <w:spacing w:after="0"/>
              <w:rPr>
                <w:sz w:val="8"/>
                <w:szCs w:val="8"/>
                <w:color w:val="auto"/>
              </w:rPr>
            </w:pPr>
          </w:p>
        </w:tc>
      </w:tr>
      <w:tr>
        <w:trPr>
          <w:trHeight w:val="405"/>
        </w:trPr>
        <w:tc>
          <w:tcPr>
            <w:tcW w:w="2560" w:type="dxa"/>
            <w:vAlign w:val="bottom"/>
            <w:shd w:val="clear" w:color="auto" w:fill="000000"/>
          </w:tcPr>
          <w:p>
            <w:pPr>
              <w:spacing w:after="0"/>
              <w:rPr>
                <w:sz w:val="24"/>
                <w:szCs w:val="24"/>
                <w:color w:val="auto"/>
              </w:rPr>
            </w:pPr>
          </w:p>
        </w:tc>
        <w:tc>
          <w:tcPr>
            <w:tcW w:w="2400" w:type="dxa"/>
            <w:vAlign w:val="bottom"/>
            <w:shd w:val="clear" w:color="auto" w:fill="000000"/>
          </w:tcPr>
          <w:p>
            <w:pPr>
              <w:spacing w:after="0"/>
              <w:rPr>
                <w:sz w:val="24"/>
                <w:szCs w:val="24"/>
                <w:color w:val="auto"/>
              </w:rPr>
            </w:pPr>
          </w:p>
        </w:tc>
        <w:tc>
          <w:tcPr>
            <w:tcW w:w="840" w:type="dxa"/>
            <w:vAlign w:val="bottom"/>
            <w:shd w:val="clear" w:color="auto" w:fill="000000"/>
          </w:tcPr>
          <w:p>
            <w:pPr>
              <w:spacing w:after="0"/>
              <w:rPr>
                <w:sz w:val="24"/>
                <w:szCs w:val="24"/>
                <w:color w:val="auto"/>
              </w:rPr>
            </w:pPr>
          </w:p>
        </w:tc>
        <w:tc>
          <w:tcPr>
            <w:tcW w:w="920" w:type="dxa"/>
            <w:vAlign w:val="bottom"/>
            <w:shd w:val="clear" w:color="auto" w:fill="000000"/>
          </w:tcPr>
          <w:p>
            <w:pPr>
              <w:spacing w:after="0"/>
              <w:rPr>
                <w:sz w:val="24"/>
                <w:szCs w:val="24"/>
                <w:color w:val="auto"/>
              </w:rPr>
            </w:pPr>
          </w:p>
        </w:tc>
        <w:tc>
          <w:tcPr>
            <w:tcW w:w="600" w:type="dxa"/>
            <w:vAlign w:val="bottom"/>
            <w:shd w:val="clear" w:color="auto" w:fill="000000"/>
          </w:tcPr>
          <w:p>
            <w:pPr>
              <w:spacing w:after="0"/>
              <w:rPr>
                <w:sz w:val="24"/>
                <w:szCs w:val="24"/>
                <w:color w:val="auto"/>
              </w:rPr>
            </w:pPr>
          </w:p>
        </w:tc>
        <w:tc>
          <w:tcPr>
            <w:tcW w:w="560" w:type="dxa"/>
            <w:vAlign w:val="bottom"/>
            <w:shd w:val="clear" w:color="auto" w:fill="000000"/>
          </w:tcPr>
          <w:p>
            <w:pPr>
              <w:spacing w:after="0"/>
              <w:rPr>
                <w:sz w:val="24"/>
                <w:szCs w:val="24"/>
                <w:color w:val="auto"/>
              </w:rPr>
            </w:pPr>
          </w:p>
        </w:tc>
      </w:tr>
      <w:tr>
        <w:trPr>
          <w:trHeight w:val="336"/>
        </w:trPr>
        <w:tc>
          <w:tcPr>
            <w:tcW w:w="2560" w:type="dxa"/>
            <w:vAlign w:val="bottom"/>
          </w:tcPr>
          <w:p>
            <w:pPr>
              <w:ind w:left="100"/>
              <w:spacing w:after="0"/>
              <w:rPr>
                <w:sz w:val="20"/>
                <w:szCs w:val="20"/>
                <w:color w:val="auto"/>
              </w:rPr>
            </w:pPr>
            <w:r>
              <w:rPr>
                <w:rFonts w:ascii="Arial" w:cs="Arial" w:eastAsia="Arial" w:hAnsi="Arial"/>
                <w:sz w:val="18"/>
                <w:szCs w:val="18"/>
                <w:color w:val="auto"/>
              </w:rPr>
              <w:t>Total</w:t>
            </w:r>
          </w:p>
        </w:tc>
        <w:tc>
          <w:tcPr>
            <w:tcW w:w="2400" w:type="dxa"/>
            <w:vAlign w:val="bottom"/>
          </w:tcPr>
          <w:p>
            <w:pPr>
              <w:spacing w:after="0"/>
              <w:rPr>
                <w:sz w:val="24"/>
                <w:szCs w:val="24"/>
                <w:color w:val="auto"/>
              </w:rPr>
            </w:pPr>
          </w:p>
        </w:tc>
        <w:tc>
          <w:tcPr>
            <w:tcW w:w="84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32"/>
              <w:spacing w:after="0"/>
              <w:rPr>
                <w:sz w:val="20"/>
                <w:szCs w:val="20"/>
                <w:color w:val="auto"/>
              </w:rPr>
            </w:pPr>
            <w:r>
              <w:rPr>
                <w:rFonts w:ascii="Arial" w:cs="Arial" w:eastAsia="Arial" w:hAnsi="Arial"/>
                <w:sz w:val="18"/>
                <w:szCs w:val="18"/>
                <w:color w:val="auto"/>
              </w:rPr>
              <w:t>638</w:t>
            </w:r>
          </w:p>
        </w:tc>
        <w:tc>
          <w:tcPr>
            <w:tcW w:w="600" w:type="dxa"/>
            <w:vAlign w:val="bottom"/>
          </w:tcPr>
          <w:p>
            <w:pPr>
              <w:jc w:val="right"/>
              <w:ind w:right="192"/>
              <w:spacing w:after="0"/>
              <w:rPr>
                <w:sz w:val="20"/>
                <w:szCs w:val="20"/>
                <w:color w:val="auto"/>
              </w:rPr>
            </w:pPr>
            <w:r>
              <w:rPr>
                <w:rFonts w:ascii="Arial" w:cs="Arial" w:eastAsia="Arial" w:hAnsi="Arial"/>
                <w:sz w:val="18"/>
                <w:szCs w:val="18"/>
                <w:color w:val="auto"/>
              </w:rPr>
              <w:t>$</w:t>
            </w:r>
          </w:p>
        </w:tc>
        <w:tc>
          <w:tcPr>
            <w:tcW w:w="560" w:type="dxa"/>
            <w:vAlign w:val="bottom"/>
          </w:tcPr>
          <w:p>
            <w:pPr>
              <w:jc w:val="right"/>
              <w:ind w:right="12"/>
              <w:spacing w:after="0"/>
              <w:rPr>
                <w:sz w:val="20"/>
                <w:szCs w:val="20"/>
                <w:color w:val="auto"/>
              </w:rPr>
            </w:pPr>
            <w:r>
              <w:rPr>
                <w:rFonts w:ascii="Arial" w:cs="Arial" w:eastAsia="Arial" w:hAnsi="Arial"/>
                <w:sz w:val="18"/>
                <w:szCs w:val="18"/>
                <w:color w:val="auto"/>
              </w:rPr>
              <w:t>612</w:t>
            </w:r>
          </w:p>
        </w:tc>
      </w:tr>
      <w:tr>
        <w:trPr>
          <w:trHeight w:val="97"/>
        </w:trPr>
        <w:tc>
          <w:tcPr>
            <w:tcW w:w="2560" w:type="dxa"/>
            <w:vAlign w:val="bottom"/>
          </w:tcPr>
          <w:p>
            <w:pPr>
              <w:spacing w:after="0"/>
              <w:rPr>
                <w:sz w:val="8"/>
                <w:szCs w:val="8"/>
                <w:color w:val="auto"/>
              </w:rPr>
            </w:pPr>
          </w:p>
        </w:tc>
        <w:tc>
          <w:tcPr>
            <w:tcW w:w="2400" w:type="dxa"/>
            <w:vAlign w:val="bottom"/>
          </w:tcPr>
          <w:p>
            <w:pPr>
              <w:spacing w:after="0"/>
              <w:rPr>
                <w:sz w:val="8"/>
                <w:szCs w:val="8"/>
                <w:color w:val="auto"/>
              </w:rPr>
            </w:pPr>
          </w:p>
        </w:tc>
        <w:tc>
          <w:tcPr>
            <w:tcW w:w="840" w:type="dxa"/>
            <w:vAlign w:val="bottom"/>
          </w:tcPr>
          <w:p>
            <w:pPr>
              <w:spacing w:after="0"/>
              <w:rPr>
                <w:sz w:val="8"/>
                <w:szCs w:val="8"/>
                <w:color w:val="auto"/>
              </w:rPr>
            </w:pPr>
          </w:p>
        </w:tc>
        <w:tc>
          <w:tcPr>
            <w:tcW w:w="920" w:type="dxa"/>
            <w:vAlign w:val="bottom"/>
          </w:tcPr>
          <w:p>
            <w:pPr>
              <w:spacing w:after="0"/>
              <w:rPr>
                <w:sz w:val="8"/>
                <w:szCs w:val="8"/>
                <w:color w:val="auto"/>
              </w:rPr>
            </w:pPr>
          </w:p>
        </w:tc>
        <w:tc>
          <w:tcPr>
            <w:tcW w:w="600" w:type="dxa"/>
            <w:vAlign w:val="bottom"/>
          </w:tcPr>
          <w:p>
            <w:pPr>
              <w:spacing w:after="0"/>
              <w:rPr>
                <w:sz w:val="8"/>
                <w:szCs w:val="8"/>
                <w:color w:val="auto"/>
              </w:rPr>
            </w:pPr>
          </w:p>
        </w:tc>
        <w:tc>
          <w:tcPr>
            <w:tcW w:w="560" w:type="dxa"/>
            <w:vAlign w:val="bottom"/>
          </w:tcPr>
          <w:p>
            <w:pPr>
              <w:spacing w:after="0"/>
              <w:rPr>
                <w:sz w:val="8"/>
                <w:szCs w:val="8"/>
                <w:color w:val="auto"/>
              </w:rPr>
            </w:pPr>
          </w:p>
        </w:tc>
      </w:tr>
      <w:tr>
        <w:trPr>
          <w:trHeight w:val="405"/>
        </w:trPr>
        <w:tc>
          <w:tcPr>
            <w:tcW w:w="2560" w:type="dxa"/>
            <w:vAlign w:val="bottom"/>
            <w:shd w:val="clear" w:color="auto" w:fill="000000"/>
          </w:tcPr>
          <w:p>
            <w:pPr>
              <w:spacing w:after="0"/>
              <w:rPr>
                <w:sz w:val="24"/>
                <w:szCs w:val="24"/>
                <w:color w:val="auto"/>
              </w:rPr>
            </w:pPr>
          </w:p>
        </w:tc>
        <w:tc>
          <w:tcPr>
            <w:tcW w:w="2400" w:type="dxa"/>
            <w:vAlign w:val="bottom"/>
            <w:shd w:val="clear" w:color="auto" w:fill="000000"/>
          </w:tcPr>
          <w:p>
            <w:pPr>
              <w:spacing w:after="0"/>
              <w:rPr>
                <w:sz w:val="24"/>
                <w:szCs w:val="24"/>
                <w:color w:val="auto"/>
              </w:rPr>
            </w:pPr>
          </w:p>
        </w:tc>
        <w:tc>
          <w:tcPr>
            <w:tcW w:w="840" w:type="dxa"/>
            <w:vAlign w:val="bottom"/>
            <w:shd w:val="clear" w:color="auto" w:fill="000000"/>
          </w:tcPr>
          <w:p>
            <w:pPr>
              <w:spacing w:after="0"/>
              <w:rPr>
                <w:sz w:val="24"/>
                <w:szCs w:val="24"/>
                <w:color w:val="auto"/>
              </w:rPr>
            </w:pPr>
          </w:p>
        </w:tc>
        <w:tc>
          <w:tcPr>
            <w:tcW w:w="920" w:type="dxa"/>
            <w:vAlign w:val="bottom"/>
            <w:shd w:val="clear" w:color="auto" w:fill="000000"/>
          </w:tcPr>
          <w:p>
            <w:pPr>
              <w:spacing w:after="0"/>
              <w:rPr>
                <w:sz w:val="24"/>
                <w:szCs w:val="24"/>
                <w:color w:val="auto"/>
              </w:rPr>
            </w:pPr>
          </w:p>
        </w:tc>
        <w:tc>
          <w:tcPr>
            <w:tcW w:w="600" w:type="dxa"/>
            <w:vAlign w:val="bottom"/>
            <w:shd w:val="clear" w:color="auto" w:fill="000000"/>
          </w:tcPr>
          <w:p>
            <w:pPr>
              <w:spacing w:after="0"/>
              <w:rPr>
                <w:sz w:val="24"/>
                <w:szCs w:val="24"/>
                <w:color w:val="auto"/>
              </w:rPr>
            </w:pPr>
          </w:p>
        </w:tc>
        <w:tc>
          <w:tcPr>
            <w:tcW w:w="560" w:type="dxa"/>
            <w:vAlign w:val="bottom"/>
            <w:shd w:val="clear" w:color="auto" w:fill="000000"/>
          </w:tcPr>
          <w:p>
            <w:pPr>
              <w:spacing w:after="0"/>
              <w:rPr>
                <w:sz w:val="24"/>
                <w:szCs w:val="24"/>
                <w:color w:val="auto"/>
              </w:rPr>
            </w:pPr>
          </w:p>
        </w:tc>
      </w:tr>
    </w:tbl>
    <w:p>
      <w:pPr>
        <w:spacing w:after="0" w:line="195" w:lineRule="exact"/>
        <w:rPr>
          <w:sz w:val="20"/>
          <w:szCs w:val="20"/>
          <w:color w:val="auto"/>
        </w:rPr>
      </w:pPr>
    </w:p>
    <w:p>
      <w:pPr>
        <w:ind w:right="160"/>
        <w:spacing w:after="0" w:line="282" w:lineRule="auto"/>
        <w:rPr>
          <w:sz w:val="20"/>
          <w:szCs w:val="20"/>
          <w:color w:val="auto"/>
        </w:rPr>
      </w:pPr>
      <w:r>
        <w:rPr>
          <w:rFonts w:ascii="Arial" w:cs="Arial" w:eastAsia="Arial" w:hAnsi="Arial"/>
          <w:sz w:val="19"/>
          <w:szCs w:val="19"/>
          <w:color w:val="auto"/>
        </w:rPr>
        <w:t>Net earnings of the trust were $30 million in 2005, $46 million in 2004 and $82 million in 2003. Proceeds from sales of securities (which are reinvested) were $223 million in 2005, $237 million in 2004 and $266 million in 2003, including net gains of $3 million, $12 million and $4 million in 2005, 2004 and 2003, respectively. The net unrealized holding gains included in Asset Retirement Obligations and Regulatory Liabilities Arising from Removal Obligations on the Consolidated Balance sheets were $193 million, $182 million and $159 million at December 31, 2005, 2004 and 2003, respectively.</w:t>
      </w:r>
    </w:p>
    <w:p>
      <w:pPr>
        <w:spacing w:after="0" w:line="148" w:lineRule="exact"/>
        <w:rPr>
          <w:sz w:val="20"/>
          <w:szCs w:val="20"/>
          <w:color w:val="auto"/>
        </w:rPr>
      </w:pPr>
    </w:p>
    <w:p>
      <w:pPr>
        <w:ind w:right="680"/>
        <w:spacing w:after="0"/>
        <w:rPr>
          <w:sz w:val="20"/>
          <w:szCs w:val="20"/>
          <w:color w:val="auto"/>
        </w:rPr>
      </w:pPr>
      <w:r>
        <w:rPr>
          <w:rFonts w:ascii="Arial" w:cs="Arial" w:eastAsia="Arial" w:hAnsi="Arial"/>
          <w:sz w:val="22"/>
          <w:szCs w:val="22"/>
          <w:color w:val="auto"/>
        </w:rPr>
        <w:t>Customer contribution amounts are determined by estimates of after-tax investment returns, decommissioning costs and decommissioning cost escalation rates. Lower actual investment returns or higher actual decommissioning costs result in an increase in future customer contributions.</w:t>
      </w:r>
    </w:p>
    <w:p>
      <w:pPr>
        <w:spacing w:after="0" w:line="186" w:lineRule="exact"/>
        <w:rPr>
          <w:sz w:val="20"/>
          <w:szCs w:val="20"/>
          <w:color w:val="auto"/>
        </w:rPr>
      </w:pPr>
    </w:p>
    <w:p>
      <w:pPr>
        <w:spacing w:after="0" w:line="251" w:lineRule="auto"/>
        <w:rPr>
          <w:sz w:val="20"/>
          <w:szCs w:val="20"/>
          <w:color w:val="auto"/>
        </w:rPr>
      </w:pPr>
      <w:r>
        <w:rPr>
          <w:rFonts w:ascii="Arial" w:cs="Arial" w:eastAsia="Arial" w:hAnsi="Arial"/>
          <w:sz w:val="22"/>
          <w:szCs w:val="22"/>
          <w:color w:val="auto"/>
        </w:rPr>
        <w:t>Discussion regarding the impact of SFAS 143 is provided in Note 1. Additional information regarding SONGS is included in Notes 9 and 11.</w:t>
      </w:r>
    </w:p>
    <w:p>
      <w:pPr>
        <w:spacing w:after="0" w:line="16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4. INCOME TAXES</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color w:val="auto"/>
        </w:rPr>
        <w:t>Reconciliations of the U.S. statutory federal income tax rate to the effective income tax rate are as follows:</w:t>
      </w:r>
    </w:p>
    <w:p>
      <w:pPr>
        <w:spacing w:after="0" w:line="260" w:lineRule="exact"/>
        <w:rPr>
          <w:sz w:val="20"/>
          <w:szCs w:val="20"/>
          <w:color w:val="auto"/>
        </w:rPr>
      </w:pPr>
    </w:p>
    <w:tbl>
      <w:tblPr>
        <w:tblLayout w:type="fixed"/>
        <w:tblInd w:w="1740" w:type="dxa"/>
        <w:tblCellMar>
          <w:top w:w="0" w:type="dxa"/>
          <w:left w:w="0" w:type="dxa"/>
          <w:bottom w:w="0" w:type="dxa"/>
          <w:right w:w="0" w:type="dxa"/>
        </w:tblCellMar>
      </w:tblPr>
      <w:tr>
        <w:trPr>
          <w:trHeight w:val="222"/>
        </w:trPr>
        <w:tc>
          <w:tcPr>
            <w:tcW w:w="4440" w:type="dxa"/>
            <w:vAlign w:val="bottom"/>
          </w:tcPr>
          <w:p>
            <w:pPr>
              <w:spacing w:after="0"/>
              <w:rPr>
                <w:sz w:val="19"/>
                <w:szCs w:val="19"/>
                <w:color w:val="auto"/>
              </w:rPr>
            </w:pPr>
          </w:p>
        </w:tc>
        <w:tc>
          <w:tcPr>
            <w:tcW w:w="3520" w:type="dxa"/>
            <w:vAlign w:val="bottom"/>
            <w:gridSpan w:val="3"/>
          </w:tcPr>
          <w:p>
            <w:pPr>
              <w:jc w:val="right"/>
              <w:ind w:right="432"/>
              <w:spacing w:after="0"/>
              <w:rPr>
                <w:sz w:val="20"/>
                <w:szCs w:val="20"/>
                <w:color w:val="auto"/>
              </w:rPr>
            </w:pPr>
            <w:r>
              <w:rPr>
                <w:rFonts w:ascii="Arial" w:cs="Arial" w:eastAsia="Arial" w:hAnsi="Arial"/>
                <w:sz w:val="18"/>
                <w:szCs w:val="18"/>
                <w:color w:val="auto"/>
              </w:rPr>
              <w:t>Years ended December 31,</w:t>
            </w:r>
          </w:p>
        </w:tc>
      </w:tr>
      <w:tr>
        <w:trPr>
          <w:trHeight w:val="278"/>
        </w:trPr>
        <w:tc>
          <w:tcPr>
            <w:tcW w:w="4440" w:type="dxa"/>
            <w:vAlign w:val="bottom"/>
          </w:tcPr>
          <w:p>
            <w:pPr>
              <w:spacing w:after="0"/>
              <w:rPr>
                <w:sz w:val="24"/>
                <w:szCs w:val="24"/>
                <w:color w:val="auto"/>
              </w:rPr>
            </w:pPr>
          </w:p>
        </w:tc>
        <w:tc>
          <w:tcPr>
            <w:tcW w:w="1560" w:type="dxa"/>
            <w:vAlign w:val="bottom"/>
          </w:tcPr>
          <w:p>
            <w:pPr>
              <w:jc w:val="right"/>
              <w:ind w:right="392"/>
              <w:spacing w:after="0"/>
              <w:rPr>
                <w:sz w:val="20"/>
                <w:szCs w:val="20"/>
                <w:color w:val="auto"/>
              </w:rPr>
            </w:pPr>
            <w:r>
              <w:rPr>
                <w:rFonts w:ascii="Arial" w:cs="Arial" w:eastAsia="Arial" w:hAnsi="Arial"/>
                <w:sz w:val="18"/>
                <w:szCs w:val="18"/>
                <w:color w:val="auto"/>
              </w:rPr>
              <w:t>2005</w:t>
            </w:r>
          </w:p>
        </w:tc>
        <w:tc>
          <w:tcPr>
            <w:tcW w:w="1120" w:type="dxa"/>
            <w:vAlign w:val="bottom"/>
          </w:tcPr>
          <w:p>
            <w:pPr>
              <w:jc w:val="right"/>
              <w:ind w:right="392"/>
              <w:spacing w:after="0"/>
              <w:rPr>
                <w:sz w:val="20"/>
                <w:szCs w:val="20"/>
                <w:color w:val="auto"/>
              </w:rPr>
            </w:pPr>
            <w:r>
              <w:rPr>
                <w:rFonts w:ascii="Arial" w:cs="Arial" w:eastAsia="Arial" w:hAnsi="Arial"/>
                <w:sz w:val="18"/>
                <w:szCs w:val="18"/>
                <w:color w:val="auto"/>
              </w:rPr>
              <w:t>2004</w:t>
            </w:r>
          </w:p>
        </w:tc>
        <w:tc>
          <w:tcPr>
            <w:tcW w:w="840" w:type="dxa"/>
            <w:vAlign w:val="bottom"/>
          </w:tcPr>
          <w:p>
            <w:pPr>
              <w:jc w:val="right"/>
              <w:ind w:right="112"/>
              <w:spacing w:after="0"/>
              <w:rPr>
                <w:sz w:val="20"/>
                <w:szCs w:val="20"/>
                <w:color w:val="auto"/>
              </w:rPr>
            </w:pPr>
            <w:r>
              <w:rPr>
                <w:rFonts w:ascii="Arial" w:cs="Arial" w:eastAsia="Arial" w:hAnsi="Arial"/>
                <w:sz w:val="18"/>
                <w:szCs w:val="18"/>
                <w:color w:val="auto"/>
              </w:rPr>
              <w:t>2003</w:t>
            </w:r>
          </w:p>
        </w:tc>
      </w:tr>
      <w:tr>
        <w:trPr>
          <w:trHeight w:val="251"/>
        </w:trPr>
        <w:tc>
          <w:tcPr>
            <w:tcW w:w="4440" w:type="dxa"/>
            <w:vAlign w:val="bottom"/>
            <w:shd w:val="clear" w:color="auto" w:fill="000000"/>
          </w:tcPr>
          <w:p>
            <w:pPr>
              <w:spacing w:after="0"/>
              <w:rPr>
                <w:sz w:val="21"/>
                <w:szCs w:val="21"/>
                <w:color w:val="auto"/>
              </w:rPr>
            </w:pPr>
          </w:p>
        </w:tc>
        <w:tc>
          <w:tcPr>
            <w:tcW w:w="1560" w:type="dxa"/>
            <w:vAlign w:val="bottom"/>
            <w:shd w:val="clear" w:color="auto" w:fill="000000"/>
          </w:tcPr>
          <w:p>
            <w:pPr>
              <w:spacing w:after="0"/>
              <w:rPr>
                <w:sz w:val="21"/>
                <w:szCs w:val="21"/>
                <w:color w:val="auto"/>
              </w:rPr>
            </w:pPr>
          </w:p>
        </w:tc>
        <w:tc>
          <w:tcPr>
            <w:tcW w:w="1120" w:type="dxa"/>
            <w:vAlign w:val="bottom"/>
            <w:shd w:val="clear" w:color="auto" w:fill="000000"/>
          </w:tcPr>
          <w:p>
            <w:pPr>
              <w:spacing w:after="0"/>
              <w:rPr>
                <w:sz w:val="21"/>
                <w:szCs w:val="21"/>
                <w:color w:val="auto"/>
              </w:rPr>
            </w:pPr>
          </w:p>
        </w:tc>
        <w:tc>
          <w:tcPr>
            <w:tcW w:w="840" w:type="dxa"/>
            <w:vAlign w:val="bottom"/>
            <w:shd w:val="clear" w:color="auto" w:fill="000000"/>
          </w:tcPr>
          <w:p>
            <w:pPr>
              <w:spacing w:after="0"/>
              <w:rPr>
                <w:sz w:val="21"/>
                <w:szCs w:val="21"/>
                <w:color w:val="auto"/>
              </w:rPr>
            </w:pPr>
          </w:p>
        </w:tc>
      </w:tr>
      <w:tr>
        <w:trPr>
          <w:trHeight w:val="255"/>
        </w:trPr>
        <w:tc>
          <w:tcPr>
            <w:tcW w:w="4440" w:type="dxa"/>
            <w:vAlign w:val="bottom"/>
          </w:tcPr>
          <w:p>
            <w:pPr>
              <w:ind w:left="20"/>
              <w:spacing w:after="0"/>
              <w:rPr>
                <w:sz w:val="20"/>
                <w:szCs w:val="20"/>
                <w:color w:val="auto"/>
              </w:rPr>
            </w:pPr>
            <w:r>
              <w:rPr>
                <w:rFonts w:ascii="Arial" w:cs="Arial" w:eastAsia="Arial" w:hAnsi="Arial"/>
                <w:sz w:val="18"/>
                <w:szCs w:val="18"/>
                <w:color w:val="auto"/>
              </w:rPr>
              <w:t>Statutory federal income tax rate</w:t>
            </w:r>
          </w:p>
        </w:tc>
        <w:tc>
          <w:tcPr>
            <w:tcW w:w="1560" w:type="dxa"/>
            <w:vAlign w:val="bottom"/>
          </w:tcPr>
          <w:p>
            <w:pPr>
              <w:jc w:val="right"/>
              <w:ind w:right="212"/>
              <w:spacing w:after="0"/>
              <w:rPr>
                <w:sz w:val="20"/>
                <w:szCs w:val="20"/>
                <w:color w:val="auto"/>
              </w:rPr>
            </w:pPr>
            <w:r>
              <w:rPr>
                <w:rFonts w:ascii="Arial" w:cs="Arial" w:eastAsia="Arial" w:hAnsi="Arial"/>
                <w:sz w:val="18"/>
                <w:szCs w:val="18"/>
                <w:color w:val="auto"/>
              </w:rPr>
              <w:t>35 %</w:t>
            </w:r>
          </w:p>
        </w:tc>
        <w:tc>
          <w:tcPr>
            <w:tcW w:w="1120" w:type="dxa"/>
            <w:vAlign w:val="bottom"/>
          </w:tcPr>
          <w:p>
            <w:pPr>
              <w:jc w:val="right"/>
              <w:ind w:right="212"/>
              <w:spacing w:after="0"/>
              <w:rPr>
                <w:sz w:val="20"/>
                <w:szCs w:val="20"/>
                <w:color w:val="auto"/>
              </w:rPr>
            </w:pPr>
            <w:r>
              <w:rPr>
                <w:rFonts w:ascii="Arial" w:cs="Arial" w:eastAsia="Arial" w:hAnsi="Arial"/>
                <w:sz w:val="18"/>
                <w:szCs w:val="18"/>
                <w:color w:val="auto"/>
              </w:rPr>
              <w:t>35 %</w:t>
            </w:r>
          </w:p>
        </w:tc>
        <w:tc>
          <w:tcPr>
            <w:tcW w:w="840" w:type="dxa"/>
            <w:vAlign w:val="bottom"/>
          </w:tcPr>
          <w:p>
            <w:pPr>
              <w:jc w:val="right"/>
              <w:spacing w:after="0"/>
              <w:rPr>
                <w:sz w:val="20"/>
                <w:szCs w:val="20"/>
                <w:color w:val="auto"/>
              </w:rPr>
            </w:pPr>
            <w:r>
              <w:rPr>
                <w:rFonts w:ascii="Arial" w:cs="Arial" w:eastAsia="Arial" w:hAnsi="Arial"/>
                <w:sz w:val="18"/>
                <w:szCs w:val="18"/>
                <w:color w:val="auto"/>
              </w:rPr>
              <w:t>35 %</w:t>
            </w:r>
          </w:p>
        </w:tc>
      </w:tr>
      <w:tr>
        <w:trPr>
          <w:trHeight w:val="270"/>
        </w:trPr>
        <w:tc>
          <w:tcPr>
            <w:tcW w:w="4440" w:type="dxa"/>
            <w:vAlign w:val="bottom"/>
          </w:tcPr>
          <w:p>
            <w:pPr>
              <w:ind w:left="20"/>
              <w:spacing w:after="0"/>
              <w:rPr>
                <w:sz w:val="20"/>
                <w:szCs w:val="20"/>
                <w:color w:val="auto"/>
              </w:rPr>
            </w:pPr>
            <w:r>
              <w:rPr>
                <w:rFonts w:ascii="Arial" w:cs="Arial" w:eastAsia="Arial" w:hAnsi="Arial"/>
                <w:sz w:val="18"/>
                <w:szCs w:val="18"/>
                <w:color w:val="auto"/>
              </w:rPr>
              <w:t>Depreciation</w:t>
            </w:r>
          </w:p>
        </w:tc>
        <w:tc>
          <w:tcPr>
            <w:tcW w:w="1560" w:type="dxa"/>
            <w:vAlign w:val="bottom"/>
          </w:tcPr>
          <w:p>
            <w:pPr>
              <w:jc w:val="right"/>
              <w:ind w:right="392"/>
              <w:spacing w:after="0"/>
              <w:rPr>
                <w:sz w:val="20"/>
                <w:szCs w:val="20"/>
                <w:color w:val="auto"/>
              </w:rPr>
            </w:pPr>
            <w:r>
              <w:rPr>
                <w:rFonts w:ascii="Arial" w:cs="Arial" w:eastAsia="Arial" w:hAnsi="Arial"/>
                <w:sz w:val="18"/>
                <w:szCs w:val="18"/>
                <w:color w:val="auto"/>
              </w:rPr>
              <w:t>4</w:t>
            </w:r>
          </w:p>
        </w:tc>
        <w:tc>
          <w:tcPr>
            <w:tcW w:w="1120" w:type="dxa"/>
            <w:vAlign w:val="bottom"/>
          </w:tcPr>
          <w:p>
            <w:pPr>
              <w:jc w:val="right"/>
              <w:ind w:right="392"/>
              <w:spacing w:after="0"/>
              <w:rPr>
                <w:sz w:val="20"/>
                <w:szCs w:val="20"/>
                <w:color w:val="auto"/>
              </w:rPr>
            </w:pPr>
            <w:r>
              <w:rPr>
                <w:rFonts w:ascii="Arial" w:cs="Arial" w:eastAsia="Arial" w:hAnsi="Arial"/>
                <w:sz w:val="18"/>
                <w:szCs w:val="18"/>
                <w:color w:val="auto"/>
              </w:rPr>
              <w:t>4</w:t>
            </w:r>
          </w:p>
        </w:tc>
        <w:tc>
          <w:tcPr>
            <w:tcW w:w="840" w:type="dxa"/>
            <w:vAlign w:val="bottom"/>
          </w:tcPr>
          <w:p>
            <w:pPr>
              <w:jc w:val="right"/>
              <w:ind w:right="112"/>
              <w:spacing w:after="0"/>
              <w:rPr>
                <w:sz w:val="20"/>
                <w:szCs w:val="20"/>
                <w:color w:val="auto"/>
              </w:rPr>
            </w:pPr>
            <w:r>
              <w:rPr>
                <w:rFonts w:ascii="Arial" w:cs="Arial" w:eastAsia="Arial" w:hAnsi="Arial"/>
                <w:sz w:val="18"/>
                <w:szCs w:val="18"/>
                <w:color w:val="auto"/>
              </w:rPr>
              <w:t>4</w:t>
            </w:r>
          </w:p>
        </w:tc>
      </w:tr>
      <w:tr>
        <w:trPr>
          <w:trHeight w:val="270"/>
        </w:trPr>
        <w:tc>
          <w:tcPr>
            <w:tcW w:w="4440" w:type="dxa"/>
            <w:vAlign w:val="bottom"/>
          </w:tcPr>
          <w:p>
            <w:pPr>
              <w:ind w:left="20"/>
              <w:spacing w:after="0"/>
              <w:rPr>
                <w:sz w:val="20"/>
                <w:szCs w:val="20"/>
                <w:color w:val="auto"/>
              </w:rPr>
            </w:pPr>
            <w:r>
              <w:rPr>
                <w:rFonts w:ascii="Arial" w:cs="Arial" w:eastAsia="Arial" w:hAnsi="Arial"/>
                <w:sz w:val="18"/>
                <w:szCs w:val="18"/>
                <w:color w:val="auto"/>
              </w:rPr>
              <w:t>State income taxes - net of federal income tax benefit</w:t>
            </w:r>
          </w:p>
        </w:tc>
        <w:tc>
          <w:tcPr>
            <w:tcW w:w="1560" w:type="dxa"/>
            <w:vAlign w:val="bottom"/>
          </w:tcPr>
          <w:p>
            <w:pPr>
              <w:jc w:val="right"/>
              <w:ind w:right="392"/>
              <w:spacing w:after="0"/>
              <w:rPr>
                <w:sz w:val="20"/>
                <w:szCs w:val="20"/>
                <w:color w:val="auto"/>
              </w:rPr>
            </w:pPr>
            <w:r>
              <w:rPr>
                <w:rFonts w:ascii="Arial" w:cs="Arial" w:eastAsia="Arial" w:hAnsi="Arial"/>
                <w:sz w:val="18"/>
                <w:szCs w:val="18"/>
                <w:color w:val="auto"/>
              </w:rPr>
              <w:t>6</w:t>
            </w:r>
          </w:p>
        </w:tc>
        <w:tc>
          <w:tcPr>
            <w:tcW w:w="1120" w:type="dxa"/>
            <w:vAlign w:val="bottom"/>
          </w:tcPr>
          <w:p>
            <w:pPr>
              <w:jc w:val="right"/>
              <w:ind w:right="392"/>
              <w:spacing w:after="0"/>
              <w:rPr>
                <w:sz w:val="20"/>
                <w:szCs w:val="20"/>
                <w:color w:val="auto"/>
              </w:rPr>
            </w:pPr>
            <w:r>
              <w:rPr>
                <w:rFonts w:ascii="Arial" w:cs="Arial" w:eastAsia="Arial" w:hAnsi="Arial"/>
                <w:sz w:val="18"/>
                <w:szCs w:val="18"/>
                <w:color w:val="auto"/>
              </w:rPr>
              <w:t>5</w:t>
            </w:r>
          </w:p>
        </w:tc>
        <w:tc>
          <w:tcPr>
            <w:tcW w:w="840" w:type="dxa"/>
            <w:vAlign w:val="bottom"/>
          </w:tcPr>
          <w:p>
            <w:pPr>
              <w:jc w:val="right"/>
              <w:ind w:right="112"/>
              <w:spacing w:after="0"/>
              <w:rPr>
                <w:sz w:val="20"/>
                <w:szCs w:val="20"/>
                <w:color w:val="auto"/>
              </w:rPr>
            </w:pPr>
            <w:r>
              <w:rPr>
                <w:rFonts w:ascii="Arial" w:cs="Arial" w:eastAsia="Arial" w:hAnsi="Arial"/>
                <w:sz w:val="18"/>
                <w:szCs w:val="18"/>
                <w:color w:val="auto"/>
              </w:rPr>
              <w:t>7</w:t>
            </w:r>
          </w:p>
        </w:tc>
      </w:tr>
      <w:tr>
        <w:trPr>
          <w:trHeight w:val="270"/>
        </w:trPr>
        <w:tc>
          <w:tcPr>
            <w:tcW w:w="4440" w:type="dxa"/>
            <w:vAlign w:val="bottom"/>
          </w:tcPr>
          <w:p>
            <w:pPr>
              <w:ind w:left="20"/>
              <w:spacing w:after="0"/>
              <w:rPr>
                <w:sz w:val="20"/>
                <w:szCs w:val="20"/>
                <w:color w:val="auto"/>
              </w:rPr>
            </w:pPr>
            <w:r>
              <w:rPr>
                <w:rFonts w:ascii="Arial" w:cs="Arial" w:eastAsia="Arial" w:hAnsi="Arial"/>
                <w:sz w:val="18"/>
                <w:szCs w:val="18"/>
                <w:color w:val="auto"/>
              </w:rPr>
              <w:t>Tax credits</w:t>
            </w:r>
          </w:p>
        </w:tc>
        <w:tc>
          <w:tcPr>
            <w:tcW w:w="1560" w:type="dxa"/>
            <w:vAlign w:val="bottom"/>
          </w:tcPr>
          <w:p>
            <w:pPr>
              <w:jc w:val="right"/>
              <w:ind w:right="312"/>
              <w:spacing w:after="0"/>
              <w:rPr>
                <w:sz w:val="20"/>
                <w:szCs w:val="20"/>
                <w:color w:val="auto"/>
              </w:rPr>
            </w:pPr>
            <w:r>
              <w:rPr>
                <w:rFonts w:ascii="Arial" w:cs="Arial" w:eastAsia="Arial" w:hAnsi="Arial"/>
                <w:sz w:val="18"/>
                <w:szCs w:val="18"/>
                <w:color w:val="auto"/>
              </w:rPr>
              <w:t>(1 )</w:t>
            </w:r>
          </w:p>
        </w:tc>
        <w:tc>
          <w:tcPr>
            <w:tcW w:w="1120" w:type="dxa"/>
            <w:vAlign w:val="bottom"/>
          </w:tcPr>
          <w:p>
            <w:pPr>
              <w:jc w:val="right"/>
              <w:ind w:right="312"/>
              <w:spacing w:after="0"/>
              <w:rPr>
                <w:sz w:val="20"/>
                <w:szCs w:val="20"/>
                <w:color w:val="auto"/>
              </w:rPr>
            </w:pPr>
            <w:r>
              <w:rPr>
                <w:rFonts w:ascii="Arial" w:cs="Arial" w:eastAsia="Arial" w:hAnsi="Arial"/>
                <w:sz w:val="18"/>
                <w:szCs w:val="18"/>
                <w:color w:val="auto"/>
              </w:rPr>
              <w:t>(1 )</w:t>
            </w:r>
          </w:p>
        </w:tc>
        <w:tc>
          <w:tcPr>
            <w:tcW w:w="840" w:type="dxa"/>
            <w:vAlign w:val="bottom"/>
          </w:tcPr>
          <w:p>
            <w:pPr>
              <w:jc w:val="right"/>
              <w:ind w:right="32"/>
              <w:spacing w:after="0"/>
              <w:rPr>
                <w:sz w:val="20"/>
                <w:szCs w:val="20"/>
                <w:color w:val="auto"/>
              </w:rPr>
            </w:pPr>
            <w:r>
              <w:rPr>
                <w:rFonts w:ascii="Arial" w:cs="Arial" w:eastAsia="Arial" w:hAnsi="Arial"/>
                <w:sz w:val="18"/>
                <w:szCs w:val="18"/>
                <w:color w:val="auto"/>
              </w:rPr>
              <w:t>(1 )</w:t>
            </w:r>
          </w:p>
        </w:tc>
      </w:tr>
      <w:tr>
        <w:trPr>
          <w:trHeight w:val="270"/>
        </w:trPr>
        <w:tc>
          <w:tcPr>
            <w:tcW w:w="4440" w:type="dxa"/>
            <w:vAlign w:val="bottom"/>
          </w:tcPr>
          <w:p>
            <w:pPr>
              <w:ind w:left="20"/>
              <w:spacing w:after="0"/>
              <w:rPr>
                <w:sz w:val="20"/>
                <w:szCs w:val="20"/>
                <w:color w:val="auto"/>
              </w:rPr>
            </w:pPr>
            <w:r>
              <w:rPr>
                <w:rFonts w:ascii="Arial" w:cs="Arial" w:eastAsia="Arial" w:hAnsi="Arial"/>
                <w:sz w:val="18"/>
                <w:szCs w:val="18"/>
                <w:color w:val="auto"/>
              </w:rPr>
              <w:t>Resolution of Internal Revenue Service audits</w:t>
            </w:r>
          </w:p>
        </w:tc>
        <w:tc>
          <w:tcPr>
            <w:tcW w:w="1560" w:type="dxa"/>
            <w:vAlign w:val="bottom"/>
          </w:tcPr>
          <w:p>
            <w:pPr>
              <w:jc w:val="right"/>
              <w:ind w:right="312"/>
              <w:spacing w:after="0"/>
              <w:rPr>
                <w:sz w:val="20"/>
                <w:szCs w:val="20"/>
                <w:color w:val="auto"/>
              </w:rPr>
            </w:pPr>
            <w:r>
              <w:rPr>
                <w:rFonts w:ascii="Arial" w:cs="Arial" w:eastAsia="Arial" w:hAnsi="Arial"/>
                <w:sz w:val="18"/>
                <w:szCs w:val="18"/>
                <w:color w:val="auto"/>
              </w:rPr>
              <w:t>(13 )</w:t>
            </w:r>
          </w:p>
        </w:tc>
        <w:tc>
          <w:tcPr>
            <w:tcW w:w="1120" w:type="dxa"/>
            <w:vAlign w:val="bottom"/>
          </w:tcPr>
          <w:p>
            <w:pPr>
              <w:jc w:val="right"/>
              <w:ind w:right="392"/>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32"/>
              <w:spacing w:after="0"/>
              <w:rPr>
                <w:sz w:val="20"/>
                <w:szCs w:val="20"/>
                <w:color w:val="auto"/>
              </w:rPr>
            </w:pPr>
            <w:r>
              <w:rPr>
                <w:rFonts w:ascii="Arial" w:cs="Arial" w:eastAsia="Arial" w:hAnsi="Arial"/>
                <w:sz w:val="18"/>
                <w:szCs w:val="18"/>
                <w:color w:val="auto"/>
              </w:rPr>
              <w:t>(12 )</w:t>
            </w:r>
          </w:p>
        </w:tc>
      </w:tr>
      <w:tr>
        <w:trPr>
          <w:trHeight w:val="278"/>
        </w:trPr>
        <w:tc>
          <w:tcPr>
            <w:tcW w:w="4440" w:type="dxa"/>
            <w:vAlign w:val="bottom"/>
          </w:tcPr>
          <w:p>
            <w:pPr>
              <w:ind w:left="20"/>
              <w:spacing w:after="0"/>
              <w:rPr>
                <w:sz w:val="20"/>
                <w:szCs w:val="20"/>
                <w:color w:val="auto"/>
              </w:rPr>
            </w:pPr>
            <w:r>
              <w:rPr>
                <w:rFonts w:ascii="Arial" w:cs="Arial" w:eastAsia="Arial" w:hAnsi="Arial"/>
                <w:sz w:val="18"/>
                <w:szCs w:val="18"/>
                <w:color w:val="auto"/>
              </w:rPr>
              <w:t>Other - net</w:t>
            </w:r>
          </w:p>
        </w:tc>
        <w:tc>
          <w:tcPr>
            <w:tcW w:w="1560" w:type="dxa"/>
            <w:vAlign w:val="bottom"/>
          </w:tcPr>
          <w:p>
            <w:pPr>
              <w:jc w:val="right"/>
              <w:ind w:right="312"/>
              <w:spacing w:after="0"/>
              <w:rPr>
                <w:sz w:val="20"/>
                <w:szCs w:val="20"/>
                <w:color w:val="auto"/>
              </w:rPr>
            </w:pPr>
            <w:r>
              <w:rPr>
                <w:rFonts w:ascii="Arial" w:cs="Arial" w:eastAsia="Arial" w:hAnsi="Arial"/>
                <w:sz w:val="18"/>
                <w:szCs w:val="18"/>
                <w:color w:val="auto"/>
              </w:rPr>
              <w:t>(6 )</w:t>
            </w:r>
          </w:p>
        </w:tc>
        <w:tc>
          <w:tcPr>
            <w:tcW w:w="1120" w:type="dxa"/>
            <w:vAlign w:val="bottom"/>
          </w:tcPr>
          <w:p>
            <w:pPr>
              <w:jc w:val="right"/>
              <w:ind w:right="312"/>
              <w:spacing w:after="0"/>
              <w:rPr>
                <w:sz w:val="20"/>
                <w:szCs w:val="20"/>
                <w:color w:val="auto"/>
              </w:rPr>
            </w:pPr>
            <w:r>
              <w:rPr>
                <w:rFonts w:ascii="Arial" w:cs="Arial" w:eastAsia="Arial" w:hAnsi="Arial"/>
                <w:sz w:val="18"/>
                <w:szCs w:val="18"/>
                <w:color w:val="auto"/>
              </w:rPr>
              <w:t>(2 )</w:t>
            </w:r>
          </w:p>
        </w:tc>
        <w:tc>
          <w:tcPr>
            <w:tcW w:w="840" w:type="dxa"/>
            <w:vAlign w:val="bottom"/>
          </w:tcPr>
          <w:p>
            <w:pPr>
              <w:jc w:val="right"/>
              <w:ind w:right="32"/>
              <w:spacing w:after="0"/>
              <w:rPr>
                <w:sz w:val="20"/>
                <w:szCs w:val="20"/>
                <w:color w:val="auto"/>
              </w:rPr>
            </w:pPr>
            <w:r>
              <w:rPr>
                <w:rFonts w:ascii="Arial" w:cs="Arial" w:eastAsia="Arial" w:hAnsi="Arial"/>
                <w:sz w:val="18"/>
                <w:szCs w:val="18"/>
                <w:color w:val="auto"/>
              </w:rPr>
              <w:t>(3 )</w:t>
            </w:r>
          </w:p>
        </w:tc>
      </w:tr>
      <w:tr>
        <w:trPr>
          <w:trHeight w:val="251"/>
        </w:trPr>
        <w:tc>
          <w:tcPr>
            <w:tcW w:w="4440" w:type="dxa"/>
            <w:vAlign w:val="bottom"/>
          </w:tcPr>
          <w:p>
            <w:pPr>
              <w:spacing w:after="0"/>
              <w:rPr>
                <w:sz w:val="21"/>
                <w:szCs w:val="21"/>
                <w:color w:val="auto"/>
              </w:rPr>
            </w:pPr>
          </w:p>
        </w:tc>
        <w:tc>
          <w:tcPr>
            <w:tcW w:w="1560" w:type="dxa"/>
            <w:vAlign w:val="bottom"/>
            <w:shd w:val="clear" w:color="auto" w:fill="000000"/>
          </w:tcPr>
          <w:p>
            <w:pPr>
              <w:spacing w:after="0"/>
              <w:rPr>
                <w:sz w:val="21"/>
                <w:szCs w:val="21"/>
                <w:color w:val="auto"/>
              </w:rPr>
            </w:pPr>
          </w:p>
        </w:tc>
        <w:tc>
          <w:tcPr>
            <w:tcW w:w="1120" w:type="dxa"/>
            <w:vAlign w:val="bottom"/>
            <w:shd w:val="clear" w:color="auto" w:fill="000000"/>
          </w:tcPr>
          <w:p>
            <w:pPr>
              <w:spacing w:after="0"/>
              <w:rPr>
                <w:sz w:val="21"/>
                <w:szCs w:val="21"/>
                <w:color w:val="auto"/>
              </w:rPr>
            </w:pPr>
          </w:p>
        </w:tc>
        <w:tc>
          <w:tcPr>
            <w:tcW w:w="840" w:type="dxa"/>
            <w:vAlign w:val="bottom"/>
            <w:shd w:val="clear" w:color="auto" w:fill="000000"/>
          </w:tcPr>
          <w:p>
            <w:pPr>
              <w:spacing w:after="0"/>
              <w:rPr>
                <w:sz w:val="21"/>
                <w:szCs w:val="21"/>
                <w:color w:val="auto"/>
              </w:rPr>
            </w:pPr>
          </w:p>
        </w:tc>
      </w:tr>
      <w:tr>
        <w:trPr>
          <w:trHeight w:val="262"/>
        </w:trPr>
        <w:tc>
          <w:tcPr>
            <w:tcW w:w="4440" w:type="dxa"/>
            <w:vAlign w:val="bottom"/>
          </w:tcPr>
          <w:p>
            <w:pPr>
              <w:ind w:left="400"/>
              <w:spacing w:after="0"/>
              <w:rPr>
                <w:sz w:val="20"/>
                <w:szCs w:val="20"/>
                <w:color w:val="auto"/>
              </w:rPr>
            </w:pPr>
            <w:r>
              <w:rPr>
                <w:rFonts w:ascii="Arial" w:cs="Arial" w:eastAsia="Arial" w:hAnsi="Arial"/>
                <w:sz w:val="18"/>
                <w:szCs w:val="18"/>
                <w:color w:val="auto"/>
              </w:rPr>
              <w:t>Effective income tax rate</w:t>
            </w:r>
          </w:p>
        </w:tc>
        <w:tc>
          <w:tcPr>
            <w:tcW w:w="1560" w:type="dxa"/>
            <w:vAlign w:val="bottom"/>
          </w:tcPr>
          <w:p>
            <w:pPr>
              <w:jc w:val="right"/>
              <w:ind w:right="212"/>
              <w:spacing w:after="0"/>
              <w:rPr>
                <w:sz w:val="20"/>
                <w:szCs w:val="20"/>
                <w:color w:val="auto"/>
              </w:rPr>
            </w:pPr>
            <w:r>
              <w:rPr>
                <w:rFonts w:ascii="Arial" w:cs="Arial" w:eastAsia="Arial" w:hAnsi="Arial"/>
                <w:sz w:val="18"/>
                <w:szCs w:val="18"/>
                <w:color w:val="auto"/>
              </w:rPr>
              <w:t>25 %</w:t>
            </w:r>
          </w:p>
        </w:tc>
        <w:tc>
          <w:tcPr>
            <w:tcW w:w="1120" w:type="dxa"/>
            <w:vAlign w:val="bottom"/>
          </w:tcPr>
          <w:p>
            <w:pPr>
              <w:jc w:val="right"/>
              <w:ind w:right="212"/>
              <w:spacing w:after="0"/>
              <w:rPr>
                <w:sz w:val="20"/>
                <w:szCs w:val="20"/>
                <w:color w:val="auto"/>
              </w:rPr>
            </w:pPr>
            <w:r>
              <w:rPr>
                <w:rFonts w:ascii="Arial" w:cs="Arial" w:eastAsia="Arial" w:hAnsi="Arial"/>
                <w:sz w:val="18"/>
                <w:szCs w:val="18"/>
                <w:color w:val="auto"/>
              </w:rPr>
              <w:t>41 %</w:t>
            </w:r>
          </w:p>
        </w:tc>
        <w:tc>
          <w:tcPr>
            <w:tcW w:w="840" w:type="dxa"/>
            <w:vAlign w:val="bottom"/>
          </w:tcPr>
          <w:p>
            <w:pPr>
              <w:jc w:val="right"/>
              <w:spacing w:after="0"/>
              <w:rPr>
                <w:sz w:val="20"/>
                <w:szCs w:val="20"/>
                <w:color w:val="auto"/>
              </w:rPr>
            </w:pPr>
            <w:r>
              <w:rPr>
                <w:rFonts w:ascii="Arial" w:cs="Arial" w:eastAsia="Arial" w:hAnsi="Arial"/>
                <w:sz w:val="18"/>
                <w:szCs w:val="18"/>
                <w:color w:val="auto"/>
              </w:rPr>
              <w:t>30 %</w:t>
            </w:r>
          </w:p>
        </w:tc>
      </w:tr>
      <w:tr>
        <w:trPr>
          <w:trHeight w:val="251"/>
        </w:trPr>
        <w:tc>
          <w:tcPr>
            <w:tcW w:w="4440" w:type="dxa"/>
            <w:vAlign w:val="bottom"/>
            <w:shd w:val="clear" w:color="auto" w:fill="000000"/>
          </w:tcPr>
          <w:p>
            <w:pPr>
              <w:spacing w:after="0"/>
              <w:rPr>
                <w:sz w:val="21"/>
                <w:szCs w:val="21"/>
                <w:color w:val="auto"/>
              </w:rPr>
            </w:pPr>
          </w:p>
        </w:tc>
        <w:tc>
          <w:tcPr>
            <w:tcW w:w="1560" w:type="dxa"/>
            <w:vAlign w:val="bottom"/>
            <w:shd w:val="clear" w:color="auto" w:fill="000000"/>
          </w:tcPr>
          <w:p>
            <w:pPr>
              <w:spacing w:after="0"/>
              <w:rPr>
                <w:sz w:val="21"/>
                <w:szCs w:val="21"/>
                <w:color w:val="auto"/>
              </w:rPr>
            </w:pPr>
          </w:p>
        </w:tc>
        <w:tc>
          <w:tcPr>
            <w:tcW w:w="1120" w:type="dxa"/>
            <w:vAlign w:val="bottom"/>
            <w:shd w:val="clear" w:color="auto" w:fill="000000"/>
          </w:tcPr>
          <w:p>
            <w:pPr>
              <w:spacing w:after="0"/>
              <w:rPr>
                <w:sz w:val="21"/>
                <w:szCs w:val="21"/>
                <w:color w:val="auto"/>
              </w:rPr>
            </w:pPr>
          </w:p>
        </w:tc>
        <w:tc>
          <w:tcPr>
            <w:tcW w:w="840" w:type="dxa"/>
            <w:vAlign w:val="bottom"/>
            <w:shd w:val="clear" w:color="auto" w:fill="000000"/>
          </w:tcPr>
          <w:p>
            <w:pPr>
              <w:spacing w:after="0"/>
              <w:rPr>
                <w:sz w:val="21"/>
                <w:szCs w:val="21"/>
                <w:color w:val="auto"/>
              </w:rPr>
            </w:pPr>
          </w:p>
        </w:tc>
      </w:tr>
    </w:tbl>
    <w:p>
      <w:pPr>
        <w:spacing w:after="0" w:line="195" w:lineRule="exact"/>
        <w:rPr>
          <w:sz w:val="20"/>
          <w:szCs w:val="20"/>
          <w:color w:val="auto"/>
        </w:rPr>
      </w:pPr>
    </w:p>
    <w:p>
      <w:pPr>
        <w:spacing w:after="0"/>
        <w:rPr>
          <w:sz w:val="20"/>
          <w:szCs w:val="20"/>
          <w:color w:val="auto"/>
        </w:rPr>
      </w:pPr>
      <w:r>
        <w:rPr>
          <w:rFonts w:ascii="Arial" w:cs="Arial" w:eastAsia="Arial" w:hAnsi="Arial"/>
          <w:sz w:val="22"/>
          <w:szCs w:val="22"/>
          <w:color w:val="auto"/>
        </w:rPr>
        <w:t>The components of income tax expense are as follows:</w:t>
      </w:r>
    </w:p>
    <w:p>
      <w:pPr>
        <w:spacing w:after="0" w:line="260" w:lineRule="exact"/>
        <w:rPr>
          <w:sz w:val="20"/>
          <w:szCs w:val="20"/>
          <w:color w:val="auto"/>
        </w:rPr>
      </w:pPr>
    </w:p>
    <w:tbl>
      <w:tblPr>
        <w:tblLayout w:type="fixed"/>
        <w:tblInd w:w="1740" w:type="dxa"/>
        <w:tblCellMar>
          <w:top w:w="0" w:type="dxa"/>
          <w:left w:w="0" w:type="dxa"/>
          <w:bottom w:w="0" w:type="dxa"/>
          <w:right w:w="0" w:type="dxa"/>
        </w:tblCellMar>
      </w:tblPr>
      <w:tr>
        <w:trPr>
          <w:trHeight w:val="222"/>
        </w:trPr>
        <w:tc>
          <w:tcPr>
            <w:tcW w:w="44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420" w:type="dxa"/>
            <w:vAlign w:val="bottom"/>
            <w:gridSpan w:val="4"/>
          </w:tcPr>
          <w:p>
            <w:pPr>
              <w:jc w:val="right"/>
              <w:ind w:right="412"/>
              <w:spacing w:after="0"/>
              <w:rPr>
                <w:sz w:val="20"/>
                <w:szCs w:val="20"/>
                <w:color w:val="auto"/>
              </w:rPr>
            </w:pPr>
            <w:r>
              <w:rPr>
                <w:rFonts w:ascii="Arial" w:cs="Arial" w:eastAsia="Arial" w:hAnsi="Arial"/>
                <w:sz w:val="18"/>
                <w:szCs w:val="18"/>
                <w:color w:val="auto"/>
                <w:w w:val="86"/>
              </w:rPr>
              <w:t>Years ended December 31,</w:t>
            </w:r>
          </w:p>
        </w:tc>
        <w:tc>
          <w:tcPr>
            <w:tcW w:w="0" w:type="dxa"/>
            <w:vAlign w:val="bottom"/>
          </w:tcPr>
          <w:p>
            <w:pPr>
              <w:spacing w:after="0"/>
              <w:rPr>
                <w:sz w:val="1"/>
                <w:szCs w:val="1"/>
                <w:color w:val="auto"/>
              </w:rPr>
            </w:pPr>
          </w:p>
        </w:tc>
      </w:tr>
      <w:tr>
        <w:trPr>
          <w:trHeight w:val="278"/>
        </w:trPr>
        <w:tc>
          <w:tcPr>
            <w:tcW w:w="4400" w:type="dxa"/>
            <w:vAlign w:val="bottom"/>
          </w:tcPr>
          <w:p>
            <w:pPr>
              <w:ind w:left="20"/>
              <w:spacing w:after="0"/>
              <w:rPr>
                <w:sz w:val="20"/>
                <w:szCs w:val="20"/>
                <w:color w:val="auto"/>
              </w:rPr>
            </w:pPr>
            <w:r>
              <w:rPr>
                <w:rFonts w:ascii="Arial" w:cs="Arial" w:eastAsia="Arial" w:hAnsi="Arial"/>
                <w:sz w:val="18"/>
                <w:szCs w:val="18"/>
                <w:color w:val="auto"/>
              </w:rPr>
              <w:t>(Dollars in millions)</w:t>
            </w:r>
          </w:p>
        </w:tc>
        <w:tc>
          <w:tcPr>
            <w:tcW w:w="64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2005</w:t>
            </w:r>
          </w:p>
        </w:tc>
        <w:tc>
          <w:tcPr>
            <w:tcW w:w="620" w:type="dxa"/>
            <w:vAlign w:val="bottom"/>
          </w:tcPr>
          <w:p>
            <w:pPr>
              <w:spacing w:after="0"/>
              <w:rPr>
                <w:sz w:val="24"/>
                <w:szCs w:val="24"/>
                <w:color w:val="auto"/>
              </w:rPr>
            </w:pPr>
          </w:p>
        </w:tc>
        <w:tc>
          <w:tcPr>
            <w:tcW w:w="740" w:type="dxa"/>
            <w:vAlign w:val="bottom"/>
          </w:tcPr>
          <w:p>
            <w:pPr>
              <w:jc w:val="right"/>
              <w:ind w:right="152"/>
              <w:spacing w:after="0"/>
              <w:rPr>
                <w:sz w:val="20"/>
                <w:szCs w:val="20"/>
                <w:color w:val="auto"/>
              </w:rPr>
            </w:pPr>
            <w:r>
              <w:rPr>
                <w:rFonts w:ascii="Arial" w:cs="Arial" w:eastAsia="Arial" w:hAnsi="Arial"/>
                <w:sz w:val="18"/>
                <w:szCs w:val="18"/>
                <w:color w:val="auto"/>
              </w:rPr>
              <w:t>2004</w:t>
            </w:r>
          </w:p>
        </w:tc>
        <w:tc>
          <w:tcPr>
            <w:tcW w:w="400" w:type="dxa"/>
            <w:vAlign w:val="bottom"/>
          </w:tcPr>
          <w:p>
            <w:pPr>
              <w:spacing w:after="0"/>
              <w:rPr>
                <w:sz w:val="24"/>
                <w:szCs w:val="24"/>
                <w:color w:val="auto"/>
              </w:rPr>
            </w:pPr>
          </w:p>
        </w:tc>
        <w:tc>
          <w:tcPr>
            <w:tcW w:w="660" w:type="dxa"/>
            <w:vAlign w:val="bottom"/>
          </w:tcPr>
          <w:p>
            <w:pPr>
              <w:jc w:val="right"/>
              <w:ind w:right="92"/>
              <w:spacing w:after="0"/>
              <w:rPr>
                <w:sz w:val="20"/>
                <w:szCs w:val="20"/>
                <w:color w:val="auto"/>
              </w:rPr>
            </w:pPr>
            <w:r>
              <w:rPr>
                <w:rFonts w:ascii="Arial" w:cs="Arial" w:eastAsia="Arial" w:hAnsi="Arial"/>
                <w:sz w:val="18"/>
                <w:szCs w:val="18"/>
                <w:color w:val="auto"/>
              </w:rPr>
              <w:t>2003</w:t>
            </w:r>
          </w:p>
        </w:tc>
        <w:tc>
          <w:tcPr>
            <w:tcW w:w="0" w:type="dxa"/>
            <w:vAlign w:val="bottom"/>
          </w:tcPr>
          <w:p>
            <w:pPr>
              <w:spacing w:after="0"/>
              <w:rPr>
                <w:sz w:val="1"/>
                <w:szCs w:val="1"/>
                <w:color w:val="auto"/>
              </w:rPr>
            </w:pPr>
          </w:p>
        </w:tc>
      </w:tr>
      <w:tr>
        <w:trPr>
          <w:trHeight w:val="251"/>
        </w:trPr>
        <w:tc>
          <w:tcPr>
            <w:tcW w:w="4400" w:type="dxa"/>
            <w:vAlign w:val="bottom"/>
            <w:shd w:val="clear" w:color="auto" w:fill="000000"/>
          </w:tcPr>
          <w:p>
            <w:pPr>
              <w:spacing w:after="0"/>
              <w:rPr>
                <w:sz w:val="21"/>
                <w:szCs w:val="21"/>
                <w:color w:val="auto"/>
              </w:rPr>
            </w:pPr>
          </w:p>
        </w:tc>
        <w:tc>
          <w:tcPr>
            <w:tcW w:w="640" w:type="dxa"/>
            <w:vAlign w:val="bottom"/>
            <w:shd w:val="clear" w:color="auto" w:fill="000000"/>
          </w:tcPr>
          <w:p>
            <w:pPr>
              <w:spacing w:after="0"/>
              <w:rPr>
                <w:sz w:val="21"/>
                <w:szCs w:val="21"/>
                <w:color w:val="auto"/>
              </w:rPr>
            </w:pPr>
          </w:p>
        </w:tc>
        <w:tc>
          <w:tcPr>
            <w:tcW w:w="500" w:type="dxa"/>
            <w:vAlign w:val="bottom"/>
            <w:shd w:val="clear" w:color="auto" w:fill="000000"/>
          </w:tcPr>
          <w:p>
            <w:pPr>
              <w:spacing w:after="0"/>
              <w:rPr>
                <w:sz w:val="21"/>
                <w:szCs w:val="21"/>
                <w:color w:val="auto"/>
              </w:rPr>
            </w:pPr>
          </w:p>
        </w:tc>
        <w:tc>
          <w:tcPr>
            <w:tcW w:w="620" w:type="dxa"/>
            <w:vAlign w:val="bottom"/>
            <w:shd w:val="clear" w:color="auto" w:fill="000000"/>
          </w:tcPr>
          <w:p>
            <w:pPr>
              <w:spacing w:after="0"/>
              <w:rPr>
                <w:sz w:val="21"/>
                <w:szCs w:val="21"/>
                <w:color w:val="auto"/>
              </w:rPr>
            </w:pPr>
          </w:p>
        </w:tc>
        <w:tc>
          <w:tcPr>
            <w:tcW w:w="740" w:type="dxa"/>
            <w:vAlign w:val="bottom"/>
            <w:shd w:val="clear" w:color="auto" w:fill="000000"/>
          </w:tcPr>
          <w:p>
            <w:pPr>
              <w:spacing w:after="0"/>
              <w:rPr>
                <w:sz w:val="21"/>
                <w:szCs w:val="21"/>
                <w:color w:val="auto"/>
              </w:rPr>
            </w:pPr>
          </w:p>
        </w:tc>
        <w:tc>
          <w:tcPr>
            <w:tcW w:w="400" w:type="dxa"/>
            <w:vAlign w:val="bottom"/>
            <w:shd w:val="clear" w:color="auto" w:fill="000000"/>
          </w:tcPr>
          <w:p>
            <w:pPr>
              <w:spacing w:after="0"/>
              <w:rPr>
                <w:sz w:val="21"/>
                <w:szCs w:val="21"/>
                <w:color w:val="auto"/>
              </w:rPr>
            </w:pPr>
          </w:p>
        </w:tc>
        <w:tc>
          <w:tcPr>
            <w:tcW w:w="660" w:type="dxa"/>
            <w:vAlign w:val="bottom"/>
            <w:shd w:val="clear" w:color="auto" w:fill="000000"/>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4400" w:type="dxa"/>
            <w:vAlign w:val="bottom"/>
          </w:tcPr>
          <w:p>
            <w:pPr>
              <w:ind w:left="20"/>
              <w:spacing w:after="0"/>
              <w:rPr>
                <w:sz w:val="20"/>
                <w:szCs w:val="20"/>
                <w:color w:val="auto"/>
              </w:rPr>
            </w:pPr>
            <w:r>
              <w:rPr>
                <w:rFonts w:ascii="Arial" w:cs="Arial" w:eastAsia="Arial" w:hAnsi="Arial"/>
                <w:sz w:val="18"/>
                <w:szCs w:val="18"/>
                <w:color w:val="auto"/>
              </w:rPr>
              <w:t>Current:</w:t>
            </w:r>
          </w:p>
        </w:tc>
        <w:tc>
          <w:tcPr>
            <w:tcW w:w="64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4400" w:type="dxa"/>
            <w:vAlign w:val="bottom"/>
          </w:tcPr>
          <w:p>
            <w:pPr>
              <w:ind w:left="220"/>
              <w:spacing w:after="0"/>
              <w:rPr>
                <w:sz w:val="20"/>
                <w:szCs w:val="20"/>
                <w:color w:val="auto"/>
              </w:rPr>
            </w:pPr>
            <w:r>
              <w:rPr>
                <w:rFonts w:ascii="Arial" w:cs="Arial" w:eastAsia="Arial" w:hAnsi="Arial"/>
                <w:sz w:val="18"/>
                <w:szCs w:val="18"/>
                <w:color w:val="auto"/>
              </w:rPr>
              <w:t>Federal</w:t>
            </w:r>
          </w:p>
        </w:tc>
        <w:tc>
          <w:tcPr>
            <w:tcW w:w="64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27</w:t>
            </w:r>
          </w:p>
        </w:tc>
        <w:tc>
          <w:tcPr>
            <w:tcW w:w="62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152"/>
              <w:spacing w:after="0"/>
              <w:rPr>
                <w:sz w:val="20"/>
                <w:szCs w:val="20"/>
                <w:color w:val="auto"/>
              </w:rPr>
            </w:pPr>
            <w:r>
              <w:rPr>
                <w:rFonts w:ascii="Arial" w:cs="Arial" w:eastAsia="Arial" w:hAnsi="Arial"/>
                <w:sz w:val="18"/>
                <w:szCs w:val="18"/>
                <w:color w:val="auto"/>
              </w:rPr>
              <w:t>107</w:t>
            </w:r>
          </w:p>
        </w:tc>
        <w:tc>
          <w:tcPr>
            <w:tcW w:w="40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92"/>
              <w:spacing w:after="0"/>
              <w:rPr>
                <w:sz w:val="20"/>
                <w:szCs w:val="20"/>
                <w:color w:val="auto"/>
              </w:rPr>
            </w:pPr>
            <w:r>
              <w:rPr>
                <w:rFonts w:ascii="Arial" w:cs="Arial" w:eastAsia="Arial" w:hAnsi="Arial"/>
                <w:sz w:val="18"/>
                <w:szCs w:val="18"/>
                <w:color w:val="auto"/>
              </w:rPr>
              <w:t>133</w:t>
            </w:r>
          </w:p>
        </w:tc>
        <w:tc>
          <w:tcPr>
            <w:tcW w:w="0" w:type="dxa"/>
            <w:vAlign w:val="bottom"/>
          </w:tcPr>
          <w:p>
            <w:pPr>
              <w:spacing w:after="0"/>
              <w:rPr>
                <w:sz w:val="1"/>
                <w:szCs w:val="1"/>
                <w:color w:val="auto"/>
              </w:rPr>
            </w:pPr>
          </w:p>
        </w:tc>
      </w:tr>
      <w:tr>
        <w:trPr>
          <w:trHeight w:val="278"/>
        </w:trPr>
        <w:tc>
          <w:tcPr>
            <w:tcW w:w="4400" w:type="dxa"/>
            <w:vAlign w:val="bottom"/>
          </w:tcPr>
          <w:p>
            <w:pPr>
              <w:ind w:left="220"/>
              <w:spacing w:after="0"/>
              <w:rPr>
                <w:sz w:val="20"/>
                <w:szCs w:val="20"/>
                <w:color w:val="auto"/>
              </w:rPr>
            </w:pPr>
            <w:r>
              <w:rPr>
                <w:rFonts w:ascii="Arial" w:cs="Arial" w:eastAsia="Arial" w:hAnsi="Arial"/>
                <w:sz w:val="18"/>
                <w:szCs w:val="18"/>
                <w:color w:val="auto"/>
              </w:rPr>
              <w:t>State</w:t>
            </w:r>
          </w:p>
        </w:tc>
        <w:tc>
          <w:tcPr>
            <w:tcW w:w="64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25</w:t>
            </w:r>
          </w:p>
        </w:tc>
        <w:tc>
          <w:tcPr>
            <w:tcW w:w="620" w:type="dxa"/>
            <w:vAlign w:val="bottom"/>
          </w:tcPr>
          <w:p>
            <w:pPr>
              <w:spacing w:after="0"/>
              <w:rPr>
                <w:sz w:val="24"/>
                <w:szCs w:val="24"/>
                <w:color w:val="auto"/>
              </w:rPr>
            </w:pPr>
          </w:p>
        </w:tc>
        <w:tc>
          <w:tcPr>
            <w:tcW w:w="740" w:type="dxa"/>
            <w:vAlign w:val="bottom"/>
          </w:tcPr>
          <w:p>
            <w:pPr>
              <w:jc w:val="right"/>
              <w:ind w:right="152"/>
              <w:spacing w:after="0"/>
              <w:rPr>
                <w:sz w:val="20"/>
                <w:szCs w:val="20"/>
                <w:color w:val="auto"/>
              </w:rPr>
            </w:pPr>
            <w:r>
              <w:rPr>
                <w:rFonts w:ascii="Arial" w:cs="Arial" w:eastAsia="Arial" w:hAnsi="Arial"/>
                <w:sz w:val="18"/>
                <w:szCs w:val="18"/>
                <w:color w:val="auto"/>
              </w:rPr>
              <w:t>41</w:t>
            </w:r>
          </w:p>
        </w:tc>
        <w:tc>
          <w:tcPr>
            <w:tcW w:w="400" w:type="dxa"/>
            <w:vAlign w:val="bottom"/>
          </w:tcPr>
          <w:p>
            <w:pPr>
              <w:spacing w:after="0"/>
              <w:rPr>
                <w:sz w:val="24"/>
                <w:szCs w:val="24"/>
                <w:color w:val="auto"/>
              </w:rPr>
            </w:pPr>
          </w:p>
        </w:tc>
        <w:tc>
          <w:tcPr>
            <w:tcW w:w="660" w:type="dxa"/>
            <w:vAlign w:val="bottom"/>
          </w:tcPr>
          <w:p>
            <w:pPr>
              <w:jc w:val="right"/>
              <w:ind w:right="92"/>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51"/>
        </w:trPr>
        <w:tc>
          <w:tcPr>
            <w:tcW w:w="4400" w:type="dxa"/>
            <w:vAlign w:val="bottom"/>
          </w:tcPr>
          <w:p>
            <w:pPr>
              <w:spacing w:after="0"/>
              <w:rPr>
                <w:sz w:val="21"/>
                <w:szCs w:val="21"/>
                <w:color w:val="auto"/>
              </w:rPr>
            </w:pPr>
          </w:p>
        </w:tc>
        <w:tc>
          <w:tcPr>
            <w:tcW w:w="640" w:type="dxa"/>
            <w:vAlign w:val="bottom"/>
            <w:shd w:val="clear" w:color="auto" w:fill="000000"/>
          </w:tcPr>
          <w:p>
            <w:pPr>
              <w:spacing w:after="0"/>
              <w:rPr>
                <w:sz w:val="21"/>
                <w:szCs w:val="21"/>
                <w:color w:val="auto"/>
              </w:rPr>
            </w:pPr>
          </w:p>
        </w:tc>
        <w:tc>
          <w:tcPr>
            <w:tcW w:w="500" w:type="dxa"/>
            <w:vAlign w:val="bottom"/>
            <w:shd w:val="clear" w:color="auto" w:fill="000000"/>
          </w:tcPr>
          <w:p>
            <w:pPr>
              <w:spacing w:after="0"/>
              <w:rPr>
                <w:sz w:val="21"/>
                <w:szCs w:val="21"/>
                <w:color w:val="auto"/>
              </w:rPr>
            </w:pPr>
          </w:p>
        </w:tc>
        <w:tc>
          <w:tcPr>
            <w:tcW w:w="620" w:type="dxa"/>
            <w:vAlign w:val="bottom"/>
            <w:shd w:val="clear" w:color="auto" w:fill="000000"/>
          </w:tcPr>
          <w:p>
            <w:pPr>
              <w:spacing w:after="0"/>
              <w:rPr>
                <w:sz w:val="21"/>
                <w:szCs w:val="21"/>
                <w:color w:val="auto"/>
              </w:rPr>
            </w:pPr>
          </w:p>
        </w:tc>
        <w:tc>
          <w:tcPr>
            <w:tcW w:w="740" w:type="dxa"/>
            <w:vAlign w:val="bottom"/>
            <w:shd w:val="clear" w:color="auto" w:fill="000000"/>
          </w:tcPr>
          <w:p>
            <w:pPr>
              <w:spacing w:after="0"/>
              <w:rPr>
                <w:sz w:val="21"/>
                <w:szCs w:val="21"/>
                <w:color w:val="auto"/>
              </w:rPr>
            </w:pPr>
          </w:p>
        </w:tc>
        <w:tc>
          <w:tcPr>
            <w:tcW w:w="400" w:type="dxa"/>
            <w:vAlign w:val="bottom"/>
            <w:shd w:val="clear" w:color="auto" w:fill="000000"/>
          </w:tcPr>
          <w:p>
            <w:pPr>
              <w:spacing w:after="0"/>
              <w:rPr>
                <w:sz w:val="21"/>
                <w:szCs w:val="21"/>
                <w:color w:val="auto"/>
              </w:rPr>
            </w:pPr>
          </w:p>
        </w:tc>
        <w:tc>
          <w:tcPr>
            <w:tcW w:w="660" w:type="dxa"/>
            <w:vAlign w:val="bottom"/>
            <w:shd w:val="clear" w:color="auto" w:fill="000000"/>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4400" w:type="dxa"/>
            <w:vAlign w:val="bottom"/>
          </w:tcPr>
          <w:p>
            <w:pPr>
              <w:ind w:left="380"/>
              <w:spacing w:after="0"/>
              <w:rPr>
                <w:sz w:val="20"/>
                <w:szCs w:val="20"/>
                <w:color w:val="auto"/>
              </w:rPr>
            </w:pPr>
            <w:r>
              <w:rPr>
                <w:rFonts w:ascii="Arial" w:cs="Arial" w:eastAsia="Arial" w:hAnsi="Arial"/>
                <w:sz w:val="18"/>
                <w:szCs w:val="18"/>
                <w:color w:val="auto"/>
              </w:rPr>
              <w:t>Total</w:t>
            </w:r>
          </w:p>
        </w:tc>
        <w:tc>
          <w:tcPr>
            <w:tcW w:w="640" w:type="dxa"/>
            <w:vAlign w:val="bottom"/>
          </w:tcPr>
          <w:p>
            <w:pPr>
              <w:spacing w:after="0"/>
              <w:rPr>
                <w:sz w:val="22"/>
                <w:szCs w:val="22"/>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52</w:t>
            </w:r>
          </w:p>
        </w:tc>
        <w:tc>
          <w:tcPr>
            <w:tcW w:w="620" w:type="dxa"/>
            <w:vAlign w:val="bottom"/>
          </w:tcPr>
          <w:p>
            <w:pPr>
              <w:spacing w:after="0"/>
              <w:rPr>
                <w:sz w:val="22"/>
                <w:szCs w:val="22"/>
                <w:color w:val="auto"/>
              </w:rPr>
            </w:pPr>
          </w:p>
        </w:tc>
        <w:tc>
          <w:tcPr>
            <w:tcW w:w="740" w:type="dxa"/>
            <w:vAlign w:val="bottom"/>
          </w:tcPr>
          <w:p>
            <w:pPr>
              <w:jc w:val="right"/>
              <w:ind w:right="152"/>
              <w:spacing w:after="0"/>
              <w:rPr>
                <w:sz w:val="20"/>
                <w:szCs w:val="20"/>
                <w:color w:val="auto"/>
              </w:rPr>
            </w:pPr>
            <w:r>
              <w:rPr>
                <w:rFonts w:ascii="Arial" w:cs="Arial" w:eastAsia="Arial" w:hAnsi="Arial"/>
                <w:sz w:val="18"/>
                <w:szCs w:val="18"/>
                <w:color w:val="auto"/>
              </w:rPr>
              <w:t>148</w:t>
            </w:r>
          </w:p>
        </w:tc>
        <w:tc>
          <w:tcPr>
            <w:tcW w:w="400" w:type="dxa"/>
            <w:vAlign w:val="bottom"/>
          </w:tcPr>
          <w:p>
            <w:pPr>
              <w:spacing w:after="0"/>
              <w:rPr>
                <w:sz w:val="22"/>
                <w:szCs w:val="22"/>
                <w:color w:val="auto"/>
              </w:rPr>
            </w:pPr>
          </w:p>
        </w:tc>
        <w:tc>
          <w:tcPr>
            <w:tcW w:w="660" w:type="dxa"/>
            <w:vAlign w:val="bottom"/>
          </w:tcPr>
          <w:p>
            <w:pPr>
              <w:jc w:val="right"/>
              <w:ind w:right="92"/>
              <w:spacing w:after="0"/>
              <w:rPr>
                <w:sz w:val="20"/>
                <w:szCs w:val="20"/>
                <w:color w:val="auto"/>
              </w:rPr>
            </w:pPr>
            <w:r>
              <w:rPr>
                <w:rFonts w:ascii="Arial" w:cs="Arial" w:eastAsia="Arial" w:hAnsi="Arial"/>
                <w:sz w:val="18"/>
                <w:szCs w:val="18"/>
                <w:color w:val="auto"/>
              </w:rPr>
              <w:t>177</w:t>
            </w:r>
          </w:p>
        </w:tc>
        <w:tc>
          <w:tcPr>
            <w:tcW w:w="0" w:type="dxa"/>
            <w:vAlign w:val="bottom"/>
          </w:tcPr>
          <w:p>
            <w:pPr>
              <w:spacing w:after="0"/>
              <w:rPr>
                <w:sz w:val="1"/>
                <w:szCs w:val="1"/>
                <w:color w:val="auto"/>
              </w:rPr>
            </w:pPr>
          </w:p>
        </w:tc>
      </w:tr>
      <w:tr>
        <w:trPr>
          <w:trHeight w:val="259"/>
        </w:trPr>
        <w:tc>
          <w:tcPr>
            <w:tcW w:w="4400" w:type="dxa"/>
            <w:vAlign w:val="bottom"/>
            <w:vMerge w:val="restart"/>
          </w:tcPr>
          <w:p>
            <w:pPr>
              <w:ind w:left="20"/>
              <w:spacing w:after="0"/>
              <w:rPr>
                <w:sz w:val="20"/>
                <w:szCs w:val="20"/>
                <w:color w:val="auto"/>
              </w:rPr>
            </w:pPr>
            <w:r>
              <w:rPr>
                <w:rFonts w:ascii="Arial" w:cs="Arial" w:eastAsia="Arial" w:hAnsi="Arial"/>
                <w:sz w:val="18"/>
                <w:szCs w:val="18"/>
                <w:color w:val="auto"/>
              </w:rPr>
              <w:t>Deferred:</w:t>
            </w:r>
          </w:p>
        </w:tc>
        <w:tc>
          <w:tcPr>
            <w:tcW w:w="640" w:type="dxa"/>
            <w:vAlign w:val="bottom"/>
            <w:shd w:val="clear" w:color="auto" w:fill="000000"/>
          </w:tcPr>
          <w:p>
            <w:pPr>
              <w:spacing w:after="0"/>
              <w:rPr>
                <w:sz w:val="22"/>
                <w:szCs w:val="22"/>
                <w:color w:val="auto"/>
              </w:rPr>
            </w:pPr>
          </w:p>
        </w:tc>
        <w:tc>
          <w:tcPr>
            <w:tcW w:w="500" w:type="dxa"/>
            <w:vAlign w:val="bottom"/>
            <w:shd w:val="clear" w:color="auto" w:fill="000000"/>
          </w:tcPr>
          <w:p>
            <w:pPr>
              <w:spacing w:after="0"/>
              <w:rPr>
                <w:sz w:val="22"/>
                <w:szCs w:val="22"/>
                <w:color w:val="auto"/>
              </w:rPr>
            </w:pPr>
          </w:p>
        </w:tc>
        <w:tc>
          <w:tcPr>
            <w:tcW w:w="620" w:type="dxa"/>
            <w:vAlign w:val="bottom"/>
            <w:shd w:val="clear" w:color="auto" w:fill="000000"/>
          </w:tcPr>
          <w:p>
            <w:pPr>
              <w:spacing w:after="0"/>
              <w:rPr>
                <w:sz w:val="22"/>
                <w:szCs w:val="22"/>
                <w:color w:val="auto"/>
              </w:rPr>
            </w:pPr>
          </w:p>
        </w:tc>
        <w:tc>
          <w:tcPr>
            <w:tcW w:w="740" w:type="dxa"/>
            <w:vAlign w:val="bottom"/>
            <w:shd w:val="clear" w:color="auto" w:fill="000000"/>
          </w:tcPr>
          <w:p>
            <w:pPr>
              <w:spacing w:after="0"/>
              <w:rPr>
                <w:sz w:val="22"/>
                <w:szCs w:val="22"/>
                <w:color w:val="auto"/>
              </w:rPr>
            </w:pPr>
          </w:p>
        </w:tc>
        <w:tc>
          <w:tcPr>
            <w:tcW w:w="400" w:type="dxa"/>
            <w:vAlign w:val="bottom"/>
            <w:shd w:val="clear" w:color="auto" w:fill="000000"/>
          </w:tcPr>
          <w:p>
            <w:pPr>
              <w:spacing w:after="0"/>
              <w:rPr>
                <w:sz w:val="22"/>
                <w:szCs w:val="22"/>
                <w:color w:val="auto"/>
              </w:rPr>
            </w:pPr>
          </w:p>
        </w:tc>
        <w:tc>
          <w:tcPr>
            <w:tcW w:w="660" w:type="dxa"/>
            <w:vAlign w:val="bottom"/>
            <w:shd w:val="clear" w:color="auto" w:fill="000000"/>
          </w:tcPr>
          <w:p>
            <w:pPr>
              <w:spacing w:after="0"/>
              <w:rPr>
                <w:sz w:val="22"/>
                <w:szCs w:val="22"/>
                <w:color w:val="auto"/>
              </w:rPr>
            </w:pPr>
          </w:p>
        </w:tc>
        <w:tc>
          <w:tcPr>
            <w:tcW w:w="0" w:type="dxa"/>
            <w:vAlign w:val="bottom"/>
          </w:tcPr>
          <w:p>
            <w:pPr>
              <w:spacing w:after="0"/>
              <w:rPr>
                <w:sz w:val="1"/>
                <w:szCs w:val="1"/>
                <w:color w:val="auto"/>
              </w:rPr>
            </w:pPr>
          </w:p>
        </w:tc>
      </w:tr>
      <w:tr>
        <w:trPr>
          <w:trHeight w:val="255"/>
        </w:trPr>
        <w:tc>
          <w:tcPr>
            <w:tcW w:w="4400" w:type="dxa"/>
            <w:vAlign w:val="bottom"/>
            <w:vMerge w:val="continue"/>
          </w:tcPr>
          <w:p>
            <w:pPr>
              <w:spacing w:after="0"/>
              <w:rPr>
                <w:sz w:val="22"/>
                <w:szCs w:val="22"/>
                <w:color w:val="auto"/>
              </w:rPr>
            </w:pPr>
          </w:p>
        </w:tc>
        <w:tc>
          <w:tcPr>
            <w:tcW w:w="64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4400" w:type="dxa"/>
            <w:vAlign w:val="bottom"/>
          </w:tcPr>
          <w:p>
            <w:pPr>
              <w:ind w:left="220"/>
              <w:spacing w:after="0"/>
              <w:rPr>
                <w:sz w:val="20"/>
                <w:szCs w:val="20"/>
                <w:color w:val="auto"/>
              </w:rPr>
            </w:pPr>
            <w:r>
              <w:rPr>
                <w:rFonts w:ascii="Arial" w:cs="Arial" w:eastAsia="Arial" w:hAnsi="Arial"/>
                <w:sz w:val="18"/>
                <w:szCs w:val="18"/>
                <w:color w:val="auto"/>
              </w:rPr>
              <w:t>Federal</w:t>
            </w:r>
          </w:p>
        </w:tc>
        <w:tc>
          <w:tcPr>
            <w:tcW w:w="640" w:type="dxa"/>
            <w:vAlign w:val="bottom"/>
          </w:tcPr>
          <w:p>
            <w:pPr>
              <w:spacing w:after="0"/>
              <w:rPr>
                <w:sz w:val="23"/>
                <w:szCs w:val="23"/>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39</w:t>
            </w:r>
          </w:p>
        </w:tc>
        <w:tc>
          <w:tcPr>
            <w:tcW w:w="620" w:type="dxa"/>
            <w:vAlign w:val="bottom"/>
          </w:tcPr>
          <w:p>
            <w:pPr>
              <w:spacing w:after="0"/>
              <w:rPr>
                <w:sz w:val="23"/>
                <w:szCs w:val="23"/>
                <w:color w:val="auto"/>
              </w:rPr>
            </w:pPr>
          </w:p>
        </w:tc>
        <w:tc>
          <w:tcPr>
            <w:tcW w:w="740" w:type="dxa"/>
            <w:vAlign w:val="bottom"/>
          </w:tcPr>
          <w:p>
            <w:pPr>
              <w:jc w:val="right"/>
              <w:ind w:right="152"/>
              <w:spacing w:after="0"/>
              <w:rPr>
                <w:sz w:val="20"/>
                <w:szCs w:val="20"/>
                <w:color w:val="auto"/>
              </w:rPr>
            </w:pPr>
            <w:r>
              <w:rPr>
                <w:rFonts w:ascii="Arial" w:cs="Arial" w:eastAsia="Arial" w:hAnsi="Arial"/>
                <w:sz w:val="18"/>
                <w:szCs w:val="18"/>
                <w:color w:val="auto"/>
              </w:rPr>
              <w:t>15</w:t>
            </w:r>
          </w:p>
        </w:tc>
        <w:tc>
          <w:tcPr>
            <w:tcW w:w="40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(20 )</w:t>
            </w:r>
          </w:p>
        </w:tc>
        <w:tc>
          <w:tcPr>
            <w:tcW w:w="0" w:type="dxa"/>
            <w:vAlign w:val="bottom"/>
          </w:tcPr>
          <w:p>
            <w:pPr>
              <w:spacing w:after="0"/>
              <w:rPr>
                <w:sz w:val="1"/>
                <w:szCs w:val="1"/>
                <w:color w:val="auto"/>
              </w:rPr>
            </w:pPr>
          </w:p>
        </w:tc>
      </w:tr>
      <w:tr>
        <w:trPr>
          <w:trHeight w:val="278"/>
        </w:trPr>
        <w:tc>
          <w:tcPr>
            <w:tcW w:w="4400" w:type="dxa"/>
            <w:vAlign w:val="bottom"/>
          </w:tcPr>
          <w:p>
            <w:pPr>
              <w:ind w:left="220"/>
              <w:spacing w:after="0"/>
              <w:rPr>
                <w:sz w:val="20"/>
                <w:szCs w:val="20"/>
                <w:color w:val="auto"/>
              </w:rPr>
            </w:pPr>
            <w:r>
              <w:rPr>
                <w:rFonts w:ascii="Arial" w:cs="Arial" w:eastAsia="Arial" w:hAnsi="Arial"/>
                <w:sz w:val="18"/>
                <w:szCs w:val="18"/>
                <w:color w:val="auto"/>
              </w:rPr>
              <w:t>State</w:t>
            </w:r>
          </w:p>
        </w:tc>
        <w:tc>
          <w:tcPr>
            <w:tcW w:w="64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w:t>
            </w:r>
          </w:p>
        </w:tc>
        <w:tc>
          <w:tcPr>
            <w:tcW w:w="620" w:type="dxa"/>
            <w:vAlign w:val="bottom"/>
          </w:tcPr>
          <w:p>
            <w:pPr>
              <w:spacing w:after="0"/>
              <w:rPr>
                <w:sz w:val="24"/>
                <w:szCs w:val="24"/>
                <w:color w:val="auto"/>
              </w:rPr>
            </w:pPr>
          </w:p>
        </w:tc>
        <w:tc>
          <w:tcPr>
            <w:tcW w:w="740" w:type="dxa"/>
            <w:vAlign w:val="bottom"/>
          </w:tcPr>
          <w:p>
            <w:pPr>
              <w:jc w:val="right"/>
              <w:ind w:right="72"/>
              <w:spacing w:after="0"/>
              <w:rPr>
                <w:sz w:val="20"/>
                <w:szCs w:val="20"/>
                <w:color w:val="auto"/>
              </w:rPr>
            </w:pPr>
            <w:r>
              <w:rPr>
                <w:rFonts w:ascii="Arial" w:cs="Arial" w:eastAsia="Arial" w:hAnsi="Arial"/>
                <w:sz w:val="18"/>
                <w:szCs w:val="18"/>
                <w:color w:val="auto"/>
              </w:rPr>
              <w:t>(12 )</w:t>
            </w:r>
          </w:p>
        </w:tc>
        <w:tc>
          <w:tcPr>
            <w:tcW w:w="40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(6 )</w:t>
            </w:r>
          </w:p>
        </w:tc>
        <w:tc>
          <w:tcPr>
            <w:tcW w:w="0" w:type="dxa"/>
            <w:vAlign w:val="bottom"/>
          </w:tcPr>
          <w:p>
            <w:pPr>
              <w:spacing w:after="0"/>
              <w:rPr>
                <w:sz w:val="1"/>
                <w:szCs w:val="1"/>
                <w:color w:val="auto"/>
              </w:rPr>
            </w:pPr>
          </w:p>
        </w:tc>
      </w:tr>
      <w:tr>
        <w:trPr>
          <w:trHeight w:val="251"/>
        </w:trPr>
        <w:tc>
          <w:tcPr>
            <w:tcW w:w="4400" w:type="dxa"/>
            <w:vAlign w:val="bottom"/>
          </w:tcPr>
          <w:p>
            <w:pPr>
              <w:spacing w:after="0"/>
              <w:rPr>
                <w:sz w:val="21"/>
                <w:szCs w:val="21"/>
                <w:color w:val="auto"/>
              </w:rPr>
            </w:pPr>
          </w:p>
        </w:tc>
        <w:tc>
          <w:tcPr>
            <w:tcW w:w="640" w:type="dxa"/>
            <w:vAlign w:val="bottom"/>
            <w:shd w:val="clear" w:color="auto" w:fill="000000"/>
          </w:tcPr>
          <w:p>
            <w:pPr>
              <w:spacing w:after="0"/>
              <w:rPr>
                <w:sz w:val="21"/>
                <w:szCs w:val="21"/>
                <w:color w:val="auto"/>
              </w:rPr>
            </w:pPr>
          </w:p>
        </w:tc>
        <w:tc>
          <w:tcPr>
            <w:tcW w:w="500" w:type="dxa"/>
            <w:vAlign w:val="bottom"/>
            <w:shd w:val="clear" w:color="auto" w:fill="000000"/>
          </w:tcPr>
          <w:p>
            <w:pPr>
              <w:spacing w:after="0"/>
              <w:rPr>
                <w:sz w:val="21"/>
                <w:szCs w:val="21"/>
                <w:color w:val="auto"/>
              </w:rPr>
            </w:pPr>
          </w:p>
        </w:tc>
        <w:tc>
          <w:tcPr>
            <w:tcW w:w="620" w:type="dxa"/>
            <w:vAlign w:val="bottom"/>
            <w:shd w:val="clear" w:color="auto" w:fill="000000"/>
          </w:tcPr>
          <w:p>
            <w:pPr>
              <w:spacing w:after="0"/>
              <w:rPr>
                <w:sz w:val="21"/>
                <w:szCs w:val="21"/>
                <w:color w:val="auto"/>
              </w:rPr>
            </w:pPr>
          </w:p>
        </w:tc>
        <w:tc>
          <w:tcPr>
            <w:tcW w:w="740" w:type="dxa"/>
            <w:vAlign w:val="bottom"/>
            <w:shd w:val="clear" w:color="auto" w:fill="000000"/>
          </w:tcPr>
          <w:p>
            <w:pPr>
              <w:spacing w:after="0"/>
              <w:rPr>
                <w:sz w:val="21"/>
                <w:szCs w:val="21"/>
                <w:color w:val="auto"/>
              </w:rPr>
            </w:pPr>
          </w:p>
        </w:tc>
        <w:tc>
          <w:tcPr>
            <w:tcW w:w="400" w:type="dxa"/>
            <w:vAlign w:val="bottom"/>
            <w:shd w:val="clear" w:color="auto" w:fill="000000"/>
          </w:tcPr>
          <w:p>
            <w:pPr>
              <w:spacing w:after="0"/>
              <w:rPr>
                <w:sz w:val="21"/>
                <w:szCs w:val="21"/>
                <w:color w:val="auto"/>
              </w:rPr>
            </w:pPr>
          </w:p>
        </w:tc>
        <w:tc>
          <w:tcPr>
            <w:tcW w:w="660" w:type="dxa"/>
            <w:vAlign w:val="bottom"/>
            <w:shd w:val="clear" w:color="auto" w:fill="000000"/>
          </w:tcPr>
          <w:p>
            <w:pPr>
              <w:spacing w:after="0"/>
              <w:rPr>
                <w:sz w:val="21"/>
                <w:szCs w:val="21"/>
                <w:color w:val="auto"/>
              </w:rPr>
            </w:pPr>
          </w:p>
        </w:tc>
        <w:tc>
          <w:tcPr>
            <w:tcW w:w="0" w:type="dxa"/>
            <w:vAlign w:val="bottom"/>
          </w:tcPr>
          <w:p>
            <w:pPr>
              <w:spacing w:after="0"/>
              <w:rPr>
                <w:sz w:val="1"/>
                <w:szCs w:val="1"/>
                <w:color w:val="auto"/>
              </w:rPr>
            </w:pPr>
          </w:p>
        </w:tc>
      </w:tr>
    </w:tbl>
    <w:p>
      <w:pPr>
        <w:sectPr>
          <w:pgSz w:w="11900" w:h="16897" w:orient="portrait"/>
          <w:cols w:equalWidth="0" w:num="1">
            <w:col w:w="11380"/>
          </w:cols>
          <w:pgMar w:left="240" w:top="118" w:right="279" w:bottom="0" w:gutter="0" w:footer="0" w:header="0"/>
        </w:sectPr>
      </w:pPr>
    </w:p>
    <w:bookmarkStart w:id="35" w:name="page36"/>
    <w:bookmarkEnd w:id="35"/>
    <w:p>
      <w:pPr>
        <w:spacing w:after="0" w:line="1" w:lineRule="exact"/>
        <w:rPr>
          <w:sz w:val="20"/>
          <w:szCs w:val="20"/>
          <w:color w:val="auto"/>
        </w:rPr>
      </w:pPr>
    </w:p>
    <w:tbl>
      <w:tblPr>
        <w:tblLayout w:type="fixed"/>
        <w:tblInd w:w="1740" w:type="dxa"/>
        <w:tblCellMar>
          <w:top w:w="0" w:type="dxa"/>
          <w:left w:w="0" w:type="dxa"/>
          <w:bottom w:w="0" w:type="dxa"/>
          <w:right w:w="0" w:type="dxa"/>
        </w:tblCellMar>
      </w:tblPr>
      <w:tr>
        <w:trPr>
          <w:trHeight w:val="222"/>
        </w:trPr>
        <w:tc>
          <w:tcPr>
            <w:tcW w:w="4400" w:type="dxa"/>
            <w:vAlign w:val="bottom"/>
          </w:tcPr>
          <w:p>
            <w:pPr>
              <w:ind w:left="380"/>
              <w:spacing w:after="0"/>
              <w:rPr>
                <w:sz w:val="20"/>
                <w:szCs w:val="20"/>
                <w:color w:val="auto"/>
              </w:rPr>
            </w:pPr>
            <w:r>
              <w:rPr>
                <w:rFonts w:ascii="Arial" w:cs="Arial" w:eastAsia="Arial" w:hAnsi="Arial"/>
                <w:sz w:val="18"/>
                <w:szCs w:val="18"/>
                <w:color w:val="auto"/>
              </w:rPr>
              <w:t>Total</w:t>
            </w:r>
          </w:p>
        </w:tc>
        <w:tc>
          <w:tcPr>
            <w:tcW w:w="720" w:type="dxa"/>
            <w:vAlign w:val="bottom"/>
          </w:tcPr>
          <w:p>
            <w:pPr>
              <w:spacing w:after="0"/>
              <w:rPr>
                <w:sz w:val="19"/>
                <w:szCs w:val="19"/>
                <w:color w:val="auto"/>
              </w:rPr>
            </w:pPr>
          </w:p>
        </w:tc>
        <w:tc>
          <w:tcPr>
            <w:tcW w:w="640" w:type="dxa"/>
            <w:vAlign w:val="bottom"/>
          </w:tcPr>
          <w:p>
            <w:pPr>
              <w:jc w:val="right"/>
              <w:ind w:right="152"/>
              <w:spacing w:after="0"/>
              <w:rPr>
                <w:sz w:val="20"/>
                <w:szCs w:val="20"/>
                <w:color w:val="auto"/>
              </w:rPr>
            </w:pPr>
            <w:r>
              <w:rPr>
                <w:rFonts w:ascii="Arial" w:cs="Arial" w:eastAsia="Arial" w:hAnsi="Arial"/>
                <w:sz w:val="18"/>
                <w:szCs w:val="18"/>
                <w:color w:val="auto"/>
              </w:rPr>
              <w:t>40</w:t>
            </w:r>
          </w:p>
        </w:tc>
        <w:tc>
          <w:tcPr>
            <w:tcW w:w="440" w:type="dxa"/>
            <w:vAlign w:val="bottom"/>
          </w:tcPr>
          <w:p>
            <w:pPr>
              <w:spacing w:after="0"/>
              <w:rPr>
                <w:sz w:val="19"/>
                <w:szCs w:val="19"/>
                <w:color w:val="auto"/>
              </w:rPr>
            </w:pPr>
          </w:p>
        </w:tc>
        <w:tc>
          <w:tcPr>
            <w:tcW w:w="700" w:type="dxa"/>
            <w:vAlign w:val="bottom"/>
          </w:tcPr>
          <w:p>
            <w:pPr>
              <w:jc w:val="right"/>
              <w:ind w:right="152"/>
              <w:spacing w:after="0"/>
              <w:rPr>
                <w:sz w:val="20"/>
                <w:szCs w:val="20"/>
                <w:color w:val="auto"/>
              </w:rPr>
            </w:pPr>
            <w:r>
              <w:rPr>
                <w:rFonts w:ascii="Arial" w:cs="Arial" w:eastAsia="Arial" w:hAnsi="Arial"/>
                <w:sz w:val="18"/>
                <w:szCs w:val="18"/>
                <w:color w:val="auto"/>
              </w:rPr>
              <w:t>3</w:t>
            </w:r>
          </w:p>
        </w:tc>
        <w:tc>
          <w:tcPr>
            <w:tcW w:w="4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(26 )</w:t>
            </w:r>
          </w:p>
        </w:tc>
      </w:tr>
      <w:tr>
        <w:trPr>
          <w:trHeight w:val="43"/>
        </w:trPr>
        <w:tc>
          <w:tcPr>
            <w:tcW w:w="4400" w:type="dxa"/>
            <w:vAlign w:val="bottom"/>
          </w:tcPr>
          <w:p>
            <w:pPr>
              <w:spacing w:after="0"/>
              <w:rPr>
                <w:sz w:val="3"/>
                <w:szCs w:val="3"/>
                <w:color w:val="auto"/>
              </w:rPr>
            </w:pPr>
          </w:p>
        </w:tc>
        <w:tc>
          <w:tcPr>
            <w:tcW w:w="720" w:type="dxa"/>
            <w:vAlign w:val="bottom"/>
          </w:tcPr>
          <w:p>
            <w:pPr>
              <w:spacing w:after="0"/>
              <w:rPr>
                <w:sz w:val="3"/>
                <w:szCs w:val="3"/>
                <w:color w:val="auto"/>
              </w:rPr>
            </w:pPr>
          </w:p>
        </w:tc>
        <w:tc>
          <w:tcPr>
            <w:tcW w:w="640" w:type="dxa"/>
            <w:vAlign w:val="bottom"/>
          </w:tcPr>
          <w:p>
            <w:pPr>
              <w:spacing w:after="0"/>
              <w:rPr>
                <w:sz w:val="3"/>
                <w:szCs w:val="3"/>
                <w:color w:val="auto"/>
              </w:rPr>
            </w:pPr>
          </w:p>
        </w:tc>
        <w:tc>
          <w:tcPr>
            <w:tcW w:w="440" w:type="dxa"/>
            <w:vAlign w:val="bottom"/>
          </w:tcPr>
          <w:p>
            <w:pPr>
              <w:spacing w:after="0"/>
              <w:rPr>
                <w:sz w:val="3"/>
                <w:szCs w:val="3"/>
                <w:color w:val="auto"/>
              </w:rPr>
            </w:pPr>
          </w:p>
        </w:tc>
        <w:tc>
          <w:tcPr>
            <w:tcW w:w="700" w:type="dxa"/>
            <w:vAlign w:val="bottom"/>
          </w:tcPr>
          <w:p>
            <w:pPr>
              <w:spacing w:after="0"/>
              <w:rPr>
                <w:sz w:val="3"/>
                <w:szCs w:val="3"/>
                <w:color w:val="auto"/>
              </w:rPr>
            </w:pPr>
          </w:p>
        </w:tc>
        <w:tc>
          <w:tcPr>
            <w:tcW w:w="440" w:type="dxa"/>
            <w:vAlign w:val="bottom"/>
          </w:tcPr>
          <w:p>
            <w:pPr>
              <w:spacing w:after="0"/>
              <w:rPr>
                <w:sz w:val="3"/>
                <w:szCs w:val="3"/>
                <w:color w:val="auto"/>
              </w:rPr>
            </w:pPr>
          </w:p>
        </w:tc>
        <w:tc>
          <w:tcPr>
            <w:tcW w:w="620" w:type="dxa"/>
            <w:vAlign w:val="bottom"/>
          </w:tcPr>
          <w:p>
            <w:pPr>
              <w:spacing w:after="0"/>
              <w:rPr>
                <w:sz w:val="3"/>
                <w:szCs w:val="3"/>
                <w:color w:val="auto"/>
              </w:rPr>
            </w:pPr>
          </w:p>
        </w:tc>
      </w:tr>
      <w:tr>
        <w:trPr>
          <w:trHeight w:val="243"/>
        </w:trPr>
        <w:tc>
          <w:tcPr>
            <w:tcW w:w="4400" w:type="dxa"/>
            <w:vAlign w:val="bottom"/>
          </w:tcPr>
          <w:p>
            <w:pPr>
              <w:spacing w:after="0"/>
              <w:rPr>
                <w:sz w:val="21"/>
                <w:szCs w:val="21"/>
                <w:color w:val="auto"/>
              </w:rPr>
            </w:pPr>
          </w:p>
        </w:tc>
        <w:tc>
          <w:tcPr>
            <w:tcW w:w="720" w:type="dxa"/>
            <w:vAlign w:val="bottom"/>
            <w:shd w:val="clear" w:color="auto" w:fill="000000"/>
          </w:tcPr>
          <w:p>
            <w:pPr>
              <w:spacing w:after="0"/>
              <w:rPr>
                <w:sz w:val="21"/>
                <w:szCs w:val="21"/>
                <w:color w:val="auto"/>
              </w:rPr>
            </w:pPr>
          </w:p>
        </w:tc>
        <w:tc>
          <w:tcPr>
            <w:tcW w:w="640" w:type="dxa"/>
            <w:vAlign w:val="bottom"/>
            <w:shd w:val="clear" w:color="auto" w:fill="000000"/>
          </w:tcPr>
          <w:p>
            <w:pPr>
              <w:spacing w:after="0"/>
              <w:rPr>
                <w:sz w:val="21"/>
                <w:szCs w:val="21"/>
                <w:color w:val="auto"/>
              </w:rPr>
            </w:pPr>
          </w:p>
        </w:tc>
        <w:tc>
          <w:tcPr>
            <w:tcW w:w="440" w:type="dxa"/>
            <w:vAlign w:val="bottom"/>
            <w:shd w:val="clear" w:color="auto" w:fill="000000"/>
          </w:tcPr>
          <w:p>
            <w:pPr>
              <w:spacing w:after="0"/>
              <w:rPr>
                <w:sz w:val="21"/>
                <w:szCs w:val="21"/>
                <w:color w:val="auto"/>
              </w:rPr>
            </w:pPr>
          </w:p>
        </w:tc>
        <w:tc>
          <w:tcPr>
            <w:tcW w:w="700" w:type="dxa"/>
            <w:vAlign w:val="bottom"/>
            <w:shd w:val="clear" w:color="auto" w:fill="000000"/>
          </w:tcPr>
          <w:p>
            <w:pPr>
              <w:spacing w:after="0"/>
              <w:rPr>
                <w:sz w:val="21"/>
                <w:szCs w:val="21"/>
                <w:color w:val="auto"/>
              </w:rPr>
            </w:pPr>
          </w:p>
        </w:tc>
        <w:tc>
          <w:tcPr>
            <w:tcW w:w="440" w:type="dxa"/>
            <w:vAlign w:val="bottom"/>
            <w:shd w:val="clear" w:color="auto" w:fill="000000"/>
          </w:tcPr>
          <w:p>
            <w:pPr>
              <w:spacing w:after="0"/>
              <w:rPr>
                <w:sz w:val="21"/>
                <w:szCs w:val="21"/>
                <w:color w:val="auto"/>
              </w:rPr>
            </w:pPr>
          </w:p>
        </w:tc>
        <w:tc>
          <w:tcPr>
            <w:tcW w:w="620" w:type="dxa"/>
            <w:vAlign w:val="bottom"/>
            <w:shd w:val="clear" w:color="auto" w:fill="000000"/>
          </w:tcPr>
          <w:p>
            <w:pPr>
              <w:spacing w:after="0"/>
              <w:rPr>
                <w:sz w:val="21"/>
                <w:szCs w:val="21"/>
                <w:color w:val="auto"/>
              </w:rPr>
            </w:pPr>
          </w:p>
        </w:tc>
      </w:tr>
      <w:tr>
        <w:trPr>
          <w:trHeight w:val="262"/>
        </w:trPr>
        <w:tc>
          <w:tcPr>
            <w:tcW w:w="4400" w:type="dxa"/>
            <w:vAlign w:val="bottom"/>
          </w:tcPr>
          <w:p>
            <w:pPr>
              <w:ind w:left="20"/>
              <w:spacing w:after="0"/>
              <w:rPr>
                <w:sz w:val="20"/>
                <w:szCs w:val="20"/>
                <w:color w:val="auto"/>
              </w:rPr>
            </w:pPr>
            <w:r>
              <w:rPr>
                <w:rFonts w:ascii="Arial" w:cs="Arial" w:eastAsia="Arial" w:hAnsi="Arial"/>
                <w:sz w:val="18"/>
                <w:szCs w:val="18"/>
                <w:color w:val="auto"/>
              </w:rPr>
              <w:t>Deferred investment tax credits</w:t>
            </w:r>
          </w:p>
        </w:tc>
        <w:tc>
          <w:tcPr>
            <w:tcW w:w="720" w:type="dxa"/>
            <w:vAlign w:val="bottom"/>
          </w:tcPr>
          <w:p>
            <w:pPr>
              <w:spacing w:after="0"/>
              <w:rPr>
                <w:sz w:val="22"/>
                <w:szCs w:val="22"/>
                <w:color w:val="auto"/>
              </w:rPr>
            </w:pPr>
          </w:p>
        </w:tc>
        <w:tc>
          <w:tcPr>
            <w:tcW w:w="640" w:type="dxa"/>
            <w:vAlign w:val="bottom"/>
          </w:tcPr>
          <w:p>
            <w:pPr>
              <w:jc w:val="right"/>
              <w:ind w:right="72"/>
              <w:spacing w:after="0"/>
              <w:rPr>
                <w:sz w:val="20"/>
                <w:szCs w:val="20"/>
                <w:color w:val="auto"/>
              </w:rPr>
            </w:pPr>
            <w:r>
              <w:rPr>
                <w:rFonts w:ascii="Arial" w:cs="Arial" w:eastAsia="Arial" w:hAnsi="Arial"/>
                <w:sz w:val="18"/>
                <w:szCs w:val="18"/>
                <w:color w:val="auto"/>
              </w:rPr>
              <w:t>(3 )</w:t>
            </w:r>
          </w:p>
        </w:tc>
        <w:tc>
          <w:tcPr>
            <w:tcW w:w="440" w:type="dxa"/>
            <w:vAlign w:val="bottom"/>
          </w:tcPr>
          <w:p>
            <w:pPr>
              <w:spacing w:after="0"/>
              <w:rPr>
                <w:sz w:val="22"/>
                <w:szCs w:val="22"/>
                <w:color w:val="auto"/>
              </w:rPr>
            </w:pPr>
          </w:p>
        </w:tc>
        <w:tc>
          <w:tcPr>
            <w:tcW w:w="700" w:type="dxa"/>
            <w:vAlign w:val="bottom"/>
          </w:tcPr>
          <w:p>
            <w:pPr>
              <w:jc w:val="right"/>
              <w:ind w:right="72"/>
              <w:spacing w:after="0"/>
              <w:rPr>
                <w:sz w:val="20"/>
                <w:szCs w:val="20"/>
                <w:color w:val="auto"/>
              </w:rPr>
            </w:pPr>
            <w:r>
              <w:rPr>
                <w:rFonts w:ascii="Arial" w:cs="Arial" w:eastAsia="Arial" w:hAnsi="Arial"/>
                <w:sz w:val="18"/>
                <w:szCs w:val="18"/>
                <w:color w:val="auto"/>
              </w:rPr>
              <w:t>(3 )</w:t>
            </w:r>
          </w:p>
        </w:tc>
        <w:tc>
          <w:tcPr>
            <w:tcW w:w="44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(3 )</w:t>
            </w:r>
          </w:p>
        </w:tc>
      </w:tr>
      <w:tr>
        <w:trPr>
          <w:trHeight w:val="251"/>
        </w:trPr>
        <w:tc>
          <w:tcPr>
            <w:tcW w:w="4400" w:type="dxa"/>
            <w:vAlign w:val="bottom"/>
          </w:tcPr>
          <w:p>
            <w:pPr>
              <w:spacing w:after="0"/>
              <w:rPr>
                <w:sz w:val="21"/>
                <w:szCs w:val="21"/>
                <w:color w:val="auto"/>
              </w:rPr>
            </w:pPr>
          </w:p>
        </w:tc>
        <w:tc>
          <w:tcPr>
            <w:tcW w:w="720" w:type="dxa"/>
            <w:vAlign w:val="bottom"/>
            <w:shd w:val="clear" w:color="auto" w:fill="000000"/>
          </w:tcPr>
          <w:p>
            <w:pPr>
              <w:spacing w:after="0"/>
              <w:rPr>
                <w:sz w:val="21"/>
                <w:szCs w:val="21"/>
                <w:color w:val="auto"/>
              </w:rPr>
            </w:pPr>
          </w:p>
        </w:tc>
        <w:tc>
          <w:tcPr>
            <w:tcW w:w="640" w:type="dxa"/>
            <w:vAlign w:val="bottom"/>
            <w:shd w:val="clear" w:color="auto" w:fill="000000"/>
          </w:tcPr>
          <w:p>
            <w:pPr>
              <w:spacing w:after="0"/>
              <w:rPr>
                <w:sz w:val="21"/>
                <w:szCs w:val="21"/>
                <w:color w:val="auto"/>
              </w:rPr>
            </w:pPr>
          </w:p>
        </w:tc>
        <w:tc>
          <w:tcPr>
            <w:tcW w:w="440" w:type="dxa"/>
            <w:vAlign w:val="bottom"/>
            <w:shd w:val="clear" w:color="auto" w:fill="000000"/>
          </w:tcPr>
          <w:p>
            <w:pPr>
              <w:spacing w:after="0"/>
              <w:rPr>
                <w:sz w:val="21"/>
                <w:szCs w:val="21"/>
                <w:color w:val="auto"/>
              </w:rPr>
            </w:pPr>
          </w:p>
        </w:tc>
        <w:tc>
          <w:tcPr>
            <w:tcW w:w="700" w:type="dxa"/>
            <w:vAlign w:val="bottom"/>
            <w:shd w:val="clear" w:color="auto" w:fill="000000"/>
          </w:tcPr>
          <w:p>
            <w:pPr>
              <w:spacing w:after="0"/>
              <w:rPr>
                <w:sz w:val="21"/>
                <w:szCs w:val="21"/>
                <w:color w:val="auto"/>
              </w:rPr>
            </w:pPr>
          </w:p>
        </w:tc>
        <w:tc>
          <w:tcPr>
            <w:tcW w:w="440" w:type="dxa"/>
            <w:vAlign w:val="bottom"/>
            <w:shd w:val="clear" w:color="auto" w:fill="000000"/>
          </w:tcPr>
          <w:p>
            <w:pPr>
              <w:spacing w:after="0"/>
              <w:rPr>
                <w:sz w:val="21"/>
                <w:szCs w:val="21"/>
                <w:color w:val="auto"/>
              </w:rPr>
            </w:pPr>
          </w:p>
        </w:tc>
        <w:tc>
          <w:tcPr>
            <w:tcW w:w="620" w:type="dxa"/>
            <w:vAlign w:val="bottom"/>
            <w:shd w:val="clear" w:color="auto" w:fill="000000"/>
          </w:tcPr>
          <w:p>
            <w:pPr>
              <w:spacing w:after="0"/>
              <w:rPr>
                <w:sz w:val="21"/>
                <w:szCs w:val="21"/>
                <w:color w:val="auto"/>
              </w:rPr>
            </w:pPr>
          </w:p>
        </w:tc>
      </w:tr>
      <w:tr>
        <w:trPr>
          <w:trHeight w:val="262"/>
        </w:trPr>
        <w:tc>
          <w:tcPr>
            <w:tcW w:w="4400" w:type="dxa"/>
            <w:vAlign w:val="bottom"/>
          </w:tcPr>
          <w:p>
            <w:pPr>
              <w:ind w:left="20"/>
              <w:spacing w:after="0"/>
              <w:rPr>
                <w:sz w:val="20"/>
                <w:szCs w:val="20"/>
                <w:color w:val="auto"/>
              </w:rPr>
            </w:pPr>
            <w:r>
              <w:rPr>
                <w:rFonts w:ascii="Arial" w:cs="Arial" w:eastAsia="Arial" w:hAnsi="Arial"/>
                <w:sz w:val="18"/>
                <w:szCs w:val="18"/>
                <w:color w:val="auto"/>
              </w:rPr>
              <w:t>Total income tax expense</w:t>
            </w:r>
          </w:p>
        </w:tc>
        <w:tc>
          <w:tcPr>
            <w:tcW w:w="72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640" w:type="dxa"/>
            <w:vAlign w:val="bottom"/>
          </w:tcPr>
          <w:p>
            <w:pPr>
              <w:jc w:val="right"/>
              <w:ind w:right="152"/>
              <w:spacing w:after="0"/>
              <w:rPr>
                <w:sz w:val="20"/>
                <w:szCs w:val="20"/>
                <w:color w:val="auto"/>
              </w:rPr>
            </w:pPr>
            <w:r>
              <w:rPr>
                <w:rFonts w:ascii="Arial" w:cs="Arial" w:eastAsia="Arial" w:hAnsi="Arial"/>
                <w:sz w:val="18"/>
                <w:szCs w:val="18"/>
                <w:color w:val="auto"/>
              </w:rPr>
              <w:t>89</w:t>
            </w:r>
          </w:p>
        </w:tc>
        <w:tc>
          <w:tcPr>
            <w:tcW w:w="44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152"/>
              <w:spacing w:after="0"/>
              <w:rPr>
                <w:sz w:val="20"/>
                <w:szCs w:val="20"/>
                <w:color w:val="auto"/>
              </w:rPr>
            </w:pPr>
            <w:r>
              <w:rPr>
                <w:rFonts w:ascii="Arial" w:cs="Arial" w:eastAsia="Arial" w:hAnsi="Arial"/>
                <w:sz w:val="18"/>
                <w:szCs w:val="18"/>
                <w:color w:val="auto"/>
              </w:rPr>
              <w:t>148</w:t>
            </w:r>
          </w:p>
        </w:tc>
        <w:tc>
          <w:tcPr>
            <w:tcW w:w="44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620" w:type="dxa"/>
            <w:vAlign w:val="bottom"/>
          </w:tcPr>
          <w:p>
            <w:pPr>
              <w:jc w:val="right"/>
              <w:ind w:right="92"/>
              <w:spacing w:after="0"/>
              <w:rPr>
                <w:sz w:val="20"/>
                <w:szCs w:val="20"/>
                <w:color w:val="auto"/>
              </w:rPr>
            </w:pPr>
            <w:r>
              <w:rPr>
                <w:rFonts w:ascii="Arial" w:cs="Arial" w:eastAsia="Arial" w:hAnsi="Arial"/>
                <w:sz w:val="18"/>
                <w:szCs w:val="18"/>
                <w:color w:val="auto"/>
              </w:rPr>
              <w:t>148</w:t>
            </w:r>
          </w:p>
        </w:tc>
      </w:tr>
      <w:tr>
        <w:trPr>
          <w:trHeight w:val="251"/>
        </w:trPr>
        <w:tc>
          <w:tcPr>
            <w:tcW w:w="4400" w:type="dxa"/>
            <w:vAlign w:val="bottom"/>
            <w:shd w:val="clear" w:color="auto" w:fill="000000"/>
          </w:tcPr>
          <w:p>
            <w:pPr>
              <w:spacing w:after="0"/>
              <w:rPr>
                <w:sz w:val="21"/>
                <w:szCs w:val="21"/>
                <w:color w:val="auto"/>
              </w:rPr>
            </w:pPr>
          </w:p>
        </w:tc>
        <w:tc>
          <w:tcPr>
            <w:tcW w:w="720" w:type="dxa"/>
            <w:vAlign w:val="bottom"/>
            <w:shd w:val="clear" w:color="auto" w:fill="000000"/>
          </w:tcPr>
          <w:p>
            <w:pPr>
              <w:spacing w:after="0"/>
              <w:rPr>
                <w:sz w:val="21"/>
                <w:szCs w:val="21"/>
                <w:color w:val="auto"/>
              </w:rPr>
            </w:pPr>
          </w:p>
        </w:tc>
        <w:tc>
          <w:tcPr>
            <w:tcW w:w="640" w:type="dxa"/>
            <w:vAlign w:val="bottom"/>
            <w:shd w:val="clear" w:color="auto" w:fill="000000"/>
          </w:tcPr>
          <w:p>
            <w:pPr>
              <w:spacing w:after="0"/>
              <w:rPr>
                <w:sz w:val="21"/>
                <w:szCs w:val="21"/>
                <w:color w:val="auto"/>
              </w:rPr>
            </w:pPr>
          </w:p>
        </w:tc>
        <w:tc>
          <w:tcPr>
            <w:tcW w:w="440" w:type="dxa"/>
            <w:vAlign w:val="bottom"/>
            <w:shd w:val="clear" w:color="auto" w:fill="000000"/>
          </w:tcPr>
          <w:p>
            <w:pPr>
              <w:spacing w:after="0"/>
              <w:rPr>
                <w:sz w:val="21"/>
                <w:szCs w:val="21"/>
                <w:color w:val="auto"/>
              </w:rPr>
            </w:pPr>
          </w:p>
        </w:tc>
        <w:tc>
          <w:tcPr>
            <w:tcW w:w="700" w:type="dxa"/>
            <w:vAlign w:val="bottom"/>
            <w:shd w:val="clear" w:color="auto" w:fill="000000"/>
          </w:tcPr>
          <w:p>
            <w:pPr>
              <w:spacing w:after="0"/>
              <w:rPr>
                <w:sz w:val="21"/>
                <w:szCs w:val="21"/>
                <w:color w:val="auto"/>
              </w:rPr>
            </w:pPr>
          </w:p>
        </w:tc>
        <w:tc>
          <w:tcPr>
            <w:tcW w:w="440" w:type="dxa"/>
            <w:vAlign w:val="bottom"/>
            <w:shd w:val="clear" w:color="auto" w:fill="000000"/>
          </w:tcPr>
          <w:p>
            <w:pPr>
              <w:spacing w:after="0"/>
              <w:rPr>
                <w:sz w:val="21"/>
                <w:szCs w:val="21"/>
                <w:color w:val="auto"/>
              </w:rPr>
            </w:pPr>
          </w:p>
        </w:tc>
        <w:tc>
          <w:tcPr>
            <w:tcW w:w="620" w:type="dxa"/>
            <w:vAlign w:val="bottom"/>
            <w:shd w:val="clear" w:color="auto" w:fill="000000"/>
          </w:tcPr>
          <w:p>
            <w:pPr>
              <w:spacing w:after="0"/>
              <w:rPr>
                <w:sz w:val="21"/>
                <w:szCs w:val="21"/>
                <w:color w:val="auto"/>
              </w:rPr>
            </w:pPr>
          </w:p>
        </w:tc>
      </w:tr>
    </w:tbl>
    <w:p>
      <w:pPr>
        <w:spacing w:after="0" w:line="195" w:lineRule="exact"/>
        <w:rPr>
          <w:sz w:val="20"/>
          <w:szCs w:val="20"/>
          <w:color w:val="auto"/>
        </w:rPr>
      </w:pPr>
    </w:p>
    <w:p>
      <w:pPr>
        <w:ind w:right="280"/>
        <w:spacing w:after="0" w:line="252" w:lineRule="auto"/>
        <w:rPr>
          <w:sz w:val="20"/>
          <w:szCs w:val="20"/>
          <w:color w:val="auto"/>
        </w:rPr>
      </w:pPr>
      <w:r>
        <w:rPr>
          <w:rFonts w:ascii="Arial" w:cs="Arial" w:eastAsia="Arial" w:hAnsi="Arial"/>
          <w:sz w:val="21"/>
          <w:szCs w:val="21"/>
          <w:color w:val="auto"/>
        </w:rPr>
        <w:t>On the Statements of Consolidated Income, federal and state income taxes are allocated between operating income and other income. The company is included in the consolidated income tax return of Sempra Energy and is allocated income tax expense from Sempra Energy in an amount equal to that which would result from the company's having always filed a separate return. At December 31, 2005, income taxes payable to Sempra Energy are $6 million.</w:t>
      </w:r>
    </w:p>
    <w:p>
      <w:pPr>
        <w:spacing w:after="0" w:line="174" w:lineRule="exact"/>
        <w:rPr>
          <w:sz w:val="20"/>
          <w:szCs w:val="20"/>
          <w:color w:val="auto"/>
        </w:rPr>
      </w:pPr>
    </w:p>
    <w:p>
      <w:pPr>
        <w:spacing w:after="0"/>
        <w:rPr>
          <w:sz w:val="20"/>
          <w:szCs w:val="20"/>
          <w:color w:val="auto"/>
        </w:rPr>
      </w:pPr>
      <w:r>
        <w:rPr>
          <w:rFonts w:ascii="Arial" w:cs="Arial" w:eastAsia="Arial" w:hAnsi="Arial"/>
          <w:sz w:val="22"/>
          <w:szCs w:val="22"/>
          <w:color w:val="auto"/>
        </w:rPr>
        <w:t>Accumulated deferred income taxes at December 31 relate to the following:</w:t>
      </w:r>
    </w:p>
    <w:p>
      <w:pPr>
        <w:spacing w:after="0" w:line="260" w:lineRule="exact"/>
        <w:rPr>
          <w:sz w:val="20"/>
          <w:szCs w:val="20"/>
          <w:color w:val="auto"/>
        </w:rPr>
      </w:pPr>
    </w:p>
    <w:tbl>
      <w:tblPr>
        <w:tblLayout w:type="fixed"/>
        <w:tblInd w:w="1720" w:type="dxa"/>
        <w:tblCellMar>
          <w:top w:w="0" w:type="dxa"/>
          <w:left w:w="0" w:type="dxa"/>
          <w:bottom w:w="0" w:type="dxa"/>
          <w:right w:w="0" w:type="dxa"/>
        </w:tblCellMar>
      </w:tblPr>
      <w:tr>
        <w:trPr>
          <w:trHeight w:val="230"/>
        </w:trPr>
        <w:tc>
          <w:tcPr>
            <w:tcW w:w="5440" w:type="dxa"/>
            <w:vAlign w:val="bottom"/>
          </w:tcPr>
          <w:p>
            <w:pPr>
              <w:ind w:left="20"/>
              <w:spacing w:after="0"/>
              <w:rPr>
                <w:sz w:val="20"/>
                <w:szCs w:val="20"/>
                <w:color w:val="auto"/>
              </w:rPr>
            </w:pPr>
            <w:r>
              <w:rPr>
                <w:rFonts w:ascii="Arial" w:cs="Arial" w:eastAsia="Arial" w:hAnsi="Arial"/>
                <w:sz w:val="18"/>
                <w:szCs w:val="18"/>
                <w:color w:val="auto"/>
              </w:rPr>
              <w:t>(Dollars in millions)</w:t>
            </w:r>
          </w:p>
        </w:tc>
        <w:tc>
          <w:tcPr>
            <w:tcW w:w="440" w:type="dxa"/>
            <w:vAlign w:val="bottom"/>
          </w:tcPr>
          <w:p>
            <w:pPr>
              <w:spacing w:after="0"/>
              <w:rPr>
                <w:sz w:val="20"/>
                <w:szCs w:val="20"/>
                <w:color w:val="auto"/>
              </w:rPr>
            </w:pPr>
          </w:p>
        </w:tc>
        <w:tc>
          <w:tcPr>
            <w:tcW w:w="840" w:type="dxa"/>
            <w:vAlign w:val="bottom"/>
          </w:tcPr>
          <w:p>
            <w:pPr>
              <w:jc w:val="right"/>
              <w:ind w:right="252"/>
              <w:spacing w:after="0"/>
              <w:rPr>
                <w:sz w:val="20"/>
                <w:szCs w:val="20"/>
                <w:color w:val="auto"/>
              </w:rPr>
            </w:pPr>
            <w:r>
              <w:rPr>
                <w:rFonts w:ascii="Arial" w:cs="Arial" w:eastAsia="Arial" w:hAnsi="Arial"/>
                <w:sz w:val="18"/>
                <w:szCs w:val="18"/>
                <w:color w:val="auto"/>
              </w:rPr>
              <w:t>2005</w:t>
            </w:r>
          </w:p>
        </w:tc>
        <w:tc>
          <w:tcPr>
            <w:tcW w:w="580" w:type="dxa"/>
            <w:vAlign w:val="bottom"/>
          </w:tcPr>
          <w:p>
            <w:pPr>
              <w:spacing w:after="0"/>
              <w:rPr>
                <w:sz w:val="20"/>
                <w:szCs w:val="20"/>
                <w:color w:val="auto"/>
              </w:rPr>
            </w:pPr>
          </w:p>
        </w:tc>
        <w:tc>
          <w:tcPr>
            <w:tcW w:w="700" w:type="dxa"/>
            <w:vAlign w:val="bottom"/>
          </w:tcPr>
          <w:p>
            <w:pPr>
              <w:jc w:val="right"/>
              <w:ind w:right="92"/>
              <w:spacing w:after="0"/>
              <w:rPr>
                <w:sz w:val="20"/>
                <w:szCs w:val="20"/>
                <w:color w:val="auto"/>
              </w:rPr>
            </w:pPr>
            <w:r>
              <w:rPr>
                <w:rFonts w:ascii="Arial" w:cs="Arial" w:eastAsia="Arial" w:hAnsi="Arial"/>
                <w:sz w:val="18"/>
                <w:szCs w:val="18"/>
                <w:color w:val="auto"/>
              </w:rPr>
              <w:t>2004</w:t>
            </w:r>
          </w:p>
        </w:tc>
        <w:tc>
          <w:tcPr>
            <w:tcW w:w="0" w:type="dxa"/>
            <w:vAlign w:val="bottom"/>
          </w:tcPr>
          <w:p>
            <w:pPr>
              <w:spacing w:after="0"/>
              <w:rPr>
                <w:sz w:val="1"/>
                <w:szCs w:val="1"/>
                <w:color w:val="auto"/>
              </w:rPr>
            </w:pPr>
          </w:p>
        </w:tc>
      </w:tr>
      <w:tr>
        <w:trPr>
          <w:trHeight w:val="251"/>
        </w:trPr>
        <w:tc>
          <w:tcPr>
            <w:tcW w:w="5440" w:type="dxa"/>
            <w:vAlign w:val="bottom"/>
            <w:shd w:val="clear" w:color="auto" w:fill="000000"/>
          </w:tcPr>
          <w:p>
            <w:pPr>
              <w:spacing w:after="0"/>
              <w:rPr>
                <w:sz w:val="21"/>
                <w:szCs w:val="21"/>
                <w:color w:val="auto"/>
              </w:rPr>
            </w:pPr>
          </w:p>
        </w:tc>
        <w:tc>
          <w:tcPr>
            <w:tcW w:w="440" w:type="dxa"/>
            <w:vAlign w:val="bottom"/>
            <w:shd w:val="clear" w:color="auto" w:fill="000000"/>
          </w:tcPr>
          <w:p>
            <w:pPr>
              <w:spacing w:after="0"/>
              <w:rPr>
                <w:sz w:val="21"/>
                <w:szCs w:val="21"/>
                <w:color w:val="auto"/>
              </w:rPr>
            </w:pPr>
          </w:p>
        </w:tc>
        <w:tc>
          <w:tcPr>
            <w:tcW w:w="840" w:type="dxa"/>
            <w:vAlign w:val="bottom"/>
            <w:shd w:val="clear" w:color="auto" w:fill="000000"/>
          </w:tcPr>
          <w:p>
            <w:pPr>
              <w:spacing w:after="0"/>
              <w:rPr>
                <w:sz w:val="21"/>
                <w:szCs w:val="21"/>
                <w:color w:val="auto"/>
              </w:rPr>
            </w:pPr>
          </w:p>
        </w:tc>
        <w:tc>
          <w:tcPr>
            <w:tcW w:w="580" w:type="dxa"/>
            <w:vAlign w:val="bottom"/>
            <w:shd w:val="clear" w:color="auto" w:fill="000000"/>
          </w:tcPr>
          <w:p>
            <w:pPr>
              <w:spacing w:after="0"/>
              <w:rPr>
                <w:sz w:val="21"/>
                <w:szCs w:val="21"/>
                <w:color w:val="auto"/>
              </w:rPr>
            </w:pPr>
          </w:p>
        </w:tc>
        <w:tc>
          <w:tcPr>
            <w:tcW w:w="700" w:type="dxa"/>
            <w:vAlign w:val="bottom"/>
            <w:shd w:val="clear" w:color="auto" w:fill="000000"/>
          </w:tcPr>
          <w:p>
            <w:pPr>
              <w:spacing w:after="0"/>
              <w:rPr>
                <w:sz w:val="21"/>
                <w:szCs w:val="21"/>
                <w:color w:val="auto"/>
              </w:rPr>
            </w:pPr>
          </w:p>
        </w:tc>
        <w:tc>
          <w:tcPr>
            <w:tcW w:w="0" w:type="dxa"/>
            <w:vAlign w:val="bottom"/>
          </w:tcPr>
          <w:p>
            <w:pPr>
              <w:spacing w:after="0"/>
              <w:rPr>
                <w:sz w:val="1"/>
                <w:szCs w:val="1"/>
                <w:color w:val="auto"/>
              </w:rPr>
            </w:pPr>
          </w:p>
        </w:tc>
      </w:tr>
      <w:tr>
        <w:trPr>
          <w:trHeight w:val="525"/>
        </w:trPr>
        <w:tc>
          <w:tcPr>
            <w:tcW w:w="5440" w:type="dxa"/>
            <w:vAlign w:val="bottom"/>
          </w:tcPr>
          <w:p>
            <w:pPr>
              <w:ind w:left="20"/>
              <w:spacing w:after="0"/>
              <w:rPr>
                <w:sz w:val="20"/>
                <w:szCs w:val="20"/>
                <w:color w:val="auto"/>
              </w:rPr>
            </w:pPr>
            <w:r>
              <w:rPr>
                <w:rFonts w:ascii="Arial" w:cs="Arial" w:eastAsia="Arial" w:hAnsi="Arial"/>
                <w:sz w:val="18"/>
                <w:szCs w:val="18"/>
                <w:color w:val="auto"/>
              </w:rPr>
              <w:t>Deferred tax liabilities:</w:t>
            </w:r>
          </w:p>
        </w:tc>
        <w:tc>
          <w:tcPr>
            <w:tcW w:w="4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5440" w:type="dxa"/>
            <w:vAlign w:val="bottom"/>
          </w:tcPr>
          <w:p>
            <w:pPr>
              <w:ind w:left="240"/>
              <w:spacing w:after="0"/>
              <w:rPr>
                <w:sz w:val="20"/>
                <w:szCs w:val="20"/>
                <w:color w:val="auto"/>
              </w:rPr>
            </w:pPr>
            <w:r>
              <w:rPr>
                <w:rFonts w:ascii="Arial" w:cs="Arial" w:eastAsia="Arial" w:hAnsi="Arial"/>
                <w:sz w:val="18"/>
                <w:szCs w:val="18"/>
                <w:color w:val="auto"/>
              </w:rPr>
              <w:t>Differences in financial and tax bases of utility plant</w:t>
            </w:r>
          </w:p>
        </w:tc>
        <w:tc>
          <w:tcPr>
            <w:tcW w:w="44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252"/>
              <w:spacing w:after="0"/>
              <w:rPr>
                <w:sz w:val="20"/>
                <w:szCs w:val="20"/>
                <w:color w:val="auto"/>
              </w:rPr>
            </w:pPr>
            <w:r>
              <w:rPr>
                <w:rFonts w:ascii="Arial" w:cs="Arial" w:eastAsia="Arial" w:hAnsi="Arial"/>
                <w:sz w:val="18"/>
                <w:szCs w:val="18"/>
                <w:color w:val="auto"/>
              </w:rPr>
              <w:t>591</w:t>
            </w:r>
          </w:p>
        </w:tc>
        <w:tc>
          <w:tcPr>
            <w:tcW w:w="58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92"/>
              <w:spacing w:after="0"/>
              <w:rPr>
                <w:sz w:val="20"/>
                <w:szCs w:val="20"/>
                <w:color w:val="auto"/>
              </w:rPr>
            </w:pPr>
            <w:r>
              <w:rPr>
                <w:rFonts w:ascii="Arial" w:cs="Arial" w:eastAsia="Arial" w:hAnsi="Arial"/>
                <w:sz w:val="18"/>
                <w:szCs w:val="18"/>
                <w:color w:val="auto"/>
              </w:rPr>
              <w:t>575</w:t>
            </w:r>
          </w:p>
        </w:tc>
        <w:tc>
          <w:tcPr>
            <w:tcW w:w="0" w:type="dxa"/>
            <w:vAlign w:val="bottom"/>
          </w:tcPr>
          <w:p>
            <w:pPr>
              <w:spacing w:after="0"/>
              <w:rPr>
                <w:sz w:val="1"/>
                <w:szCs w:val="1"/>
                <w:color w:val="auto"/>
              </w:rPr>
            </w:pPr>
          </w:p>
        </w:tc>
      </w:tr>
      <w:tr>
        <w:trPr>
          <w:trHeight w:val="270"/>
        </w:trPr>
        <w:tc>
          <w:tcPr>
            <w:tcW w:w="5440" w:type="dxa"/>
            <w:vAlign w:val="bottom"/>
          </w:tcPr>
          <w:p>
            <w:pPr>
              <w:ind w:left="240"/>
              <w:spacing w:after="0"/>
              <w:rPr>
                <w:sz w:val="20"/>
                <w:szCs w:val="20"/>
                <w:color w:val="auto"/>
              </w:rPr>
            </w:pPr>
            <w:r>
              <w:rPr>
                <w:rFonts w:ascii="Arial" w:cs="Arial" w:eastAsia="Arial" w:hAnsi="Arial"/>
                <w:sz w:val="18"/>
                <w:szCs w:val="18"/>
                <w:color w:val="auto"/>
              </w:rPr>
              <w:t>Regulatory balancing accounts</w:t>
            </w:r>
          </w:p>
        </w:tc>
        <w:tc>
          <w:tcPr>
            <w:tcW w:w="440" w:type="dxa"/>
            <w:vAlign w:val="bottom"/>
          </w:tcPr>
          <w:p>
            <w:pPr>
              <w:spacing w:after="0"/>
              <w:rPr>
                <w:sz w:val="23"/>
                <w:szCs w:val="23"/>
                <w:color w:val="auto"/>
              </w:rPr>
            </w:pPr>
          </w:p>
        </w:tc>
        <w:tc>
          <w:tcPr>
            <w:tcW w:w="840" w:type="dxa"/>
            <w:vAlign w:val="bottom"/>
          </w:tcPr>
          <w:p>
            <w:pPr>
              <w:jc w:val="right"/>
              <w:ind w:right="252"/>
              <w:spacing w:after="0"/>
              <w:rPr>
                <w:sz w:val="20"/>
                <w:szCs w:val="20"/>
                <w:color w:val="auto"/>
              </w:rPr>
            </w:pPr>
            <w:r>
              <w:rPr>
                <w:rFonts w:ascii="Arial" w:cs="Arial" w:eastAsia="Arial" w:hAnsi="Arial"/>
                <w:sz w:val="18"/>
                <w:szCs w:val="18"/>
                <w:color w:val="auto"/>
              </w:rPr>
              <w:t>100</w:t>
            </w:r>
          </w:p>
        </w:tc>
        <w:tc>
          <w:tcPr>
            <w:tcW w:w="580" w:type="dxa"/>
            <w:vAlign w:val="bottom"/>
          </w:tcPr>
          <w:p>
            <w:pPr>
              <w:spacing w:after="0"/>
              <w:rPr>
                <w:sz w:val="23"/>
                <w:szCs w:val="23"/>
                <w:color w:val="auto"/>
              </w:rPr>
            </w:pPr>
          </w:p>
        </w:tc>
        <w:tc>
          <w:tcPr>
            <w:tcW w:w="700" w:type="dxa"/>
            <w:vAlign w:val="bottom"/>
          </w:tcPr>
          <w:p>
            <w:pPr>
              <w:jc w:val="right"/>
              <w:ind w:right="92"/>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70"/>
        </w:trPr>
        <w:tc>
          <w:tcPr>
            <w:tcW w:w="5440" w:type="dxa"/>
            <w:vAlign w:val="bottom"/>
          </w:tcPr>
          <w:p>
            <w:pPr>
              <w:ind w:left="240"/>
              <w:spacing w:after="0"/>
              <w:rPr>
                <w:sz w:val="20"/>
                <w:szCs w:val="20"/>
                <w:color w:val="auto"/>
              </w:rPr>
            </w:pPr>
            <w:r>
              <w:rPr>
                <w:rFonts w:ascii="Arial" w:cs="Arial" w:eastAsia="Arial" w:hAnsi="Arial"/>
                <w:sz w:val="18"/>
                <w:szCs w:val="18"/>
                <w:color w:val="auto"/>
              </w:rPr>
              <w:t>Loss on reacquired debt</w:t>
            </w:r>
          </w:p>
        </w:tc>
        <w:tc>
          <w:tcPr>
            <w:tcW w:w="440" w:type="dxa"/>
            <w:vAlign w:val="bottom"/>
          </w:tcPr>
          <w:p>
            <w:pPr>
              <w:spacing w:after="0"/>
              <w:rPr>
                <w:sz w:val="23"/>
                <w:szCs w:val="23"/>
                <w:color w:val="auto"/>
              </w:rPr>
            </w:pPr>
          </w:p>
        </w:tc>
        <w:tc>
          <w:tcPr>
            <w:tcW w:w="840" w:type="dxa"/>
            <w:vAlign w:val="bottom"/>
          </w:tcPr>
          <w:p>
            <w:pPr>
              <w:jc w:val="right"/>
              <w:ind w:right="252"/>
              <w:spacing w:after="0"/>
              <w:rPr>
                <w:sz w:val="20"/>
                <w:szCs w:val="20"/>
                <w:color w:val="auto"/>
              </w:rPr>
            </w:pPr>
            <w:r>
              <w:rPr>
                <w:rFonts w:ascii="Arial" w:cs="Arial" w:eastAsia="Arial" w:hAnsi="Arial"/>
                <w:sz w:val="18"/>
                <w:szCs w:val="18"/>
                <w:color w:val="auto"/>
              </w:rPr>
              <w:t>14</w:t>
            </w:r>
          </w:p>
        </w:tc>
        <w:tc>
          <w:tcPr>
            <w:tcW w:w="580" w:type="dxa"/>
            <w:vAlign w:val="bottom"/>
          </w:tcPr>
          <w:p>
            <w:pPr>
              <w:spacing w:after="0"/>
              <w:rPr>
                <w:sz w:val="23"/>
                <w:szCs w:val="23"/>
                <w:color w:val="auto"/>
              </w:rPr>
            </w:pPr>
          </w:p>
        </w:tc>
        <w:tc>
          <w:tcPr>
            <w:tcW w:w="700" w:type="dxa"/>
            <w:vAlign w:val="bottom"/>
          </w:tcPr>
          <w:p>
            <w:pPr>
              <w:jc w:val="right"/>
              <w:ind w:right="92"/>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78"/>
        </w:trPr>
        <w:tc>
          <w:tcPr>
            <w:tcW w:w="5440" w:type="dxa"/>
            <w:vAlign w:val="bottom"/>
          </w:tcPr>
          <w:p>
            <w:pPr>
              <w:ind w:left="240"/>
              <w:spacing w:after="0"/>
              <w:rPr>
                <w:sz w:val="20"/>
                <w:szCs w:val="20"/>
                <w:color w:val="auto"/>
              </w:rPr>
            </w:pPr>
            <w:r>
              <w:rPr>
                <w:rFonts w:ascii="Arial" w:cs="Arial" w:eastAsia="Arial" w:hAnsi="Arial"/>
                <w:sz w:val="18"/>
                <w:szCs w:val="18"/>
                <w:color w:val="auto"/>
              </w:rPr>
              <w:t>Other</w:t>
            </w:r>
          </w:p>
        </w:tc>
        <w:tc>
          <w:tcPr>
            <w:tcW w:w="440" w:type="dxa"/>
            <w:vAlign w:val="bottom"/>
          </w:tcPr>
          <w:p>
            <w:pPr>
              <w:spacing w:after="0"/>
              <w:rPr>
                <w:sz w:val="24"/>
                <w:szCs w:val="24"/>
                <w:color w:val="auto"/>
              </w:rPr>
            </w:pPr>
          </w:p>
        </w:tc>
        <w:tc>
          <w:tcPr>
            <w:tcW w:w="840" w:type="dxa"/>
            <w:vAlign w:val="bottom"/>
          </w:tcPr>
          <w:p>
            <w:pPr>
              <w:jc w:val="right"/>
              <w:ind w:right="252"/>
              <w:spacing w:after="0"/>
              <w:rPr>
                <w:sz w:val="20"/>
                <w:szCs w:val="20"/>
                <w:color w:val="auto"/>
              </w:rPr>
            </w:pPr>
            <w:r>
              <w:rPr>
                <w:rFonts w:ascii="Arial" w:cs="Arial" w:eastAsia="Arial" w:hAnsi="Arial"/>
                <w:sz w:val="18"/>
                <w:szCs w:val="18"/>
                <w:color w:val="auto"/>
              </w:rPr>
              <w:t>18</w:t>
            </w:r>
          </w:p>
        </w:tc>
        <w:tc>
          <w:tcPr>
            <w:tcW w:w="580" w:type="dxa"/>
            <w:vAlign w:val="bottom"/>
          </w:tcPr>
          <w:p>
            <w:pPr>
              <w:spacing w:after="0"/>
              <w:rPr>
                <w:sz w:val="24"/>
                <w:szCs w:val="24"/>
                <w:color w:val="auto"/>
              </w:rPr>
            </w:pPr>
          </w:p>
        </w:tc>
        <w:tc>
          <w:tcPr>
            <w:tcW w:w="700" w:type="dxa"/>
            <w:vAlign w:val="bottom"/>
          </w:tcPr>
          <w:p>
            <w:pPr>
              <w:jc w:val="right"/>
              <w:ind w:right="92"/>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51"/>
        </w:trPr>
        <w:tc>
          <w:tcPr>
            <w:tcW w:w="5440" w:type="dxa"/>
            <w:vAlign w:val="bottom"/>
          </w:tcPr>
          <w:p>
            <w:pPr>
              <w:spacing w:after="0"/>
              <w:rPr>
                <w:sz w:val="21"/>
                <w:szCs w:val="21"/>
                <w:color w:val="auto"/>
              </w:rPr>
            </w:pPr>
          </w:p>
        </w:tc>
        <w:tc>
          <w:tcPr>
            <w:tcW w:w="440" w:type="dxa"/>
            <w:vAlign w:val="bottom"/>
            <w:shd w:val="clear" w:color="auto" w:fill="000000"/>
          </w:tcPr>
          <w:p>
            <w:pPr>
              <w:spacing w:after="0"/>
              <w:rPr>
                <w:sz w:val="21"/>
                <w:szCs w:val="21"/>
                <w:color w:val="auto"/>
              </w:rPr>
            </w:pPr>
          </w:p>
        </w:tc>
        <w:tc>
          <w:tcPr>
            <w:tcW w:w="840" w:type="dxa"/>
            <w:vAlign w:val="bottom"/>
            <w:shd w:val="clear" w:color="auto" w:fill="000000"/>
          </w:tcPr>
          <w:p>
            <w:pPr>
              <w:spacing w:after="0"/>
              <w:rPr>
                <w:sz w:val="21"/>
                <w:szCs w:val="21"/>
                <w:color w:val="auto"/>
              </w:rPr>
            </w:pPr>
          </w:p>
        </w:tc>
        <w:tc>
          <w:tcPr>
            <w:tcW w:w="580" w:type="dxa"/>
            <w:vAlign w:val="bottom"/>
            <w:shd w:val="clear" w:color="auto" w:fill="000000"/>
          </w:tcPr>
          <w:p>
            <w:pPr>
              <w:spacing w:after="0"/>
              <w:rPr>
                <w:sz w:val="21"/>
                <w:szCs w:val="21"/>
                <w:color w:val="auto"/>
              </w:rPr>
            </w:pPr>
          </w:p>
        </w:tc>
        <w:tc>
          <w:tcPr>
            <w:tcW w:w="700" w:type="dxa"/>
            <w:vAlign w:val="bottom"/>
            <w:shd w:val="clear" w:color="auto" w:fill="000000"/>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5440" w:type="dxa"/>
            <w:vAlign w:val="bottom"/>
          </w:tcPr>
          <w:p>
            <w:pPr>
              <w:ind w:left="460"/>
              <w:spacing w:after="0"/>
              <w:rPr>
                <w:sz w:val="20"/>
                <w:szCs w:val="20"/>
                <w:color w:val="auto"/>
              </w:rPr>
            </w:pPr>
            <w:r>
              <w:rPr>
                <w:rFonts w:ascii="Arial" w:cs="Arial" w:eastAsia="Arial" w:hAnsi="Arial"/>
                <w:sz w:val="18"/>
                <w:szCs w:val="18"/>
                <w:color w:val="auto"/>
              </w:rPr>
              <w:t>Total deferred tax liabilities</w:t>
            </w:r>
          </w:p>
        </w:tc>
        <w:tc>
          <w:tcPr>
            <w:tcW w:w="440" w:type="dxa"/>
            <w:vAlign w:val="bottom"/>
          </w:tcPr>
          <w:p>
            <w:pPr>
              <w:spacing w:after="0"/>
              <w:rPr>
                <w:sz w:val="22"/>
                <w:szCs w:val="22"/>
                <w:color w:val="auto"/>
              </w:rPr>
            </w:pPr>
          </w:p>
        </w:tc>
        <w:tc>
          <w:tcPr>
            <w:tcW w:w="840" w:type="dxa"/>
            <w:vAlign w:val="bottom"/>
          </w:tcPr>
          <w:p>
            <w:pPr>
              <w:jc w:val="right"/>
              <w:ind w:right="252"/>
              <w:spacing w:after="0"/>
              <w:rPr>
                <w:sz w:val="20"/>
                <w:szCs w:val="20"/>
                <w:color w:val="auto"/>
              </w:rPr>
            </w:pPr>
            <w:r>
              <w:rPr>
                <w:rFonts w:ascii="Arial" w:cs="Arial" w:eastAsia="Arial" w:hAnsi="Arial"/>
                <w:sz w:val="18"/>
                <w:szCs w:val="18"/>
                <w:color w:val="auto"/>
              </w:rPr>
              <w:t>723</w:t>
            </w:r>
          </w:p>
        </w:tc>
        <w:tc>
          <w:tcPr>
            <w:tcW w:w="580" w:type="dxa"/>
            <w:vAlign w:val="bottom"/>
          </w:tcPr>
          <w:p>
            <w:pPr>
              <w:spacing w:after="0"/>
              <w:rPr>
                <w:sz w:val="22"/>
                <w:szCs w:val="22"/>
                <w:color w:val="auto"/>
              </w:rPr>
            </w:pPr>
          </w:p>
        </w:tc>
        <w:tc>
          <w:tcPr>
            <w:tcW w:w="700" w:type="dxa"/>
            <w:vAlign w:val="bottom"/>
          </w:tcPr>
          <w:p>
            <w:pPr>
              <w:jc w:val="right"/>
              <w:ind w:right="92"/>
              <w:spacing w:after="0"/>
              <w:rPr>
                <w:sz w:val="20"/>
                <w:szCs w:val="20"/>
                <w:color w:val="auto"/>
              </w:rPr>
            </w:pPr>
            <w:r>
              <w:rPr>
                <w:rFonts w:ascii="Arial" w:cs="Arial" w:eastAsia="Arial" w:hAnsi="Arial"/>
                <w:sz w:val="18"/>
                <w:szCs w:val="18"/>
                <w:color w:val="auto"/>
              </w:rPr>
              <w:t>685</w:t>
            </w:r>
          </w:p>
        </w:tc>
        <w:tc>
          <w:tcPr>
            <w:tcW w:w="0" w:type="dxa"/>
            <w:vAlign w:val="bottom"/>
          </w:tcPr>
          <w:p>
            <w:pPr>
              <w:spacing w:after="0"/>
              <w:rPr>
                <w:sz w:val="1"/>
                <w:szCs w:val="1"/>
                <w:color w:val="auto"/>
              </w:rPr>
            </w:pPr>
          </w:p>
        </w:tc>
      </w:tr>
      <w:tr>
        <w:trPr>
          <w:trHeight w:val="259"/>
        </w:trPr>
        <w:tc>
          <w:tcPr>
            <w:tcW w:w="5440" w:type="dxa"/>
            <w:vAlign w:val="bottom"/>
            <w:vMerge w:val="restart"/>
          </w:tcPr>
          <w:p>
            <w:pPr>
              <w:ind w:left="20"/>
              <w:spacing w:after="0"/>
              <w:rPr>
                <w:sz w:val="20"/>
                <w:szCs w:val="20"/>
                <w:color w:val="auto"/>
              </w:rPr>
            </w:pPr>
            <w:r>
              <w:rPr>
                <w:rFonts w:ascii="Arial" w:cs="Arial" w:eastAsia="Arial" w:hAnsi="Arial"/>
                <w:sz w:val="18"/>
                <w:szCs w:val="18"/>
                <w:color w:val="auto"/>
              </w:rPr>
              <w:t>Deferred tax assets:</w:t>
            </w:r>
          </w:p>
        </w:tc>
        <w:tc>
          <w:tcPr>
            <w:tcW w:w="440" w:type="dxa"/>
            <w:vAlign w:val="bottom"/>
            <w:shd w:val="clear" w:color="auto" w:fill="000000"/>
          </w:tcPr>
          <w:p>
            <w:pPr>
              <w:spacing w:after="0"/>
              <w:rPr>
                <w:sz w:val="22"/>
                <w:szCs w:val="22"/>
                <w:color w:val="auto"/>
              </w:rPr>
            </w:pPr>
          </w:p>
        </w:tc>
        <w:tc>
          <w:tcPr>
            <w:tcW w:w="840" w:type="dxa"/>
            <w:vAlign w:val="bottom"/>
            <w:shd w:val="clear" w:color="auto" w:fill="000000"/>
          </w:tcPr>
          <w:p>
            <w:pPr>
              <w:spacing w:after="0"/>
              <w:rPr>
                <w:sz w:val="22"/>
                <w:szCs w:val="22"/>
                <w:color w:val="auto"/>
              </w:rPr>
            </w:pPr>
          </w:p>
        </w:tc>
        <w:tc>
          <w:tcPr>
            <w:tcW w:w="580" w:type="dxa"/>
            <w:vAlign w:val="bottom"/>
            <w:shd w:val="clear" w:color="auto" w:fill="000000"/>
          </w:tcPr>
          <w:p>
            <w:pPr>
              <w:spacing w:after="0"/>
              <w:rPr>
                <w:sz w:val="22"/>
                <w:szCs w:val="22"/>
                <w:color w:val="auto"/>
              </w:rPr>
            </w:pPr>
          </w:p>
        </w:tc>
        <w:tc>
          <w:tcPr>
            <w:tcW w:w="700" w:type="dxa"/>
            <w:vAlign w:val="bottom"/>
            <w:shd w:val="clear" w:color="auto" w:fill="000000"/>
          </w:tcPr>
          <w:p>
            <w:pPr>
              <w:spacing w:after="0"/>
              <w:rPr>
                <w:sz w:val="22"/>
                <w:szCs w:val="22"/>
                <w:color w:val="auto"/>
              </w:rPr>
            </w:pPr>
          </w:p>
        </w:tc>
        <w:tc>
          <w:tcPr>
            <w:tcW w:w="0" w:type="dxa"/>
            <w:vAlign w:val="bottom"/>
          </w:tcPr>
          <w:p>
            <w:pPr>
              <w:spacing w:after="0"/>
              <w:rPr>
                <w:sz w:val="1"/>
                <w:szCs w:val="1"/>
                <w:color w:val="auto"/>
              </w:rPr>
            </w:pPr>
          </w:p>
        </w:tc>
      </w:tr>
      <w:tr>
        <w:trPr>
          <w:trHeight w:val="255"/>
        </w:trPr>
        <w:tc>
          <w:tcPr>
            <w:tcW w:w="5440" w:type="dxa"/>
            <w:vAlign w:val="bottom"/>
            <w:vMerge w:val="continue"/>
          </w:tcPr>
          <w:p>
            <w:pPr>
              <w:spacing w:after="0"/>
              <w:rPr>
                <w:sz w:val="22"/>
                <w:szCs w:val="22"/>
                <w:color w:val="auto"/>
              </w:rPr>
            </w:pPr>
          </w:p>
        </w:tc>
        <w:tc>
          <w:tcPr>
            <w:tcW w:w="4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5440" w:type="dxa"/>
            <w:vAlign w:val="bottom"/>
          </w:tcPr>
          <w:p>
            <w:pPr>
              <w:ind w:left="240"/>
              <w:spacing w:after="0"/>
              <w:rPr>
                <w:sz w:val="20"/>
                <w:szCs w:val="20"/>
                <w:color w:val="auto"/>
              </w:rPr>
            </w:pPr>
            <w:r>
              <w:rPr>
                <w:rFonts w:ascii="Arial" w:cs="Arial" w:eastAsia="Arial" w:hAnsi="Arial"/>
                <w:sz w:val="18"/>
                <w:szCs w:val="18"/>
                <w:color w:val="auto"/>
              </w:rPr>
              <w:t>Investment tax credits</w:t>
            </w:r>
          </w:p>
        </w:tc>
        <w:tc>
          <w:tcPr>
            <w:tcW w:w="440" w:type="dxa"/>
            <w:vAlign w:val="bottom"/>
          </w:tcPr>
          <w:p>
            <w:pPr>
              <w:spacing w:after="0"/>
              <w:rPr>
                <w:sz w:val="23"/>
                <w:szCs w:val="23"/>
                <w:color w:val="auto"/>
              </w:rPr>
            </w:pPr>
          </w:p>
        </w:tc>
        <w:tc>
          <w:tcPr>
            <w:tcW w:w="840" w:type="dxa"/>
            <w:vAlign w:val="bottom"/>
          </w:tcPr>
          <w:p>
            <w:pPr>
              <w:jc w:val="right"/>
              <w:ind w:right="252"/>
              <w:spacing w:after="0"/>
              <w:rPr>
                <w:sz w:val="20"/>
                <w:szCs w:val="20"/>
                <w:color w:val="auto"/>
              </w:rPr>
            </w:pPr>
            <w:r>
              <w:rPr>
                <w:rFonts w:ascii="Arial" w:cs="Arial" w:eastAsia="Arial" w:hAnsi="Arial"/>
                <w:sz w:val="18"/>
                <w:szCs w:val="18"/>
                <w:color w:val="auto"/>
              </w:rPr>
              <w:t>23</w:t>
            </w:r>
          </w:p>
        </w:tc>
        <w:tc>
          <w:tcPr>
            <w:tcW w:w="580" w:type="dxa"/>
            <w:vAlign w:val="bottom"/>
          </w:tcPr>
          <w:p>
            <w:pPr>
              <w:spacing w:after="0"/>
              <w:rPr>
                <w:sz w:val="23"/>
                <w:szCs w:val="23"/>
                <w:color w:val="auto"/>
              </w:rPr>
            </w:pPr>
          </w:p>
        </w:tc>
        <w:tc>
          <w:tcPr>
            <w:tcW w:w="700" w:type="dxa"/>
            <w:vAlign w:val="bottom"/>
          </w:tcPr>
          <w:p>
            <w:pPr>
              <w:jc w:val="right"/>
              <w:ind w:right="92"/>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70"/>
        </w:trPr>
        <w:tc>
          <w:tcPr>
            <w:tcW w:w="5440" w:type="dxa"/>
            <w:vAlign w:val="bottom"/>
          </w:tcPr>
          <w:p>
            <w:pPr>
              <w:ind w:left="240"/>
              <w:spacing w:after="0"/>
              <w:rPr>
                <w:sz w:val="20"/>
                <w:szCs w:val="20"/>
                <w:color w:val="auto"/>
              </w:rPr>
            </w:pPr>
            <w:r>
              <w:rPr>
                <w:rFonts w:ascii="Arial" w:cs="Arial" w:eastAsia="Arial" w:hAnsi="Arial"/>
                <w:sz w:val="18"/>
                <w:szCs w:val="18"/>
                <w:color w:val="auto"/>
              </w:rPr>
              <w:t>Deferred compensation</w:t>
            </w:r>
          </w:p>
        </w:tc>
        <w:tc>
          <w:tcPr>
            <w:tcW w:w="440" w:type="dxa"/>
            <w:vAlign w:val="bottom"/>
          </w:tcPr>
          <w:p>
            <w:pPr>
              <w:spacing w:after="0"/>
              <w:rPr>
                <w:sz w:val="23"/>
                <w:szCs w:val="23"/>
                <w:color w:val="auto"/>
              </w:rPr>
            </w:pPr>
          </w:p>
        </w:tc>
        <w:tc>
          <w:tcPr>
            <w:tcW w:w="840" w:type="dxa"/>
            <w:vAlign w:val="bottom"/>
          </w:tcPr>
          <w:p>
            <w:pPr>
              <w:jc w:val="right"/>
              <w:ind w:right="252"/>
              <w:spacing w:after="0"/>
              <w:rPr>
                <w:sz w:val="20"/>
                <w:szCs w:val="20"/>
                <w:color w:val="auto"/>
              </w:rPr>
            </w:pPr>
            <w:r>
              <w:rPr>
                <w:rFonts w:ascii="Arial" w:cs="Arial" w:eastAsia="Arial" w:hAnsi="Arial"/>
                <w:sz w:val="18"/>
                <w:szCs w:val="18"/>
                <w:color w:val="auto"/>
              </w:rPr>
              <w:t>18</w:t>
            </w:r>
          </w:p>
        </w:tc>
        <w:tc>
          <w:tcPr>
            <w:tcW w:w="580" w:type="dxa"/>
            <w:vAlign w:val="bottom"/>
          </w:tcPr>
          <w:p>
            <w:pPr>
              <w:spacing w:after="0"/>
              <w:rPr>
                <w:sz w:val="23"/>
                <w:szCs w:val="23"/>
                <w:color w:val="auto"/>
              </w:rPr>
            </w:pPr>
          </w:p>
        </w:tc>
        <w:tc>
          <w:tcPr>
            <w:tcW w:w="700" w:type="dxa"/>
            <w:vAlign w:val="bottom"/>
          </w:tcPr>
          <w:p>
            <w:pPr>
              <w:jc w:val="right"/>
              <w:ind w:right="92"/>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70"/>
        </w:trPr>
        <w:tc>
          <w:tcPr>
            <w:tcW w:w="5440" w:type="dxa"/>
            <w:vAlign w:val="bottom"/>
          </w:tcPr>
          <w:p>
            <w:pPr>
              <w:ind w:left="240"/>
              <w:spacing w:after="0"/>
              <w:rPr>
                <w:sz w:val="20"/>
                <w:szCs w:val="20"/>
                <w:color w:val="auto"/>
              </w:rPr>
            </w:pPr>
            <w:r>
              <w:rPr>
                <w:rFonts w:ascii="Arial" w:cs="Arial" w:eastAsia="Arial" w:hAnsi="Arial"/>
                <w:sz w:val="18"/>
                <w:szCs w:val="18"/>
                <w:color w:val="auto"/>
              </w:rPr>
              <w:t>State income taxes</w:t>
            </w:r>
          </w:p>
        </w:tc>
        <w:tc>
          <w:tcPr>
            <w:tcW w:w="440" w:type="dxa"/>
            <w:vAlign w:val="bottom"/>
          </w:tcPr>
          <w:p>
            <w:pPr>
              <w:spacing w:after="0"/>
              <w:rPr>
                <w:sz w:val="23"/>
                <w:szCs w:val="23"/>
                <w:color w:val="auto"/>
              </w:rPr>
            </w:pPr>
          </w:p>
        </w:tc>
        <w:tc>
          <w:tcPr>
            <w:tcW w:w="840" w:type="dxa"/>
            <w:vAlign w:val="bottom"/>
          </w:tcPr>
          <w:p>
            <w:pPr>
              <w:jc w:val="right"/>
              <w:ind w:right="252"/>
              <w:spacing w:after="0"/>
              <w:rPr>
                <w:sz w:val="20"/>
                <w:szCs w:val="20"/>
                <w:color w:val="auto"/>
              </w:rPr>
            </w:pPr>
            <w:r>
              <w:rPr>
                <w:rFonts w:ascii="Arial" w:cs="Arial" w:eastAsia="Arial" w:hAnsi="Arial"/>
                <w:sz w:val="18"/>
                <w:szCs w:val="18"/>
                <w:color w:val="auto"/>
              </w:rPr>
              <w:t>20</w:t>
            </w:r>
          </w:p>
        </w:tc>
        <w:tc>
          <w:tcPr>
            <w:tcW w:w="580" w:type="dxa"/>
            <w:vAlign w:val="bottom"/>
          </w:tcPr>
          <w:p>
            <w:pPr>
              <w:spacing w:after="0"/>
              <w:rPr>
                <w:sz w:val="23"/>
                <w:szCs w:val="23"/>
                <w:color w:val="auto"/>
              </w:rPr>
            </w:pPr>
          </w:p>
        </w:tc>
        <w:tc>
          <w:tcPr>
            <w:tcW w:w="700" w:type="dxa"/>
            <w:vAlign w:val="bottom"/>
          </w:tcPr>
          <w:p>
            <w:pPr>
              <w:jc w:val="right"/>
              <w:ind w:right="92"/>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70"/>
        </w:trPr>
        <w:tc>
          <w:tcPr>
            <w:tcW w:w="5440" w:type="dxa"/>
            <w:vAlign w:val="bottom"/>
          </w:tcPr>
          <w:p>
            <w:pPr>
              <w:ind w:left="240"/>
              <w:spacing w:after="0"/>
              <w:rPr>
                <w:sz w:val="20"/>
                <w:szCs w:val="20"/>
                <w:color w:val="auto"/>
              </w:rPr>
            </w:pPr>
            <w:r>
              <w:rPr>
                <w:rFonts w:ascii="Arial" w:cs="Arial" w:eastAsia="Arial" w:hAnsi="Arial"/>
                <w:sz w:val="18"/>
                <w:szCs w:val="18"/>
                <w:color w:val="auto"/>
              </w:rPr>
              <w:t>Workers compensation and public liability insurance</w:t>
            </w:r>
          </w:p>
        </w:tc>
        <w:tc>
          <w:tcPr>
            <w:tcW w:w="440" w:type="dxa"/>
            <w:vAlign w:val="bottom"/>
          </w:tcPr>
          <w:p>
            <w:pPr>
              <w:spacing w:after="0"/>
              <w:rPr>
                <w:sz w:val="23"/>
                <w:szCs w:val="23"/>
                <w:color w:val="auto"/>
              </w:rPr>
            </w:pPr>
          </w:p>
        </w:tc>
        <w:tc>
          <w:tcPr>
            <w:tcW w:w="840" w:type="dxa"/>
            <w:vAlign w:val="bottom"/>
          </w:tcPr>
          <w:p>
            <w:pPr>
              <w:jc w:val="right"/>
              <w:ind w:right="252"/>
              <w:spacing w:after="0"/>
              <w:rPr>
                <w:sz w:val="20"/>
                <w:szCs w:val="20"/>
                <w:color w:val="auto"/>
              </w:rPr>
            </w:pPr>
            <w:r>
              <w:rPr>
                <w:rFonts w:ascii="Arial" w:cs="Arial" w:eastAsia="Arial" w:hAnsi="Arial"/>
                <w:sz w:val="18"/>
                <w:szCs w:val="18"/>
                <w:color w:val="auto"/>
              </w:rPr>
              <w:t>6</w:t>
            </w:r>
          </w:p>
        </w:tc>
        <w:tc>
          <w:tcPr>
            <w:tcW w:w="580" w:type="dxa"/>
            <w:vAlign w:val="bottom"/>
          </w:tcPr>
          <w:p>
            <w:pPr>
              <w:spacing w:after="0"/>
              <w:rPr>
                <w:sz w:val="23"/>
                <w:szCs w:val="23"/>
                <w:color w:val="auto"/>
              </w:rPr>
            </w:pPr>
          </w:p>
        </w:tc>
        <w:tc>
          <w:tcPr>
            <w:tcW w:w="700" w:type="dxa"/>
            <w:vAlign w:val="bottom"/>
          </w:tcPr>
          <w:p>
            <w:pPr>
              <w:jc w:val="right"/>
              <w:ind w:right="92"/>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70"/>
        </w:trPr>
        <w:tc>
          <w:tcPr>
            <w:tcW w:w="5440" w:type="dxa"/>
            <w:vAlign w:val="bottom"/>
          </w:tcPr>
          <w:p>
            <w:pPr>
              <w:ind w:left="240"/>
              <w:spacing w:after="0"/>
              <w:rPr>
                <w:sz w:val="20"/>
                <w:szCs w:val="20"/>
                <w:color w:val="auto"/>
              </w:rPr>
            </w:pPr>
            <w:r>
              <w:rPr>
                <w:rFonts w:ascii="Arial" w:cs="Arial" w:eastAsia="Arial" w:hAnsi="Arial"/>
                <w:sz w:val="18"/>
                <w:szCs w:val="18"/>
                <w:color w:val="auto"/>
              </w:rPr>
              <w:t>Environmental liabilities</w:t>
            </w:r>
          </w:p>
        </w:tc>
        <w:tc>
          <w:tcPr>
            <w:tcW w:w="440" w:type="dxa"/>
            <w:vAlign w:val="bottom"/>
          </w:tcPr>
          <w:p>
            <w:pPr>
              <w:spacing w:after="0"/>
              <w:rPr>
                <w:sz w:val="23"/>
                <w:szCs w:val="23"/>
                <w:color w:val="auto"/>
              </w:rPr>
            </w:pPr>
          </w:p>
        </w:tc>
        <w:tc>
          <w:tcPr>
            <w:tcW w:w="840" w:type="dxa"/>
            <w:vAlign w:val="bottom"/>
          </w:tcPr>
          <w:p>
            <w:pPr>
              <w:jc w:val="right"/>
              <w:ind w:right="252"/>
              <w:spacing w:after="0"/>
              <w:rPr>
                <w:sz w:val="20"/>
                <w:szCs w:val="20"/>
                <w:color w:val="auto"/>
              </w:rPr>
            </w:pPr>
            <w:r>
              <w:rPr>
                <w:rFonts w:ascii="Arial" w:cs="Arial" w:eastAsia="Arial" w:hAnsi="Arial"/>
                <w:sz w:val="18"/>
                <w:szCs w:val="18"/>
                <w:color w:val="auto"/>
              </w:rPr>
              <w:t>8</w:t>
            </w:r>
          </w:p>
        </w:tc>
        <w:tc>
          <w:tcPr>
            <w:tcW w:w="580" w:type="dxa"/>
            <w:vAlign w:val="bottom"/>
          </w:tcPr>
          <w:p>
            <w:pPr>
              <w:spacing w:after="0"/>
              <w:rPr>
                <w:sz w:val="23"/>
                <w:szCs w:val="23"/>
                <w:color w:val="auto"/>
              </w:rPr>
            </w:pPr>
          </w:p>
        </w:tc>
        <w:tc>
          <w:tcPr>
            <w:tcW w:w="700" w:type="dxa"/>
            <w:vAlign w:val="bottom"/>
          </w:tcPr>
          <w:p>
            <w:pPr>
              <w:jc w:val="right"/>
              <w:ind w:right="92"/>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70"/>
        </w:trPr>
        <w:tc>
          <w:tcPr>
            <w:tcW w:w="5440" w:type="dxa"/>
            <w:vAlign w:val="bottom"/>
          </w:tcPr>
          <w:p>
            <w:pPr>
              <w:ind w:left="240"/>
              <w:spacing w:after="0"/>
              <w:rPr>
                <w:sz w:val="20"/>
                <w:szCs w:val="20"/>
                <w:color w:val="auto"/>
              </w:rPr>
            </w:pPr>
            <w:r>
              <w:rPr>
                <w:rFonts w:ascii="Arial" w:cs="Arial" w:eastAsia="Arial" w:hAnsi="Arial"/>
                <w:sz w:val="18"/>
                <w:szCs w:val="18"/>
                <w:color w:val="auto"/>
              </w:rPr>
              <w:t>Other accruals not yet deductible</w:t>
            </w:r>
          </w:p>
        </w:tc>
        <w:tc>
          <w:tcPr>
            <w:tcW w:w="440" w:type="dxa"/>
            <w:vAlign w:val="bottom"/>
          </w:tcPr>
          <w:p>
            <w:pPr>
              <w:spacing w:after="0"/>
              <w:rPr>
                <w:sz w:val="23"/>
                <w:szCs w:val="23"/>
                <w:color w:val="auto"/>
              </w:rPr>
            </w:pPr>
          </w:p>
        </w:tc>
        <w:tc>
          <w:tcPr>
            <w:tcW w:w="840" w:type="dxa"/>
            <w:vAlign w:val="bottom"/>
          </w:tcPr>
          <w:p>
            <w:pPr>
              <w:jc w:val="right"/>
              <w:ind w:right="252"/>
              <w:spacing w:after="0"/>
              <w:rPr>
                <w:sz w:val="20"/>
                <w:szCs w:val="20"/>
                <w:color w:val="auto"/>
              </w:rPr>
            </w:pPr>
            <w:r>
              <w:rPr>
                <w:rFonts w:ascii="Arial" w:cs="Arial" w:eastAsia="Arial" w:hAnsi="Arial"/>
                <w:sz w:val="18"/>
                <w:szCs w:val="18"/>
                <w:color w:val="auto"/>
              </w:rPr>
              <w:t>59</w:t>
            </w:r>
          </w:p>
        </w:tc>
        <w:tc>
          <w:tcPr>
            <w:tcW w:w="580" w:type="dxa"/>
            <w:vAlign w:val="bottom"/>
          </w:tcPr>
          <w:p>
            <w:pPr>
              <w:spacing w:after="0"/>
              <w:rPr>
                <w:sz w:val="23"/>
                <w:szCs w:val="23"/>
                <w:color w:val="auto"/>
              </w:rPr>
            </w:pPr>
          </w:p>
        </w:tc>
        <w:tc>
          <w:tcPr>
            <w:tcW w:w="700" w:type="dxa"/>
            <w:vAlign w:val="bottom"/>
          </w:tcPr>
          <w:p>
            <w:pPr>
              <w:jc w:val="right"/>
              <w:ind w:right="92"/>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78"/>
        </w:trPr>
        <w:tc>
          <w:tcPr>
            <w:tcW w:w="5440" w:type="dxa"/>
            <w:vAlign w:val="bottom"/>
          </w:tcPr>
          <w:p>
            <w:pPr>
              <w:ind w:left="240"/>
              <w:spacing w:after="0"/>
              <w:rPr>
                <w:sz w:val="20"/>
                <w:szCs w:val="20"/>
                <w:color w:val="auto"/>
              </w:rPr>
            </w:pPr>
            <w:r>
              <w:rPr>
                <w:rFonts w:ascii="Arial" w:cs="Arial" w:eastAsia="Arial" w:hAnsi="Arial"/>
                <w:sz w:val="18"/>
                <w:szCs w:val="18"/>
                <w:color w:val="auto"/>
              </w:rPr>
              <w:t>Other</w:t>
            </w:r>
          </w:p>
        </w:tc>
        <w:tc>
          <w:tcPr>
            <w:tcW w:w="440" w:type="dxa"/>
            <w:vAlign w:val="bottom"/>
          </w:tcPr>
          <w:p>
            <w:pPr>
              <w:spacing w:after="0"/>
              <w:rPr>
                <w:sz w:val="24"/>
                <w:szCs w:val="24"/>
                <w:color w:val="auto"/>
              </w:rPr>
            </w:pPr>
          </w:p>
        </w:tc>
        <w:tc>
          <w:tcPr>
            <w:tcW w:w="840" w:type="dxa"/>
            <w:vAlign w:val="bottom"/>
          </w:tcPr>
          <w:p>
            <w:pPr>
              <w:jc w:val="right"/>
              <w:ind w:right="252"/>
              <w:spacing w:after="0"/>
              <w:rPr>
                <w:sz w:val="20"/>
                <w:szCs w:val="20"/>
                <w:color w:val="auto"/>
              </w:rPr>
            </w:pPr>
            <w:r>
              <w:rPr>
                <w:rFonts w:ascii="Arial" w:cs="Arial" w:eastAsia="Arial" w:hAnsi="Arial"/>
                <w:sz w:val="18"/>
                <w:szCs w:val="18"/>
                <w:color w:val="auto"/>
              </w:rPr>
              <w:t>5</w:t>
            </w:r>
          </w:p>
        </w:tc>
        <w:tc>
          <w:tcPr>
            <w:tcW w:w="580" w:type="dxa"/>
            <w:vAlign w:val="bottom"/>
          </w:tcPr>
          <w:p>
            <w:pPr>
              <w:spacing w:after="0"/>
              <w:rPr>
                <w:sz w:val="24"/>
                <w:szCs w:val="24"/>
                <w:color w:val="auto"/>
              </w:rPr>
            </w:pPr>
          </w:p>
        </w:tc>
        <w:tc>
          <w:tcPr>
            <w:tcW w:w="700" w:type="dxa"/>
            <w:vAlign w:val="bottom"/>
          </w:tcPr>
          <w:p>
            <w:pPr>
              <w:jc w:val="right"/>
              <w:ind w:right="92"/>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51"/>
        </w:trPr>
        <w:tc>
          <w:tcPr>
            <w:tcW w:w="5440" w:type="dxa"/>
            <w:vAlign w:val="bottom"/>
          </w:tcPr>
          <w:p>
            <w:pPr>
              <w:spacing w:after="0"/>
              <w:rPr>
                <w:sz w:val="21"/>
                <w:szCs w:val="21"/>
                <w:color w:val="auto"/>
              </w:rPr>
            </w:pPr>
          </w:p>
        </w:tc>
        <w:tc>
          <w:tcPr>
            <w:tcW w:w="440" w:type="dxa"/>
            <w:vAlign w:val="bottom"/>
            <w:shd w:val="clear" w:color="auto" w:fill="000000"/>
          </w:tcPr>
          <w:p>
            <w:pPr>
              <w:spacing w:after="0"/>
              <w:rPr>
                <w:sz w:val="21"/>
                <w:szCs w:val="21"/>
                <w:color w:val="auto"/>
              </w:rPr>
            </w:pPr>
          </w:p>
        </w:tc>
        <w:tc>
          <w:tcPr>
            <w:tcW w:w="840" w:type="dxa"/>
            <w:vAlign w:val="bottom"/>
            <w:shd w:val="clear" w:color="auto" w:fill="000000"/>
          </w:tcPr>
          <w:p>
            <w:pPr>
              <w:spacing w:after="0"/>
              <w:rPr>
                <w:sz w:val="21"/>
                <w:szCs w:val="21"/>
                <w:color w:val="auto"/>
              </w:rPr>
            </w:pPr>
          </w:p>
        </w:tc>
        <w:tc>
          <w:tcPr>
            <w:tcW w:w="580" w:type="dxa"/>
            <w:vAlign w:val="bottom"/>
            <w:shd w:val="clear" w:color="auto" w:fill="000000"/>
          </w:tcPr>
          <w:p>
            <w:pPr>
              <w:spacing w:after="0"/>
              <w:rPr>
                <w:sz w:val="21"/>
                <w:szCs w:val="21"/>
                <w:color w:val="auto"/>
              </w:rPr>
            </w:pPr>
          </w:p>
        </w:tc>
        <w:tc>
          <w:tcPr>
            <w:tcW w:w="700" w:type="dxa"/>
            <w:vAlign w:val="bottom"/>
            <w:shd w:val="clear" w:color="auto" w:fill="000000"/>
          </w:tcPr>
          <w:p>
            <w:pPr>
              <w:spacing w:after="0"/>
              <w:rPr>
                <w:sz w:val="21"/>
                <w:szCs w:val="21"/>
                <w:color w:val="auto"/>
              </w:rPr>
            </w:pPr>
          </w:p>
        </w:tc>
        <w:tc>
          <w:tcPr>
            <w:tcW w:w="0" w:type="dxa"/>
            <w:vAlign w:val="bottom"/>
          </w:tcPr>
          <w:p>
            <w:pPr>
              <w:spacing w:after="0"/>
              <w:rPr>
                <w:sz w:val="1"/>
                <w:szCs w:val="1"/>
                <w:color w:val="auto"/>
              </w:rPr>
            </w:pPr>
          </w:p>
        </w:tc>
      </w:tr>
      <w:tr>
        <w:trPr>
          <w:trHeight w:val="262"/>
        </w:trPr>
        <w:tc>
          <w:tcPr>
            <w:tcW w:w="5440" w:type="dxa"/>
            <w:vAlign w:val="bottom"/>
          </w:tcPr>
          <w:p>
            <w:pPr>
              <w:ind w:left="460"/>
              <w:spacing w:after="0"/>
              <w:rPr>
                <w:sz w:val="20"/>
                <w:szCs w:val="20"/>
                <w:color w:val="auto"/>
              </w:rPr>
            </w:pPr>
            <w:r>
              <w:rPr>
                <w:rFonts w:ascii="Arial" w:cs="Arial" w:eastAsia="Arial" w:hAnsi="Arial"/>
                <w:sz w:val="18"/>
                <w:szCs w:val="18"/>
                <w:color w:val="auto"/>
              </w:rPr>
              <w:t>Total deferred tax assets</w:t>
            </w:r>
          </w:p>
        </w:tc>
        <w:tc>
          <w:tcPr>
            <w:tcW w:w="440" w:type="dxa"/>
            <w:vAlign w:val="bottom"/>
          </w:tcPr>
          <w:p>
            <w:pPr>
              <w:spacing w:after="0"/>
              <w:rPr>
                <w:sz w:val="22"/>
                <w:szCs w:val="22"/>
                <w:color w:val="auto"/>
              </w:rPr>
            </w:pPr>
          </w:p>
        </w:tc>
        <w:tc>
          <w:tcPr>
            <w:tcW w:w="840" w:type="dxa"/>
            <w:vAlign w:val="bottom"/>
          </w:tcPr>
          <w:p>
            <w:pPr>
              <w:jc w:val="right"/>
              <w:ind w:right="252"/>
              <w:spacing w:after="0"/>
              <w:rPr>
                <w:sz w:val="20"/>
                <w:szCs w:val="20"/>
                <w:color w:val="auto"/>
              </w:rPr>
            </w:pPr>
            <w:r>
              <w:rPr>
                <w:rFonts w:ascii="Arial" w:cs="Arial" w:eastAsia="Arial" w:hAnsi="Arial"/>
                <w:sz w:val="18"/>
                <w:szCs w:val="18"/>
                <w:color w:val="auto"/>
              </w:rPr>
              <w:t>139</w:t>
            </w:r>
          </w:p>
        </w:tc>
        <w:tc>
          <w:tcPr>
            <w:tcW w:w="580" w:type="dxa"/>
            <w:vAlign w:val="bottom"/>
          </w:tcPr>
          <w:p>
            <w:pPr>
              <w:spacing w:after="0"/>
              <w:rPr>
                <w:sz w:val="22"/>
                <w:szCs w:val="22"/>
                <w:color w:val="auto"/>
              </w:rPr>
            </w:pPr>
          </w:p>
        </w:tc>
        <w:tc>
          <w:tcPr>
            <w:tcW w:w="700" w:type="dxa"/>
            <w:vAlign w:val="bottom"/>
          </w:tcPr>
          <w:p>
            <w:pPr>
              <w:jc w:val="right"/>
              <w:ind w:right="92"/>
              <w:spacing w:after="0"/>
              <w:rPr>
                <w:sz w:val="20"/>
                <w:szCs w:val="20"/>
                <w:color w:val="auto"/>
              </w:rPr>
            </w:pPr>
            <w:r>
              <w:rPr>
                <w:rFonts w:ascii="Arial" w:cs="Arial" w:eastAsia="Arial" w:hAnsi="Arial"/>
                <w:sz w:val="18"/>
                <w:szCs w:val="18"/>
                <w:color w:val="auto"/>
              </w:rPr>
              <w:t>148</w:t>
            </w:r>
          </w:p>
        </w:tc>
        <w:tc>
          <w:tcPr>
            <w:tcW w:w="0" w:type="dxa"/>
            <w:vAlign w:val="bottom"/>
          </w:tcPr>
          <w:p>
            <w:pPr>
              <w:spacing w:after="0"/>
              <w:rPr>
                <w:sz w:val="1"/>
                <w:szCs w:val="1"/>
                <w:color w:val="auto"/>
              </w:rPr>
            </w:pPr>
          </w:p>
        </w:tc>
      </w:tr>
      <w:tr>
        <w:trPr>
          <w:trHeight w:val="251"/>
        </w:trPr>
        <w:tc>
          <w:tcPr>
            <w:tcW w:w="5440" w:type="dxa"/>
            <w:vAlign w:val="bottom"/>
          </w:tcPr>
          <w:p>
            <w:pPr>
              <w:spacing w:after="0"/>
              <w:rPr>
                <w:sz w:val="21"/>
                <w:szCs w:val="21"/>
                <w:color w:val="auto"/>
              </w:rPr>
            </w:pPr>
          </w:p>
        </w:tc>
        <w:tc>
          <w:tcPr>
            <w:tcW w:w="440" w:type="dxa"/>
            <w:vAlign w:val="bottom"/>
            <w:shd w:val="clear" w:color="auto" w:fill="000000"/>
          </w:tcPr>
          <w:p>
            <w:pPr>
              <w:spacing w:after="0"/>
              <w:rPr>
                <w:sz w:val="21"/>
                <w:szCs w:val="21"/>
                <w:color w:val="auto"/>
              </w:rPr>
            </w:pPr>
          </w:p>
        </w:tc>
        <w:tc>
          <w:tcPr>
            <w:tcW w:w="840" w:type="dxa"/>
            <w:vAlign w:val="bottom"/>
            <w:shd w:val="clear" w:color="auto" w:fill="000000"/>
          </w:tcPr>
          <w:p>
            <w:pPr>
              <w:spacing w:after="0"/>
              <w:rPr>
                <w:sz w:val="21"/>
                <w:szCs w:val="21"/>
                <w:color w:val="auto"/>
              </w:rPr>
            </w:pPr>
          </w:p>
        </w:tc>
        <w:tc>
          <w:tcPr>
            <w:tcW w:w="580" w:type="dxa"/>
            <w:vAlign w:val="bottom"/>
            <w:shd w:val="clear" w:color="auto" w:fill="000000"/>
          </w:tcPr>
          <w:p>
            <w:pPr>
              <w:spacing w:after="0"/>
              <w:rPr>
                <w:sz w:val="21"/>
                <w:szCs w:val="21"/>
                <w:color w:val="auto"/>
              </w:rPr>
            </w:pPr>
          </w:p>
        </w:tc>
        <w:tc>
          <w:tcPr>
            <w:tcW w:w="700" w:type="dxa"/>
            <w:vAlign w:val="bottom"/>
            <w:shd w:val="clear" w:color="auto" w:fill="000000"/>
          </w:tcPr>
          <w:p>
            <w:pPr>
              <w:spacing w:after="0"/>
              <w:rPr>
                <w:sz w:val="21"/>
                <w:szCs w:val="21"/>
                <w:color w:val="auto"/>
              </w:rPr>
            </w:pPr>
          </w:p>
        </w:tc>
        <w:tc>
          <w:tcPr>
            <w:tcW w:w="0" w:type="dxa"/>
            <w:vAlign w:val="bottom"/>
          </w:tcPr>
          <w:p>
            <w:pPr>
              <w:spacing w:after="0"/>
              <w:rPr>
                <w:sz w:val="1"/>
                <w:szCs w:val="1"/>
                <w:color w:val="auto"/>
              </w:rPr>
            </w:pPr>
          </w:p>
        </w:tc>
      </w:tr>
      <w:tr>
        <w:trPr>
          <w:trHeight w:val="262"/>
        </w:trPr>
        <w:tc>
          <w:tcPr>
            <w:tcW w:w="5440" w:type="dxa"/>
            <w:vAlign w:val="bottom"/>
          </w:tcPr>
          <w:p>
            <w:pPr>
              <w:ind w:left="20"/>
              <w:spacing w:after="0"/>
              <w:rPr>
                <w:sz w:val="20"/>
                <w:szCs w:val="20"/>
                <w:color w:val="auto"/>
              </w:rPr>
            </w:pPr>
            <w:r>
              <w:rPr>
                <w:rFonts w:ascii="Arial" w:cs="Arial" w:eastAsia="Arial" w:hAnsi="Arial"/>
                <w:sz w:val="18"/>
                <w:szCs w:val="18"/>
                <w:color w:val="auto"/>
              </w:rPr>
              <w:t>Net deferred income tax liability</w:t>
            </w:r>
          </w:p>
        </w:tc>
        <w:tc>
          <w:tcPr>
            <w:tcW w:w="44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252"/>
              <w:spacing w:after="0"/>
              <w:rPr>
                <w:sz w:val="20"/>
                <w:szCs w:val="20"/>
                <w:color w:val="auto"/>
              </w:rPr>
            </w:pPr>
            <w:r>
              <w:rPr>
                <w:rFonts w:ascii="Arial" w:cs="Arial" w:eastAsia="Arial" w:hAnsi="Arial"/>
                <w:sz w:val="18"/>
                <w:szCs w:val="18"/>
                <w:color w:val="auto"/>
              </w:rPr>
              <w:t>584</w:t>
            </w:r>
          </w:p>
        </w:tc>
        <w:tc>
          <w:tcPr>
            <w:tcW w:w="58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92"/>
              <w:spacing w:after="0"/>
              <w:rPr>
                <w:sz w:val="20"/>
                <w:szCs w:val="20"/>
                <w:color w:val="auto"/>
              </w:rPr>
            </w:pPr>
            <w:r>
              <w:rPr>
                <w:rFonts w:ascii="Arial" w:cs="Arial" w:eastAsia="Arial" w:hAnsi="Arial"/>
                <w:sz w:val="18"/>
                <w:szCs w:val="18"/>
                <w:color w:val="auto"/>
              </w:rPr>
              <w:t>537</w:t>
            </w:r>
          </w:p>
        </w:tc>
        <w:tc>
          <w:tcPr>
            <w:tcW w:w="0" w:type="dxa"/>
            <w:vAlign w:val="bottom"/>
          </w:tcPr>
          <w:p>
            <w:pPr>
              <w:spacing w:after="0"/>
              <w:rPr>
                <w:sz w:val="1"/>
                <w:szCs w:val="1"/>
                <w:color w:val="auto"/>
              </w:rPr>
            </w:pPr>
          </w:p>
        </w:tc>
      </w:tr>
      <w:tr>
        <w:trPr>
          <w:trHeight w:val="251"/>
        </w:trPr>
        <w:tc>
          <w:tcPr>
            <w:tcW w:w="5440" w:type="dxa"/>
            <w:vAlign w:val="bottom"/>
            <w:shd w:val="clear" w:color="auto" w:fill="000000"/>
          </w:tcPr>
          <w:p>
            <w:pPr>
              <w:spacing w:after="0"/>
              <w:rPr>
                <w:sz w:val="21"/>
                <w:szCs w:val="21"/>
                <w:color w:val="auto"/>
              </w:rPr>
            </w:pPr>
          </w:p>
        </w:tc>
        <w:tc>
          <w:tcPr>
            <w:tcW w:w="440" w:type="dxa"/>
            <w:vAlign w:val="bottom"/>
            <w:shd w:val="clear" w:color="auto" w:fill="000000"/>
          </w:tcPr>
          <w:p>
            <w:pPr>
              <w:spacing w:after="0"/>
              <w:rPr>
                <w:sz w:val="21"/>
                <w:szCs w:val="21"/>
                <w:color w:val="auto"/>
              </w:rPr>
            </w:pPr>
          </w:p>
        </w:tc>
        <w:tc>
          <w:tcPr>
            <w:tcW w:w="840" w:type="dxa"/>
            <w:vAlign w:val="bottom"/>
            <w:shd w:val="clear" w:color="auto" w:fill="000000"/>
          </w:tcPr>
          <w:p>
            <w:pPr>
              <w:spacing w:after="0"/>
              <w:rPr>
                <w:sz w:val="21"/>
                <w:szCs w:val="21"/>
                <w:color w:val="auto"/>
              </w:rPr>
            </w:pPr>
          </w:p>
        </w:tc>
        <w:tc>
          <w:tcPr>
            <w:tcW w:w="580" w:type="dxa"/>
            <w:vAlign w:val="bottom"/>
            <w:shd w:val="clear" w:color="auto" w:fill="000000"/>
          </w:tcPr>
          <w:p>
            <w:pPr>
              <w:spacing w:after="0"/>
              <w:rPr>
                <w:sz w:val="21"/>
                <w:szCs w:val="21"/>
                <w:color w:val="auto"/>
              </w:rPr>
            </w:pPr>
          </w:p>
        </w:tc>
        <w:tc>
          <w:tcPr>
            <w:tcW w:w="700" w:type="dxa"/>
            <w:vAlign w:val="bottom"/>
            <w:shd w:val="clear" w:color="auto" w:fill="000000"/>
          </w:tcPr>
          <w:p>
            <w:pPr>
              <w:spacing w:after="0"/>
              <w:rPr>
                <w:sz w:val="21"/>
                <w:szCs w:val="21"/>
                <w:color w:val="auto"/>
              </w:rPr>
            </w:pPr>
          </w:p>
        </w:tc>
        <w:tc>
          <w:tcPr>
            <w:tcW w:w="0" w:type="dxa"/>
            <w:vAlign w:val="bottom"/>
          </w:tcPr>
          <w:p>
            <w:pPr>
              <w:spacing w:after="0"/>
              <w:rPr>
                <w:sz w:val="1"/>
                <w:szCs w:val="1"/>
                <w:color w:val="auto"/>
              </w:rPr>
            </w:pPr>
          </w:p>
        </w:tc>
      </w:tr>
    </w:tbl>
    <w:p>
      <w:pPr>
        <w:spacing w:after="0" w:line="195" w:lineRule="exact"/>
        <w:rPr>
          <w:sz w:val="20"/>
          <w:szCs w:val="20"/>
          <w:color w:val="auto"/>
        </w:rPr>
      </w:pPr>
    </w:p>
    <w:p>
      <w:pPr>
        <w:spacing w:after="0"/>
        <w:rPr>
          <w:sz w:val="20"/>
          <w:szCs w:val="20"/>
          <w:color w:val="auto"/>
        </w:rPr>
      </w:pPr>
      <w:r>
        <w:rPr>
          <w:rFonts w:ascii="Arial" w:cs="Arial" w:eastAsia="Arial" w:hAnsi="Arial"/>
          <w:sz w:val="22"/>
          <w:szCs w:val="22"/>
          <w:color w:val="auto"/>
        </w:rPr>
        <w:t>The net deferred income tax liability is recorded on the Consolidated Balance Sheets at December 31 as follows:</w:t>
      </w:r>
    </w:p>
    <w:p>
      <w:pPr>
        <w:spacing w:after="0" w:line="260" w:lineRule="exact"/>
        <w:rPr>
          <w:sz w:val="20"/>
          <w:szCs w:val="20"/>
          <w:color w:val="auto"/>
        </w:rPr>
      </w:pPr>
    </w:p>
    <w:tbl>
      <w:tblPr>
        <w:tblLayout w:type="fixed"/>
        <w:tblInd w:w="1720" w:type="dxa"/>
        <w:tblCellMar>
          <w:top w:w="0" w:type="dxa"/>
          <w:left w:w="0" w:type="dxa"/>
          <w:bottom w:w="0" w:type="dxa"/>
          <w:right w:w="0" w:type="dxa"/>
        </w:tblCellMar>
      </w:tblPr>
      <w:tr>
        <w:trPr>
          <w:trHeight w:val="230"/>
        </w:trPr>
        <w:tc>
          <w:tcPr>
            <w:tcW w:w="5460" w:type="dxa"/>
            <w:vAlign w:val="bottom"/>
          </w:tcPr>
          <w:p>
            <w:pPr>
              <w:ind w:left="20"/>
              <w:spacing w:after="0"/>
              <w:rPr>
                <w:sz w:val="20"/>
                <w:szCs w:val="20"/>
                <w:color w:val="auto"/>
              </w:rPr>
            </w:pPr>
            <w:r>
              <w:rPr>
                <w:rFonts w:ascii="Arial" w:cs="Arial" w:eastAsia="Arial" w:hAnsi="Arial"/>
                <w:sz w:val="18"/>
                <w:szCs w:val="18"/>
                <w:color w:val="auto"/>
              </w:rPr>
              <w:t>(Dollars in millions)</w:t>
            </w:r>
          </w:p>
        </w:tc>
        <w:tc>
          <w:tcPr>
            <w:tcW w:w="420" w:type="dxa"/>
            <w:vAlign w:val="bottom"/>
          </w:tcPr>
          <w:p>
            <w:pPr>
              <w:spacing w:after="0"/>
              <w:rPr>
                <w:sz w:val="20"/>
                <w:szCs w:val="20"/>
                <w:color w:val="auto"/>
              </w:rPr>
            </w:pPr>
          </w:p>
        </w:tc>
        <w:tc>
          <w:tcPr>
            <w:tcW w:w="900" w:type="dxa"/>
            <w:vAlign w:val="bottom"/>
          </w:tcPr>
          <w:p>
            <w:pPr>
              <w:jc w:val="right"/>
              <w:ind w:right="312"/>
              <w:spacing w:after="0"/>
              <w:rPr>
                <w:sz w:val="20"/>
                <w:szCs w:val="20"/>
                <w:color w:val="auto"/>
              </w:rPr>
            </w:pPr>
            <w:r>
              <w:rPr>
                <w:rFonts w:ascii="Arial" w:cs="Arial" w:eastAsia="Arial" w:hAnsi="Arial"/>
                <w:sz w:val="18"/>
                <w:szCs w:val="18"/>
                <w:color w:val="auto"/>
              </w:rPr>
              <w:t>2005</w:t>
            </w:r>
          </w:p>
        </w:tc>
        <w:tc>
          <w:tcPr>
            <w:tcW w:w="540" w:type="dxa"/>
            <w:vAlign w:val="bottom"/>
          </w:tcPr>
          <w:p>
            <w:pPr>
              <w:spacing w:after="0"/>
              <w:rPr>
                <w:sz w:val="20"/>
                <w:szCs w:val="20"/>
                <w:color w:val="auto"/>
              </w:rPr>
            </w:pPr>
          </w:p>
        </w:tc>
        <w:tc>
          <w:tcPr>
            <w:tcW w:w="680" w:type="dxa"/>
            <w:vAlign w:val="bottom"/>
          </w:tcPr>
          <w:p>
            <w:pPr>
              <w:jc w:val="right"/>
              <w:ind w:right="92"/>
              <w:spacing w:after="0"/>
              <w:rPr>
                <w:sz w:val="20"/>
                <w:szCs w:val="20"/>
                <w:color w:val="auto"/>
              </w:rPr>
            </w:pPr>
            <w:r>
              <w:rPr>
                <w:rFonts w:ascii="Arial" w:cs="Arial" w:eastAsia="Arial" w:hAnsi="Arial"/>
                <w:sz w:val="18"/>
                <w:szCs w:val="18"/>
                <w:color w:val="auto"/>
              </w:rPr>
              <w:t>2004</w:t>
            </w:r>
          </w:p>
        </w:tc>
      </w:tr>
      <w:tr>
        <w:trPr>
          <w:trHeight w:val="251"/>
        </w:trPr>
        <w:tc>
          <w:tcPr>
            <w:tcW w:w="5460" w:type="dxa"/>
            <w:vAlign w:val="bottom"/>
            <w:shd w:val="clear" w:color="auto" w:fill="000000"/>
          </w:tcPr>
          <w:p>
            <w:pPr>
              <w:spacing w:after="0"/>
              <w:rPr>
                <w:sz w:val="21"/>
                <w:szCs w:val="21"/>
                <w:color w:val="auto"/>
              </w:rPr>
            </w:pPr>
          </w:p>
        </w:tc>
        <w:tc>
          <w:tcPr>
            <w:tcW w:w="420" w:type="dxa"/>
            <w:vAlign w:val="bottom"/>
            <w:shd w:val="clear" w:color="auto" w:fill="000000"/>
          </w:tcPr>
          <w:p>
            <w:pPr>
              <w:spacing w:after="0"/>
              <w:rPr>
                <w:sz w:val="21"/>
                <w:szCs w:val="21"/>
                <w:color w:val="auto"/>
              </w:rPr>
            </w:pPr>
          </w:p>
        </w:tc>
        <w:tc>
          <w:tcPr>
            <w:tcW w:w="900" w:type="dxa"/>
            <w:vAlign w:val="bottom"/>
            <w:shd w:val="clear" w:color="auto" w:fill="000000"/>
          </w:tcPr>
          <w:p>
            <w:pPr>
              <w:spacing w:after="0"/>
              <w:rPr>
                <w:sz w:val="21"/>
                <w:szCs w:val="21"/>
                <w:color w:val="auto"/>
              </w:rPr>
            </w:pPr>
          </w:p>
        </w:tc>
        <w:tc>
          <w:tcPr>
            <w:tcW w:w="540" w:type="dxa"/>
            <w:vAlign w:val="bottom"/>
            <w:shd w:val="clear" w:color="auto" w:fill="000000"/>
          </w:tcPr>
          <w:p>
            <w:pPr>
              <w:spacing w:after="0"/>
              <w:rPr>
                <w:sz w:val="21"/>
                <w:szCs w:val="21"/>
                <w:color w:val="auto"/>
              </w:rPr>
            </w:pPr>
          </w:p>
        </w:tc>
        <w:tc>
          <w:tcPr>
            <w:tcW w:w="680" w:type="dxa"/>
            <w:vAlign w:val="bottom"/>
            <w:shd w:val="clear" w:color="auto" w:fill="000000"/>
          </w:tcPr>
          <w:p>
            <w:pPr>
              <w:spacing w:after="0"/>
              <w:rPr>
                <w:sz w:val="21"/>
                <w:szCs w:val="21"/>
                <w:color w:val="auto"/>
              </w:rPr>
            </w:pPr>
          </w:p>
        </w:tc>
      </w:tr>
      <w:tr>
        <w:trPr>
          <w:trHeight w:val="255"/>
        </w:trPr>
        <w:tc>
          <w:tcPr>
            <w:tcW w:w="5460" w:type="dxa"/>
            <w:vAlign w:val="bottom"/>
          </w:tcPr>
          <w:p>
            <w:pPr>
              <w:ind w:left="20"/>
              <w:spacing w:after="0"/>
              <w:rPr>
                <w:sz w:val="20"/>
                <w:szCs w:val="20"/>
                <w:color w:val="auto"/>
              </w:rPr>
            </w:pPr>
            <w:r>
              <w:rPr>
                <w:rFonts w:ascii="Arial" w:cs="Arial" w:eastAsia="Arial" w:hAnsi="Arial"/>
                <w:sz w:val="18"/>
                <w:szCs w:val="18"/>
                <w:color w:val="auto"/>
              </w:rPr>
              <w:t>Current (asset) liability</w:t>
            </w:r>
          </w:p>
        </w:tc>
        <w:tc>
          <w:tcPr>
            <w:tcW w:w="42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232"/>
              <w:spacing w:after="0"/>
              <w:rPr>
                <w:sz w:val="20"/>
                <w:szCs w:val="20"/>
                <w:color w:val="auto"/>
              </w:rPr>
            </w:pPr>
            <w:r>
              <w:rPr>
                <w:rFonts w:ascii="Arial" w:cs="Arial" w:eastAsia="Arial" w:hAnsi="Arial"/>
                <w:sz w:val="18"/>
                <w:szCs w:val="18"/>
                <w:color w:val="auto"/>
              </w:rPr>
              <w:t>(7 )</w:t>
            </w:r>
          </w:p>
        </w:tc>
        <w:tc>
          <w:tcPr>
            <w:tcW w:w="54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92"/>
              <w:spacing w:after="0"/>
              <w:rPr>
                <w:sz w:val="20"/>
                <w:szCs w:val="20"/>
                <w:color w:val="auto"/>
              </w:rPr>
            </w:pPr>
            <w:r>
              <w:rPr>
                <w:rFonts w:ascii="Arial" w:cs="Arial" w:eastAsia="Arial" w:hAnsi="Arial"/>
                <w:sz w:val="18"/>
                <w:szCs w:val="18"/>
                <w:color w:val="auto"/>
              </w:rPr>
              <w:t>15</w:t>
            </w:r>
          </w:p>
        </w:tc>
      </w:tr>
      <w:tr>
        <w:trPr>
          <w:trHeight w:val="278"/>
        </w:trPr>
        <w:tc>
          <w:tcPr>
            <w:tcW w:w="5460" w:type="dxa"/>
            <w:vAlign w:val="bottom"/>
          </w:tcPr>
          <w:p>
            <w:pPr>
              <w:ind w:left="20"/>
              <w:spacing w:after="0"/>
              <w:rPr>
                <w:sz w:val="20"/>
                <w:szCs w:val="20"/>
                <w:color w:val="auto"/>
              </w:rPr>
            </w:pPr>
            <w:r>
              <w:rPr>
                <w:rFonts w:ascii="Arial" w:cs="Arial" w:eastAsia="Arial" w:hAnsi="Arial"/>
                <w:sz w:val="18"/>
                <w:szCs w:val="18"/>
                <w:color w:val="auto"/>
              </w:rPr>
              <w:t>Noncurrent liability</w:t>
            </w:r>
          </w:p>
        </w:tc>
        <w:tc>
          <w:tcPr>
            <w:tcW w:w="420" w:type="dxa"/>
            <w:vAlign w:val="bottom"/>
          </w:tcPr>
          <w:p>
            <w:pPr>
              <w:spacing w:after="0"/>
              <w:rPr>
                <w:sz w:val="24"/>
                <w:szCs w:val="24"/>
                <w:color w:val="auto"/>
              </w:rPr>
            </w:pPr>
          </w:p>
        </w:tc>
        <w:tc>
          <w:tcPr>
            <w:tcW w:w="900" w:type="dxa"/>
            <w:vAlign w:val="bottom"/>
          </w:tcPr>
          <w:p>
            <w:pPr>
              <w:jc w:val="right"/>
              <w:ind w:right="312"/>
              <w:spacing w:after="0"/>
              <w:rPr>
                <w:sz w:val="20"/>
                <w:szCs w:val="20"/>
                <w:color w:val="auto"/>
              </w:rPr>
            </w:pPr>
            <w:r>
              <w:rPr>
                <w:rFonts w:ascii="Arial" w:cs="Arial" w:eastAsia="Arial" w:hAnsi="Arial"/>
                <w:sz w:val="18"/>
                <w:szCs w:val="18"/>
                <w:color w:val="auto"/>
              </w:rPr>
              <w:t>591</w:t>
            </w:r>
          </w:p>
        </w:tc>
        <w:tc>
          <w:tcPr>
            <w:tcW w:w="540" w:type="dxa"/>
            <w:vAlign w:val="bottom"/>
          </w:tcPr>
          <w:p>
            <w:pPr>
              <w:spacing w:after="0"/>
              <w:rPr>
                <w:sz w:val="24"/>
                <w:szCs w:val="24"/>
                <w:color w:val="auto"/>
              </w:rPr>
            </w:pPr>
          </w:p>
        </w:tc>
        <w:tc>
          <w:tcPr>
            <w:tcW w:w="680" w:type="dxa"/>
            <w:vAlign w:val="bottom"/>
          </w:tcPr>
          <w:p>
            <w:pPr>
              <w:jc w:val="right"/>
              <w:ind w:right="92"/>
              <w:spacing w:after="0"/>
              <w:rPr>
                <w:sz w:val="20"/>
                <w:szCs w:val="20"/>
                <w:color w:val="auto"/>
              </w:rPr>
            </w:pPr>
            <w:r>
              <w:rPr>
                <w:rFonts w:ascii="Arial" w:cs="Arial" w:eastAsia="Arial" w:hAnsi="Arial"/>
                <w:sz w:val="18"/>
                <w:szCs w:val="18"/>
                <w:color w:val="auto"/>
              </w:rPr>
              <w:t>522</w:t>
            </w:r>
          </w:p>
        </w:tc>
      </w:tr>
      <w:tr>
        <w:trPr>
          <w:trHeight w:val="251"/>
        </w:trPr>
        <w:tc>
          <w:tcPr>
            <w:tcW w:w="5460" w:type="dxa"/>
            <w:vAlign w:val="bottom"/>
          </w:tcPr>
          <w:p>
            <w:pPr>
              <w:spacing w:after="0"/>
              <w:rPr>
                <w:sz w:val="21"/>
                <w:szCs w:val="21"/>
                <w:color w:val="auto"/>
              </w:rPr>
            </w:pPr>
          </w:p>
        </w:tc>
        <w:tc>
          <w:tcPr>
            <w:tcW w:w="420" w:type="dxa"/>
            <w:vAlign w:val="bottom"/>
            <w:shd w:val="clear" w:color="auto" w:fill="000000"/>
          </w:tcPr>
          <w:p>
            <w:pPr>
              <w:spacing w:after="0"/>
              <w:rPr>
                <w:sz w:val="21"/>
                <w:szCs w:val="21"/>
                <w:color w:val="auto"/>
              </w:rPr>
            </w:pPr>
          </w:p>
        </w:tc>
        <w:tc>
          <w:tcPr>
            <w:tcW w:w="900" w:type="dxa"/>
            <w:vAlign w:val="bottom"/>
            <w:shd w:val="clear" w:color="auto" w:fill="000000"/>
          </w:tcPr>
          <w:p>
            <w:pPr>
              <w:spacing w:after="0"/>
              <w:rPr>
                <w:sz w:val="21"/>
                <w:szCs w:val="21"/>
                <w:color w:val="auto"/>
              </w:rPr>
            </w:pPr>
          </w:p>
        </w:tc>
        <w:tc>
          <w:tcPr>
            <w:tcW w:w="540" w:type="dxa"/>
            <w:vAlign w:val="bottom"/>
            <w:shd w:val="clear" w:color="auto" w:fill="000000"/>
          </w:tcPr>
          <w:p>
            <w:pPr>
              <w:spacing w:after="0"/>
              <w:rPr>
                <w:sz w:val="21"/>
                <w:szCs w:val="21"/>
                <w:color w:val="auto"/>
              </w:rPr>
            </w:pPr>
          </w:p>
        </w:tc>
        <w:tc>
          <w:tcPr>
            <w:tcW w:w="680" w:type="dxa"/>
            <w:vAlign w:val="bottom"/>
            <w:shd w:val="clear" w:color="auto" w:fill="000000"/>
          </w:tcPr>
          <w:p>
            <w:pPr>
              <w:spacing w:after="0"/>
              <w:rPr>
                <w:sz w:val="21"/>
                <w:szCs w:val="21"/>
                <w:color w:val="auto"/>
              </w:rPr>
            </w:pPr>
          </w:p>
        </w:tc>
      </w:tr>
      <w:tr>
        <w:trPr>
          <w:trHeight w:val="262"/>
        </w:trPr>
        <w:tc>
          <w:tcPr>
            <w:tcW w:w="5460" w:type="dxa"/>
            <w:vAlign w:val="bottom"/>
          </w:tcPr>
          <w:p>
            <w:pPr>
              <w:ind w:left="20"/>
              <w:spacing w:after="0"/>
              <w:rPr>
                <w:sz w:val="20"/>
                <w:szCs w:val="20"/>
                <w:color w:val="auto"/>
              </w:rPr>
            </w:pPr>
            <w:r>
              <w:rPr>
                <w:rFonts w:ascii="Arial" w:cs="Arial" w:eastAsia="Arial" w:hAnsi="Arial"/>
                <w:sz w:val="18"/>
                <w:szCs w:val="18"/>
                <w:color w:val="auto"/>
              </w:rPr>
              <w:t>Total</w:t>
            </w:r>
          </w:p>
        </w:tc>
        <w:tc>
          <w:tcPr>
            <w:tcW w:w="42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312"/>
              <w:spacing w:after="0"/>
              <w:rPr>
                <w:sz w:val="20"/>
                <w:szCs w:val="20"/>
                <w:color w:val="auto"/>
              </w:rPr>
            </w:pPr>
            <w:r>
              <w:rPr>
                <w:rFonts w:ascii="Arial" w:cs="Arial" w:eastAsia="Arial" w:hAnsi="Arial"/>
                <w:sz w:val="18"/>
                <w:szCs w:val="18"/>
                <w:color w:val="auto"/>
              </w:rPr>
              <w:t>584</w:t>
            </w:r>
          </w:p>
        </w:tc>
        <w:tc>
          <w:tcPr>
            <w:tcW w:w="54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92"/>
              <w:spacing w:after="0"/>
              <w:rPr>
                <w:sz w:val="20"/>
                <w:szCs w:val="20"/>
                <w:color w:val="auto"/>
              </w:rPr>
            </w:pPr>
            <w:r>
              <w:rPr>
                <w:rFonts w:ascii="Arial" w:cs="Arial" w:eastAsia="Arial" w:hAnsi="Arial"/>
                <w:sz w:val="18"/>
                <w:szCs w:val="18"/>
                <w:color w:val="auto"/>
              </w:rPr>
              <w:t>537</w:t>
            </w:r>
          </w:p>
        </w:tc>
      </w:tr>
      <w:tr>
        <w:trPr>
          <w:trHeight w:val="251"/>
        </w:trPr>
        <w:tc>
          <w:tcPr>
            <w:tcW w:w="5460" w:type="dxa"/>
            <w:vAlign w:val="bottom"/>
            <w:shd w:val="clear" w:color="auto" w:fill="000000"/>
          </w:tcPr>
          <w:p>
            <w:pPr>
              <w:spacing w:after="0"/>
              <w:rPr>
                <w:sz w:val="21"/>
                <w:szCs w:val="21"/>
                <w:color w:val="auto"/>
              </w:rPr>
            </w:pPr>
          </w:p>
        </w:tc>
        <w:tc>
          <w:tcPr>
            <w:tcW w:w="420" w:type="dxa"/>
            <w:vAlign w:val="bottom"/>
            <w:shd w:val="clear" w:color="auto" w:fill="000000"/>
          </w:tcPr>
          <w:p>
            <w:pPr>
              <w:spacing w:after="0"/>
              <w:rPr>
                <w:sz w:val="21"/>
                <w:szCs w:val="21"/>
                <w:color w:val="auto"/>
              </w:rPr>
            </w:pPr>
          </w:p>
        </w:tc>
        <w:tc>
          <w:tcPr>
            <w:tcW w:w="900" w:type="dxa"/>
            <w:vAlign w:val="bottom"/>
            <w:shd w:val="clear" w:color="auto" w:fill="000000"/>
          </w:tcPr>
          <w:p>
            <w:pPr>
              <w:spacing w:after="0"/>
              <w:rPr>
                <w:sz w:val="21"/>
                <w:szCs w:val="21"/>
                <w:color w:val="auto"/>
              </w:rPr>
            </w:pPr>
          </w:p>
        </w:tc>
        <w:tc>
          <w:tcPr>
            <w:tcW w:w="540" w:type="dxa"/>
            <w:vAlign w:val="bottom"/>
            <w:shd w:val="clear" w:color="auto" w:fill="000000"/>
          </w:tcPr>
          <w:p>
            <w:pPr>
              <w:spacing w:after="0"/>
              <w:rPr>
                <w:sz w:val="21"/>
                <w:szCs w:val="21"/>
                <w:color w:val="auto"/>
              </w:rPr>
            </w:pPr>
          </w:p>
        </w:tc>
        <w:tc>
          <w:tcPr>
            <w:tcW w:w="680" w:type="dxa"/>
            <w:vAlign w:val="bottom"/>
            <w:shd w:val="clear" w:color="auto" w:fill="000000"/>
          </w:tcPr>
          <w:p>
            <w:pPr>
              <w:spacing w:after="0"/>
              <w:rPr>
                <w:sz w:val="21"/>
                <w:szCs w:val="21"/>
                <w:color w:val="auto"/>
              </w:rPr>
            </w:pPr>
          </w:p>
        </w:tc>
      </w:tr>
    </w:tbl>
    <w:p>
      <w:pPr>
        <w:spacing w:after="0" w:line="18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5. EMPLOYEE BENEFIT PLANS</w:t>
      </w:r>
    </w:p>
    <w:p>
      <w:pPr>
        <w:spacing w:after="0" w:line="212" w:lineRule="exact"/>
        <w:rPr>
          <w:sz w:val="20"/>
          <w:szCs w:val="20"/>
          <w:color w:val="auto"/>
        </w:rPr>
      </w:pPr>
    </w:p>
    <w:p>
      <w:pPr>
        <w:spacing w:after="0"/>
        <w:rPr>
          <w:sz w:val="20"/>
          <w:szCs w:val="20"/>
          <w:color w:val="auto"/>
        </w:rPr>
      </w:pPr>
      <w:r>
        <w:rPr>
          <w:rFonts w:ascii="Arial" w:cs="Arial" w:eastAsia="Arial" w:hAnsi="Arial"/>
          <w:sz w:val="19"/>
          <w:szCs w:val="19"/>
          <w:color w:val="auto"/>
        </w:rPr>
        <w:t>The company has funded and unfunded noncontributory defined benefit plans that together cover substantially all of its employees.</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The plans provide defined benefits based on years of service and either final average or career salary.</w:t>
      </w:r>
    </w:p>
    <w:p>
      <w:pPr>
        <w:spacing w:after="0" w:line="188" w:lineRule="exact"/>
        <w:rPr>
          <w:sz w:val="20"/>
          <w:szCs w:val="20"/>
          <w:color w:val="auto"/>
        </w:rPr>
      </w:pPr>
    </w:p>
    <w:p>
      <w:pPr>
        <w:ind w:right="40"/>
        <w:spacing w:after="0" w:line="258" w:lineRule="auto"/>
        <w:rPr>
          <w:sz w:val="20"/>
          <w:szCs w:val="20"/>
          <w:color w:val="auto"/>
        </w:rPr>
      </w:pPr>
      <w:r>
        <w:rPr>
          <w:rFonts w:ascii="Arial" w:cs="Arial" w:eastAsia="Arial" w:hAnsi="Arial"/>
          <w:sz w:val="21"/>
          <w:szCs w:val="21"/>
          <w:color w:val="auto"/>
        </w:rPr>
        <w:t>The company also has other postretirement benefit plans covering substantially all of its employees. The life insurance plans are both contributory and noncontributory, and the health care plans are contributory, with participants' contributions adjusted annually. Other postretirement benefits include medical benefits for retirees' spouses.</w:t>
      </w:r>
    </w:p>
    <w:p>
      <w:pPr>
        <w:spacing w:after="0" w:line="167" w:lineRule="exact"/>
        <w:rPr>
          <w:sz w:val="20"/>
          <w:szCs w:val="20"/>
          <w:color w:val="auto"/>
        </w:rPr>
      </w:pPr>
    </w:p>
    <w:p>
      <w:pPr>
        <w:spacing w:after="0" w:line="287" w:lineRule="auto"/>
        <w:rPr>
          <w:sz w:val="20"/>
          <w:szCs w:val="20"/>
          <w:color w:val="auto"/>
        </w:rPr>
      </w:pPr>
      <w:r>
        <w:rPr>
          <w:rFonts w:ascii="Arial" w:cs="Arial" w:eastAsia="Arial" w:hAnsi="Arial"/>
          <w:sz w:val="19"/>
          <w:szCs w:val="19"/>
          <w:color w:val="auto"/>
        </w:rPr>
        <w:t>Pension and other postretirement benefits costs and obligations are dependent on assumptions used in calculating such amounts. These assumptions include discount rates, expected return on plan assets, rates of compensation increase, health care cost trend rates, mortality rates, and other factors. These assumptions are reviewed on an annual basis prior to the beginning of each year and updated when appropriate. The company considers current market conditions, including interest rates, in making these assumptions.</w:t>
      </w:r>
    </w:p>
    <w:p>
      <w:pPr>
        <w:spacing w:after="0" w:line="143" w:lineRule="exact"/>
        <w:rPr>
          <w:sz w:val="20"/>
          <w:szCs w:val="20"/>
          <w:color w:val="auto"/>
        </w:rPr>
      </w:pPr>
    </w:p>
    <w:p>
      <w:pPr>
        <w:ind w:right="500"/>
        <w:spacing w:after="0" w:line="328" w:lineRule="auto"/>
        <w:rPr>
          <w:sz w:val="20"/>
          <w:szCs w:val="20"/>
          <w:color w:val="auto"/>
        </w:rPr>
      </w:pPr>
      <w:r>
        <w:rPr>
          <w:rFonts w:ascii="Arial" w:cs="Arial" w:eastAsia="Arial" w:hAnsi="Arial"/>
          <w:sz w:val="19"/>
          <w:szCs w:val="19"/>
          <w:color w:val="auto"/>
        </w:rPr>
        <w:t>Effective January 1, 2006 the company's other postretirement benefit plans were amended to integrate the benefits plan design across the California Utilities, resulting in a $52 million increase in the benefit obligation as of December 31, 2005.</w:t>
      </w:r>
    </w:p>
    <w:p>
      <w:pPr>
        <w:sectPr>
          <w:pgSz w:w="11900" w:h="16838" w:orient="portrait"/>
          <w:cols w:equalWidth="0" w:num="1">
            <w:col w:w="11420"/>
          </w:cols>
          <w:pgMar w:left="240" w:top="131" w:right="239" w:bottom="0" w:gutter="0" w:footer="0" w:header="0"/>
        </w:sectPr>
      </w:pPr>
    </w:p>
    <w:bookmarkStart w:id="36" w:name="page37"/>
    <w:bookmarkEnd w:id="36"/>
    <w:p>
      <w:pPr>
        <w:ind w:right="40"/>
        <w:spacing w:after="0" w:line="241" w:lineRule="auto"/>
        <w:rPr>
          <w:sz w:val="20"/>
          <w:szCs w:val="20"/>
          <w:color w:val="auto"/>
        </w:rPr>
      </w:pPr>
      <w:r>
        <w:rPr>
          <w:rFonts w:ascii="Arial" w:cs="Arial" w:eastAsia="Arial" w:hAnsi="Arial"/>
          <w:sz w:val="22"/>
          <w:szCs w:val="22"/>
          <w:color w:val="auto"/>
        </w:rPr>
        <w:t>December 31 is the measurement date for the pension and other postretirement benefit plans. The following table provides a reconciliation of the changes in the plans' projected benefit obligations during the latest two years, and the fair value of assets and a statement of the funded status as of the latest two year ends:</w:t>
      </w:r>
    </w:p>
    <w:p>
      <w:pPr>
        <w:spacing w:after="0" w:line="291" w:lineRule="exact"/>
        <w:rPr>
          <w:sz w:val="20"/>
          <w:szCs w:val="20"/>
          <w:color w:val="auto"/>
        </w:rPr>
      </w:pPr>
    </w:p>
    <w:tbl>
      <w:tblPr>
        <w:tblLayout w:type="fixed"/>
        <w:tblInd w:w="1840" w:type="dxa"/>
        <w:tblCellMar>
          <w:top w:w="0" w:type="dxa"/>
          <w:left w:w="0" w:type="dxa"/>
          <w:bottom w:w="0" w:type="dxa"/>
          <w:right w:w="0" w:type="dxa"/>
        </w:tblCellMar>
      </w:tblPr>
      <w:tr>
        <w:trPr>
          <w:trHeight w:val="216"/>
        </w:trPr>
        <w:tc>
          <w:tcPr>
            <w:tcW w:w="4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Other</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40" w:type="dxa"/>
            <w:vAlign w:val="bottom"/>
            <w:gridSpan w:val="4"/>
          </w:tcPr>
          <w:p>
            <w:pPr>
              <w:jc w:val="right"/>
              <w:ind w:right="500"/>
              <w:spacing w:after="0"/>
              <w:rPr>
                <w:sz w:val="20"/>
                <w:szCs w:val="20"/>
                <w:color w:val="auto"/>
              </w:rPr>
            </w:pPr>
            <w:r>
              <w:rPr>
                <w:rFonts w:ascii="Arial" w:cs="Arial" w:eastAsia="Arial" w:hAnsi="Arial"/>
                <w:sz w:val="18"/>
                <w:szCs w:val="18"/>
                <w:color w:val="auto"/>
                <w:w w:val="90"/>
              </w:rPr>
              <w:t>Pension Benefits</w:t>
            </w:r>
          </w:p>
        </w:tc>
        <w:tc>
          <w:tcPr>
            <w:tcW w:w="1800" w:type="dxa"/>
            <w:vAlign w:val="bottom"/>
            <w:gridSpan w:val="5"/>
          </w:tcPr>
          <w:p>
            <w:pPr>
              <w:ind w:left="20"/>
              <w:spacing w:after="0"/>
              <w:rPr>
                <w:sz w:val="20"/>
                <w:szCs w:val="20"/>
                <w:color w:val="auto"/>
              </w:rPr>
            </w:pPr>
            <w:r>
              <w:rPr>
                <w:rFonts w:ascii="Arial" w:cs="Arial" w:eastAsia="Arial" w:hAnsi="Arial"/>
                <w:sz w:val="18"/>
                <w:szCs w:val="18"/>
                <w:color w:val="auto"/>
                <w:w w:val="94"/>
              </w:rPr>
              <w:t>Postretirement Benefits</w:t>
            </w:r>
          </w:p>
        </w:tc>
        <w:tc>
          <w:tcPr>
            <w:tcW w:w="0" w:type="dxa"/>
            <w:vAlign w:val="bottom"/>
          </w:tcPr>
          <w:p>
            <w:pPr>
              <w:spacing w:after="0"/>
              <w:rPr>
                <w:sz w:val="1"/>
                <w:szCs w:val="1"/>
                <w:color w:val="auto"/>
              </w:rPr>
            </w:pPr>
          </w:p>
        </w:tc>
      </w:tr>
      <w:tr>
        <w:trPr>
          <w:trHeight w:val="251"/>
        </w:trPr>
        <w:tc>
          <w:tcPr>
            <w:tcW w:w="4040" w:type="dxa"/>
            <w:vAlign w:val="bottom"/>
          </w:tcPr>
          <w:p>
            <w:pPr>
              <w:spacing w:after="0"/>
              <w:rPr>
                <w:sz w:val="21"/>
                <w:szCs w:val="21"/>
                <w:color w:val="auto"/>
              </w:rPr>
            </w:pPr>
          </w:p>
        </w:tc>
        <w:tc>
          <w:tcPr>
            <w:tcW w:w="200" w:type="dxa"/>
            <w:vAlign w:val="bottom"/>
            <w:shd w:val="clear" w:color="auto" w:fill="000000"/>
          </w:tcPr>
          <w:p>
            <w:pPr>
              <w:spacing w:after="0"/>
              <w:rPr>
                <w:sz w:val="21"/>
                <w:szCs w:val="21"/>
                <w:color w:val="auto"/>
              </w:rPr>
            </w:pPr>
          </w:p>
        </w:tc>
        <w:tc>
          <w:tcPr>
            <w:tcW w:w="720" w:type="dxa"/>
            <w:vAlign w:val="bottom"/>
            <w:shd w:val="clear" w:color="auto" w:fill="000000"/>
          </w:tcPr>
          <w:p>
            <w:pPr>
              <w:spacing w:after="0"/>
              <w:rPr>
                <w:sz w:val="21"/>
                <w:szCs w:val="21"/>
                <w:color w:val="auto"/>
              </w:rPr>
            </w:pPr>
          </w:p>
        </w:tc>
        <w:tc>
          <w:tcPr>
            <w:tcW w:w="220" w:type="dxa"/>
            <w:vAlign w:val="bottom"/>
            <w:shd w:val="clear" w:color="auto" w:fill="000000"/>
          </w:tcPr>
          <w:p>
            <w:pPr>
              <w:spacing w:after="0"/>
              <w:rPr>
                <w:sz w:val="21"/>
                <w:szCs w:val="21"/>
                <w:color w:val="auto"/>
              </w:rPr>
            </w:pPr>
          </w:p>
        </w:tc>
        <w:tc>
          <w:tcPr>
            <w:tcW w:w="580" w:type="dxa"/>
            <w:vAlign w:val="bottom"/>
            <w:shd w:val="clear" w:color="auto" w:fill="000000"/>
          </w:tcPr>
          <w:p>
            <w:pPr>
              <w:spacing w:after="0"/>
              <w:rPr>
                <w:sz w:val="21"/>
                <w:szCs w:val="21"/>
                <w:color w:val="auto"/>
              </w:rPr>
            </w:pPr>
          </w:p>
        </w:tc>
        <w:tc>
          <w:tcPr>
            <w:tcW w:w="220" w:type="dxa"/>
            <w:vAlign w:val="bottom"/>
          </w:tcPr>
          <w:p>
            <w:pPr>
              <w:spacing w:after="0"/>
              <w:rPr>
                <w:sz w:val="21"/>
                <w:szCs w:val="21"/>
                <w:color w:val="auto"/>
              </w:rPr>
            </w:pPr>
          </w:p>
        </w:tc>
        <w:tc>
          <w:tcPr>
            <w:tcW w:w="200" w:type="dxa"/>
            <w:vAlign w:val="bottom"/>
            <w:shd w:val="clear" w:color="auto" w:fill="000000"/>
          </w:tcPr>
          <w:p>
            <w:pPr>
              <w:spacing w:after="0"/>
              <w:rPr>
                <w:sz w:val="21"/>
                <w:szCs w:val="21"/>
                <w:color w:val="auto"/>
              </w:rPr>
            </w:pPr>
          </w:p>
        </w:tc>
        <w:tc>
          <w:tcPr>
            <w:tcW w:w="700" w:type="dxa"/>
            <w:vAlign w:val="bottom"/>
            <w:shd w:val="clear" w:color="auto" w:fill="000000"/>
          </w:tcPr>
          <w:p>
            <w:pPr>
              <w:spacing w:after="0"/>
              <w:rPr>
                <w:sz w:val="21"/>
                <w:szCs w:val="21"/>
                <w:color w:val="auto"/>
              </w:rPr>
            </w:pPr>
          </w:p>
        </w:tc>
        <w:tc>
          <w:tcPr>
            <w:tcW w:w="220" w:type="dxa"/>
            <w:vAlign w:val="bottom"/>
            <w:shd w:val="clear" w:color="auto" w:fill="000000"/>
          </w:tcPr>
          <w:p>
            <w:pPr>
              <w:spacing w:after="0"/>
              <w:rPr>
                <w:sz w:val="21"/>
                <w:szCs w:val="21"/>
                <w:color w:val="auto"/>
              </w:rPr>
            </w:pPr>
          </w:p>
        </w:tc>
        <w:tc>
          <w:tcPr>
            <w:tcW w:w="580" w:type="dxa"/>
            <w:vAlign w:val="bottom"/>
            <w:shd w:val="clear" w:color="auto" w:fill="000000"/>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2"/>
        </w:trPr>
        <w:tc>
          <w:tcPr>
            <w:tcW w:w="4040" w:type="dxa"/>
            <w:vAlign w:val="bottom"/>
          </w:tcPr>
          <w:p>
            <w:pPr>
              <w:spacing w:after="0"/>
              <w:rPr>
                <w:sz w:val="20"/>
                <w:szCs w:val="20"/>
                <w:color w:val="auto"/>
              </w:rPr>
            </w:pPr>
            <w:r>
              <w:rPr>
                <w:rFonts w:ascii="Arial" w:cs="Arial" w:eastAsia="Arial" w:hAnsi="Arial"/>
                <w:sz w:val="18"/>
                <w:szCs w:val="18"/>
                <w:color w:val="auto"/>
              </w:rPr>
              <w:t>(Dollars in millions)</w:t>
            </w:r>
          </w:p>
        </w:tc>
        <w:tc>
          <w:tcPr>
            <w:tcW w:w="200" w:type="dxa"/>
            <w:vAlign w:val="bottom"/>
          </w:tcPr>
          <w:p>
            <w:pPr>
              <w:spacing w:after="0"/>
              <w:rPr>
                <w:sz w:val="22"/>
                <w:szCs w:val="22"/>
                <w:color w:val="auto"/>
              </w:rPr>
            </w:pPr>
          </w:p>
        </w:tc>
        <w:tc>
          <w:tcPr>
            <w:tcW w:w="720" w:type="dxa"/>
            <w:vAlign w:val="bottom"/>
          </w:tcPr>
          <w:p>
            <w:pPr>
              <w:jc w:val="right"/>
              <w:ind w:right="172"/>
              <w:spacing w:after="0"/>
              <w:rPr>
                <w:sz w:val="20"/>
                <w:szCs w:val="20"/>
                <w:color w:val="auto"/>
              </w:rPr>
            </w:pPr>
            <w:r>
              <w:rPr>
                <w:rFonts w:ascii="Arial" w:cs="Arial" w:eastAsia="Arial" w:hAnsi="Arial"/>
                <w:sz w:val="18"/>
                <w:szCs w:val="18"/>
                <w:color w:val="auto"/>
              </w:rPr>
              <w:t>2005</w:t>
            </w:r>
          </w:p>
        </w:tc>
        <w:tc>
          <w:tcPr>
            <w:tcW w:w="220" w:type="dxa"/>
            <w:vAlign w:val="bottom"/>
          </w:tcPr>
          <w:p>
            <w:pPr>
              <w:spacing w:after="0"/>
              <w:rPr>
                <w:sz w:val="22"/>
                <w:szCs w:val="22"/>
                <w:color w:val="auto"/>
              </w:rPr>
            </w:pPr>
          </w:p>
        </w:tc>
        <w:tc>
          <w:tcPr>
            <w:tcW w:w="580" w:type="dxa"/>
            <w:vAlign w:val="bottom"/>
          </w:tcPr>
          <w:p>
            <w:pPr>
              <w:jc w:val="right"/>
              <w:ind w:right="52"/>
              <w:spacing w:after="0"/>
              <w:rPr>
                <w:sz w:val="20"/>
                <w:szCs w:val="20"/>
                <w:color w:val="auto"/>
              </w:rPr>
            </w:pPr>
            <w:r>
              <w:rPr>
                <w:rFonts w:ascii="Arial" w:cs="Arial" w:eastAsia="Arial" w:hAnsi="Arial"/>
                <w:sz w:val="18"/>
                <w:szCs w:val="18"/>
                <w:color w:val="auto"/>
              </w:rPr>
              <w:t>2004</w:t>
            </w:r>
          </w:p>
        </w:tc>
        <w:tc>
          <w:tcPr>
            <w:tcW w:w="2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jc w:val="right"/>
              <w:ind w:right="172"/>
              <w:spacing w:after="0"/>
              <w:rPr>
                <w:sz w:val="20"/>
                <w:szCs w:val="20"/>
                <w:color w:val="auto"/>
              </w:rPr>
            </w:pPr>
            <w:r>
              <w:rPr>
                <w:rFonts w:ascii="Arial" w:cs="Arial" w:eastAsia="Arial" w:hAnsi="Arial"/>
                <w:sz w:val="18"/>
                <w:szCs w:val="18"/>
                <w:color w:val="auto"/>
              </w:rPr>
              <w:t>2005</w:t>
            </w:r>
          </w:p>
        </w:tc>
        <w:tc>
          <w:tcPr>
            <w:tcW w:w="220" w:type="dxa"/>
            <w:vAlign w:val="bottom"/>
          </w:tcPr>
          <w:p>
            <w:pPr>
              <w:spacing w:after="0"/>
              <w:rPr>
                <w:sz w:val="22"/>
                <w:szCs w:val="22"/>
                <w:color w:val="auto"/>
              </w:rPr>
            </w:pPr>
          </w:p>
        </w:tc>
        <w:tc>
          <w:tcPr>
            <w:tcW w:w="580" w:type="dxa"/>
            <w:vAlign w:val="bottom"/>
          </w:tcPr>
          <w:p>
            <w:pPr>
              <w:jc w:val="right"/>
              <w:ind w:right="52"/>
              <w:spacing w:after="0"/>
              <w:rPr>
                <w:sz w:val="20"/>
                <w:szCs w:val="20"/>
                <w:color w:val="auto"/>
              </w:rPr>
            </w:pPr>
            <w:r>
              <w:rPr>
                <w:rFonts w:ascii="Arial" w:cs="Arial" w:eastAsia="Arial" w:hAnsi="Arial"/>
                <w:sz w:val="18"/>
                <w:szCs w:val="18"/>
                <w:color w:val="auto"/>
              </w:rPr>
              <w:t>2004</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1"/>
        </w:trPr>
        <w:tc>
          <w:tcPr>
            <w:tcW w:w="4040" w:type="dxa"/>
            <w:vAlign w:val="bottom"/>
            <w:shd w:val="clear" w:color="auto" w:fill="000000"/>
          </w:tcPr>
          <w:p>
            <w:pPr>
              <w:spacing w:after="0"/>
              <w:rPr>
                <w:sz w:val="21"/>
                <w:szCs w:val="21"/>
                <w:color w:val="auto"/>
              </w:rPr>
            </w:pPr>
          </w:p>
        </w:tc>
        <w:tc>
          <w:tcPr>
            <w:tcW w:w="200" w:type="dxa"/>
            <w:vAlign w:val="bottom"/>
            <w:shd w:val="clear" w:color="auto" w:fill="000000"/>
          </w:tcPr>
          <w:p>
            <w:pPr>
              <w:spacing w:after="0"/>
              <w:rPr>
                <w:sz w:val="21"/>
                <w:szCs w:val="21"/>
                <w:color w:val="auto"/>
              </w:rPr>
            </w:pPr>
          </w:p>
        </w:tc>
        <w:tc>
          <w:tcPr>
            <w:tcW w:w="720" w:type="dxa"/>
            <w:vAlign w:val="bottom"/>
            <w:shd w:val="clear" w:color="auto" w:fill="000000"/>
          </w:tcPr>
          <w:p>
            <w:pPr>
              <w:spacing w:after="0"/>
              <w:rPr>
                <w:sz w:val="21"/>
                <w:szCs w:val="21"/>
                <w:color w:val="auto"/>
              </w:rPr>
            </w:pPr>
          </w:p>
        </w:tc>
        <w:tc>
          <w:tcPr>
            <w:tcW w:w="220" w:type="dxa"/>
            <w:vAlign w:val="bottom"/>
            <w:shd w:val="clear" w:color="auto" w:fill="000000"/>
          </w:tcPr>
          <w:p>
            <w:pPr>
              <w:spacing w:after="0"/>
              <w:rPr>
                <w:sz w:val="21"/>
                <w:szCs w:val="21"/>
                <w:color w:val="auto"/>
              </w:rPr>
            </w:pPr>
          </w:p>
        </w:tc>
        <w:tc>
          <w:tcPr>
            <w:tcW w:w="580" w:type="dxa"/>
            <w:vAlign w:val="bottom"/>
            <w:shd w:val="clear" w:color="auto" w:fill="000000"/>
          </w:tcPr>
          <w:p>
            <w:pPr>
              <w:spacing w:after="0"/>
              <w:rPr>
                <w:sz w:val="21"/>
                <w:szCs w:val="21"/>
                <w:color w:val="auto"/>
              </w:rPr>
            </w:pPr>
          </w:p>
        </w:tc>
        <w:tc>
          <w:tcPr>
            <w:tcW w:w="220" w:type="dxa"/>
            <w:vAlign w:val="bottom"/>
            <w:shd w:val="clear" w:color="auto" w:fill="000000"/>
          </w:tcPr>
          <w:p>
            <w:pPr>
              <w:spacing w:after="0"/>
              <w:rPr>
                <w:sz w:val="21"/>
                <w:szCs w:val="21"/>
                <w:color w:val="auto"/>
              </w:rPr>
            </w:pPr>
          </w:p>
        </w:tc>
        <w:tc>
          <w:tcPr>
            <w:tcW w:w="200" w:type="dxa"/>
            <w:vAlign w:val="bottom"/>
            <w:shd w:val="clear" w:color="auto" w:fill="000000"/>
          </w:tcPr>
          <w:p>
            <w:pPr>
              <w:spacing w:after="0"/>
              <w:rPr>
                <w:sz w:val="21"/>
                <w:szCs w:val="21"/>
                <w:color w:val="auto"/>
              </w:rPr>
            </w:pPr>
          </w:p>
        </w:tc>
        <w:tc>
          <w:tcPr>
            <w:tcW w:w="700" w:type="dxa"/>
            <w:vAlign w:val="bottom"/>
            <w:shd w:val="clear" w:color="auto" w:fill="000000"/>
          </w:tcPr>
          <w:p>
            <w:pPr>
              <w:spacing w:after="0"/>
              <w:rPr>
                <w:sz w:val="21"/>
                <w:szCs w:val="21"/>
                <w:color w:val="auto"/>
              </w:rPr>
            </w:pPr>
          </w:p>
        </w:tc>
        <w:tc>
          <w:tcPr>
            <w:tcW w:w="220" w:type="dxa"/>
            <w:vAlign w:val="bottom"/>
            <w:shd w:val="clear" w:color="auto" w:fill="000000"/>
          </w:tcPr>
          <w:p>
            <w:pPr>
              <w:spacing w:after="0"/>
              <w:rPr>
                <w:sz w:val="21"/>
                <w:szCs w:val="21"/>
                <w:color w:val="auto"/>
              </w:rPr>
            </w:pPr>
          </w:p>
        </w:tc>
        <w:tc>
          <w:tcPr>
            <w:tcW w:w="580" w:type="dxa"/>
            <w:vAlign w:val="bottom"/>
            <w:shd w:val="clear" w:color="auto" w:fill="000000"/>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4040" w:type="dxa"/>
            <w:vAlign w:val="bottom"/>
          </w:tcPr>
          <w:p>
            <w:pPr>
              <w:spacing w:after="0"/>
              <w:rPr>
                <w:sz w:val="20"/>
                <w:szCs w:val="20"/>
                <w:color w:val="auto"/>
              </w:rPr>
            </w:pPr>
            <w:r>
              <w:rPr>
                <w:rFonts w:ascii="Arial" w:cs="Arial" w:eastAsia="Arial" w:hAnsi="Arial"/>
                <w:sz w:val="18"/>
                <w:szCs w:val="18"/>
                <w:color w:val="auto"/>
                <w:w w:val="96"/>
              </w:rPr>
              <w:t>CHANGE IN PROJECTED BENEFIT OBLIGATION:</w:t>
            </w:r>
          </w:p>
        </w:tc>
        <w:tc>
          <w:tcPr>
            <w:tcW w:w="2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4040" w:type="dxa"/>
            <w:vAlign w:val="bottom"/>
          </w:tcPr>
          <w:p>
            <w:pPr>
              <w:spacing w:after="0"/>
              <w:rPr>
                <w:sz w:val="20"/>
                <w:szCs w:val="20"/>
                <w:color w:val="auto"/>
              </w:rPr>
            </w:pPr>
            <w:r>
              <w:rPr>
                <w:rFonts w:ascii="Arial" w:cs="Arial" w:eastAsia="Arial" w:hAnsi="Arial"/>
                <w:sz w:val="18"/>
                <w:szCs w:val="18"/>
                <w:color w:val="auto"/>
              </w:rPr>
              <w:t>Net obligation at January 1</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ind w:right="52"/>
              <w:spacing w:after="0"/>
              <w:rPr>
                <w:sz w:val="20"/>
                <w:szCs w:val="20"/>
                <w:color w:val="auto"/>
              </w:rPr>
            </w:pPr>
            <w:r>
              <w:rPr>
                <w:rFonts w:ascii="Arial" w:cs="Arial" w:eastAsia="Arial" w:hAnsi="Arial"/>
                <w:sz w:val="18"/>
                <w:szCs w:val="18"/>
                <w:color w:val="auto"/>
              </w:rPr>
              <w:t>719</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662</w:t>
            </w:r>
          </w:p>
        </w:tc>
        <w:tc>
          <w:tcPr>
            <w:tcW w:w="220" w:type="dxa"/>
            <w:vAlign w:val="bottom"/>
          </w:tcPr>
          <w:p>
            <w:pPr>
              <w:spacing w:after="0"/>
              <w:rPr>
                <w:sz w:val="23"/>
                <w:szCs w:val="23"/>
                <w:color w:val="auto"/>
              </w:rPr>
            </w:pPr>
          </w:p>
        </w:tc>
        <w:tc>
          <w:tcPr>
            <w:tcW w:w="200" w:type="dxa"/>
            <w:vAlign w:val="bottom"/>
          </w:tcPr>
          <w:p>
            <w:pPr>
              <w:ind w:left="40"/>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52"/>
              <w:spacing w:after="0"/>
              <w:rPr>
                <w:sz w:val="20"/>
                <w:szCs w:val="20"/>
                <w:color w:val="auto"/>
              </w:rPr>
            </w:pPr>
            <w:r>
              <w:rPr>
                <w:rFonts w:ascii="Arial" w:cs="Arial" w:eastAsia="Arial" w:hAnsi="Arial"/>
                <w:sz w:val="18"/>
                <w:szCs w:val="18"/>
                <w:color w:val="auto"/>
              </w:rPr>
              <w:t>85</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76</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040" w:type="dxa"/>
            <w:vAlign w:val="bottom"/>
          </w:tcPr>
          <w:p>
            <w:pPr>
              <w:spacing w:after="0"/>
              <w:rPr>
                <w:sz w:val="20"/>
                <w:szCs w:val="20"/>
                <w:color w:val="auto"/>
              </w:rPr>
            </w:pPr>
            <w:r>
              <w:rPr>
                <w:rFonts w:ascii="Arial" w:cs="Arial" w:eastAsia="Arial" w:hAnsi="Arial"/>
                <w:sz w:val="18"/>
                <w:szCs w:val="18"/>
                <w:color w:val="auto"/>
              </w:rPr>
              <w:t>Service cost</w:t>
            </w:r>
          </w:p>
        </w:tc>
        <w:tc>
          <w:tcPr>
            <w:tcW w:w="200" w:type="dxa"/>
            <w:vAlign w:val="bottom"/>
          </w:tcPr>
          <w:p>
            <w:pPr>
              <w:spacing w:after="0"/>
              <w:rPr>
                <w:sz w:val="23"/>
                <w:szCs w:val="23"/>
                <w:color w:val="auto"/>
              </w:rPr>
            </w:pPr>
          </w:p>
        </w:tc>
        <w:tc>
          <w:tcPr>
            <w:tcW w:w="720" w:type="dxa"/>
            <w:vAlign w:val="bottom"/>
          </w:tcPr>
          <w:p>
            <w:pPr>
              <w:jc w:val="right"/>
              <w:ind w:right="52"/>
              <w:spacing w:after="0"/>
              <w:rPr>
                <w:sz w:val="20"/>
                <w:szCs w:val="20"/>
                <w:color w:val="auto"/>
              </w:rPr>
            </w:pPr>
            <w:r>
              <w:rPr>
                <w:rFonts w:ascii="Arial" w:cs="Arial" w:eastAsia="Arial" w:hAnsi="Arial"/>
                <w:sz w:val="18"/>
                <w:szCs w:val="18"/>
                <w:color w:val="auto"/>
              </w:rPr>
              <w:t>10</w:t>
            </w:r>
          </w:p>
        </w:tc>
        <w:tc>
          <w:tcPr>
            <w:tcW w:w="22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w:t>
            </w:r>
          </w:p>
        </w:tc>
        <w:tc>
          <w:tcPr>
            <w:tcW w:w="2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jc w:val="right"/>
              <w:ind w:right="52"/>
              <w:spacing w:after="0"/>
              <w:rPr>
                <w:sz w:val="20"/>
                <w:szCs w:val="20"/>
                <w:color w:val="auto"/>
              </w:rPr>
            </w:pPr>
            <w:r>
              <w:rPr>
                <w:rFonts w:ascii="Arial" w:cs="Arial" w:eastAsia="Arial" w:hAnsi="Arial"/>
                <w:sz w:val="18"/>
                <w:szCs w:val="18"/>
                <w:color w:val="auto"/>
              </w:rPr>
              <w:t>3</w:t>
            </w:r>
          </w:p>
        </w:tc>
        <w:tc>
          <w:tcPr>
            <w:tcW w:w="22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040" w:type="dxa"/>
            <w:vAlign w:val="bottom"/>
          </w:tcPr>
          <w:p>
            <w:pPr>
              <w:spacing w:after="0"/>
              <w:rPr>
                <w:sz w:val="20"/>
                <w:szCs w:val="20"/>
                <w:color w:val="auto"/>
              </w:rPr>
            </w:pPr>
            <w:r>
              <w:rPr>
                <w:rFonts w:ascii="Arial" w:cs="Arial" w:eastAsia="Arial" w:hAnsi="Arial"/>
                <w:sz w:val="18"/>
                <w:szCs w:val="18"/>
                <w:color w:val="auto"/>
              </w:rPr>
              <w:t>Interest cost</w:t>
            </w:r>
          </w:p>
        </w:tc>
        <w:tc>
          <w:tcPr>
            <w:tcW w:w="200" w:type="dxa"/>
            <w:vAlign w:val="bottom"/>
          </w:tcPr>
          <w:p>
            <w:pPr>
              <w:spacing w:after="0"/>
              <w:rPr>
                <w:sz w:val="23"/>
                <w:szCs w:val="23"/>
                <w:color w:val="auto"/>
              </w:rPr>
            </w:pPr>
          </w:p>
        </w:tc>
        <w:tc>
          <w:tcPr>
            <w:tcW w:w="720" w:type="dxa"/>
            <w:vAlign w:val="bottom"/>
          </w:tcPr>
          <w:p>
            <w:pPr>
              <w:jc w:val="right"/>
              <w:ind w:right="52"/>
              <w:spacing w:after="0"/>
              <w:rPr>
                <w:sz w:val="20"/>
                <w:szCs w:val="20"/>
                <w:color w:val="auto"/>
              </w:rPr>
            </w:pPr>
            <w:r>
              <w:rPr>
                <w:rFonts w:ascii="Arial" w:cs="Arial" w:eastAsia="Arial" w:hAnsi="Arial"/>
                <w:sz w:val="18"/>
                <w:szCs w:val="18"/>
                <w:color w:val="auto"/>
              </w:rPr>
              <w:t>42</w:t>
            </w:r>
          </w:p>
        </w:tc>
        <w:tc>
          <w:tcPr>
            <w:tcW w:w="22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41</w:t>
            </w:r>
          </w:p>
        </w:tc>
        <w:tc>
          <w:tcPr>
            <w:tcW w:w="2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jc w:val="right"/>
              <w:ind w:right="52"/>
              <w:spacing w:after="0"/>
              <w:rPr>
                <w:sz w:val="20"/>
                <w:szCs w:val="20"/>
                <w:color w:val="auto"/>
              </w:rPr>
            </w:pPr>
            <w:r>
              <w:rPr>
                <w:rFonts w:ascii="Arial" w:cs="Arial" w:eastAsia="Arial" w:hAnsi="Arial"/>
                <w:sz w:val="18"/>
                <w:szCs w:val="18"/>
                <w:color w:val="auto"/>
              </w:rPr>
              <w:t>5</w:t>
            </w:r>
          </w:p>
        </w:tc>
        <w:tc>
          <w:tcPr>
            <w:tcW w:w="22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040" w:type="dxa"/>
            <w:vAlign w:val="bottom"/>
          </w:tcPr>
          <w:p>
            <w:pPr>
              <w:spacing w:after="0"/>
              <w:rPr>
                <w:sz w:val="20"/>
                <w:szCs w:val="20"/>
                <w:color w:val="auto"/>
              </w:rPr>
            </w:pPr>
            <w:r>
              <w:rPr>
                <w:rFonts w:ascii="Arial" w:cs="Arial" w:eastAsia="Arial" w:hAnsi="Arial"/>
                <w:sz w:val="18"/>
                <w:szCs w:val="18"/>
                <w:color w:val="auto"/>
              </w:rPr>
              <w:t>Plan amendments</w:t>
            </w:r>
          </w:p>
        </w:tc>
        <w:tc>
          <w:tcPr>
            <w:tcW w:w="200" w:type="dxa"/>
            <w:vAlign w:val="bottom"/>
          </w:tcPr>
          <w:p>
            <w:pPr>
              <w:spacing w:after="0"/>
              <w:rPr>
                <w:sz w:val="23"/>
                <w:szCs w:val="23"/>
                <w:color w:val="auto"/>
              </w:rPr>
            </w:pPr>
          </w:p>
        </w:tc>
        <w:tc>
          <w:tcPr>
            <w:tcW w:w="72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jc w:val="right"/>
              <w:ind w:right="52"/>
              <w:spacing w:after="0"/>
              <w:rPr>
                <w:sz w:val="20"/>
                <w:szCs w:val="20"/>
                <w:color w:val="auto"/>
              </w:rPr>
            </w:pPr>
            <w:r>
              <w:rPr>
                <w:rFonts w:ascii="Arial" w:cs="Arial" w:eastAsia="Arial" w:hAnsi="Arial"/>
                <w:sz w:val="18"/>
                <w:szCs w:val="18"/>
                <w:color w:val="auto"/>
              </w:rPr>
              <w:t>52</w:t>
            </w:r>
          </w:p>
        </w:tc>
        <w:tc>
          <w:tcPr>
            <w:tcW w:w="22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040" w:type="dxa"/>
            <w:vAlign w:val="bottom"/>
          </w:tcPr>
          <w:p>
            <w:pPr>
              <w:spacing w:after="0"/>
              <w:rPr>
                <w:sz w:val="20"/>
                <w:szCs w:val="20"/>
                <w:color w:val="auto"/>
              </w:rPr>
            </w:pPr>
            <w:r>
              <w:rPr>
                <w:rFonts w:ascii="Arial" w:cs="Arial" w:eastAsia="Arial" w:hAnsi="Arial"/>
                <w:sz w:val="18"/>
                <w:szCs w:val="18"/>
                <w:color w:val="auto"/>
              </w:rPr>
              <w:t>Actuarial loss (gain)</w:t>
            </w:r>
          </w:p>
        </w:tc>
        <w:tc>
          <w:tcPr>
            <w:tcW w:w="200" w:type="dxa"/>
            <w:vAlign w:val="bottom"/>
          </w:tcPr>
          <w:p>
            <w:pPr>
              <w:spacing w:after="0"/>
              <w:rPr>
                <w:sz w:val="23"/>
                <w:szCs w:val="23"/>
                <w:color w:val="auto"/>
              </w:rPr>
            </w:pPr>
          </w:p>
        </w:tc>
        <w:tc>
          <w:tcPr>
            <w:tcW w:w="720" w:type="dxa"/>
            <w:vAlign w:val="bottom"/>
          </w:tcPr>
          <w:p>
            <w:pPr>
              <w:jc w:val="right"/>
              <w:ind w:right="52"/>
              <w:spacing w:after="0"/>
              <w:rPr>
                <w:sz w:val="20"/>
                <w:szCs w:val="20"/>
                <w:color w:val="auto"/>
              </w:rPr>
            </w:pPr>
            <w:r>
              <w:rPr>
                <w:rFonts w:ascii="Arial" w:cs="Arial" w:eastAsia="Arial" w:hAnsi="Arial"/>
                <w:sz w:val="18"/>
                <w:szCs w:val="18"/>
                <w:color w:val="auto"/>
              </w:rPr>
              <w:t>33</w:t>
            </w:r>
          </w:p>
        </w:tc>
        <w:tc>
          <w:tcPr>
            <w:tcW w:w="22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40</w:t>
            </w:r>
          </w:p>
        </w:tc>
        <w:tc>
          <w:tcPr>
            <w:tcW w:w="2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(19 )</w:t>
            </w:r>
          </w:p>
        </w:tc>
        <w:tc>
          <w:tcPr>
            <w:tcW w:w="22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040" w:type="dxa"/>
            <w:vAlign w:val="bottom"/>
          </w:tcPr>
          <w:p>
            <w:pPr>
              <w:spacing w:after="0"/>
              <w:rPr>
                <w:sz w:val="20"/>
                <w:szCs w:val="20"/>
                <w:color w:val="auto"/>
              </w:rPr>
            </w:pPr>
            <w:r>
              <w:rPr>
                <w:rFonts w:ascii="Arial" w:cs="Arial" w:eastAsia="Arial" w:hAnsi="Arial"/>
                <w:sz w:val="18"/>
                <w:szCs w:val="18"/>
                <w:color w:val="auto"/>
              </w:rPr>
              <w:t>Transfer of liability from Sempra Energy</w:t>
            </w:r>
          </w:p>
        </w:tc>
        <w:tc>
          <w:tcPr>
            <w:tcW w:w="200" w:type="dxa"/>
            <w:vAlign w:val="bottom"/>
          </w:tcPr>
          <w:p>
            <w:pPr>
              <w:spacing w:after="0"/>
              <w:rPr>
                <w:sz w:val="23"/>
                <w:szCs w:val="23"/>
                <w:color w:val="auto"/>
              </w:rPr>
            </w:pPr>
          </w:p>
        </w:tc>
        <w:tc>
          <w:tcPr>
            <w:tcW w:w="720" w:type="dxa"/>
            <w:vAlign w:val="bottom"/>
          </w:tcPr>
          <w:p>
            <w:pPr>
              <w:jc w:val="right"/>
              <w:ind w:right="52"/>
              <w:spacing w:after="0"/>
              <w:rPr>
                <w:sz w:val="20"/>
                <w:szCs w:val="20"/>
                <w:color w:val="auto"/>
              </w:rPr>
            </w:pPr>
            <w:r>
              <w:rPr>
                <w:rFonts w:ascii="Arial" w:cs="Arial" w:eastAsia="Arial" w:hAnsi="Arial"/>
                <w:sz w:val="18"/>
                <w:szCs w:val="18"/>
                <w:color w:val="auto"/>
              </w:rPr>
              <w:t>35</w:t>
            </w:r>
          </w:p>
        </w:tc>
        <w:tc>
          <w:tcPr>
            <w:tcW w:w="22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28</w:t>
            </w:r>
          </w:p>
        </w:tc>
        <w:tc>
          <w:tcPr>
            <w:tcW w:w="2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jc w:val="right"/>
              <w:ind w:right="52"/>
              <w:spacing w:after="0"/>
              <w:rPr>
                <w:sz w:val="20"/>
                <w:szCs w:val="20"/>
                <w:color w:val="auto"/>
              </w:rPr>
            </w:pPr>
            <w:r>
              <w:rPr>
                <w:rFonts w:ascii="Arial" w:cs="Arial" w:eastAsia="Arial" w:hAnsi="Arial"/>
                <w:sz w:val="18"/>
                <w:szCs w:val="18"/>
                <w:color w:val="auto"/>
              </w:rPr>
              <w:t>2</w:t>
            </w:r>
          </w:p>
        </w:tc>
        <w:tc>
          <w:tcPr>
            <w:tcW w:w="22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8"/>
        </w:trPr>
        <w:tc>
          <w:tcPr>
            <w:tcW w:w="4040" w:type="dxa"/>
            <w:vAlign w:val="bottom"/>
          </w:tcPr>
          <w:p>
            <w:pPr>
              <w:spacing w:after="0"/>
              <w:rPr>
                <w:sz w:val="20"/>
                <w:szCs w:val="20"/>
                <w:color w:val="auto"/>
              </w:rPr>
            </w:pPr>
            <w:r>
              <w:rPr>
                <w:rFonts w:ascii="Arial" w:cs="Arial" w:eastAsia="Arial" w:hAnsi="Arial"/>
                <w:sz w:val="18"/>
                <w:szCs w:val="18"/>
                <w:color w:val="auto"/>
              </w:rPr>
              <w:t>Benefit payments</w:t>
            </w:r>
          </w:p>
        </w:tc>
        <w:tc>
          <w:tcPr>
            <w:tcW w:w="20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(52 )</w:t>
            </w:r>
          </w:p>
        </w:tc>
        <w:tc>
          <w:tcPr>
            <w:tcW w:w="220" w:type="dxa"/>
            <w:vAlign w:val="bottom"/>
          </w:tcPr>
          <w:p>
            <w:pPr>
              <w:spacing w:after="0"/>
              <w:rPr>
                <w:sz w:val="24"/>
                <w:szCs w:val="24"/>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(61 )</w:t>
            </w:r>
          </w:p>
        </w:tc>
        <w:tc>
          <w:tcPr>
            <w:tcW w:w="2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(4 )</w:t>
            </w:r>
          </w:p>
        </w:tc>
        <w:tc>
          <w:tcPr>
            <w:tcW w:w="220" w:type="dxa"/>
            <w:vAlign w:val="bottom"/>
          </w:tcPr>
          <w:p>
            <w:pPr>
              <w:spacing w:after="0"/>
              <w:rPr>
                <w:sz w:val="24"/>
                <w:szCs w:val="24"/>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(5 )</w:t>
            </w:r>
          </w:p>
        </w:tc>
        <w:tc>
          <w:tcPr>
            <w:tcW w:w="0" w:type="dxa"/>
            <w:vAlign w:val="bottom"/>
          </w:tcPr>
          <w:p>
            <w:pPr>
              <w:spacing w:after="0"/>
              <w:rPr>
                <w:sz w:val="1"/>
                <w:szCs w:val="1"/>
                <w:color w:val="auto"/>
              </w:rPr>
            </w:pPr>
          </w:p>
        </w:tc>
      </w:tr>
      <w:tr>
        <w:trPr>
          <w:trHeight w:val="251"/>
        </w:trPr>
        <w:tc>
          <w:tcPr>
            <w:tcW w:w="4040" w:type="dxa"/>
            <w:vAlign w:val="bottom"/>
          </w:tcPr>
          <w:p>
            <w:pPr>
              <w:spacing w:after="0"/>
              <w:rPr>
                <w:sz w:val="21"/>
                <w:szCs w:val="21"/>
                <w:color w:val="auto"/>
              </w:rPr>
            </w:pPr>
          </w:p>
        </w:tc>
        <w:tc>
          <w:tcPr>
            <w:tcW w:w="200" w:type="dxa"/>
            <w:vAlign w:val="bottom"/>
            <w:shd w:val="clear" w:color="auto" w:fill="000000"/>
          </w:tcPr>
          <w:p>
            <w:pPr>
              <w:spacing w:after="0"/>
              <w:rPr>
                <w:sz w:val="21"/>
                <w:szCs w:val="21"/>
                <w:color w:val="auto"/>
              </w:rPr>
            </w:pPr>
          </w:p>
        </w:tc>
        <w:tc>
          <w:tcPr>
            <w:tcW w:w="720" w:type="dxa"/>
            <w:vAlign w:val="bottom"/>
            <w:shd w:val="clear" w:color="auto" w:fill="000000"/>
          </w:tcPr>
          <w:p>
            <w:pPr>
              <w:spacing w:after="0"/>
              <w:rPr>
                <w:sz w:val="21"/>
                <w:szCs w:val="21"/>
                <w:color w:val="auto"/>
              </w:rPr>
            </w:pPr>
          </w:p>
        </w:tc>
        <w:tc>
          <w:tcPr>
            <w:tcW w:w="220" w:type="dxa"/>
            <w:vAlign w:val="bottom"/>
            <w:shd w:val="clear" w:color="auto" w:fill="000000"/>
          </w:tcPr>
          <w:p>
            <w:pPr>
              <w:spacing w:after="0"/>
              <w:rPr>
                <w:sz w:val="21"/>
                <w:szCs w:val="21"/>
                <w:color w:val="auto"/>
              </w:rPr>
            </w:pPr>
          </w:p>
        </w:tc>
        <w:tc>
          <w:tcPr>
            <w:tcW w:w="580" w:type="dxa"/>
            <w:vAlign w:val="bottom"/>
            <w:shd w:val="clear" w:color="auto" w:fill="000000"/>
          </w:tcPr>
          <w:p>
            <w:pPr>
              <w:spacing w:after="0"/>
              <w:rPr>
                <w:sz w:val="21"/>
                <w:szCs w:val="21"/>
                <w:color w:val="auto"/>
              </w:rPr>
            </w:pPr>
          </w:p>
        </w:tc>
        <w:tc>
          <w:tcPr>
            <w:tcW w:w="220" w:type="dxa"/>
            <w:vAlign w:val="bottom"/>
            <w:shd w:val="clear" w:color="auto" w:fill="000000"/>
          </w:tcPr>
          <w:p>
            <w:pPr>
              <w:spacing w:after="0"/>
              <w:rPr>
                <w:sz w:val="21"/>
                <w:szCs w:val="21"/>
                <w:color w:val="auto"/>
              </w:rPr>
            </w:pPr>
          </w:p>
        </w:tc>
        <w:tc>
          <w:tcPr>
            <w:tcW w:w="200" w:type="dxa"/>
            <w:vAlign w:val="bottom"/>
            <w:shd w:val="clear" w:color="auto" w:fill="000000"/>
          </w:tcPr>
          <w:p>
            <w:pPr>
              <w:spacing w:after="0"/>
              <w:rPr>
                <w:sz w:val="21"/>
                <w:szCs w:val="21"/>
                <w:color w:val="auto"/>
              </w:rPr>
            </w:pPr>
          </w:p>
        </w:tc>
        <w:tc>
          <w:tcPr>
            <w:tcW w:w="700" w:type="dxa"/>
            <w:vAlign w:val="bottom"/>
            <w:shd w:val="clear" w:color="auto" w:fill="000000"/>
          </w:tcPr>
          <w:p>
            <w:pPr>
              <w:spacing w:after="0"/>
              <w:rPr>
                <w:sz w:val="21"/>
                <w:szCs w:val="21"/>
                <w:color w:val="auto"/>
              </w:rPr>
            </w:pPr>
          </w:p>
        </w:tc>
        <w:tc>
          <w:tcPr>
            <w:tcW w:w="220" w:type="dxa"/>
            <w:vAlign w:val="bottom"/>
            <w:shd w:val="clear" w:color="auto" w:fill="000000"/>
          </w:tcPr>
          <w:p>
            <w:pPr>
              <w:spacing w:after="0"/>
              <w:rPr>
                <w:sz w:val="21"/>
                <w:szCs w:val="21"/>
                <w:color w:val="auto"/>
              </w:rPr>
            </w:pPr>
          </w:p>
        </w:tc>
        <w:tc>
          <w:tcPr>
            <w:tcW w:w="580" w:type="dxa"/>
            <w:vAlign w:val="bottom"/>
            <w:shd w:val="clear" w:color="auto" w:fill="000000"/>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4040" w:type="dxa"/>
            <w:vAlign w:val="bottom"/>
          </w:tcPr>
          <w:p>
            <w:pPr>
              <w:spacing w:after="0"/>
              <w:rPr>
                <w:sz w:val="20"/>
                <w:szCs w:val="20"/>
                <w:color w:val="auto"/>
              </w:rPr>
            </w:pPr>
            <w:r>
              <w:rPr>
                <w:rFonts w:ascii="Arial" w:cs="Arial" w:eastAsia="Arial" w:hAnsi="Arial"/>
                <w:sz w:val="18"/>
                <w:szCs w:val="18"/>
                <w:color w:val="auto"/>
              </w:rPr>
              <w:t>Net obligation at December 31</w:t>
            </w:r>
          </w:p>
        </w:tc>
        <w:tc>
          <w:tcPr>
            <w:tcW w:w="200" w:type="dxa"/>
            <w:vAlign w:val="bottom"/>
          </w:tcPr>
          <w:p>
            <w:pPr>
              <w:spacing w:after="0"/>
              <w:rPr>
                <w:sz w:val="22"/>
                <w:szCs w:val="22"/>
                <w:color w:val="auto"/>
              </w:rPr>
            </w:pPr>
          </w:p>
        </w:tc>
        <w:tc>
          <w:tcPr>
            <w:tcW w:w="720" w:type="dxa"/>
            <w:vAlign w:val="bottom"/>
          </w:tcPr>
          <w:p>
            <w:pPr>
              <w:jc w:val="right"/>
              <w:ind w:right="52"/>
              <w:spacing w:after="0"/>
              <w:rPr>
                <w:sz w:val="20"/>
                <w:szCs w:val="20"/>
                <w:color w:val="auto"/>
              </w:rPr>
            </w:pPr>
            <w:r>
              <w:rPr>
                <w:rFonts w:ascii="Arial" w:cs="Arial" w:eastAsia="Arial" w:hAnsi="Arial"/>
                <w:sz w:val="18"/>
                <w:szCs w:val="18"/>
                <w:color w:val="auto"/>
              </w:rPr>
              <w:t>787</w:t>
            </w:r>
          </w:p>
        </w:tc>
        <w:tc>
          <w:tcPr>
            <w:tcW w:w="22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719</w:t>
            </w:r>
          </w:p>
        </w:tc>
        <w:tc>
          <w:tcPr>
            <w:tcW w:w="2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jc w:val="right"/>
              <w:ind w:right="52"/>
              <w:spacing w:after="0"/>
              <w:rPr>
                <w:sz w:val="20"/>
                <w:szCs w:val="20"/>
                <w:color w:val="auto"/>
              </w:rPr>
            </w:pPr>
            <w:r>
              <w:rPr>
                <w:rFonts w:ascii="Arial" w:cs="Arial" w:eastAsia="Arial" w:hAnsi="Arial"/>
                <w:sz w:val="18"/>
                <w:szCs w:val="18"/>
                <w:color w:val="auto"/>
              </w:rPr>
              <w:t>124</w:t>
            </w:r>
          </w:p>
        </w:tc>
        <w:tc>
          <w:tcPr>
            <w:tcW w:w="22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85</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9"/>
        </w:trPr>
        <w:tc>
          <w:tcPr>
            <w:tcW w:w="4040" w:type="dxa"/>
            <w:vAlign w:val="bottom"/>
            <w:vMerge w:val="restart"/>
          </w:tcPr>
          <w:p>
            <w:pPr>
              <w:spacing w:after="0"/>
              <w:rPr>
                <w:sz w:val="20"/>
                <w:szCs w:val="20"/>
                <w:color w:val="auto"/>
              </w:rPr>
            </w:pPr>
            <w:r>
              <w:rPr>
                <w:rFonts w:ascii="Arial" w:cs="Arial" w:eastAsia="Arial" w:hAnsi="Arial"/>
                <w:sz w:val="18"/>
                <w:szCs w:val="18"/>
                <w:color w:val="auto"/>
              </w:rPr>
              <w:t>CHANGE IN PLAN ASSETS:</w:t>
            </w:r>
          </w:p>
        </w:tc>
        <w:tc>
          <w:tcPr>
            <w:tcW w:w="200" w:type="dxa"/>
            <w:vAlign w:val="bottom"/>
            <w:shd w:val="clear" w:color="auto" w:fill="000000"/>
          </w:tcPr>
          <w:p>
            <w:pPr>
              <w:spacing w:after="0"/>
              <w:rPr>
                <w:sz w:val="22"/>
                <w:szCs w:val="22"/>
                <w:color w:val="auto"/>
              </w:rPr>
            </w:pPr>
          </w:p>
        </w:tc>
        <w:tc>
          <w:tcPr>
            <w:tcW w:w="720" w:type="dxa"/>
            <w:vAlign w:val="bottom"/>
            <w:shd w:val="clear" w:color="auto" w:fill="000000"/>
          </w:tcPr>
          <w:p>
            <w:pPr>
              <w:spacing w:after="0"/>
              <w:rPr>
                <w:sz w:val="22"/>
                <w:szCs w:val="22"/>
                <w:color w:val="auto"/>
              </w:rPr>
            </w:pPr>
          </w:p>
        </w:tc>
        <w:tc>
          <w:tcPr>
            <w:tcW w:w="220" w:type="dxa"/>
            <w:vAlign w:val="bottom"/>
            <w:shd w:val="clear" w:color="auto" w:fill="000000"/>
          </w:tcPr>
          <w:p>
            <w:pPr>
              <w:spacing w:after="0"/>
              <w:rPr>
                <w:sz w:val="22"/>
                <w:szCs w:val="22"/>
                <w:color w:val="auto"/>
              </w:rPr>
            </w:pPr>
          </w:p>
        </w:tc>
        <w:tc>
          <w:tcPr>
            <w:tcW w:w="580" w:type="dxa"/>
            <w:vAlign w:val="bottom"/>
            <w:shd w:val="clear" w:color="auto" w:fill="000000"/>
          </w:tcPr>
          <w:p>
            <w:pPr>
              <w:spacing w:after="0"/>
              <w:rPr>
                <w:sz w:val="22"/>
                <w:szCs w:val="22"/>
                <w:color w:val="auto"/>
              </w:rPr>
            </w:pPr>
          </w:p>
        </w:tc>
        <w:tc>
          <w:tcPr>
            <w:tcW w:w="220" w:type="dxa"/>
            <w:vAlign w:val="bottom"/>
            <w:shd w:val="clear" w:color="auto" w:fill="000000"/>
          </w:tcPr>
          <w:p>
            <w:pPr>
              <w:spacing w:after="0"/>
              <w:rPr>
                <w:sz w:val="22"/>
                <w:szCs w:val="22"/>
                <w:color w:val="auto"/>
              </w:rPr>
            </w:pPr>
          </w:p>
        </w:tc>
        <w:tc>
          <w:tcPr>
            <w:tcW w:w="200" w:type="dxa"/>
            <w:vAlign w:val="bottom"/>
            <w:shd w:val="clear" w:color="auto" w:fill="000000"/>
          </w:tcPr>
          <w:p>
            <w:pPr>
              <w:spacing w:after="0"/>
              <w:rPr>
                <w:sz w:val="22"/>
                <w:szCs w:val="22"/>
                <w:color w:val="auto"/>
              </w:rPr>
            </w:pPr>
          </w:p>
        </w:tc>
        <w:tc>
          <w:tcPr>
            <w:tcW w:w="700" w:type="dxa"/>
            <w:vAlign w:val="bottom"/>
            <w:shd w:val="clear" w:color="auto" w:fill="000000"/>
          </w:tcPr>
          <w:p>
            <w:pPr>
              <w:spacing w:after="0"/>
              <w:rPr>
                <w:sz w:val="22"/>
                <w:szCs w:val="22"/>
                <w:color w:val="auto"/>
              </w:rPr>
            </w:pPr>
          </w:p>
        </w:tc>
        <w:tc>
          <w:tcPr>
            <w:tcW w:w="220" w:type="dxa"/>
            <w:vAlign w:val="bottom"/>
            <w:shd w:val="clear" w:color="auto" w:fill="000000"/>
          </w:tcPr>
          <w:p>
            <w:pPr>
              <w:spacing w:after="0"/>
              <w:rPr>
                <w:sz w:val="22"/>
                <w:szCs w:val="22"/>
                <w:color w:val="auto"/>
              </w:rPr>
            </w:pPr>
          </w:p>
        </w:tc>
        <w:tc>
          <w:tcPr>
            <w:tcW w:w="580" w:type="dxa"/>
            <w:vAlign w:val="bottom"/>
            <w:shd w:val="clear" w:color="auto" w:fill="000000"/>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25"/>
        </w:trPr>
        <w:tc>
          <w:tcPr>
            <w:tcW w:w="404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4040" w:type="dxa"/>
            <w:vAlign w:val="bottom"/>
          </w:tcPr>
          <w:p>
            <w:pPr>
              <w:spacing w:after="0"/>
              <w:rPr>
                <w:sz w:val="20"/>
                <w:szCs w:val="20"/>
                <w:color w:val="auto"/>
              </w:rPr>
            </w:pPr>
            <w:r>
              <w:rPr>
                <w:rFonts w:ascii="Arial" w:cs="Arial" w:eastAsia="Arial" w:hAnsi="Arial"/>
                <w:sz w:val="18"/>
                <w:szCs w:val="18"/>
                <w:color w:val="auto"/>
              </w:rPr>
              <w:t>Fair value of plan assets at January 1</w:t>
            </w:r>
          </w:p>
        </w:tc>
        <w:tc>
          <w:tcPr>
            <w:tcW w:w="200" w:type="dxa"/>
            <w:vAlign w:val="bottom"/>
          </w:tcPr>
          <w:p>
            <w:pPr>
              <w:spacing w:after="0"/>
              <w:rPr>
                <w:sz w:val="23"/>
                <w:szCs w:val="23"/>
                <w:color w:val="auto"/>
              </w:rPr>
            </w:pPr>
          </w:p>
        </w:tc>
        <w:tc>
          <w:tcPr>
            <w:tcW w:w="720" w:type="dxa"/>
            <w:vAlign w:val="bottom"/>
          </w:tcPr>
          <w:p>
            <w:pPr>
              <w:jc w:val="right"/>
              <w:ind w:right="52"/>
              <w:spacing w:after="0"/>
              <w:rPr>
                <w:sz w:val="20"/>
                <w:szCs w:val="20"/>
                <w:color w:val="auto"/>
              </w:rPr>
            </w:pPr>
            <w:r>
              <w:rPr>
                <w:rFonts w:ascii="Arial" w:cs="Arial" w:eastAsia="Arial" w:hAnsi="Arial"/>
                <w:sz w:val="18"/>
                <w:szCs w:val="18"/>
                <w:color w:val="auto"/>
              </w:rPr>
              <w:t>569</w:t>
            </w:r>
          </w:p>
        </w:tc>
        <w:tc>
          <w:tcPr>
            <w:tcW w:w="22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538</w:t>
            </w:r>
          </w:p>
        </w:tc>
        <w:tc>
          <w:tcPr>
            <w:tcW w:w="2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jc w:val="right"/>
              <w:ind w:right="52"/>
              <w:spacing w:after="0"/>
              <w:rPr>
                <w:sz w:val="20"/>
                <w:szCs w:val="20"/>
                <w:color w:val="auto"/>
              </w:rPr>
            </w:pPr>
            <w:r>
              <w:rPr>
                <w:rFonts w:ascii="Arial" w:cs="Arial" w:eastAsia="Arial" w:hAnsi="Arial"/>
                <w:sz w:val="18"/>
                <w:szCs w:val="18"/>
                <w:color w:val="auto"/>
              </w:rPr>
              <w:t>39</w:t>
            </w:r>
          </w:p>
        </w:tc>
        <w:tc>
          <w:tcPr>
            <w:tcW w:w="22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040" w:type="dxa"/>
            <w:vAlign w:val="bottom"/>
          </w:tcPr>
          <w:p>
            <w:pPr>
              <w:spacing w:after="0"/>
              <w:rPr>
                <w:sz w:val="20"/>
                <w:szCs w:val="20"/>
                <w:color w:val="auto"/>
              </w:rPr>
            </w:pPr>
            <w:r>
              <w:rPr>
                <w:rFonts w:ascii="Arial" w:cs="Arial" w:eastAsia="Arial" w:hAnsi="Arial"/>
                <w:sz w:val="18"/>
                <w:szCs w:val="18"/>
                <w:color w:val="auto"/>
              </w:rPr>
              <w:t>Actual return on plan assets</w:t>
            </w:r>
          </w:p>
        </w:tc>
        <w:tc>
          <w:tcPr>
            <w:tcW w:w="200" w:type="dxa"/>
            <w:vAlign w:val="bottom"/>
          </w:tcPr>
          <w:p>
            <w:pPr>
              <w:spacing w:after="0"/>
              <w:rPr>
                <w:sz w:val="23"/>
                <w:szCs w:val="23"/>
                <w:color w:val="auto"/>
              </w:rPr>
            </w:pPr>
          </w:p>
        </w:tc>
        <w:tc>
          <w:tcPr>
            <w:tcW w:w="720" w:type="dxa"/>
            <w:vAlign w:val="bottom"/>
          </w:tcPr>
          <w:p>
            <w:pPr>
              <w:jc w:val="right"/>
              <w:ind w:right="52"/>
              <w:spacing w:after="0"/>
              <w:rPr>
                <w:sz w:val="20"/>
                <w:szCs w:val="20"/>
                <w:color w:val="auto"/>
              </w:rPr>
            </w:pPr>
            <w:r>
              <w:rPr>
                <w:rFonts w:ascii="Arial" w:cs="Arial" w:eastAsia="Arial" w:hAnsi="Arial"/>
                <w:sz w:val="18"/>
                <w:szCs w:val="18"/>
                <w:color w:val="auto"/>
              </w:rPr>
              <w:t>44</w:t>
            </w:r>
          </w:p>
        </w:tc>
        <w:tc>
          <w:tcPr>
            <w:tcW w:w="22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65</w:t>
            </w:r>
          </w:p>
        </w:tc>
        <w:tc>
          <w:tcPr>
            <w:tcW w:w="2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jc w:val="right"/>
              <w:ind w:right="52"/>
              <w:spacing w:after="0"/>
              <w:rPr>
                <w:sz w:val="20"/>
                <w:szCs w:val="20"/>
                <w:color w:val="auto"/>
              </w:rPr>
            </w:pPr>
            <w:r>
              <w:rPr>
                <w:rFonts w:ascii="Arial" w:cs="Arial" w:eastAsia="Arial" w:hAnsi="Arial"/>
                <w:sz w:val="18"/>
                <w:szCs w:val="18"/>
                <w:color w:val="auto"/>
              </w:rPr>
              <w:t>2</w:t>
            </w:r>
          </w:p>
        </w:tc>
        <w:tc>
          <w:tcPr>
            <w:tcW w:w="22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040" w:type="dxa"/>
            <w:vAlign w:val="bottom"/>
          </w:tcPr>
          <w:p>
            <w:pPr>
              <w:spacing w:after="0"/>
              <w:rPr>
                <w:sz w:val="20"/>
                <w:szCs w:val="20"/>
                <w:color w:val="auto"/>
              </w:rPr>
            </w:pPr>
            <w:r>
              <w:rPr>
                <w:rFonts w:ascii="Arial" w:cs="Arial" w:eastAsia="Arial" w:hAnsi="Arial"/>
                <w:sz w:val="18"/>
                <w:szCs w:val="18"/>
                <w:color w:val="auto"/>
              </w:rPr>
              <w:t>Employer contributions</w:t>
            </w:r>
          </w:p>
        </w:tc>
        <w:tc>
          <w:tcPr>
            <w:tcW w:w="200" w:type="dxa"/>
            <w:vAlign w:val="bottom"/>
          </w:tcPr>
          <w:p>
            <w:pPr>
              <w:spacing w:after="0"/>
              <w:rPr>
                <w:sz w:val="23"/>
                <w:szCs w:val="23"/>
                <w:color w:val="auto"/>
              </w:rPr>
            </w:pPr>
          </w:p>
        </w:tc>
        <w:tc>
          <w:tcPr>
            <w:tcW w:w="720" w:type="dxa"/>
            <w:vAlign w:val="bottom"/>
          </w:tcPr>
          <w:p>
            <w:pPr>
              <w:jc w:val="right"/>
              <w:ind w:right="52"/>
              <w:spacing w:after="0"/>
              <w:rPr>
                <w:sz w:val="20"/>
                <w:szCs w:val="20"/>
                <w:color w:val="auto"/>
              </w:rPr>
            </w:pPr>
            <w:r>
              <w:rPr>
                <w:rFonts w:ascii="Arial" w:cs="Arial" w:eastAsia="Arial" w:hAnsi="Arial"/>
                <w:sz w:val="18"/>
                <w:szCs w:val="18"/>
                <w:color w:val="auto"/>
              </w:rPr>
              <w:t>21</w:t>
            </w:r>
          </w:p>
        </w:tc>
        <w:tc>
          <w:tcPr>
            <w:tcW w:w="22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20</w:t>
            </w:r>
          </w:p>
        </w:tc>
        <w:tc>
          <w:tcPr>
            <w:tcW w:w="2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jc w:val="right"/>
              <w:ind w:right="52"/>
              <w:spacing w:after="0"/>
              <w:rPr>
                <w:sz w:val="20"/>
                <w:szCs w:val="20"/>
                <w:color w:val="auto"/>
              </w:rPr>
            </w:pPr>
            <w:r>
              <w:rPr>
                <w:rFonts w:ascii="Arial" w:cs="Arial" w:eastAsia="Arial" w:hAnsi="Arial"/>
                <w:sz w:val="18"/>
                <w:szCs w:val="18"/>
                <w:color w:val="auto"/>
              </w:rPr>
              <w:t>7</w:t>
            </w:r>
          </w:p>
        </w:tc>
        <w:tc>
          <w:tcPr>
            <w:tcW w:w="22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040" w:type="dxa"/>
            <w:vAlign w:val="bottom"/>
          </w:tcPr>
          <w:p>
            <w:pPr>
              <w:spacing w:after="0"/>
              <w:rPr>
                <w:sz w:val="20"/>
                <w:szCs w:val="20"/>
                <w:color w:val="auto"/>
              </w:rPr>
            </w:pPr>
            <w:r>
              <w:rPr>
                <w:rFonts w:ascii="Arial" w:cs="Arial" w:eastAsia="Arial" w:hAnsi="Arial"/>
                <w:sz w:val="18"/>
                <w:szCs w:val="18"/>
                <w:color w:val="auto"/>
              </w:rPr>
              <w:t>Transfer of assets from Sempra Energy</w:t>
            </w:r>
          </w:p>
        </w:tc>
        <w:tc>
          <w:tcPr>
            <w:tcW w:w="200" w:type="dxa"/>
            <w:vAlign w:val="bottom"/>
          </w:tcPr>
          <w:p>
            <w:pPr>
              <w:spacing w:after="0"/>
              <w:rPr>
                <w:sz w:val="23"/>
                <w:szCs w:val="23"/>
                <w:color w:val="auto"/>
              </w:rPr>
            </w:pPr>
          </w:p>
        </w:tc>
        <w:tc>
          <w:tcPr>
            <w:tcW w:w="720" w:type="dxa"/>
            <w:vAlign w:val="bottom"/>
          </w:tcPr>
          <w:p>
            <w:pPr>
              <w:jc w:val="right"/>
              <w:ind w:right="52"/>
              <w:spacing w:after="0"/>
              <w:rPr>
                <w:sz w:val="20"/>
                <w:szCs w:val="20"/>
                <w:color w:val="auto"/>
              </w:rPr>
            </w:pPr>
            <w:r>
              <w:rPr>
                <w:rFonts w:ascii="Arial" w:cs="Arial" w:eastAsia="Arial" w:hAnsi="Arial"/>
                <w:sz w:val="18"/>
                <w:szCs w:val="18"/>
                <w:color w:val="auto"/>
              </w:rPr>
              <w:t>34</w:t>
            </w:r>
          </w:p>
        </w:tc>
        <w:tc>
          <w:tcPr>
            <w:tcW w:w="22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w:t>
            </w:r>
          </w:p>
        </w:tc>
        <w:tc>
          <w:tcPr>
            <w:tcW w:w="2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8"/>
        </w:trPr>
        <w:tc>
          <w:tcPr>
            <w:tcW w:w="4040" w:type="dxa"/>
            <w:vAlign w:val="bottom"/>
          </w:tcPr>
          <w:p>
            <w:pPr>
              <w:spacing w:after="0"/>
              <w:rPr>
                <w:sz w:val="20"/>
                <w:szCs w:val="20"/>
                <w:color w:val="auto"/>
              </w:rPr>
            </w:pPr>
            <w:r>
              <w:rPr>
                <w:rFonts w:ascii="Arial" w:cs="Arial" w:eastAsia="Arial" w:hAnsi="Arial"/>
                <w:sz w:val="18"/>
                <w:szCs w:val="18"/>
                <w:color w:val="auto"/>
              </w:rPr>
              <w:t>Benefit payments</w:t>
            </w:r>
          </w:p>
        </w:tc>
        <w:tc>
          <w:tcPr>
            <w:tcW w:w="20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(52 )</w:t>
            </w:r>
          </w:p>
        </w:tc>
        <w:tc>
          <w:tcPr>
            <w:tcW w:w="220" w:type="dxa"/>
            <w:vAlign w:val="bottom"/>
          </w:tcPr>
          <w:p>
            <w:pPr>
              <w:spacing w:after="0"/>
              <w:rPr>
                <w:sz w:val="24"/>
                <w:szCs w:val="24"/>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(61 )</w:t>
            </w:r>
          </w:p>
        </w:tc>
        <w:tc>
          <w:tcPr>
            <w:tcW w:w="2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(4 )</w:t>
            </w:r>
          </w:p>
        </w:tc>
        <w:tc>
          <w:tcPr>
            <w:tcW w:w="220" w:type="dxa"/>
            <w:vAlign w:val="bottom"/>
          </w:tcPr>
          <w:p>
            <w:pPr>
              <w:spacing w:after="0"/>
              <w:rPr>
                <w:sz w:val="24"/>
                <w:szCs w:val="24"/>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(5 )</w:t>
            </w:r>
          </w:p>
        </w:tc>
        <w:tc>
          <w:tcPr>
            <w:tcW w:w="0" w:type="dxa"/>
            <w:vAlign w:val="bottom"/>
          </w:tcPr>
          <w:p>
            <w:pPr>
              <w:spacing w:after="0"/>
              <w:rPr>
                <w:sz w:val="1"/>
                <w:szCs w:val="1"/>
                <w:color w:val="auto"/>
              </w:rPr>
            </w:pPr>
          </w:p>
        </w:tc>
      </w:tr>
      <w:tr>
        <w:trPr>
          <w:trHeight w:val="251"/>
        </w:trPr>
        <w:tc>
          <w:tcPr>
            <w:tcW w:w="4040" w:type="dxa"/>
            <w:vAlign w:val="bottom"/>
          </w:tcPr>
          <w:p>
            <w:pPr>
              <w:spacing w:after="0"/>
              <w:rPr>
                <w:sz w:val="21"/>
                <w:szCs w:val="21"/>
                <w:color w:val="auto"/>
              </w:rPr>
            </w:pPr>
          </w:p>
        </w:tc>
        <w:tc>
          <w:tcPr>
            <w:tcW w:w="200" w:type="dxa"/>
            <w:vAlign w:val="bottom"/>
            <w:shd w:val="clear" w:color="auto" w:fill="000000"/>
          </w:tcPr>
          <w:p>
            <w:pPr>
              <w:spacing w:after="0"/>
              <w:rPr>
                <w:sz w:val="21"/>
                <w:szCs w:val="21"/>
                <w:color w:val="auto"/>
              </w:rPr>
            </w:pPr>
          </w:p>
        </w:tc>
        <w:tc>
          <w:tcPr>
            <w:tcW w:w="720" w:type="dxa"/>
            <w:vAlign w:val="bottom"/>
            <w:shd w:val="clear" w:color="auto" w:fill="000000"/>
          </w:tcPr>
          <w:p>
            <w:pPr>
              <w:spacing w:after="0"/>
              <w:rPr>
                <w:sz w:val="21"/>
                <w:szCs w:val="21"/>
                <w:color w:val="auto"/>
              </w:rPr>
            </w:pPr>
          </w:p>
        </w:tc>
        <w:tc>
          <w:tcPr>
            <w:tcW w:w="220" w:type="dxa"/>
            <w:vAlign w:val="bottom"/>
            <w:shd w:val="clear" w:color="auto" w:fill="000000"/>
          </w:tcPr>
          <w:p>
            <w:pPr>
              <w:spacing w:after="0"/>
              <w:rPr>
                <w:sz w:val="21"/>
                <w:szCs w:val="21"/>
                <w:color w:val="auto"/>
              </w:rPr>
            </w:pPr>
          </w:p>
        </w:tc>
        <w:tc>
          <w:tcPr>
            <w:tcW w:w="580" w:type="dxa"/>
            <w:vAlign w:val="bottom"/>
            <w:shd w:val="clear" w:color="auto" w:fill="000000"/>
          </w:tcPr>
          <w:p>
            <w:pPr>
              <w:spacing w:after="0"/>
              <w:rPr>
                <w:sz w:val="21"/>
                <w:szCs w:val="21"/>
                <w:color w:val="auto"/>
              </w:rPr>
            </w:pPr>
          </w:p>
        </w:tc>
        <w:tc>
          <w:tcPr>
            <w:tcW w:w="220" w:type="dxa"/>
            <w:vAlign w:val="bottom"/>
            <w:shd w:val="clear" w:color="auto" w:fill="000000"/>
          </w:tcPr>
          <w:p>
            <w:pPr>
              <w:spacing w:after="0"/>
              <w:rPr>
                <w:sz w:val="21"/>
                <w:szCs w:val="21"/>
                <w:color w:val="auto"/>
              </w:rPr>
            </w:pPr>
          </w:p>
        </w:tc>
        <w:tc>
          <w:tcPr>
            <w:tcW w:w="200" w:type="dxa"/>
            <w:vAlign w:val="bottom"/>
            <w:shd w:val="clear" w:color="auto" w:fill="000000"/>
          </w:tcPr>
          <w:p>
            <w:pPr>
              <w:spacing w:after="0"/>
              <w:rPr>
                <w:sz w:val="21"/>
                <w:szCs w:val="21"/>
                <w:color w:val="auto"/>
              </w:rPr>
            </w:pPr>
          </w:p>
        </w:tc>
        <w:tc>
          <w:tcPr>
            <w:tcW w:w="700" w:type="dxa"/>
            <w:vAlign w:val="bottom"/>
            <w:shd w:val="clear" w:color="auto" w:fill="000000"/>
          </w:tcPr>
          <w:p>
            <w:pPr>
              <w:spacing w:after="0"/>
              <w:rPr>
                <w:sz w:val="21"/>
                <w:szCs w:val="21"/>
                <w:color w:val="auto"/>
              </w:rPr>
            </w:pPr>
          </w:p>
        </w:tc>
        <w:tc>
          <w:tcPr>
            <w:tcW w:w="220" w:type="dxa"/>
            <w:vAlign w:val="bottom"/>
            <w:shd w:val="clear" w:color="auto" w:fill="000000"/>
          </w:tcPr>
          <w:p>
            <w:pPr>
              <w:spacing w:after="0"/>
              <w:rPr>
                <w:sz w:val="21"/>
                <w:szCs w:val="21"/>
                <w:color w:val="auto"/>
              </w:rPr>
            </w:pPr>
          </w:p>
        </w:tc>
        <w:tc>
          <w:tcPr>
            <w:tcW w:w="580" w:type="dxa"/>
            <w:vAlign w:val="bottom"/>
            <w:shd w:val="clear" w:color="auto" w:fill="000000"/>
          </w:tcPr>
          <w:p>
            <w:pPr>
              <w:spacing w:after="0"/>
              <w:rPr>
                <w:sz w:val="21"/>
                <w:szCs w:val="21"/>
                <w:color w:val="auto"/>
              </w:rPr>
            </w:pPr>
          </w:p>
        </w:tc>
        <w:tc>
          <w:tcPr>
            <w:tcW w:w="100" w:type="dxa"/>
            <w:vAlign w:val="bottom"/>
            <w:shd w:val="clear" w:color="auto" w:fill="000000"/>
          </w:tcPr>
          <w:p>
            <w:pPr>
              <w:spacing w:after="0"/>
              <w:rPr>
                <w:sz w:val="21"/>
                <w:szCs w:val="21"/>
                <w:color w:val="auto"/>
              </w:rPr>
            </w:pPr>
          </w:p>
        </w:tc>
        <w:tc>
          <w:tcPr>
            <w:tcW w:w="0" w:type="dxa"/>
            <w:vAlign w:val="bottom"/>
          </w:tcPr>
          <w:p>
            <w:pPr>
              <w:spacing w:after="0"/>
              <w:rPr>
                <w:sz w:val="1"/>
                <w:szCs w:val="1"/>
                <w:color w:val="auto"/>
              </w:rPr>
            </w:pPr>
          </w:p>
        </w:tc>
      </w:tr>
      <w:tr>
        <w:trPr>
          <w:trHeight w:val="262"/>
        </w:trPr>
        <w:tc>
          <w:tcPr>
            <w:tcW w:w="4040" w:type="dxa"/>
            <w:vAlign w:val="bottom"/>
          </w:tcPr>
          <w:p>
            <w:pPr>
              <w:spacing w:after="0"/>
              <w:rPr>
                <w:sz w:val="20"/>
                <w:szCs w:val="20"/>
                <w:color w:val="auto"/>
              </w:rPr>
            </w:pPr>
            <w:r>
              <w:rPr>
                <w:rFonts w:ascii="Arial" w:cs="Arial" w:eastAsia="Arial" w:hAnsi="Arial"/>
                <w:sz w:val="18"/>
                <w:szCs w:val="18"/>
                <w:color w:val="auto"/>
              </w:rPr>
              <w:t>Fair value of plan assets at December 31</w:t>
            </w:r>
          </w:p>
        </w:tc>
        <w:tc>
          <w:tcPr>
            <w:tcW w:w="200" w:type="dxa"/>
            <w:vAlign w:val="bottom"/>
          </w:tcPr>
          <w:p>
            <w:pPr>
              <w:spacing w:after="0"/>
              <w:rPr>
                <w:sz w:val="22"/>
                <w:szCs w:val="22"/>
                <w:color w:val="auto"/>
              </w:rPr>
            </w:pPr>
          </w:p>
        </w:tc>
        <w:tc>
          <w:tcPr>
            <w:tcW w:w="720" w:type="dxa"/>
            <w:vAlign w:val="bottom"/>
          </w:tcPr>
          <w:p>
            <w:pPr>
              <w:jc w:val="right"/>
              <w:ind w:right="52"/>
              <w:spacing w:after="0"/>
              <w:rPr>
                <w:sz w:val="20"/>
                <w:szCs w:val="20"/>
                <w:color w:val="auto"/>
              </w:rPr>
            </w:pPr>
            <w:r>
              <w:rPr>
                <w:rFonts w:ascii="Arial" w:cs="Arial" w:eastAsia="Arial" w:hAnsi="Arial"/>
                <w:sz w:val="18"/>
                <w:szCs w:val="18"/>
                <w:color w:val="auto"/>
              </w:rPr>
              <w:t>616</w:t>
            </w:r>
          </w:p>
        </w:tc>
        <w:tc>
          <w:tcPr>
            <w:tcW w:w="22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569</w:t>
            </w:r>
          </w:p>
        </w:tc>
        <w:tc>
          <w:tcPr>
            <w:tcW w:w="2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jc w:val="right"/>
              <w:ind w:right="52"/>
              <w:spacing w:after="0"/>
              <w:rPr>
                <w:sz w:val="20"/>
                <w:szCs w:val="20"/>
                <w:color w:val="auto"/>
              </w:rPr>
            </w:pPr>
            <w:r>
              <w:rPr>
                <w:rFonts w:ascii="Arial" w:cs="Arial" w:eastAsia="Arial" w:hAnsi="Arial"/>
                <w:sz w:val="18"/>
                <w:szCs w:val="18"/>
                <w:color w:val="auto"/>
              </w:rPr>
              <w:t>44</w:t>
            </w:r>
          </w:p>
        </w:tc>
        <w:tc>
          <w:tcPr>
            <w:tcW w:w="22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1"/>
        </w:trPr>
        <w:tc>
          <w:tcPr>
            <w:tcW w:w="4040" w:type="dxa"/>
            <w:vAlign w:val="bottom"/>
          </w:tcPr>
          <w:p>
            <w:pPr>
              <w:spacing w:after="0"/>
              <w:rPr>
                <w:sz w:val="21"/>
                <w:szCs w:val="21"/>
                <w:color w:val="auto"/>
              </w:rPr>
            </w:pPr>
          </w:p>
        </w:tc>
        <w:tc>
          <w:tcPr>
            <w:tcW w:w="200" w:type="dxa"/>
            <w:vAlign w:val="bottom"/>
            <w:shd w:val="clear" w:color="auto" w:fill="000000"/>
          </w:tcPr>
          <w:p>
            <w:pPr>
              <w:spacing w:after="0"/>
              <w:rPr>
                <w:sz w:val="21"/>
                <w:szCs w:val="21"/>
                <w:color w:val="auto"/>
              </w:rPr>
            </w:pPr>
          </w:p>
        </w:tc>
        <w:tc>
          <w:tcPr>
            <w:tcW w:w="720" w:type="dxa"/>
            <w:vAlign w:val="bottom"/>
            <w:shd w:val="clear" w:color="auto" w:fill="000000"/>
          </w:tcPr>
          <w:p>
            <w:pPr>
              <w:spacing w:after="0"/>
              <w:rPr>
                <w:sz w:val="21"/>
                <w:szCs w:val="21"/>
                <w:color w:val="auto"/>
              </w:rPr>
            </w:pPr>
          </w:p>
        </w:tc>
        <w:tc>
          <w:tcPr>
            <w:tcW w:w="220" w:type="dxa"/>
            <w:vAlign w:val="bottom"/>
            <w:shd w:val="clear" w:color="auto" w:fill="000000"/>
          </w:tcPr>
          <w:p>
            <w:pPr>
              <w:spacing w:after="0"/>
              <w:rPr>
                <w:sz w:val="21"/>
                <w:szCs w:val="21"/>
                <w:color w:val="auto"/>
              </w:rPr>
            </w:pPr>
          </w:p>
        </w:tc>
        <w:tc>
          <w:tcPr>
            <w:tcW w:w="800" w:type="dxa"/>
            <w:vAlign w:val="bottom"/>
            <w:gridSpan w:val="2"/>
            <w:shd w:val="clear" w:color="auto" w:fill="000000"/>
          </w:tcPr>
          <w:p>
            <w:pPr>
              <w:spacing w:after="0"/>
              <w:rPr>
                <w:sz w:val="21"/>
                <w:szCs w:val="21"/>
                <w:color w:val="auto"/>
              </w:rPr>
            </w:pPr>
          </w:p>
        </w:tc>
        <w:tc>
          <w:tcPr>
            <w:tcW w:w="200" w:type="dxa"/>
            <w:vAlign w:val="bottom"/>
            <w:shd w:val="clear" w:color="auto" w:fill="000000"/>
          </w:tcPr>
          <w:p>
            <w:pPr>
              <w:spacing w:after="0"/>
              <w:rPr>
                <w:sz w:val="21"/>
                <w:szCs w:val="21"/>
                <w:color w:val="auto"/>
              </w:rPr>
            </w:pPr>
          </w:p>
        </w:tc>
        <w:tc>
          <w:tcPr>
            <w:tcW w:w="700" w:type="dxa"/>
            <w:vAlign w:val="bottom"/>
            <w:shd w:val="clear" w:color="auto" w:fill="000000"/>
          </w:tcPr>
          <w:p>
            <w:pPr>
              <w:spacing w:after="0"/>
              <w:rPr>
                <w:sz w:val="21"/>
                <w:szCs w:val="21"/>
                <w:color w:val="auto"/>
              </w:rPr>
            </w:pPr>
          </w:p>
        </w:tc>
        <w:tc>
          <w:tcPr>
            <w:tcW w:w="220" w:type="dxa"/>
            <w:vAlign w:val="bottom"/>
            <w:shd w:val="clear" w:color="auto" w:fill="000000"/>
          </w:tcPr>
          <w:p>
            <w:pPr>
              <w:spacing w:after="0"/>
              <w:rPr>
                <w:sz w:val="21"/>
                <w:szCs w:val="21"/>
                <w:color w:val="auto"/>
              </w:rPr>
            </w:pPr>
          </w:p>
        </w:tc>
        <w:tc>
          <w:tcPr>
            <w:tcW w:w="680" w:type="dxa"/>
            <w:vAlign w:val="bottom"/>
            <w:gridSpan w:val="2"/>
            <w:shd w:val="clear" w:color="auto" w:fill="000000"/>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4040" w:type="dxa"/>
            <w:vAlign w:val="bottom"/>
          </w:tcPr>
          <w:p>
            <w:pPr>
              <w:spacing w:after="0"/>
              <w:rPr>
                <w:sz w:val="20"/>
                <w:szCs w:val="20"/>
                <w:color w:val="auto"/>
              </w:rPr>
            </w:pPr>
            <w:r>
              <w:rPr>
                <w:rFonts w:ascii="Arial" w:cs="Arial" w:eastAsia="Arial" w:hAnsi="Arial"/>
                <w:sz w:val="18"/>
                <w:szCs w:val="18"/>
                <w:color w:val="auto"/>
                <w:w w:val="95"/>
              </w:rPr>
              <w:t>Benefit obligation, net of plan assets at December 31</w:t>
            </w:r>
          </w:p>
        </w:tc>
        <w:tc>
          <w:tcPr>
            <w:tcW w:w="20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(171 )</w:t>
            </w:r>
          </w:p>
        </w:tc>
        <w:tc>
          <w:tcPr>
            <w:tcW w:w="220" w:type="dxa"/>
            <w:vAlign w:val="bottom"/>
          </w:tcPr>
          <w:p>
            <w:pPr>
              <w:spacing w:after="0"/>
              <w:rPr>
                <w:sz w:val="22"/>
                <w:szCs w:val="22"/>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(150 )</w:t>
            </w:r>
          </w:p>
        </w:tc>
        <w:tc>
          <w:tcPr>
            <w:tcW w:w="20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(80 )</w:t>
            </w:r>
          </w:p>
        </w:tc>
        <w:tc>
          <w:tcPr>
            <w:tcW w:w="220" w:type="dxa"/>
            <w:vAlign w:val="bottom"/>
          </w:tcPr>
          <w:p>
            <w:pPr>
              <w:spacing w:after="0"/>
              <w:rPr>
                <w:sz w:val="22"/>
                <w:szCs w:val="22"/>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(46 )</w:t>
            </w:r>
          </w:p>
        </w:tc>
        <w:tc>
          <w:tcPr>
            <w:tcW w:w="0" w:type="dxa"/>
            <w:vAlign w:val="bottom"/>
          </w:tcPr>
          <w:p>
            <w:pPr>
              <w:spacing w:after="0"/>
              <w:rPr>
                <w:sz w:val="1"/>
                <w:szCs w:val="1"/>
                <w:color w:val="auto"/>
              </w:rPr>
            </w:pPr>
          </w:p>
        </w:tc>
      </w:tr>
      <w:tr>
        <w:trPr>
          <w:trHeight w:val="270"/>
        </w:trPr>
        <w:tc>
          <w:tcPr>
            <w:tcW w:w="4040" w:type="dxa"/>
            <w:vAlign w:val="bottom"/>
          </w:tcPr>
          <w:p>
            <w:pPr>
              <w:spacing w:after="0"/>
              <w:rPr>
                <w:sz w:val="20"/>
                <w:szCs w:val="20"/>
                <w:color w:val="auto"/>
              </w:rPr>
            </w:pPr>
            <w:r>
              <w:rPr>
                <w:rFonts w:ascii="Arial" w:cs="Arial" w:eastAsia="Arial" w:hAnsi="Arial"/>
                <w:sz w:val="18"/>
                <w:szCs w:val="18"/>
                <w:color w:val="auto"/>
              </w:rPr>
              <w:t>Unrecognized net actuarial loss</w:t>
            </w:r>
          </w:p>
        </w:tc>
        <w:tc>
          <w:tcPr>
            <w:tcW w:w="200" w:type="dxa"/>
            <w:vAlign w:val="bottom"/>
          </w:tcPr>
          <w:p>
            <w:pPr>
              <w:spacing w:after="0"/>
              <w:rPr>
                <w:sz w:val="23"/>
                <w:szCs w:val="23"/>
                <w:color w:val="auto"/>
              </w:rPr>
            </w:pPr>
          </w:p>
        </w:tc>
        <w:tc>
          <w:tcPr>
            <w:tcW w:w="720" w:type="dxa"/>
            <w:vAlign w:val="bottom"/>
          </w:tcPr>
          <w:p>
            <w:pPr>
              <w:jc w:val="right"/>
              <w:ind w:right="52"/>
              <w:spacing w:after="0"/>
              <w:rPr>
                <w:sz w:val="20"/>
                <w:szCs w:val="20"/>
                <w:color w:val="auto"/>
              </w:rPr>
            </w:pPr>
            <w:r>
              <w:rPr>
                <w:rFonts w:ascii="Arial" w:cs="Arial" w:eastAsia="Arial" w:hAnsi="Arial"/>
                <w:sz w:val="18"/>
                <w:szCs w:val="18"/>
                <w:color w:val="auto"/>
              </w:rPr>
              <w:t>138</w:t>
            </w:r>
          </w:p>
        </w:tc>
        <w:tc>
          <w:tcPr>
            <w:tcW w:w="22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94</w:t>
            </w:r>
          </w:p>
        </w:tc>
        <w:tc>
          <w:tcPr>
            <w:tcW w:w="2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jc w:val="right"/>
              <w:ind w:right="52"/>
              <w:spacing w:after="0"/>
              <w:rPr>
                <w:sz w:val="20"/>
                <w:szCs w:val="20"/>
                <w:color w:val="auto"/>
              </w:rPr>
            </w:pPr>
            <w:r>
              <w:rPr>
                <w:rFonts w:ascii="Arial" w:cs="Arial" w:eastAsia="Arial" w:hAnsi="Arial"/>
                <w:sz w:val="18"/>
                <w:szCs w:val="18"/>
                <w:color w:val="auto"/>
              </w:rPr>
              <w:t>1</w:t>
            </w:r>
          </w:p>
        </w:tc>
        <w:tc>
          <w:tcPr>
            <w:tcW w:w="22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040" w:type="dxa"/>
            <w:vAlign w:val="bottom"/>
          </w:tcPr>
          <w:p>
            <w:pPr>
              <w:spacing w:after="0"/>
              <w:rPr>
                <w:sz w:val="20"/>
                <w:szCs w:val="20"/>
                <w:color w:val="auto"/>
              </w:rPr>
            </w:pPr>
            <w:r>
              <w:rPr>
                <w:rFonts w:ascii="Arial" w:cs="Arial" w:eastAsia="Arial" w:hAnsi="Arial"/>
                <w:sz w:val="18"/>
                <w:szCs w:val="18"/>
                <w:color w:val="auto"/>
              </w:rPr>
              <w:t>Unrecognized prior service cost</w:t>
            </w:r>
          </w:p>
        </w:tc>
        <w:tc>
          <w:tcPr>
            <w:tcW w:w="200" w:type="dxa"/>
            <w:vAlign w:val="bottom"/>
          </w:tcPr>
          <w:p>
            <w:pPr>
              <w:spacing w:after="0"/>
              <w:rPr>
                <w:sz w:val="23"/>
                <w:szCs w:val="23"/>
                <w:color w:val="auto"/>
              </w:rPr>
            </w:pPr>
          </w:p>
        </w:tc>
        <w:tc>
          <w:tcPr>
            <w:tcW w:w="720" w:type="dxa"/>
            <w:vAlign w:val="bottom"/>
          </w:tcPr>
          <w:p>
            <w:pPr>
              <w:jc w:val="right"/>
              <w:ind w:right="52"/>
              <w:spacing w:after="0"/>
              <w:rPr>
                <w:sz w:val="20"/>
                <w:szCs w:val="20"/>
                <w:color w:val="auto"/>
              </w:rPr>
            </w:pPr>
            <w:r>
              <w:rPr>
                <w:rFonts w:ascii="Arial" w:cs="Arial" w:eastAsia="Arial" w:hAnsi="Arial"/>
                <w:sz w:val="18"/>
                <w:szCs w:val="18"/>
                <w:color w:val="auto"/>
              </w:rPr>
              <w:t>4</w:t>
            </w:r>
          </w:p>
        </w:tc>
        <w:tc>
          <w:tcPr>
            <w:tcW w:w="22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w:t>
            </w:r>
          </w:p>
        </w:tc>
        <w:tc>
          <w:tcPr>
            <w:tcW w:w="2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jc w:val="right"/>
              <w:ind w:right="52"/>
              <w:spacing w:after="0"/>
              <w:rPr>
                <w:sz w:val="20"/>
                <w:szCs w:val="20"/>
                <w:color w:val="auto"/>
              </w:rPr>
            </w:pPr>
            <w:r>
              <w:rPr>
                <w:rFonts w:ascii="Arial" w:cs="Arial" w:eastAsia="Arial" w:hAnsi="Arial"/>
                <w:sz w:val="18"/>
                <w:szCs w:val="18"/>
                <w:color w:val="auto"/>
              </w:rPr>
              <w:t>46</w:t>
            </w:r>
          </w:p>
        </w:tc>
        <w:tc>
          <w:tcPr>
            <w:tcW w:w="220" w:type="dxa"/>
            <w:vAlign w:val="bottom"/>
          </w:tcPr>
          <w:p>
            <w:pPr>
              <w:spacing w:after="0"/>
              <w:rPr>
                <w:sz w:val="23"/>
                <w:szCs w:val="23"/>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(7 )</w:t>
            </w:r>
          </w:p>
        </w:tc>
        <w:tc>
          <w:tcPr>
            <w:tcW w:w="0" w:type="dxa"/>
            <w:vAlign w:val="bottom"/>
          </w:tcPr>
          <w:p>
            <w:pPr>
              <w:spacing w:after="0"/>
              <w:rPr>
                <w:sz w:val="1"/>
                <w:szCs w:val="1"/>
                <w:color w:val="auto"/>
              </w:rPr>
            </w:pPr>
          </w:p>
        </w:tc>
      </w:tr>
      <w:tr>
        <w:trPr>
          <w:trHeight w:val="259"/>
        </w:trPr>
        <w:tc>
          <w:tcPr>
            <w:tcW w:w="4040" w:type="dxa"/>
            <w:vAlign w:val="bottom"/>
            <w:vMerge w:val="restart"/>
          </w:tcPr>
          <w:p>
            <w:pPr>
              <w:spacing w:after="0"/>
              <w:rPr>
                <w:sz w:val="20"/>
                <w:szCs w:val="20"/>
                <w:color w:val="auto"/>
              </w:rPr>
            </w:pPr>
            <w:r>
              <w:rPr>
                <w:rFonts w:ascii="Arial" w:cs="Arial" w:eastAsia="Arial" w:hAnsi="Arial"/>
                <w:sz w:val="18"/>
                <w:szCs w:val="18"/>
                <w:color w:val="auto"/>
              </w:rPr>
              <w:t>Net recorded liability at December 31</w:t>
            </w:r>
          </w:p>
        </w:tc>
        <w:tc>
          <w:tcPr>
            <w:tcW w:w="200" w:type="dxa"/>
            <w:vAlign w:val="bottom"/>
            <w:shd w:val="clear" w:color="auto" w:fill="000000"/>
          </w:tcPr>
          <w:p>
            <w:pPr>
              <w:spacing w:after="0"/>
              <w:rPr>
                <w:sz w:val="22"/>
                <w:szCs w:val="22"/>
                <w:color w:val="auto"/>
              </w:rPr>
            </w:pPr>
          </w:p>
        </w:tc>
        <w:tc>
          <w:tcPr>
            <w:tcW w:w="720" w:type="dxa"/>
            <w:vAlign w:val="bottom"/>
            <w:shd w:val="clear" w:color="auto" w:fill="000000"/>
          </w:tcPr>
          <w:p>
            <w:pPr>
              <w:spacing w:after="0"/>
              <w:rPr>
                <w:sz w:val="22"/>
                <w:szCs w:val="22"/>
                <w:color w:val="auto"/>
              </w:rPr>
            </w:pPr>
          </w:p>
        </w:tc>
        <w:tc>
          <w:tcPr>
            <w:tcW w:w="220" w:type="dxa"/>
            <w:vAlign w:val="bottom"/>
            <w:shd w:val="clear" w:color="auto" w:fill="000000"/>
          </w:tcPr>
          <w:p>
            <w:pPr>
              <w:spacing w:after="0"/>
              <w:rPr>
                <w:sz w:val="22"/>
                <w:szCs w:val="22"/>
                <w:color w:val="auto"/>
              </w:rPr>
            </w:pPr>
          </w:p>
        </w:tc>
        <w:tc>
          <w:tcPr>
            <w:tcW w:w="800" w:type="dxa"/>
            <w:vAlign w:val="bottom"/>
            <w:gridSpan w:val="2"/>
            <w:shd w:val="clear" w:color="auto" w:fill="000000"/>
          </w:tcPr>
          <w:p>
            <w:pPr>
              <w:spacing w:after="0"/>
              <w:rPr>
                <w:sz w:val="22"/>
                <w:szCs w:val="22"/>
                <w:color w:val="auto"/>
              </w:rPr>
            </w:pPr>
          </w:p>
        </w:tc>
        <w:tc>
          <w:tcPr>
            <w:tcW w:w="200" w:type="dxa"/>
            <w:vAlign w:val="bottom"/>
            <w:shd w:val="clear" w:color="auto" w:fill="000000"/>
          </w:tcPr>
          <w:p>
            <w:pPr>
              <w:spacing w:after="0"/>
              <w:rPr>
                <w:sz w:val="22"/>
                <w:szCs w:val="22"/>
                <w:color w:val="auto"/>
              </w:rPr>
            </w:pPr>
          </w:p>
        </w:tc>
        <w:tc>
          <w:tcPr>
            <w:tcW w:w="700" w:type="dxa"/>
            <w:vAlign w:val="bottom"/>
            <w:shd w:val="clear" w:color="auto" w:fill="000000"/>
          </w:tcPr>
          <w:p>
            <w:pPr>
              <w:spacing w:after="0"/>
              <w:rPr>
                <w:sz w:val="22"/>
                <w:szCs w:val="22"/>
                <w:color w:val="auto"/>
              </w:rPr>
            </w:pPr>
          </w:p>
        </w:tc>
        <w:tc>
          <w:tcPr>
            <w:tcW w:w="220" w:type="dxa"/>
            <w:vAlign w:val="bottom"/>
            <w:shd w:val="clear" w:color="auto" w:fill="000000"/>
          </w:tcPr>
          <w:p>
            <w:pPr>
              <w:spacing w:after="0"/>
              <w:rPr>
                <w:sz w:val="22"/>
                <w:szCs w:val="22"/>
                <w:color w:val="auto"/>
              </w:rPr>
            </w:pPr>
          </w:p>
        </w:tc>
        <w:tc>
          <w:tcPr>
            <w:tcW w:w="680" w:type="dxa"/>
            <w:vAlign w:val="bottom"/>
            <w:gridSpan w:val="2"/>
            <w:shd w:val="clear" w:color="auto" w:fill="000000"/>
          </w:tcPr>
          <w:p>
            <w:pPr>
              <w:spacing w:after="0"/>
              <w:rPr>
                <w:sz w:val="22"/>
                <w:szCs w:val="22"/>
                <w:color w:val="auto"/>
              </w:rPr>
            </w:pPr>
          </w:p>
        </w:tc>
        <w:tc>
          <w:tcPr>
            <w:tcW w:w="0" w:type="dxa"/>
            <w:vAlign w:val="bottom"/>
          </w:tcPr>
          <w:p>
            <w:pPr>
              <w:spacing w:after="0"/>
              <w:rPr>
                <w:sz w:val="1"/>
                <w:szCs w:val="1"/>
                <w:color w:val="auto"/>
              </w:rPr>
            </w:pPr>
          </w:p>
        </w:tc>
      </w:tr>
      <w:tr>
        <w:trPr>
          <w:trHeight w:val="235"/>
        </w:trPr>
        <w:tc>
          <w:tcPr>
            <w:tcW w:w="4040" w:type="dxa"/>
            <w:vAlign w:val="bottom"/>
            <w:vMerge w:val="continue"/>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(29 )</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(49 )</w:t>
            </w:r>
          </w:p>
        </w:tc>
        <w:tc>
          <w:tcPr>
            <w:tcW w:w="200" w:type="dxa"/>
            <w:vAlign w:val="bottom"/>
          </w:tcPr>
          <w:p>
            <w:pPr>
              <w:ind w:left="4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(33 )</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(34 )</w:t>
            </w:r>
          </w:p>
        </w:tc>
        <w:tc>
          <w:tcPr>
            <w:tcW w:w="0" w:type="dxa"/>
            <w:vAlign w:val="bottom"/>
          </w:tcPr>
          <w:p>
            <w:pPr>
              <w:spacing w:after="0"/>
              <w:rPr>
                <w:sz w:val="1"/>
                <w:szCs w:val="1"/>
                <w:color w:val="auto"/>
              </w:rPr>
            </w:pPr>
          </w:p>
        </w:tc>
      </w:tr>
      <w:tr>
        <w:trPr>
          <w:trHeight w:val="251"/>
        </w:trPr>
        <w:tc>
          <w:tcPr>
            <w:tcW w:w="4040" w:type="dxa"/>
            <w:vAlign w:val="bottom"/>
            <w:shd w:val="clear" w:color="auto" w:fill="000000"/>
          </w:tcPr>
          <w:p>
            <w:pPr>
              <w:spacing w:after="0"/>
              <w:rPr>
                <w:sz w:val="21"/>
                <w:szCs w:val="21"/>
                <w:color w:val="auto"/>
              </w:rPr>
            </w:pPr>
          </w:p>
        </w:tc>
        <w:tc>
          <w:tcPr>
            <w:tcW w:w="200" w:type="dxa"/>
            <w:vAlign w:val="bottom"/>
            <w:shd w:val="clear" w:color="auto" w:fill="000000"/>
          </w:tcPr>
          <w:p>
            <w:pPr>
              <w:spacing w:after="0"/>
              <w:rPr>
                <w:sz w:val="21"/>
                <w:szCs w:val="21"/>
                <w:color w:val="auto"/>
              </w:rPr>
            </w:pPr>
          </w:p>
        </w:tc>
        <w:tc>
          <w:tcPr>
            <w:tcW w:w="720" w:type="dxa"/>
            <w:vAlign w:val="bottom"/>
            <w:shd w:val="clear" w:color="auto" w:fill="000000"/>
          </w:tcPr>
          <w:p>
            <w:pPr>
              <w:spacing w:after="0"/>
              <w:rPr>
                <w:sz w:val="21"/>
                <w:szCs w:val="21"/>
                <w:color w:val="auto"/>
              </w:rPr>
            </w:pPr>
          </w:p>
        </w:tc>
        <w:tc>
          <w:tcPr>
            <w:tcW w:w="220" w:type="dxa"/>
            <w:vAlign w:val="bottom"/>
            <w:shd w:val="clear" w:color="auto" w:fill="000000"/>
          </w:tcPr>
          <w:p>
            <w:pPr>
              <w:spacing w:after="0"/>
              <w:rPr>
                <w:sz w:val="21"/>
                <w:szCs w:val="21"/>
                <w:color w:val="auto"/>
              </w:rPr>
            </w:pPr>
          </w:p>
        </w:tc>
        <w:tc>
          <w:tcPr>
            <w:tcW w:w="580" w:type="dxa"/>
            <w:vAlign w:val="bottom"/>
            <w:shd w:val="clear" w:color="auto" w:fill="000000"/>
          </w:tcPr>
          <w:p>
            <w:pPr>
              <w:spacing w:after="0"/>
              <w:rPr>
                <w:sz w:val="21"/>
                <w:szCs w:val="21"/>
                <w:color w:val="auto"/>
              </w:rPr>
            </w:pPr>
          </w:p>
        </w:tc>
        <w:tc>
          <w:tcPr>
            <w:tcW w:w="220" w:type="dxa"/>
            <w:vAlign w:val="bottom"/>
            <w:shd w:val="clear" w:color="auto" w:fill="000000"/>
          </w:tcPr>
          <w:p>
            <w:pPr>
              <w:spacing w:after="0"/>
              <w:rPr>
                <w:sz w:val="21"/>
                <w:szCs w:val="21"/>
                <w:color w:val="auto"/>
              </w:rPr>
            </w:pPr>
          </w:p>
        </w:tc>
        <w:tc>
          <w:tcPr>
            <w:tcW w:w="200" w:type="dxa"/>
            <w:vAlign w:val="bottom"/>
            <w:shd w:val="clear" w:color="auto" w:fill="000000"/>
          </w:tcPr>
          <w:p>
            <w:pPr>
              <w:spacing w:after="0"/>
              <w:rPr>
                <w:sz w:val="21"/>
                <w:szCs w:val="21"/>
                <w:color w:val="auto"/>
              </w:rPr>
            </w:pPr>
          </w:p>
        </w:tc>
        <w:tc>
          <w:tcPr>
            <w:tcW w:w="700" w:type="dxa"/>
            <w:vAlign w:val="bottom"/>
            <w:shd w:val="clear" w:color="auto" w:fill="000000"/>
          </w:tcPr>
          <w:p>
            <w:pPr>
              <w:spacing w:after="0"/>
              <w:rPr>
                <w:sz w:val="21"/>
                <w:szCs w:val="21"/>
                <w:color w:val="auto"/>
              </w:rPr>
            </w:pPr>
          </w:p>
        </w:tc>
        <w:tc>
          <w:tcPr>
            <w:tcW w:w="220" w:type="dxa"/>
            <w:vAlign w:val="bottom"/>
            <w:shd w:val="clear" w:color="auto" w:fill="000000"/>
          </w:tcPr>
          <w:p>
            <w:pPr>
              <w:spacing w:after="0"/>
              <w:rPr>
                <w:sz w:val="21"/>
                <w:szCs w:val="21"/>
                <w:color w:val="auto"/>
              </w:rPr>
            </w:pPr>
          </w:p>
        </w:tc>
        <w:tc>
          <w:tcPr>
            <w:tcW w:w="580" w:type="dxa"/>
            <w:vAlign w:val="bottom"/>
            <w:shd w:val="clear" w:color="auto" w:fill="000000"/>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38" w:lineRule="exact"/>
        <w:rPr>
          <w:sz w:val="20"/>
          <w:szCs w:val="20"/>
          <w:color w:val="auto"/>
        </w:rPr>
      </w:pPr>
    </w:p>
    <w:p>
      <w:pPr>
        <w:spacing w:after="0" w:line="248" w:lineRule="auto"/>
        <w:rPr>
          <w:sz w:val="20"/>
          <w:szCs w:val="20"/>
          <w:color w:val="auto"/>
        </w:rPr>
      </w:pPr>
      <w:r>
        <w:rPr>
          <w:rFonts w:ascii="Arial" w:cs="Arial" w:eastAsia="Arial" w:hAnsi="Arial"/>
          <w:sz w:val="21"/>
          <w:szCs w:val="21"/>
          <w:color w:val="auto"/>
        </w:rPr>
        <w:t>The assets and liabilities of the pension and other postretirement benefit plans are affected by changing market conditions as well as when actual plan experience is different than assumed. Such events result in gains and losses. Investment gains and losses are deferred and recognized in pension and postretirement benefit costs over a period of years. If, as of the beginning of a year, unrecognized net gain or loss exceeds 10 percent of the greater of the projected benefit obligation or the market-related value of plan assets, the excess is amortized over the average remaining service period of active participants. The 10-percent corridor accounting method helps mitigate volatility of net periodic costs from year to year.</w:t>
      </w:r>
    </w:p>
    <w:p>
      <w:pPr>
        <w:spacing w:after="0" w:line="177" w:lineRule="exact"/>
        <w:rPr>
          <w:sz w:val="20"/>
          <w:szCs w:val="20"/>
          <w:color w:val="auto"/>
        </w:rPr>
      </w:pPr>
    </w:p>
    <w:p>
      <w:pPr>
        <w:spacing w:after="0"/>
        <w:rPr>
          <w:sz w:val="20"/>
          <w:szCs w:val="20"/>
          <w:color w:val="auto"/>
        </w:rPr>
      </w:pPr>
      <w:r>
        <w:rPr>
          <w:rFonts w:ascii="Arial" w:cs="Arial" w:eastAsia="Arial" w:hAnsi="Arial"/>
          <w:sz w:val="22"/>
          <w:szCs w:val="22"/>
          <w:color w:val="auto"/>
        </w:rPr>
        <w:t>The net liability is recorded on the Consolidated Balance Sheets as follows:</w:t>
      </w:r>
    </w:p>
    <w:p>
      <w:pPr>
        <w:spacing w:after="0" w:line="314" w:lineRule="exact"/>
        <w:rPr>
          <w:sz w:val="20"/>
          <w:szCs w:val="20"/>
          <w:color w:val="auto"/>
        </w:rPr>
      </w:pPr>
    </w:p>
    <w:tbl>
      <w:tblPr>
        <w:tblLayout w:type="fixed"/>
        <w:tblInd w:w="1840" w:type="dxa"/>
        <w:tblCellMar>
          <w:top w:w="0" w:type="dxa"/>
          <w:left w:w="0" w:type="dxa"/>
          <w:bottom w:w="0" w:type="dxa"/>
          <w:right w:w="0" w:type="dxa"/>
        </w:tblCellMar>
      </w:tblPr>
      <w:tr>
        <w:trPr>
          <w:trHeight w:val="216"/>
        </w:trPr>
        <w:tc>
          <w:tcPr>
            <w:tcW w:w="2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Other</w:t>
            </w:r>
          </w:p>
        </w:tc>
        <w:tc>
          <w:tcPr>
            <w:tcW w:w="2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7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340" w:type="dxa"/>
            <w:vAlign w:val="bottom"/>
            <w:gridSpan w:val="4"/>
          </w:tcPr>
          <w:p>
            <w:pPr>
              <w:jc w:val="right"/>
              <w:ind w:right="900"/>
              <w:spacing w:after="0"/>
              <w:rPr>
                <w:sz w:val="20"/>
                <w:szCs w:val="20"/>
                <w:color w:val="auto"/>
              </w:rPr>
            </w:pPr>
            <w:r>
              <w:rPr>
                <w:rFonts w:ascii="Arial" w:cs="Arial" w:eastAsia="Arial" w:hAnsi="Arial"/>
                <w:sz w:val="18"/>
                <w:szCs w:val="18"/>
                <w:color w:val="auto"/>
              </w:rPr>
              <w:t>Pension Benefits</w:t>
            </w:r>
          </w:p>
        </w:tc>
        <w:tc>
          <w:tcPr>
            <w:tcW w:w="240" w:type="dxa"/>
            <w:vAlign w:val="bottom"/>
          </w:tcPr>
          <w:p>
            <w:pPr>
              <w:spacing w:after="0"/>
              <w:rPr>
                <w:sz w:val="20"/>
                <w:szCs w:val="20"/>
                <w:color w:val="auto"/>
              </w:rPr>
            </w:pPr>
          </w:p>
        </w:tc>
        <w:tc>
          <w:tcPr>
            <w:tcW w:w="2160" w:type="dxa"/>
            <w:vAlign w:val="bottom"/>
            <w:gridSpan w:val="4"/>
          </w:tcPr>
          <w:p>
            <w:pPr>
              <w:jc w:val="right"/>
              <w:ind w:right="420"/>
              <w:spacing w:after="0"/>
              <w:rPr>
                <w:sz w:val="20"/>
                <w:szCs w:val="20"/>
                <w:color w:val="auto"/>
              </w:rPr>
            </w:pPr>
            <w:r>
              <w:rPr>
                <w:rFonts w:ascii="Arial" w:cs="Arial" w:eastAsia="Arial" w:hAnsi="Arial"/>
                <w:sz w:val="18"/>
                <w:szCs w:val="18"/>
                <w:color w:val="auto"/>
                <w:w w:val="91"/>
              </w:rPr>
              <w:t>Postretirement Benefits</w:t>
            </w:r>
          </w:p>
        </w:tc>
        <w:tc>
          <w:tcPr>
            <w:tcW w:w="0" w:type="dxa"/>
            <w:vAlign w:val="bottom"/>
          </w:tcPr>
          <w:p>
            <w:pPr>
              <w:spacing w:after="0"/>
              <w:rPr>
                <w:sz w:val="1"/>
                <w:szCs w:val="1"/>
                <w:color w:val="auto"/>
              </w:rPr>
            </w:pPr>
          </w:p>
        </w:tc>
      </w:tr>
      <w:tr>
        <w:trPr>
          <w:trHeight w:val="251"/>
        </w:trPr>
        <w:tc>
          <w:tcPr>
            <w:tcW w:w="2700" w:type="dxa"/>
            <w:vAlign w:val="bottom"/>
          </w:tcPr>
          <w:p>
            <w:pPr>
              <w:spacing w:after="0"/>
              <w:rPr>
                <w:sz w:val="21"/>
                <w:szCs w:val="21"/>
                <w:color w:val="auto"/>
              </w:rPr>
            </w:pPr>
          </w:p>
        </w:tc>
        <w:tc>
          <w:tcPr>
            <w:tcW w:w="240" w:type="dxa"/>
            <w:vAlign w:val="bottom"/>
            <w:shd w:val="clear" w:color="auto" w:fill="000000"/>
          </w:tcPr>
          <w:p>
            <w:pPr>
              <w:spacing w:after="0"/>
              <w:rPr>
                <w:sz w:val="21"/>
                <w:szCs w:val="21"/>
                <w:color w:val="auto"/>
              </w:rPr>
            </w:pPr>
          </w:p>
        </w:tc>
        <w:tc>
          <w:tcPr>
            <w:tcW w:w="900" w:type="dxa"/>
            <w:vAlign w:val="bottom"/>
            <w:shd w:val="clear" w:color="auto" w:fill="000000"/>
          </w:tcPr>
          <w:p>
            <w:pPr>
              <w:spacing w:after="0"/>
              <w:rPr>
                <w:sz w:val="21"/>
                <w:szCs w:val="21"/>
                <w:color w:val="auto"/>
              </w:rPr>
            </w:pPr>
          </w:p>
        </w:tc>
        <w:tc>
          <w:tcPr>
            <w:tcW w:w="340" w:type="dxa"/>
            <w:vAlign w:val="bottom"/>
            <w:shd w:val="clear" w:color="auto" w:fill="000000"/>
          </w:tcPr>
          <w:p>
            <w:pPr>
              <w:spacing w:after="0"/>
              <w:rPr>
                <w:sz w:val="21"/>
                <w:szCs w:val="21"/>
                <w:color w:val="auto"/>
              </w:rPr>
            </w:pPr>
          </w:p>
        </w:tc>
        <w:tc>
          <w:tcPr>
            <w:tcW w:w="720" w:type="dxa"/>
            <w:vAlign w:val="bottom"/>
            <w:shd w:val="clear" w:color="auto" w:fill="000000"/>
          </w:tcPr>
          <w:p>
            <w:pPr>
              <w:spacing w:after="0"/>
              <w:rPr>
                <w:sz w:val="21"/>
                <w:szCs w:val="21"/>
                <w:color w:val="auto"/>
              </w:rPr>
            </w:pPr>
          </w:p>
        </w:tc>
        <w:tc>
          <w:tcPr>
            <w:tcW w:w="380" w:type="dxa"/>
            <w:vAlign w:val="bottom"/>
          </w:tcPr>
          <w:p>
            <w:pPr>
              <w:spacing w:after="0"/>
              <w:rPr>
                <w:sz w:val="21"/>
                <w:szCs w:val="21"/>
                <w:color w:val="auto"/>
              </w:rPr>
            </w:pPr>
          </w:p>
        </w:tc>
        <w:tc>
          <w:tcPr>
            <w:tcW w:w="240" w:type="dxa"/>
            <w:vAlign w:val="bottom"/>
            <w:shd w:val="clear" w:color="auto" w:fill="000000"/>
          </w:tcPr>
          <w:p>
            <w:pPr>
              <w:spacing w:after="0"/>
              <w:rPr>
                <w:sz w:val="21"/>
                <w:szCs w:val="21"/>
                <w:color w:val="auto"/>
              </w:rPr>
            </w:pPr>
          </w:p>
        </w:tc>
        <w:tc>
          <w:tcPr>
            <w:tcW w:w="1120" w:type="dxa"/>
            <w:vAlign w:val="bottom"/>
            <w:shd w:val="clear" w:color="auto" w:fill="000000"/>
          </w:tcPr>
          <w:p>
            <w:pPr>
              <w:spacing w:after="0"/>
              <w:rPr>
                <w:sz w:val="21"/>
                <w:szCs w:val="21"/>
                <w:color w:val="auto"/>
              </w:rPr>
            </w:pPr>
          </w:p>
        </w:tc>
        <w:tc>
          <w:tcPr>
            <w:tcW w:w="240" w:type="dxa"/>
            <w:vAlign w:val="bottom"/>
            <w:shd w:val="clear" w:color="auto" w:fill="000000"/>
          </w:tcPr>
          <w:p>
            <w:pPr>
              <w:spacing w:after="0"/>
              <w:rPr>
                <w:sz w:val="21"/>
                <w:szCs w:val="21"/>
                <w:color w:val="auto"/>
              </w:rPr>
            </w:pPr>
          </w:p>
        </w:tc>
        <w:tc>
          <w:tcPr>
            <w:tcW w:w="720" w:type="dxa"/>
            <w:vAlign w:val="bottom"/>
            <w:shd w:val="clear" w:color="auto" w:fill="000000"/>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2"/>
        </w:trPr>
        <w:tc>
          <w:tcPr>
            <w:tcW w:w="2700" w:type="dxa"/>
            <w:vAlign w:val="bottom"/>
          </w:tcPr>
          <w:p>
            <w:pPr>
              <w:spacing w:after="0"/>
              <w:rPr>
                <w:sz w:val="20"/>
                <w:szCs w:val="20"/>
                <w:color w:val="auto"/>
              </w:rPr>
            </w:pPr>
            <w:r>
              <w:rPr>
                <w:rFonts w:ascii="Arial" w:cs="Arial" w:eastAsia="Arial" w:hAnsi="Arial"/>
                <w:sz w:val="18"/>
                <w:szCs w:val="18"/>
                <w:color w:val="auto"/>
              </w:rPr>
              <w:t>(Dollars in millions)</w:t>
            </w:r>
          </w:p>
        </w:tc>
        <w:tc>
          <w:tcPr>
            <w:tcW w:w="240" w:type="dxa"/>
            <w:vAlign w:val="bottom"/>
          </w:tcPr>
          <w:p>
            <w:pPr>
              <w:spacing w:after="0"/>
              <w:rPr>
                <w:sz w:val="22"/>
                <w:szCs w:val="22"/>
                <w:color w:val="auto"/>
              </w:rPr>
            </w:pPr>
          </w:p>
        </w:tc>
        <w:tc>
          <w:tcPr>
            <w:tcW w:w="900" w:type="dxa"/>
            <w:vAlign w:val="bottom"/>
          </w:tcPr>
          <w:p>
            <w:pPr>
              <w:jc w:val="right"/>
              <w:ind w:right="352"/>
              <w:spacing w:after="0"/>
              <w:rPr>
                <w:sz w:val="20"/>
                <w:szCs w:val="20"/>
                <w:color w:val="auto"/>
              </w:rPr>
            </w:pPr>
            <w:r>
              <w:rPr>
                <w:rFonts w:ascii="Arial" w:cs="Arial" w:eastAsia="Arial" w:hAnsi="Arial"/>
                <w:sz w:val="18"/>
                <w:szCs w:val="18"/>
                <w:color w:val="auto"/>
              </w:rPr>
              <w:t>2005</w:t>
            </w:r>
          </w:p>
        </w:tc>
        <w:tc>
          <w:tcPr>
            <w:tcW w:w="340" w:type="dxa"/>
            <w:vAlign w:val="bottom"/>
          </w:tcPr>
          <w:p>
            <w:pPr>
              <w:spacing w:after="0"/>
              <w:rPr>
                <w:sz w:val="22"/>
                <w:szCs w:val="22"/>
                <w:color w:val="auto"/>
              </w:rPr>
            </w:pPr>
          </w:p>
        </w:tc>
        <w:tc>
          <w:tcPr>
            <w:tcW w:w="720" w:type="dxa"/>
            <w:vAlign w:val="bottom"/>
          </w:tcPr>
          <w:p>
            <w:pPr>
              <w:jc w:val="right"/>
              <w:ind w:right="152"/>
              <w:spacing w:after="0"/>
              <w:rPr>
                <w:sz w:val="20"/>
                <w:szCs w:val="20"/>
                <w:color w:val="auto"/>
              </w:rPr>
            </w:pPr>
            <w:r>
              <w:rPr>
                <w:rFonts w:ascii="Arial" w:cs="Arial" w:eastAsia="Arial" w:hAnsi="Arial"/>
                <w:sz w:val="18"/>
                <w:szCs w:val="18"/>
                <w:color w:val="auto"/>
              </w:rPr>
              <w:t>2004</w:t>
            </w:r>
          </w:p>
        </w:tc>
        <w:tc>
          <w:tcPr>
            <w:tcW w:w="3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20" w:type="dxa"/>
            <w:vAlign w:val="bottom"/>
          </w:tcPr>
          <w:p>
            <w:pPr>
              <w:jc w:val="right"/>
              <w:ind w:right="472"/>
              <w:spacing w:after="0"/>
              <w:rPr>
                <w:sz w:val="20"/>
                <w:szCs w:val="20"/>
                <w:color w:val="auto"/>
              </w:rPr>
            </w:pPr>
            <w:r>
              <w:rPr>
                <w:rFonts w:ascii="Arial" w:cs="Arial" w:eastAsia="Arial" w:hAnsi="Arial"/>
                <w:sz w:val="18"/>
                <w:szCs w:val="18"/>
                <w:color w:val="auto"/>
              </w:rPr>
              <w:t>2005</w:t>
            </w:r>
          </w:p>
        </w:tc>
        <w:tc>
          <w:tcPr>
            <w:tcW w:w="240" w:type="dxa"/>
            <w:vAlign w:val="bottom"/>
          </w:tcPr>
          <w:p>
            <w:pPr>
              <w:spacing w:after="0"/>
              <w:rPr>
                <w:sz w:val="22"/>
                <w:szCs w:val="22"/>
                <w:color w:val="auto"/>
              </w:rPr>
            </w:pPr>
          </w:p>
        </w:tc>
        <w:tc>
          <w:tcPr>
            <w:tcW w:w="720" w:type="dxa"/>
            <w:vAlign w:val="bottom"/>
          </w:tcPr>
          <w:p>
            <w:pPr>
              <w:jc w:val="right"/>
              <w:ind w:right="152"/>
              <w:spacing w:after="0"/>
              <w:rPr>
                <w:sz w:val="20"/>
                <w:szCs w:val="20"/>
                <w:color w:val="auto"/>
              </w:rPr>
            </w:pPr>
            <w:r>
              <w:rPr>
                <w:rFonts w:ascii="Arial" w:cs="Arial" w:eastAsia="Arial" w:hAnsi="Arial"/>
                <w:sz w:val="18"/>
                <w:szCs w:val="18"/>
                <w:color w:val="auto"/>
              </w:rPr>
              <w:t>2004</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1"/>
        </w:trPr>
        <w:tc>
          <w:tcPr>
            <w:tcW w:w="2700" w:type="dxa"/>
            <w:vAlign w:val="bottom"/>
            <w:shd w:val="clear" w:color="auto" w:fill="000000"/>
          </w:tcPr>
          <w:p>
            <w:pPr>
              <w:spacing w:after="0"/>
              <w:rPr>
                <w:sz w:val="21"/>
                <w:szCs w:val="21"/>
                <w:color w:val="auto"/>
              </w:rPr>
            </w:pPr>
          </w:p>
        </w:tc>
        <w:tc>
          <w:tcPr>
            <w:tcW w:w="240" w:type="dxa"/>
            <w:vAlign w:val="bottom"/>
            <w:shd w:val="clear" w:color="auto" w:fill="000000"/>
          </w:tcPr>
          <w:p>
            <w:pPr>
              <w:spacing w:after="0"/>
              <w:rPr>
                <w:sz w:val="21"/>
                <w:szCs w:val="21"/>
                <w:color w:val="auto"/>
              </w:rPr>
            </w:pPr>
          </w:p>
        </w:tc>
        <w:tc>
          <w:tcPr>
            <w:tcW w:w="900" w:type="dxa"/>
            <w:vAlign w:val="bottom"/>
            <w:shd w:val="clear" w:color="auto" w:fill="000000"/>
          </w:tcPr>
          <w:p>
            <w:pPr>
              <w:spacing w:after="0"/>
              <w:rPr>
                <w:sz w:val="21"/>
                <w:szCs w:val="21"/>
                <w:color w:val="auto"/>
              </w:rPr>
            </w:pPr>
          </w:p>
        </w:tc>
        <w:tc>
          <w:tcPr>
            <w:tcW w:w="340" w:type="dxa"/>
            <w:vAlign w:val="bottom"/>
            <w:shd w:val="clear" w:color="auto" w:fill="000000"/>
          </w:tcPr>
          <w:p>
            <w:pPr>
              <w:spacing w:after="0"/>
              <w:rPr>
                <w:sz w:val="21"/>
                <w:szCs w:val="21"/>
                <w:color w:val="auto"/>
              </w:rPr>
            </w:pPr>
          </w:p>
        </w:tc>
        <w:tc>
          <w:tcPr>
            <w:tcW w:w="720" w:type="dxa"/>
            <w:vAlign w:val="bottom"/>
            <w:shd w:val="clear" w:color="auto" w:fill="000000"/>
          </w:tcPr>
          <w:p>
            <w:pPr>
              <w:spacing w:after="0"/>
              <w:rPr>
                <w:sz w:val="21"/>
                <w:szCs w:val="21"/>
                <w:color w:val="auto"/>
              </w:rPr>
            </w:pPr>
          </w:p>
        </w:tc>
        <w:tc>
          <w:tcPr>
            <w:tcW w:w="380" w:type="dxa"/>
            <w:vAlign w:val="bottom"/>
            <w:shd w:val="clear" w:color="auto" w:fill="000000"/>
          </w:tcPr>
          <w:p>
            <w:pPr>
              <w:spacing w:after="0"/>
              <w:rPr>
                <w:sz w:val="21"/>
                <w:szCs w:val="21"/>
                <w:color w:val="auto"/>
              </w:rPr>
            </w:pPr>
          </w:p>
        </w:tc>
        <w:tc>
          <w:tcPr>
            <w:tcW w:w="240" w:type="dxa"/>
            <w:vAlign w:val="bottom"/>
            <w:shd w:val="clear" w:color="auto" w:fill="000000"/>
          </w:tcPr>
          <w:p>
            <w:pPr>
              <w:spacing w:after="0"/>
              <w:rPr>
                <w:sz w:val="21"/>
                <w:szCs w:val="21"/>
                <w:color w:val="auto"/>
              </w:rPr>
            </w:pPr>
          </w:p>
        </w:tc>
        <w:tc>
          <w:tcPr>
            <w:tcW w:w="1120" w:type="dxa"/>
            <w:vAlign w:val="bottom"/>
            <w:shd w:val="clear" w:color="auto" w:fill="000000"/>
          </w:tcPr>
          <w:p>
            <w:pPr>
              <w:spacing w:after="0"/>
              <w:rPr>
                <w:sz w:val="21"/>
                <w:szCs w:val="21"/>
                <w:color w:val="auto"/>
              </w:rPr>
            </w:pPr>
          </w:p>
        </w:tc>
        <w:tc>
          <w:tcPr>
            <w:tcW w:w="240" w:type="dxa"/>
            <w:vAlign w:val="bottom"/>
            <w:shd w:val="clear" w:color="auto" w:fill="000000"/>
          </w:tcPr>
          <w:p>
            <w:pPr>
              <w:spacing w:after="0"/>
              <w:rPr>
                <w:sz w:val="21"/>
                <w:szCs w:val="21"/>
                <w:color w:val="auto"/>
              </w:rPr>
            </w:pPr>
          </w:p>
        </w:tc>
        <w:tc>
          <w:tcPr>
            <w:tcW w:w="720" w:type="dxa"/>
            <w:vAlign w:val="bottom"/>
            <w:shd w:val="clear" w:color="auto" w:fill="000000"/>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2700" w:type="dxa"/>
            <w:vAlign w:val="bottom"/>
          </w:tcPr>
          <w:p>
            <w:pPr>
              <w:spacing w:after="0"/>
              <w:rPr>
                <w:sz w:val="20"/>
                <w:szCs w:val="20"/>
                <w:color w:val="auto"/>
              </w:rPr>
            </w:pPr>
            <w:r>
              <w:rPr>
                <w:rFonts w:ascii="Arial" w:cs="Arial" w:eastAsia="Arial" w:hAnsi="Arial"/>
                <w:sz w:val="18"/>
                <w:szCs w:val="18"/>
                <w:color w:val="auto"/>
              </w:rPr>
              <w:t>Prepaid benefit cost</w:t>
            </w:r>
          </w:p>
        </w:tc>
        <w:tc>
          <w:tcPr>
            <w:tcW w:w="240" w:type="dxa"/>
            <w:vAlign w:val="bottom"/>
          </w:tcPr>
          <w:p>
            <w:pPr>
              <w:jc w:val="right"/>
              <w:ind w:right="52"/>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ind w:right="132"/>
              <w:spacing w:after="0"/>
              <w:rPr>
                <w:sz w:val="20"/>
                <w:szCs w:val="20"/>
                <w:color w:val="auto"/>
              </w:rPr>
            </w:pPr>
            <w:r>
              <w:rPr>
                <w:rFonts w:ascii="Arial" w:cs="Arial" w:eastAsia="Arial" w:hAnsi="Arial"/>
                <w:sz w:val="18"/>
                <w:szCs w:val="18"/>
                <w:color w:val="auto"/>
              </w:rPr>
              <w:t>4</w:t>
            </w:r>
          </w:p>
        </w:tc>
        <w:tc>
          <w:tcPr>
            <w:tcW w:w="34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6</w:t>
            </w:r>
          </w:p>
        </w:tc>
        <w:tc>
          <w:tcPr>
            <w:tcW w:w="380" w:type="dxa"/>
            <w:vAlign w:val="bottom"/>
          </w:tcPr>
          <w:p>
            <w:pPr>
              <w:spacing w:after="0"/>
              <w:rPr>
                <w:sz w:val="22"/>
                <w:szCs w:val="22"/>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252"/>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52"/>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2700" w:type="dxa"/>
            <w:vAlign w:val="bottom"/>
          </w:tcPr>
          <w:p>
            <w:pPr>
              <w:spacing w:after="0"/>
              <w:rPr>
                <w:sz w:val="20"/>
                <w:szCs w:val="20"/>
                <w:color w:val="auto"/>
              </w:rPr>
            </w:pPr>
            <w:r>
              <w:rPr>
                <w:rFonts w:ascii="Arial" w:cs="Arial" w:eastAsia="Arial" w:hAnsi="Arial"/>
                <w:sz w:val="18"/>
                <w:szCs w:val="18"/>
                <w:color w:val="auto"/>
              </w:rPr>
              <w:t>Accrued benefit cost</w:t>
            </w:r>
          </w:p>
        </w:tc>
        <w:tc>
          <w:tcPr>
            <w:tcW w:w="240" w:type="dxa"/>
            <w:vAlign w:val="bottom"/>
          </w:tcPr>
          <w:p>
            <w:pPr>
              <w:spacing w:after="0"/>
              <w:rPr>
                <w:sz w:val="23"/>
                <w:szCs w:val="23"/>
                <w:color w:val="auto"/>
              </w:rPr>
            </w:pPr>
          </w:p>
        </w:tc>
        <w:tc>
          <w:tcPr>
            <w:tcW w:w="900" w:type="dxa"/>
            <w:vAlign w:val="bottom"/>
          </w:tcPr>
          <w:p>
            <w:pPr>
              <w:jc w:val="right"/>
              <w:ind w:right="52"/>
              <w:spacing w:after="0"/>
              <w:rPr>
                <w:sz w:val="20"/>
                <w:szCs w:val="20"/>
                <w:color w:val="auto"/>
              </w:rPr>
            </w:pPr>
            <w:r>
              <w:rPr>
                <w:rFonts w:ascii="Arial" w:cs="Arial" w:eastAsia="Arial" w:hAnsi="Arial"/>
                <w:sz w:val="18"/>
                <w:szCs w:val="18"/>
                <w:color w:val="auto"/>
              </w:rPr>
              <w:t>(33 )</w:t>
            </w:r>
          </w:p>
        </w:tc>
        <w:tc>
          <w:tcPr>
            <w:tcW w:w="340" w:type="dxa"/>
            <w:vAlign w:val="bottom"/>
          </w:tcPr>
          <w:p>
            <w:pPr>
              <w:spacing w:after="0"/>
              <w:rPr>
                <w:sz w:val="23"/>
                <w:szCs w:val="23"/>
                <w:color w:val="auto"/>
              </w:rPr>
            </w:pPr>
          </w:p>
        </w:tc>
        <w:tc>
          <w:tcPr>
            <w:tcW w:w="1100" w:type="dxa"/>
            <w:vAlign w:val="bottom"/>
            <w:gridSpan w:val="2"/>
          </w:tcPr>
          <w:p>
            <w:pPr>
              <w:jc w:val="right"/>
              <w:ind w:right="320"/>
              <w:spacing w:after="0"/>
              <w:rPr>
                <w:sz w:val="20"/>
                <w:szCs w:val="20"/>
                <w:color w:val="auto"/>
              </w:rPr>
            </w:pPr>
            <w:r>
              <w:rPr>
                <w:rFonts w:ascii="Arial" w:cs="Arial" w:eastAsia="Arial" w:hAnsi="Arial"/>
                <w:sz w:val="18"/>
                <w:szCs w:val="18"/>
                <w:color w:val="auto"/>
              </w:rPr>
              <w:t>(55 )</w:t>
            </w:r>
          </w:p>
        </w:tc>
        <w:tc>
          <w:tcPr>
            <w:tcW w:w="240" w:type="dxa"/>
            <w:vAlign w:val="bottom"/>
          </w:tcPr>
          <w:p>
            <w:pPr>
              <w:spacing w:after="0"/>
              <w:rPr>
                <w:sz w:val="23"/>
                <w:szCs w:val="23"/>
                <w:color w:val="auto"/>
              </w:rPr>
            </w:pPr>
          </w:p>
        </w:tc>
        <w:tc>
          <w:tcPr>
            <w:tcW w:w="1120" w:type="dxa"/>
            <w:vAlign w:val="bottom"/>
          </w:tcPr>
          <w:p>
            <w:pPr>
              <w:jc w:val="right"/>
              <w:ind w:right="172"/>
              <w:spacing w:after="0"/>
              <w:rPr>
                <w:sz w:val="20"/>
                <w:szCs w:val="20"/>
                <w:color w:val="auto"/>
              </w:rPr>
            </w:pPr>
            <w:r>
              <w:rPr>
                <w:rFonts w:ascii="Arial" w:cs="Arial" w:eastAsia="Arial" w:hAnsi="Arial"/>
                <w:sz w:val="18"/>
                <w:szCs w:val="18"/>
                <w:color w:val="auto"/>
              </w:rPr>
              <w:t>(33 )</w:t>
            </w:r>
          </w:p>
        </w:tc>
        <w:tc>
          <w:tcPr>
            <w:tcW w:w="240" w:type="dxa"/>
            <w:vAlign w:val="bottom"/>
          </w:tcPr>
          <w:p>
            <w:pPr>
              <w:spacing w:after="0"/>
              <w:rPr>
                <w:sz w:val="23"/>
                <w:szCs w:val="23"/>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(34 )</w:t>
            </w:r>
          </w:p>
        </w:tc>
        <w:tc>
          <w:tcPr>
            <w:tcW w:w="0" w:type="dxa"/>
            <w:vAlign w:val="bottom"/>
          </w:tcPr>
          <w:p>
            <w:pPr>
              <w:spacing w:after="0"/>
              <w:rPr>
                <w:sz w:val="1"/>
                <w:szCs w:val="1"/>
                <w:color w:val="auto"/>
              </w:rPr>
            </w:pPr>
          </w:p>
        </w:tc>
      </w:tr>
      <w:tr>
        <w:trPr>
          <w:trHeight w:val="270"/>
        </w:trPr>
        <w:tc>
          <w:tcPr>
            <w:tcW w:w="2700" w:type="dxa"/>
            <w:vAlign w:val="bottom"/>
          </w:tcPr>
          <w:p>
            <w:pPr>
              <w:spacing w:after="0"/>
              <w:rPr>
                <w:sz w:val="20"/>
                <w:szCs w:val="20"/>
                <w:color w:val="auto"/>
              </w:rPr>
            </w:pPr>
            <w:r>
              <w:rPr>
                <w:rFonts w:ascii="Arial" w:cs="Arial" w:eastAsia="Arial" w:hAnsi="Arial"/>
                <w:sz w:val="18"/>
                <w:szCs w:val="18"/>
                <w:color w:val="auto"/>
              </w:rPr>
              <w:t>Additional minimum liability</w:t>
            </w:r>
          </w:p>
        </w:tc>
        <w:tc>
          <w:tcPr>
            <w:tcW w:w="240" w:type="dxa"/>
            <w:vAlign w:val="bottom"/>
          </w:tcPr>
          <w:p>
            <w:pPr>
              <w:spacing w:after="0"/>
              <w:rPr>
                <w:sz w:val="23"/>
                <w:szCs w:val="23"/>
                <w:color w:val="auto"/>
              </w:rPr>
            </w:pPr>
          </w:p>
        </w:tc>
        <w:tc>
          <w:tcPr>
            <w:tcW w:w="900" w:type="dxa"/>
            <w:vAlign w:val="bottom"/>
          </w:tcPr>
          <w:p>
            <w:pPr>
              <w:jc w:val="right"/>
              <w:ind w:right="52"/>
              <w:spacing w:after="0"/>
              <w:rPr>
                <w:sz w:val="20"/>
                <w:szCs w:val="20"/>
                <w:color w:val="auto"/>
              </w:rPr>
            </w:pPr>
            <w:r>
              <w:rPr>
                <w:rFonts w:ascii="Arial" w:cs="Arial" w:eastAsia="Arial" w:hAnsi="Arial"/>
                <w:sz w:val="18"/>
                <w:szCs w:val="18"/>
                <w:color w:val="auto"/>
              </w:rPr>
              <w:t>(128 )</w:t>
            </w:r>
          </w:p>
        </w:tc>
        <w:tc>
          <w:tcPr>
            <w:tcW w:w="340" w:type="dxa"/>
            <w:vAlign w:val="bottom"/>
          </w:tcPr>
          <w:p>
            <w:pPr>
              <w:spacing w:after="0"/>
              <w:rPr>
                <w:sz w:val="23"/>
                <w:szCs w:val="23"/>
                <w:color w:val="auto"/>
              </w:rPr>
            </w:pPr>
          </w:p>
        </w:tc>
        <w:tc>
          <w:tcPr>
            <w:tcW w:w="1100" w:type="dxa"/>
            <w:vAlign w:val="bottom"/>
            <w:gridSpan w:val="2"/>
          </w:tcPr>
          <w:p>
            <w:pPr>
              <w:jc w:val="right"/>
              <w:ind w:right="320"/>
              <w:spacing w:after="0"/>
              <w:rPr>
                <w:sz w:val="20"/>
                <w:szCs w:val="20"/>
                <w:color w:val="auto"/>
              </w:rPr>
            </w:pPr>
            <w:r>
              <w:rPr>
                <w:rFonts w:ascii="Arial" w:cs="Arial" w:eastAsia="Arial" w:hAnsi="Arial"/>
                <w:sz w:val="18"/>
                <w:szCs w:val="18"/>
                <w:color w:val="auto"/>
              </w:rPr>
              <w:t>(90 )</w:t>
            </w:r>
          </w:p>
        </w:tc>
        <w:tc>
          <w:tcPr>
            <w:tcW w:w="240" w:type="dxa"/>
            <w:vAlign w:val="bottom"/>
          </w:tcPr>
          <w:p>
            <w:pPr>
              <w:spacing w:after="0"/>
              <w:rPr>
                <w:sz w:val="23"/>
                <w:szCs w:val="23"/>
                <w:color w:val="auto"/>
              </w:rPr>
            </w:pPr>
          </w:p>
        </w:tc>
        <w:tc>
          <w:tcPr>
            <w:tcW w:w="1120" w:type="dxa"/>
            <w:vAlign w:val="bottom"/>
          </w:tcPr>
          <w:p>
            <w:pPr>
              <w:jc w:val="right"/>
              <w:ind w:right="252"/>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700" w:type="dxa"/>
            <w:vAlign w:val="bottom"/>
          </w:tcPr>
          <w:p>
            <w:pPr>
              <w:spacing w:after="0"/>
              <w:rPr>
                <w:sz w:val="20"/>
                <w:szCs w:val="20"/>
                <w:color w:val="auto"/>
              </w:rPr>
            </w:pPr>
            <w:r>
              <w:rPr>
                <w:rFonts w:ascii="Arial" w:cs="Arial" w:eastAsia="Arial" w:hAnsi="Arial"/>
                <w:sz w:val="18"/>
                <w:szCs w:val="18"/>
                <w:color w:val="auto"/>
              </w:rPr>
              <w:t>Intangible asset</w:t>
            </w:r>
          </w:p>
        </w:tc>
        <w:tc>
          <w:tcPr>
            <w:tcW w:w="240" w:type="dxa"/>
            <w:vAlign w:val="bottom"/>
          </w:tcPr>
          <w:p>
            <w:pPr>
              <w:spacing w:after="0"/>
              <w:rPr>
                <w:sz w:val="23"/>
                <w:szCs w:val="23"/>
                <w:color w:val="auto"/>
              </w:rPr>
            </w:pPr>
          </w:p>
        </w:tc>
        <w:tc>
          <w:tcPr>
            <w:tcW w:w="900" w:type="dxa"/>
            <w:vAlign w:val="bottom"/>
          </w:tcPr>
          <w:p>
            <w:pPr>
              <w:jc w:val="right"/>
              <w:ind w:right="132"/>
              <w:spacing w:after="0"/>
              <w:rPr>
                <w:sz w:val="20"/>
                <w:szCs w:val="20"/>
                <w:color w:val="auto"/>
              </w:rPr>
            </w:pPr>
            <w:r>
              <w:rPr>
                <w:rFonts w:ascii="Arial" w:cs="Arial" w:eastAsia="Arial" w:hAnsi="Arial"/>
                <w:sz w:val="18"/>
                <w:szCs w:val="18"/>
                <w:color w:val="auto"/>
              </w:rPr>
              <w:t>5</w:t>
            </w:r>
          </w:p>
        </w:tc>
        <w:tc>
          <w:tcPr>
            <w:tcW w:w="34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w:t>
            </w:r>
          </w:p>
        </w:tc>
        <w:tc>
          <w:tcPr>
            <w:tcW w:w="3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20" w:type="dxa"/>
            <w:vAlign w:val="bottom"/>
          </w:tcPr>
          <w:p>
            <w:pPr>
              <w:jc w:val="right"/>
              <w:ind w:right="252"/>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700" w:type="dxa"/>
            <w:vAlign w:val="bottom"/>
          </w:tcPr>
          <w:p>
            <w:pPr>
              <w:spacing w:after="0"/>
              <w:rPr>
                <w:sz w:val="20"/>
                <w:szCs w:val="20"/>
                <w:color w:val="auto"/>
              </w:rPr>
            </w:pPr>
            <w:r>
              <w:rPr>
                <w:rFonts w:ascii="Arial" w:cs="Arial" w:eastAsia="Arial" w:hAnsi="Arial"/>
                <w:sz w:val="18"/>
                <w:szCs w:val="18"/>
                <w:color w:val="auto"/>
              </w:rPr>
              <w:t>Regulatory asset</w:t>
            </w:r>
          </w:p>
        </w:tc>
        <w:tc>
          <w:tcPr>
            <w:tcW w:w="240" w:type="dxa"/>
            <w:vAlign w:val="bottom"/>
          </w:tcPr>
          <w:p>
            <w:pPr>
              <w:spacing w:after="0"/>
              <w:rPr>
                <w:sz w:val="23"/>
                <w:szCs w:val="23"/>
                <w:color w:val="auto"/>
              </w:rPr>
            </w:pPr>
          </w:p>
        </w:tc>
        <w:tc>
          <w:tcPr>
            <w:tcW w:w="900" w:type="dxa"/>
            <w:vAlign w:val="bottom"/>
          </w:tcPr>
          <w:p>
            <w:pPr>
              <w:jc w:val="right"/>
              <w:ind w:right="132"/>
              <w:spacing w:after="0"/>
              <w:rPr>
                <w:sz w:val="20"/>
                <w:szCs w:val="20"/>
                <w:color w:val="auto"/>
              </w:rPr>
            </w:pPr>
            <w:r>
              <w:rPr>
                <w:rFonts w:ascii="Arial" w:cs="Arial" w:eastAsia="Arial" w:hAnsi="Arial"/>
                <w:sz w:val="18"/>
                <w:szCs w:val="18"/>
                <w:color w:val="auto"/>
              </w:rPr>
              <w:t>99</w:t>
            </w:r>
          </w:p>
        </w:tc>
        <w:tc>
          <w:tcPr>
            <w:tcW w:w="34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62</w:t>
            </w:r>
          </w:p>
        </w:tc>
        <w:tc>
          <w:tcPr>
            <w:tcW w:w="3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20" w:type="dxa"/>
            <w:vAlign w:val="bottom"/>
          </w:tcPr>
          <w:p>
            <w:pPr>
              <w:jc w:val="right"/>
              <w:ind w:right="252"/>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700" w:type="dxa"/>
            <w:vAlign w:val="bottom"/>
          </w:tcPr>
          <w:p>
            <w:pPr>
              <w:spacing w:after="0"/>
              <w:rPr>
                <w:sz w:val="20"/>
                <w:szCs w:val="20"/>
                <w:color w:val="auto"/>
              </w:rPr>
            </w:pPr>
            <w:r>
              <w:rPr>
                <w:rFonts w:ascii="Arial" w:cs="Arial" w:eastAsia="Arial" w:hAnsi="Arial"/>
                <w:sz w:val="18"/>
                <w:szCs w:val="18"/>
                <w:color w:val="auto"/>
                <w:w w:val="96"/>
              </w:rPr>
              <w:t>Accumulated other comprehensive</w:t>
            </w:r>
          </w:p>
        </w:tc>
        <w:tc>
          <w:tcPr>
            <w:tcW w:w="2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700" w:type="dxa"/>
            <w:vAlign w:val="bottom"/>
          </w:tcPr>
          <w:p>
            <w:pPr>
              <w:ind w:left="300"/>
              <w:spacing w:after="0"/>
              <w:rPr>
                <w:sz w:val="20"/>
                <w:szCs w:val="20"/>
                <w:color w:val="auto"/>
              </w:rPr>
            </w:pPr>
            <w:r>
              <w:rPr>
                <w:rFonts w:ascii="Arial" w:cs="Arial" w:eastAsia="Arial" w:hAnsi="Arial"/>
                <w:sz w:val="18"/>
                <w:szCs w:val="18"/>
                <w:color w:val="auto"/>
              </w:rPr>
              <w:t>income (pre-tax)</w:t>
            </w:r>
          </w:p>
        </w:tc>
        <w:tc>
          <w:tcPr>
            <w:tcW w:w="240" w:type="dxa"/>
            <w:vAlign w:val="bottom"/>
          </w:tcPr>
          <w:p>
            <w:pPr>
              <w:spacing w:after="0"/>
              <w:rPr>
                <w:sz w:val="23"/>
                <w:szCs w:val="23"/>
                <w:color w:val="auto"/>
              </w:rPr>
            </w:pPr>
          </w:p>
        </w:tc>
        <w:tc>
          <w:tcPr>
            <w:tcW w:w="900" w:type="dxa"/>
            <w:vAlign w:val="bottom"/>
          </w:tcPr>
          <w:p>
            <w:pPr>
              <w:jc w:val="right"/>
              <w:ind w:right="132"/>
              <w:spacing w:after="0"/>
              <w:rPr>
                <w:sz w:val="20"/>
                <w:szCs w:val="20"/>
                <w:color w:val="auto"/>
              </w:rPr>
            </w:pPr>
            <w:r>
              <w:rPr>
                <w:rFonts w:ascii="Arial" w:cs="Arial" w:eastAsia="Arial" w:hAnsi="Arial"/>
                <w:sz w:val="18"/>
                <w:szCs w:val="18"/>
                <w:color w:val="auto"/>
              </w:rPr>
              <w:t>24</w:t>
            </w:r>
          </w:p>
        </w:tc>
        <w:tc>
          <w:tcPr>
            <w:tcW w:w="34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22</w:t>
            </w:r>
          </w:p>
        </w:tc>
        <w:tc>
          <w:tcPr>
            <w:tcW w:w="3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20" w:type="dxa"/>
            <w:vAlign w:val="bottom"/>
          </w:tcPr>
          <w:p>
            <w:pPr>
              <w:jc w:val="right"/>
              <w:ind w:right="252"/>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9"/>
        </w:trPr>
        <w:tc>
          <w:tcPr>
            <w:tcW w:w="2700" w:type="dxa"/>
            <w:vAlign w:val="bottom"/>
            <w:vMerge w:val="restart"/>
          </w:tcPr>
          <w:p>
            <w:pPr>
              <w:spacing w:after="0"/>
              <w:rPr>
                <w:sz w:val="20"/>
                <w:szCs w:val="20"/>
                <w:color w:val="auto"/>
              </w:rPr>
            </w:pPr>
            <w:r>
              <w:rPr>
                <w:rFonts w:ascii="Arial" w:cs="Arial" w:eastAsia="Arial" w:hAnsi="Arial"/>
                <w:sz w:val="18"/>
                <w:szCs w:val="18"/>
                <w:color w:val="auto"/>
              </w:rPr>
              <w:t>Net recorded liability</w:t>
            </w:r>
          </w:p>
        </w:tc>
        <w:tc>
          <w:tcPr>
            <w:tcW w:w="240" w:type="dxa"/>
            <w:vAlign w:val="bottom"/>
            <w:shd w:val="clear" w:color="auto" w:fill="000000"/>
          </w:tcPr>
          <w:p>
            <w:pPr>
              <w:spacing w:after="0"/>
              <w:rPr>
                <w:sz w:val="22"/>
                <w:szCs w:val="22"/>
                <w:color w:val="auto"/>
              </w:rPr>
            </w:pPr>
          </w:p>
        </w:tc>
        <w:tc>
          <w:tcPr>
            <w:tcW w:w="900" w:type="dxa"/>
            <w:vAlign w:val="bottom"/>
            <w:shd w:val="clear" w:color="auto" w:fill="000000"/>
          </w:tcPr>
          <w:p>
            <w:pPr>
              <w:spacing w:after="0"/>
              <w:rPr>
                <w:sz w:val="22"/>
                <w:szCs w:val="22"/>
                <w:color w:val="auto"/>
              </w:rPr>
            </w:pPr>
          </w:p>
        </w:tc>
        <w:tc>
          <w:tcPr>
            <w:tcW w:w="340" w:type="dxa"/>
            <w:vAlign w:val="bottom"/>
            <w:shd w:val="clear" w:color="auto" w:fill="000000"/>
          </w:tcPr>
          <w:p>
            <w:pPr>
              <w:spacing w:after="0"/>
              <w:rPr>
                <w:sz w:val="22"/>
                <w:szCs w:val="22"/>
                <w:color w:val="auto"/>
              </w:rPr>
            </w:pPr>
          </w:p>
        </w:tc>
        <w:tc>
          <w:tcPr>
            <w:tcW w:w="720" w:type="dxa"/>
            <w:vAlign w:val="bottom"/>
            <w:shd w:val="clear" w:color="auto" w:fill="000000"/>
          </w:tcPr>
          <w:p>
            <w:pPr>
              <w:spacing w:after="0"/>
              <w:rPr>
                <w:sz w:val="22"/>
                <w:szCs w:val="22"/>
                <w:color w:val="auto"/>
              </w:rPr>
            </w:pPr>
          </w:p>
        </w:tc>
        <w:tc>
          <w:tcPr>
            <w:tcW w:w="380" w:type="dxa"/>
            <w:vAlign w:val="bottom"/>
          </w:tcPr>
          <w:p>
            <w:pPr>
              <w:spacing w:after="0"/>
              <w:rPr>
                <w:sz w:val="22"/>
                <w:szCs w:val="22"/>
                <w:color w:val="auto"/>
              </w:rPr>
            </w:pPr>
          </w:p>
        </w:tc>
        <w:tc>
          <w:tcPr>
            <w:tcW w:w="240" w:type="dxa"/>
            <w:vAlign w:val="bottom"/>
            <w:shd w:val="clear" w:color="auto" w:fill="000000"/>
          </w:tcPr>
          <w:p>
            <w:pPr>
              <w:spacing w:after="0"/>
              <w:rPr>
                <w:sz w:val="22"/>
                <w:szCs w:val="22"/>
                <w:color w:val="auto"/>
              </w:rPr>
            </w:pPr>
          </w:p>
        </w:tc>
        <w:tc>
          <w:tcPr>
            <w:tcW w:w="1120" w:type="dxa"/>
            <w:vAlign w:val="bottom"/>
            <w:shd w:val="clear" w:color="auto" w:fill="000000"/>
          </w:tcPr>
          <w:p>
            <w:pPr>
              <w:spacing w:after="0"/>
              <w:rPr>
                <w:sz w:val="22"/>
                <w:szCs w:val="22"/>
                <w:color w:val="auto"/>
              </w:rPr>
            </w:pPr>
          </w:p>
        </w:tc>
        <w:tc>
          <w:tcPr>
            <w:tcW w:w="240" w:type="dxa"/>
            <w:vAlign w:val="bottom"/>
            <w:shd w:val="clear" w:color="auto" w:fill="000000"/>
          </w:tcPr>
          <w:p>
            <w:pPr>
              <w:spacing w:after="0"/>
              <w:rPr>
                <w:sz w:val="22"/>
                <w:szCs w:val="22"/>
                <w:color w:val="auto"/>
              </w:rPr>
            </w:pPr>
          </w:p>
        </w:tc>
        <w:tc>
          <w:tcPr>
            <w:tcW w:w="720" w:type="dxa"/>
            <w:vAlign w:val="bottom"/>
            <w:shd w:val="clear" w:color="auto" w:fill="000000"/>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5"/>
        </w:trPr>
        <w:tc>
          <w:tcPr>
            <w:tcW w:w="2700" w:type="dxa"/>
            <w:vAlign w:val="bottom"/>
            <w:vMerge w:val="continue"/>
          </w:tcPr>
          <w:p>
            <w:pPr>
              <w:spacing w:after="0"/>
              <w:rPr>
                <w:sz w:val="20"/>
                <w:szCs w:val="20"/>
                <w:color w:val="auto"/>
              </w:rPr>
            </w:pPr>
          </w:p>
        </w:tc>
        <w:tc>
          <w:tcPr>
            <w:tcW w:w="240" w:type="dxa"/>
            <w:vAlign w:val="bottom"/>
          </w:tcPr>
          <w:p>
            <w:pPr>
              <w:jc w:val="right"/>
              <w:ind w:right="52"/>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ind w:right="52"/>
              <w:spacing w:after="0"/>
              <w:rPr>
                <w:sz w:val="20"/>
                <w:szCs w:val="20"/>
                <w:color w:val="auto"/>
              </w:rPr>
            </w:pPr>
            <w:r>
              <w:rPr>
                <w:rFonts w:ascii="Arial" w:cs="Arial" w:eastAsia="Arial" w:hAnsi="Arial"/>
                <w:sz w:val="18"/>
                <w:szCs w:val="18"/>
                <w:color w:val="auto"/>
              </w:rPr>
              <w:t>(29 )</w:t>
            </w:r>
          </w:p>
        </w:tc>
        <w:tc>
          <w:tcPr>
            <w:tcW w:w="34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320"/>
              <w:spacing w:after="0"/>
              <w:rPr>
                <w:sz w:val="20"/>
                <w:szCs w:val="20"/>
                <w:color w:val="auto"/>
              </w:rPr>
            </w:pPr>
            <w:r>
              <w:rPr>
                <w:rFonts w:ascii="Arial" w:cs="Arial" w:eastAsia="Arial" w:hAnsi="Arial"/>
                <w:sz w:val="18"/>
                <w:szCs w:val="18"/>
                <w:color w:val="auto"/>
              </w:rPr>
              <w:t>(49 )</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72"/>
              <w:spacing w:after="0"/>
              <w:rPr>
                <w:sz w:val="20"/>
                <w:szCs w:val="20"/>
                <w:color w:val="auto"/>
              </w:rPr>
            </w:pPr>
            <w:r>
              <w:rPr>
                <w:rFonts w:ascii="Arial" w:cs="Arial" w:eastAsia="Arial" w:hAnsi="Arial"/>
                <w:sz w:val="18"/>
                <w:szCs w:val="18"/>
                <w:color w:val="auto"/>
              </w:rPr>
              <w:t>(33 )</w:t>
            </w:r>
          </w:p>
        </w:tc>
        <w:tc>
          <w:tcPr>
            <w:tcW w:w="240" w:type="dxa"/>
            <w:vAlign w:val="bottom"/>
          </w:tcPr>
          <w:p>
            <w:pPr>
              <w:jc w:val="right"/>
              <w:ind w:right="52"/>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(34 )</w:t>
            </w:r>
          </w:p>
        </w:tc>
        <w:tc>
          <w:tcPr>
            <w:tcW w:w="0" w:type="dxa"/>
            <w:vAlign w:val="bottom"/>
          </w:tcPr>
          <w:p>
            <w:pPr>
              <w:spacing w:after="0"/>
              <w:rPr>
                <w:sz w:val="1"/>
                <w:szCs w:val="1"/>
                <w:color w:val="auto"/>
              </w:rPr>
            </w:pPr>
          </w:p>
        </w:tc>
      </w:tr>
      <w:tr>
        <w:trPr>
          <w:trHeight w:val="251"/>
        </w:trPr>
        <w:tc>
          <w:tcPr>
            <w:tcW w:w="2700" w:type="dxa"/>
            <w:vAlign w:val="bottom"/>
            <w:shd w:val="clear" w:color="auto" w:fill="000000"/>
          </w:tcPr>
          <w:p>
            <w:pPr>
              <w:spacing w:after="0"/>
              <w:rPr>
                <w:sz w:val="21"/>
                <w:szCs w:val="21"/>
                <w:color w:val="auto"/>
              </w:rPr>
            </w:pPr>
          </w:p>
        </w:tc>
        <w:tc>
          <w:tcPr>
            <w:tcW w:w="240" w:type="dxa"/>
            <w:vAlign w:val="bottom"/>
            <w:shd w:val="clear" w:color="auto" w:fill="000000"/>
          </w:tcPr>
          <w:p>
            <w:pPr>
              <w:spacing w:after="0"/>
              <w:rPr>
                <w:sz w:val="21"/>
                <w:szCs w:val="21"/>
                <w:color w:val="auto"/>
              </w:rPr>
            </w:pPr>
          </w:p>
        </w:tc>
        <w:tc>
          <w:tcPr>
            <w:tcW w:w="900" w:type="dxa"/>
            <w:vAlign w:val="bottom"/>
            <w:shd w:val="clear" w:color="auto" w:fill="000000"/>
          </w:tcPr>
          <w:p>
            <w:pPr>
              <w:spacing w:after="0"/>
              <w:rPr>
                <w:sz w:val="21"/>
                <w:szCs w:val="21"/>
                <w:color w:val="auto"/>
              </w:rPr>
            </w:pPr>
          </w:p>
        </w:tc>
        <w:tc>
          <w:tcPr>
            <w:tcW w:w="340" w:type="dxa"/>
            <w:vAlign w:val="bottom"/>
            <w:shd w:val="clear" w:color="auto" w:fill="000000"/>
          </w:tcPr>
          <w:p>
            <w:pPr>
              <w:spacing w:after="0"/>
              <w:rPr>
                <w:sz w:val="21"/>
                <w:szCs w:val="21"/>
                <w:color w:val="auto"/>
              </w:rPr>
            </w:pPr>
          </w:p>
        </w:tc>
        <w:tc>
          <w:tcPr>
            <w:tcW w:w="720" w:type="dxa"/>
            <w:vAlign w:val="bottom"/>
            <w:shd w:val="clear" w:color="auto" w:fill="000000"/>
          </w:tcPr>
          <w:p>
            <w:pPr>
              <w:spacing w:after="0"/>
              <w:rPr>
                <w:sz w:val="21"/>
                <w:szCs w:val="21"/>
                <w:color w:val="auto"/>
              </w:rPr>
            </w:pPr>
          </w:p>
        </w:tc>
        <w:tc>
          <w:tcPr>
            <w:tcW w:w="380" w:type="dxa"/>
            <w:vAlign w:val="bottom"/>
            <w:shd w:val="clear" w:color="auto" w:fill="000000"/>
          </w:tcPr>
          <w:p>
            <w:pPr>
              <w:spacing w:after="0"/>
              <w:rPr>
                <w:sz w:val="21"/>
                <w:szCs w:val="21"/>
                <w:color w:val="auto"/>
              </w:rPr>
            </w:pPr>
          </w:p>
        </w:tc>
        <w:tc>
          <w:tcPr>
            <w:tcW w:w="240" w:type="dxa"/>
            <w:vAlign w:val="bottom"/>
            <w:shd w:val="clear" w:color="auto" w:fill="000000"/>
          </w:tcPr>
          <w:p>
            <w:pPr>
              <w:spacing w:after="0"/>
              <w:rPr>
                <w:sz w:val="21"/>
                <w:szCs w:val="21"/>
                <w:color w:val="auto"/>
              </w:rPr>
            </w:pPr>
          </w:p>
        </w:tc>
        <w:tc>
          <w:tcPr>
            <w:tcW w:w="1120" w:type="dxa"/>
            <w:vAlign w:val="bottom"/>
            <w:shd w:val="clear" w:color="auto" w:fill="000000"/>
          </w:tcPr>
          <w:p>
            <w:pPr>
              <w:spacing w:after="0"/>
              <w:rPr>
                <w:sz w:val="21"/>
                <w:szCs w:val="21"/>
                <w:color w:val="auto"/>
              </w:rPr>
            </w:pPr>
          </w:p>
        </w:tc>
        <w:tc>
          <w:tcPr>
            <w:tcW w:w="240" w:type="dxa"/>
            <w:vAlign w:val="bottom"/>
            <w:shd w:val="clear" w:color="auto" w:fill="000000"/>
          </w:tcPr>
          <w:p>
            <w:pPr>
              <w:spacing w:after="0"/>
              <w:rPr>
                <w:sz w:val="21"/>
                <w:szCs w:val="21"/>
                <w:color w:val="auto"/>
              </w:rPr>
            </w:pPr>
          </w:p>
        </w:tc>
        <w:tc>
          <w:tcPr>
            <w:tcW w:w="720" w:type="dxa"/>
            <w:vAlign w:val="bottom"/>
            <w:shd w:val="clear" w:color="auto" w:fill="000000"/>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8" w:right="239" w:bottom="279" w:gutter="0" w:footer="0" w:header="0"/>
        </w:sectPr>
      </w:pPr>
    </w:p>
    <w:bookmarkStart w:id="37" w:name="page38"/>
    <w:bookmarkEnd w:id="37"/>
    <w:p>
      <w:pPr>
        <w:ind w:right="1000"/>
        <w:spacing w:after="0" w:line="329" w:lineRule="auto"/>
        <w:rPr>
          <w:sz w:val="20"/>
          <w:szCs w:val="20"/>
          <w:color w:val="auto"/>
        </w:rPr>
      </w:pPr>
      <w:r>
        <w:rPr>
          <w:rFonts w:ascii="Arial" w:cs="Arial" w:eastAsia="Arial" w:hAnsi="Arial"/>
          <w:sz w:val="19"/>
          <w:szCs w:val="19"/>
          <w:color w:val="auto"/>
        </w:rPr>
        <w:t>At December 31, 2005 and 2004, the company had an unfunded and a funded pension plan. The funded plan had benefit obligations in excess of its plan assets. The following table provides information for the funded plan at December 31:</w:t>
      </w:r>
    </w:p>
    <w:p>
      <w:pPr>
        <w:spacing w:after="0" w:line="157" w:lineRule="exact"/>
        <w:rPr>
          <w:sz w:val="20"/>
          <w:szCs w:val="20"/>
          <w:color w:val="auto"/>
        </w:rPr>
      </w:pPr>
    </w:p>
    <w:tbl>
      <w:tblPr>
        <w:tblLayout w:type="fixed"/>
        <w:tblInd w:w="1840" w:type="dxa"/>
        <w:tblCellMar>
          <w:top w:w="0" w:type="dxa"/>
          <w:left w:w="0" w:type="dxa"/>
          <w:bottom w:w="0" w:type="dxa"/>
          <w:right w:w="0" w:type="dxa"/>
        </w:tblCellMar>
      </w:tblPr>
      <w:tr>
        <w:trPr>
          <w:trHeight w:val="230"/>
        </w:trPr>
        <w:tc>
          <w:tcPr>
            <w:tcW w:w="3760" w:type="dxa"/>
            <w:vAlign w:val="bottom"/>
          </w:tcPr>
          <w:p>
            <w:pPr>
              <w:ind w:left="20"/>
              <w:spacing w:after="0"/>
              <w:rPr>
                <w:sz w:val="20"/>
                <w:szCs w:val="20"/>
                <w:color w:val="auto"/>
              </w:rPr>
            </w:pPr>
            <w:r>
              <w:rPr>
                <w:rFonts w:ascii="Arial" w:cs="Arial" w:eastAsia="Arial" w:hAnsi="Arial"/>
                <w:sz w:val="18"/>
                <w:szCs w:val="18"/>
                <w:color w:val="auto"/>
              </w:rPr>
              <w:t>(Dollars in millions)</w:t>
            </w:r>
          </w:p>
        </w:tc>
        <w:tc>
          <w:tcPr>
            <w:tcW w:w="1740" w:type="dxa"/>
            <w:vAlign w:val="bottom"/>
          </w:tcPr>
          <w:p>
            <w:pPr>
              <w:spacing w:after="0"/>
              <w:rPr>
                <w:sz w:val="20"/>
                <w:szCs w:val="20"/>
                <w:color w:val="auto"/>
              </w:rPr>
            </w:pPr>
          </w:p>
        </w:tc>
        <w:tc>
          <w:tcPr>
            <w:tcW w:w="860" w:type="dxa"/>
            <w:vAlign w:val="bottom"/>
          </w:tcPr>
          <w:p>
            <w:pPr>
              <w:jc w:val="right"/>
              <w:ind w:right="292"/>
              <w:spacing w:after="0"/>
              <w:rPr>
                <w:sz w:val="20"/>
                <w:szCs w:val="20"/>
                <w:color w:val="auto"/>
              </w:rPr>
            </w:pPr>
            <w:r>
              <w:rPr>
                <w:rFonts w:ascii="Arial" w:cs="Arial" w:eastAsia="Arial" w:hAnsi="Arial"/>
                <w:sz w:val="18"/>
                <w:szCs w:val="18"/>
                <w:color w:val="auto"/>
              </w:rPr>
              <w:t>2005</w:t>
            </w:r>
          </w:p>
        </w:tc>
        <w:tc>
          <w:tcPr>
            <w:tcW w:w="420" w:type="dxa"/>
            <w:vAlign w:val="bottom"/>
          </w:tcPr>
          <w:p>
            <w:pPr>
              <w:spacing w:after="0"/>
              <w:rPr>
                <w:sz w:val="20"/>
                <w:szCs w:val="20"/>
                <w:color w:val="auto"/>
              </w:rPr>
            </w:pPr>
          </w:p>
        </w:tc>
        <w:tc>
          <w:tcPr>
            <w:tcW w:w="720" w:type="dxa"/>
            <w:vAlign w:val="bottom"/>
          </w:tcPr>
          <w:p>
            <w:pPr>
              <w:jc w:val="right"/>
              <w:ind w:right="132"/>
              <w:spacing w:after="0"/>
              <w:rPr>
                <w:sz w:val="20"/>
                <w:szCs w:val="20"/>
                <w:color w:val="auto"/>
              </w:rPr>
            </w:pPr>
            <w:r>
              <w:rPr>
                <w:rFonts w:ascii="Arial" w:cs="Arial" w:eastAsia="Arial" w:hAnsi="Arial"/>
                <w:sz w:val="18"/>
                <w:szCs w:val="18"/>
                <w:color w:val="auto"/>
              </w:rPr>
              <w:t>2004</w:t>
            </w:r>
          </w:p>
        </w:tc>
      </w:tr>
      <w:tr>
        <w:trPr>
          <w:trHeight w:val="251"/>
        </w:trPr>
        <w:tc>
          <w:tcPr>
            <w:tcW w:w="3760" w:type="dxa"/>
            <w:vAlign w:val="bottom"/>
            <w:shd w:val="clear" w:color="auto" w:fill="000000"/>
          </w:tcPr>
          <w:p>
            <w:pPr>
              <w:spacing w:after="0"/>
              <w:rPr>
                <w:sz w:val="21"/>
                <w:szCs w:val="21"/>
                <w:color w:val="auto"/>
              </w:rPr>
            </w:pPr>
          </w:p>
        </w:tc>
        <w:tc>
          <w:tcPr>
            <w:tcW w:w="1740" w:type="dxa"/>
            <w:vAlign w:val="bottom"/>
            <w:shd w:val="clear" w:color="auto" w:fill="000000"/>
          </w:tcPr>
          <w:p>
            <w:pPr>
              <w:spacing w:after="0"/>
              <w:rPr>
                <w:sz w:val="21"/>
                <w:szCs w:val="21"/>
                <w:color w:val="auto"/>
              </w:rPr>
            </w:pPr>
          </w:p>
        </w:tc>
        <w:tc>
          <w:tcPr>
            <w:tcW w:w="860" w:type="dxa"/>
            <w:vAlign w:val="bottom"/>
            <w:shd w:val="clear" w:color="auto" w:fill="000000"/>
          </w:tcPr>
          <w:p>
            <w:pPr>
              <w:spacing w:after="0"/>
              <w:rPr>
                <w:sz w:val="21"/>
                <w:szCs w:val="21"/>
                <w:color w:val="auto"/>
              </w:rPr>
            </w:pPr>
          </w:p>
        </w:tc>
        <w:tc>
          <w:tcPr>
            <w:tcW w:w="420" w:type="dxa"/>
            <w:vAlign w:val="bottom"/>
            <w:shd w:val="clear" w:color="auto" w:fill="000000"/>
          </w:tcPr>
          <w:p>
            <w:pPr>
              <w:spacing w:after="0"/>
              <w:rPr>
                <w:sz w:val="21"/>
                <w:szCs w:val="21"/>
                <w:color w:val="auto"/>
              </w:rPr>
            </w:pPr>
          </w:p>
        </w:tc>
        <w:tc>
          <w:tcPr>
            <w:tcW w:w="720" w:type="dxa"/>
            <w:vAlign w:val="bottom"/>
            <w:shd w:val="clear" w:color="auto" w:fill="000000"/>
          </w:tcPr>
          <w:p>
            <w:pPr>
              <w:spacing w:after="0"/>
              <w:rPr>
                <w:sz w:val="21"/>
                <w:szCs w:val="21"/>
                <w:color w:val="auto"/>
              </w:rPr>
            </w:pPr>
          </w:p>
        </w:tc>
      </w:tr>
      <w:tr>
        <w:trPr>
          <w:trHeight w:val="255"/>
        </w:trPr>
        <w:tc>
          <w:tcPr>
            <w:tcW w:w="3760" w:type="dxa"/>
            <w:vAlign w:val="bottom"/>
          </w:tcPr>
          <w:p>
            <w:pPr>
              <w:ind w:left="20"/>
              <w:spacing w:after="0"/>
              <w:rPr>
                <w:sz w:val="20"/>
                <w:szCs w:val="20"/>
                <w:color w:val="auto"/>
              </w:rPr>
            </w:pPr>
            <w:r>
              <w:rPr>
                <w:rFonts w:ascii="Arial" w:cs="Arial" w:eastAsia="Arial" w:hAnsi="Arial"/>
                <w:sz w:val="18"/>
                <w:szCs w:val="18"/>
                <w:color w:val="auto"/>
              </w:rPr>
              <w:t>Projected benefit obligation</w:t>
            </w:r>
          </w:p>
        </w:tc>
        <w:tc>
          <w:tcPr>
            <w:tcW w:w="174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92"/>
              <w:spacing w:after="0"/>
              <w:rPr>
                <w:sz w:val="20"/>
                <w:szCs w:val="20"/>
                <w:color w:val="auto"/>
              </w:rPr>
            </w:pPr>
            <w:r>
              <w:rPr>
                <w:rFonts w:ascii="Arial" w:cs="Arial" w:eastAsia="Arial" w:hAnsi="Arial"/>
                <w:sz w:val="18"/>
                <w:szCs w:val="18"/>
                <w:color w:val="auto"/>
              </w:rPr>
              <w:t>757</w:t>
            </w:r>
          </w:p>
        </w:tc>
        <w:tc>
          <w:tcPr>
            <w:tcW w:w="42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694</w:t>
            </w:r>
          </w:p>
        </w:tc>
      </w:tr>
      <w:tr>
        <w:trPr>
          <w:trHeight w:val="270"/>
        </w:trPr>
        <w:tc>
          <w:tcPr>
            <w:tcW w:w="3760" w:type="dxa"/>
            <w:vAlign w:val="bottom"/>
          </w:tcPr>
          <w:p>
            <w:pPr>
              <w:ind w:left="20"/>
              <w:spacing w:after="0"/>
              <w:rPr>
                <w:sz w:val="20"/>
                <w:szCs w:val="20"/>
                <w:color w:val="auto"/>
              </w:rPr>
            </w:pPr>
            <w:r>
              <w:rPr>
                <w:rFonts w:ascii="Arial" w:cs="Arial" w:eastAsia="Arial" w:hAnsi="Arial"/>
                <w:sz w:val="18"/>
                <w:szCs w:val="18"/>
                <w:color w:val="auto"/>
              </w:rPr>
              <w:t>Accumulated benefit obligation</w:t>
            </w:r>
          </w:p>
        </w:tc>
        <w:tc>
          <w:tcPr>
            <w:tcW w:w="174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92"/>
              <w:spacing w:after="0"/>
              <w:rPr>
                <w:sz w:val="20"/>
                <w:szCs w:val="20"/>
                <w:color w:val="auto"/>
              </w:rPr>
            </w:pPr>
            <w:r>
              <w:rPr>
                <w:rFonts w:ascii="Arial" w:cs="Arial" w:eastAsia="Arial" w:hAnsi="Arial"/>
                <w:sz w:val="18"/>
                <w:szCs w:val="18"/>
                <w:color w:val="auto"/>
              </w:rPr>
              <w:t>752</w:t>
            </w:r>
          </w:p>
        </w:tc>
        <w:tc>
          <w:tcPr>
            <w:tcW w:w="42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692</w:t>
            </w:r>
          </w:p>
        </w:tc>
      </w:tr>
      <w:tr>
        <w:trPr>
          <w:trHeight w:val="278"/>
        </w:trPr>
        <w:tc>
          <w:tcPr>
            <w:tcW w:w="3760" w:type="dxa"/>
            <w:vAlign w:val="bottom"/>
          </w:tcPr>
          <w:p>
            <w:pPr>
              <w:ind w:left="20"/>
              <w:spacing w:after="0"/>
              <w:rPr>
                <w:sz w:val="20"/>
                <w:szCs w:val="20"/>
                <w:color w:val="auto"/>
              </w:rPr>
            </w:pPr>
            <w:r>
              <w:rPr>
                <w:rFonts w:ascii="Arial" w:cs="Arial" w:eastAsia="Arial" w:hAnsi="Arial"/>
                <w:sz w:val="18"/>
                <w:szCs w:val="18"/>
                <w:color w:val="auto"/>
              </w:rPr>
              <w:t>Fair value of plan assets</w:t>
            </w:r>
          </w:p>
        </w:tc>
        <w:tc>
          <w:tcPr>
            <w:tcW w:w="174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92"/>
              <w:spacing w:after="0"/>
              <w:rPr>
                <w:sz w:val="20"/>
                <w:szCs w:val="20"/>
                <w:color w:val="auto"/>
              </w:rPr>
            </w:pPr>
            <w:r>
              <w:rPr>
                <w:rFonts w:ascii="Arial" w:cs="Arial" w:eastAsia="Arial" w:hAnsi="Arial"/>
                <w:sz w:val="18"/>
                <w:szCs w:val="18"/>
                <w:color w:val="auto"/>
              </w:rPr>
              <w:t>616</w:t>
            </w:r>
          </w:p>
        </w:tc>
        <w:tc>
          <w:tcPr>
            <w:tcW w:w="42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569</w:t>
            </w:r>
          </w:p>
        </w:tc>
      </w:tr>
      <w:tr>
        <w:trPr>
          <w:trHeight w:val="251"/>
        </w:trPr>
        <w:tc>
          <w:tcPr>
            <w:tcW w:w="3760" w:type="dxa"/>
            <w:vAlign w:val="bottom"/>
            <w:shd w:val="clear" w:color="auto" w:fill="000000"/>
          </w:tcPr>
          <w:p>
            <w:pPr>
              <w:spacing w:after="0"/>
              <w:rPr>
                <w:sz w:val="21"/>
                <w:szCs w:val="21"/>
                <w:color w:val="auto"/>
              </w:rPr>
            </w:pPr>
          </w:p>
        </w:tc>
        <w:tc>
          <w:tcPr>
            <w:tcW w:w="1740" w:type="dxa"/>
            <w:vAlign w:val="bottom"/>
            <w:shd w:val="clear" w:color="auto" w:fill="000000"/>
          </w:tcPr>
          <w:p>
            <w:pPr>
              <w:spacing w:after="0"/>
              <w:rPr>
                <w:sz w:val="21"/>
                <w:szCs w:val="21"/>
                <w:color w:val="auto"/>
              </w:rPr>
            </w:pPr>
          </w:p>
        </w:tc>
        <w:tc>
          <w:tcPr>
            <w:tcW w:w="860" w:type="dxa"/>
            <w:vAlign w:val="bottom"/>
            <w:shd w:val="clear" w:color="auto" w:fill="000000"/>
          </w:tcPr>
          <w:p>
            <w:pPr>
              <w:spacing w:after="0"/>
              <w:rPr>
                <w:sz w:val="21"/>
                <w:szCs w:val="21"/>
                <w:color w:val="auto"/>
              </w:rPr>
            </w:pPr>
          </w:p>
        </w:tc>
        <w:tc>
          <w:tcPr>
            <w:tcW w:w="420" w:type="dxa"/>
            <w:vAlign w:val="bottom"/>
            <w:shd w:val="clear" w:color="auto" w:fill="000000"/>
          </w:tcPr>
          <w:p>
            <w:pPr>
              <w:spacing w:after="0"/>
              <w:rPr>
                <w:sz w:val="21"/>
                <w:szCs w:val="21"/>
                <w:color w:val="auto"/>
              </w:rPr>
            </w:pPr>
          </w:p>
        </w:tc>
        <w:tc>
          <w:tcPr>
            <w:tcW w:w="720" w:type="dxa"/>
            <w:vAlign w:val="bottom"/>
            <w:shd w:val="clear" w:color="auto" w:fill="000000"/>
          </w:tcPr>
          <w:p>
            <w:pPr>
              <w:spacing w:after="0"/>
              <w:rPr>
                <w:sz w:val="21"/>
                <w:szCs w:val="21"/>
                <w:color w:val="auto"/>
              </w:rPr>
            </w:pPr>
          </w:p>
        </w:tc>
      </w:tr>
    </w:tbl>
    <w:p>
      <w:pPr>
        <w:spacing w:after="0" w:line="195" w:lineRule="exact"/>
        <w:rPr>
          <w:sz w:val="20"/>
          <w:szCs w:val="20"/>
          <w:color w:val="auto"/>
        </w:rPr>
      </w:pPr>
    </w:p>
    <w:p>
      <w:pPr>
        <w:spacing w:after="0"/>
        <w:rPr>
          <w:sz w:val="20"/>
          <w:szCs w:val="20"/>
          <w:color w:val="auto"/>
        </w:rPr>
      </w:pPr>
      <w:r>
        <w:rPr>
          <w:rFonts w:ascii="Arial" w:cs="Arial" w:eastAsia="Arial" w:hAnsi="Arial"/>
          <w:sz w:val="21"/>
          <w:szCs w:val="21"/>
          <w:color w:val="auto"/>
        </w:rPr>
        <w:t>The following table provides the components of net periodic benefit costs (income) for the years ended December 31:</w:t>
      </w:r>
    </w:p>
    <w:p>
      <w:pPr>
        <w:spacing w:after="0" w:line="325" w:lineRule="exact"/>
        <w:rPr>
          <w:sz w:val="20"/>
          <w:szCs w:val="20"/>
          <w:color w:val="auto"/>
        </w:rPr>
      </w:pPr>
    </w:p>
    <w:tbl>
      <w:tblPr>
        <w:tblLayout w:type="fixed"/>
        <w:tblInd w:w="1220" w:type="dxa"/>
        <w:tblCellMar>
          <w:top w:w="0" w:type="dxa"/>
          <w:left w:w="0" w:type="dxa"/>
          <w:bottom w:w="0" w:type="dxa"/>
          <w:right w:w="0" w:type="dxa"/>
        </w:tblCellMar>
      </w:tblPr>
      <w:tr>
        <w:trPr>
          <w:trHeight w:val="216"/>
        </w:trPr>
        <w:tc>
          <w:tcPr>
            <w:tcW w:w="3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ind w:right="212"/>
              <w:spacing w:after="0"/>
              <w:rPr>
                <w:sz w:val="20"/>
                <w:szCs w:val="20"/>
                <w:color w:val="auto"/>
              </w:rPr>
            </w:pPr>
            <w:r>
              <w:rPr>
                <w:rFonts w:ascii="Arial" w:cs="Arial" w:eastAsia="Arial" w:hAnsi="Arial"/>
                <w:sz w:val="18"/>
                <w:szCs w:val="18"/>
                <w:color w:val="auto"/>
                <w:w w:val="88"/>
              </w:rPr>
              <w:t>Other</w:t>
            </w: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30"/>
        </w:trPr>
        <w:tc>
          <w:tcPr>
            <w:tcW w:w="33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80" w:type="dxa"/>
            <w:vAlign w:val="bottom"/>
            <w:gridSpan w:val="4"/>
          </w:tcPr>
          <w:p>
            <w:pPr>
              <w:jc w:val="right"/>
              <w:ind w:right="52"/>
              <w:spacing w:after="0"/>
              <w:rPr>
                <w:sz w:val="20"/>
                <w:szCs w:val="20"/>
                <w:color w:val="auto"/>
              </w:rPr>
            </w:pPr>
            <w:r>
              <w:rPr>
                <w:rFonts w:ascii="Arial" w:cs="Arial" w:eastAsia="Arial" w:hAnsi="Arial"/>
                <w:sz w:val="18"/>
                <w:szCs w:val="18"/>
                <w:color w:val="auto"/>
              </w:rPr>
              <w:t>Pension Benefits</w:t>
            </w:r>
          </w:p>
        </w:tc>
        <w:tc>
          <w:tcPr>
            <w:tcW w:w="5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580" w:type="dxa"/>
            <w:vAlign w:val="bottom"/>
            <w:gridSpan w:val="6"/>
          </w:tcPr>
          <w:p>
            <w:pPr>
              <w:jc w:val="right"/>
              <w:ind w:right="660"/>
              <w:spacing w:after="0"/>
              <w:rPr>
                <w:sz w:val="20"/>
                <w:szCs w:val="20"/>
                <w:color w:val="auto"/>
              </w:rPr>
            </w:pPr>
            <w:r>
              <w:rPr>
                <w:rFonts w:ascii="Arial" w:cs="Arial" w:eastAsia="Arial" w:hAnsi="Arial"/>
                <w:sz w:val="18"/>
                <w:szCs w:val="18"/>
                <w:color w:val="auto"/>
              </w:rPr>
              <w:t>Postretirement Benefits</w:t>
            </w:r>
          </w:p>
        </w:tc>
      </w:tr>
      <w:tr>
        <w:trPr>
          <w:trHeight w:val="251"/>
        </w:trPr>
        <w:tc>
          <w:tcPr>
            <w:tcW w:w="3380" w:type="dxa"/>
            <w:vAlign w:val="bottom"/>
          </w:tcPr>
          <w:p>
            <w:pPr>
              <w:spacing w:after="0"/>
              <w:rPr>
                <w:sz w:val="21"/>
                <w:szCs w:val="21"/>
                <w:color w:val="auto"/>
              </w:rPr>
            </w:pPr>
          </w:p>
        </w:tc>
        <w:tc>
          <w:tcPr>
            <w:tcW w:w="200" w:type="dxa"/>
            <w:vAlign w:val="bottom"/>
            <w:shd w:val="clear" w:color="auto" w:fill="000000"/>
          </w:tcPr>
          <w:p>
            <w:pPr>
              <w:spacing w:after="0"/>
              <w:rPr>
                <w:sz w:val="21"/>
                <w:szCs w:val="21"/>
                <w:color w:val="auto"/>
              </w:rPr>
            </w:pPr>
          </w:p>
        </w:tc>
        <w:tc>
          <w:tcPr>
            <w:tcW w:w="660" w:type="dxa"/>
            <w:vAlign w:val="bottom"/>
            <w:shd w:val="clear" w:color="auto" w:fill="000000"/>
          </w:tcPr>
          <w:p>
            <w:pPr>
              <w:spacing w:after="0"/>
              <w:rPr>
                <w:sz w:val="21"/>
                <w:szCs w:val="21"/>
                <w:color w:val="auto"/>
              </w:rPr>
            </w:pPr>
          </w:p>
        </w:tc>
        <w:tc>
          <w:tcPr>
            <w:tcW w:w="220" w:type="dxa"/>
            <w:vAlign w:val="bottom"/>
            <w:shd w:val="clear" w:color="auto" w:fill="000000"/>
          </w:tcPr>
          <w:p>
            <w:pPr>
              <w:spacing w:after="0"/>
              <w:rPr>
                <w:sz w:val="21"/>
                <w:szCs w:val="21"/>
                <w:color w:val="auto"/>
              </w:rPr>
            </w:pPr>
          </w:p>
        </w:tc>
        <w:tc>
          <w:tcPr>
            <w:tcW w:w="660" w:type="dxa"/>
            <w:vAlign w:val="bottom"/>
            <w:shd w:val="clear" w:color="auto" w:fill="000000"/>
          </w:tcPr>
          <w:p>
            <w:pPr>
              <w:spacing w:after="0"/>
              <w:rPr>
                <w:sz w:val="21"/>
                <w:szCs w:val="21"/>
                <w:color w:val="auto"/>
              </w:rPr>
            </w:pPr>
          </w:p>
        </w:tc>
        <w:tc>
          <w:tcPr>
            <w:tcW w:w="240" w:type="dxa"/>
            <w:vAlign w:val="bottom"/>
            <w:shd w:val="clear" w:color="auto" w:fill="000000"/>
          </w:tcPr>
          <w:p>
            <w:pPr>
              <w:spacing w:after="0"/>
              <w:rPr>
                <w:sz w:val="21"/>
                <w:szCs w:val="21"/>
                <w:color w:val="auto"/>
              </w:rPr>
            </w:pPr>
          </w:p>
        </w:tc>
        <w:tc>
          <w:tcPr>
            <w:tcW w:w="540" w:type="dxa"/>
            <w:vAlign w:val="bottom"/>
            <w:shd w:val="clear" w:color="auto" w:fill="000000"/>
          </w:tcPr>
          <w:p>
            <w:pPr>
              <w:spacing w:after="0"/>
              <w:rPr>
                <w:sz w:val="21"/>
                <w:szCs w:val="21"/>
                <w:color w:val="auto"/>
              </w:rPr>
            </w:pPr>
          </w:p>
        </w:tc>
        <w:tc>
          <w:tcPr>
            <w:tcW w:w="340" w:type="dxa"/>
            <w:vAlign w:val="bottom"/>
          </w:tcPr>
          <w:p>
            <w:pPr>
              <w:spacing w:after="0"/>
              <w:rPr>
                <w:sz w:val="21"/>
                <w:szCs w:val="21"/>
                <w:color w:val="auto"/>
              </w:rPr>
            </w:pPr>
          </w:p>
        </w:tc>
        <w:tc>
          <w:tcPr>
            <w:tcW w:w="200" w:type="dxa"/>
            <w:vAlign w:val="bottom"/>
            <w:shd w:val="clear" w:color="auto" w:fill="000000"/>
          </w:tcPr>
          <w:p>
            <w:pPr>
              <w:spacing w:after="0"/>
              <w:rPr>
                <w:sz w:val="21"/>
                <w:szCs w:val="21"/>
                <w:color w:val="auto"/>
              </w:rPr>
            </w:pPr>
          </w:p>
        </w:tc>
        <w:tc>
          <w:tcPr>
            <w:tcW w:w="680" w:type="dxa"/>
            <w:vAlign w:val="bottom"/>
            <w:shd w:val="clear" w:color="auto" w:fill="000000"/>
          </w:tcPr>
          <w:p>
            <w:pPr>
              <w:spacing w:after="0"/>
              <w:rPr>
                <w:sz w:val="21"/>
                <w:szCs w:val="21"/>
                <w:color w:val="auto"/>
              </w:rPr>
            </w:pPr>
          </w:p>
        </w:tc>
        <w:tc>
          <w:tcPr>
            <w:tcW w:w="180" w:type="dxa"/>
            <w:vAlign w:val="bottom"/>
            <w:shd w:val="clear" w:color="auto" w:fill="000000"/>
          </w:tcPr>
          <w:p>
            <w:pPr>
              <w:spacing w:after="0"/>
              <w:rPr>
                <w:sz w:val="21"/>
                <w:szCs w:val="21"/>
                <w:color w:val="auto"/>
              </w:rPr>
            </w:pPr>
          </w:p>
        </w:tc>
        <w:tc>
          <w:tcPr>
            <w:tcW w:w="720" w:type="dxa"/>
            <w:vAlign w:val="bottom"/>
            <w:shd w:val="clear" w:color="auto" w:fill="000000"/>
          </w:tcPr>
          <w:p>
            <w:pPr>
              <w:spacing w:after="0"/>
              <w:rPr>
                <w:sz w:val="21"/>
                <w:szCs w:val="21"/>
                <w:color w:val="auto"/>
              </w:rPr>
            </w:pPr>
          </w:p>
        </w:tc>
        <w:tc>
          <w:tcPr>
            <w:tcW w:w="200" w:type="dxa"/>
            <w:vAlign w:val="bottom"/>
            <w:shd w:val="clear" w:color="auto" w:fill="000000"/>
          </w:tcPr>
          <w:p>
            <w:pPr>
              <w:spacing w:after="0"/>
              <w:rPr>
                <w:sz w:val="21"/>
                <w:szCs w:val="21"/>
                <w:color w:val="auto"/>
              </w:rPr>
            </w:pPr>
          </w:p>
        </w:tc>
        <w:tc>
          <w:tcPr>
            <w:tcW w:w="600" w:type="dxa"/>
            <w:vAlign w:val="bottom"/>
            <w:shd w:val="clear" w:color="auto" w:fill="000000"/>
          </w:tcPr>
          <w:p>
            <w:pPr>
              <w:spacing w:after="0"/>
              <w:rPr>
                <w:sz w:val="21"/>
                <w:szCs w:val="21"/>
                <w:color w:val="auto"/>
              </w:rPr>
            </w:pPr>
          </w:p>
        </w:tc>
        <w:tc>
          <w:tcPr>
            <w:tcW w:w="200" w:type="dxa"/>
            <w:vAlign w:val="bottom"/>
          </w:tcPr>
          <w:p>
            <w:pPr>
              <w:spacing w:after="0"/>
              <w:rPr>
                <w:sz w:val="21"/>
                <w:szCs w:val="21"/>
                <w:color w:val="auto"/>
              </w:rPr>
            </w:pPr>
          </w:p>
        </w:tc>
      </w:tr>
      <w:tr>
        <w:trPr>
          <w:trHeight w:val="262"/>
        </w:trPr>
        <w:tc>
          <w:tcPr>
            <w:tcW w:w="3380" w:type="dxa"/>
            <w:vAlign w:val="bottom"/>
          </w:tcPr>
          <w:p>
            <w:pPr>
              <w:spacing w:after="0"/>
              <w:rPr>
                <w:sz w:val="20"/>
                <w:szCs w:val="20"/>
                <w:color w:val="auto"/>
              </w:rPr>
            </w:pPr>
            <w:r>
              <w:rPr>
                <w:rFonts w:ascii="Arial" w:cs="Arial" w:eastAsia="Arial" w:hAnsi="Arial"/>
                <w:sz w:val="18"/>
                <w:szCs w:val="18"/>
                <w:color w:val="auto"/>
              </w:rPr>
              <w:t>(Dollars in millions)</w:t>
            </w:r>
          </w:p>
        </w:tc>
        <w:tc>
          <w:tcPr>
            <w:tcW w:w="200" w:type="dxa"/>
            <w:vAlign w:val="bottom"/>
          </w:tcPr>
          <w:p>
            <w:pPr>
              <w:spacing w:after="0"/>
              <w:rPr>
                <w:sz w:val="22"/>
                <w:szCs w:val="22"/>
                <w:color w:val="auto"/>
              </w:rPr>
            </w:pPr>
          </w:p>
        </w:tc>
        <w:tc>
          <w:tcPr>
            <w:tcW w:w="660" w:type="dxa"/>
            <w:vAlign w:val="bottom"/>
          </w:tcPr>
          <w:p>
            <w:pPr>
              <w:jc w:val="right"/>
              <w:ind w:right="152"/>
              <w:spacing w:after="0"/>
              <w:rPr>
                <w:sz w:val="20"/>
                <w:szCs w:val="20"/>
                <w:color w:val="auto"/>
              </w:rPr>
            </w:pPr>
            <w:r>
              <w:rPr>
                <w:rFonts w:ascii="Arial" w:cs="Arial" w:eastAsia="Arial" w:hAnsi="Arial"/>
                <w:sz w:val="18"/>
                <w:szCs w:val="18"/>
                <w:color w:val="auto"/>
                <w:w w:val="99"/>
              </w:rPr>
              <w:t>2005</w:t>
            </w:r>
          </w:p>
        </w:tc>
        <w:tc>
          <w:tcPr>
            <w:tcW w:w="220" w:type="dxa"/>
            <w:vAlign w:val="bottom"/>
          </w:tcPr>
          <w:p>
            <w:pPr>
              <w:spacing w:after="0"/>
              <w:rPr>
                <w:sz w:val="22"/>
                <w:szCs w:val="22"/>
                <w:color w:val="auto"/>
              </w:rPr>
            </w:pPr>
          </w:p>
        </w:tc>
        <w:tc>
          <w:tcPr>
            <w:tcW w:w="660" w:type="dxa"/>
            <w:vAlign w:val="bottom"/>
          </w:tcPr>
          <w:p>
            <w:pPr>
              <w:jc w:val="right"/>
              <w:ind w:right="152"/>
              <w:spacing w:after="0"/>
              <w:rPr>
                <w:sz w:val="20"/>
                <w:szCs w:val="20"/>
                <w:color w:val="auto"/>
              </w:rPr>
            </w:pPr>
            <w:r>
              <w:rPr>
                <w:rFonts w:ascii="Arial" w:cs="Arial" w:eastAsia="Arial" w:hAnsi="Arial"/>
                <w:sz w:val="18"/>
                <w:szCs w:val="18"/>
                <w:color w:val="auto"/>
                <w:w w:val="99"/>
              </w:rPr>
              <w:t>2004</w:t>
            </w:r>
          </w:p>
        </w:tc>
        <w:tc>
          <w:tcPr>
            <w:tcW w:w="240" w:type="dxa"/>
            <w:vAlign w:val="bottom"/>
          </w:tcPr>
          <w:p>
            <w:pPr>
              <w:spacing w:after="0"/>
              <w:rPr>
                <w:sz w:val="22"/>
                <w:szCs w:val="22"/>
                <w:color w:val="auto"/>
              </w:rPr>
            </w:pPr>
          </w:p>
        </w:tc>
        <w:tc>
          <w:tcPr>
            <w:tcW w:w="540" w:type="dxa"/>
            <w:vAlign w:val="bottom"/>
          </w:tcPr>
          <w:p>
            <w:pPr>
              <w:jc w:val="right"/>
              <w:ind w:right="32"/>
              <w:spacing w:after="0"/>
              <w:rPr>
                <w:sz w:val="20"/>
                <w:szCs w:val="20"/>
                <w:color w:val="auto"/>
              </w:rPr>
            </w:pPr>
            <w:r>
              <w:rPr>
                <w:rFonts w:ascii="Arial" w:cs="Arial" w:eastAsia="Arial" w:hAnsi="Arial"/>
                <w:sz w:val="18"/>
                <w:szCs w:val="18"/>
                <w:color w:val="auto"/>
                <w:w w:val="99"/>
              </w:rPr>
              <w:t>2003</w:t>
            </w:r>
          </w:p>
        </w:tc>
        <w:tc>
          <w:tcPr>
            <w:tcW w:w="3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80" w:type="dxa"/>
            <w:vAlign w:val="bottom"/>
          </w:tcPr>
          <w:p>
            <w:pPr>
              <w:jc w:val="right"/>
              <w:ind w:right="172"/>
              <w:spacing w:after="0"/>
              <w:rPr>
                <w:sz w:val="20"/>
                <w:szCs w:val="20"/>
                <w:color w:val="auto"/>
              </w:rPr>
            </w:pPr>
            <w:r>
              <w:rPr>
                <w:rFonts w:ascii="Arial" w:cs="Arial" w:eastAsia="Arial" w:hAnsi="Arial"/>
                <w:sz w:val="18"/>
                <w:szCs w:val="18"/>
                <w:color w:val="auto"/>
                <w:w w:val="99"/>
              </w:rPr>
              <w:t>2005</w:t>
            </w:r>
          </w:p>
        </w:tc>
        <w:tc>
          <w:tcPr>
            <w:tcW w:w="180" w:type="dxa"/>
            <w:vAlign w:val="bottom"/>
          </w:tcPr>
          <w:p>
            <w:pPr>
              <w:spacing w:after="0"/>
              <w:rPr>
                <w:sz w:val="22"/>
                <w:szCs w:val="22"/>
                <w:color w:val="auto"/>
              </w:rPr>
            </w:pPr>
          </w:p>
        </w:tc>
        <w:tc>
          <w:tcPr>
            <w:tcW w:w="720" w:type="dxa"/>
            <w:vAlign w:val="bottom"/>
          </w:tcPr>
          <w:p>
            <w:pPr>
              <w:jc w:val="right"/>
              <w:ind w:right="152"/>
              <w:spacing w:after="0"/>
              <w:rPr>
                <w:sz w:val="20"/>
                <w:szCs w:val="20"/>
                <w:color w:val="auto"/>
              </w:rPr>
            </w:pPr>
            <w:r>
              <w:rPr>
                <w:rFonts w:ascii="Arial" w:cs="Arial" w:eastAsia="Arial" w:hAnsi="Arial"/>
                <w:sz w:val="18"/>
                <w:szCs w:val="18"/>
                <w:color w:val="auto"/>
              </w:rPr>
              <w:t>2004</w:t>
            </w:r>
          </w:p>
        </w:tc>
        <w:tc>
          <w:tcPr>
            <w:tcW w:w="200" w:type="dxa"/>
            <w:vAlign w:val="bottom"/>
          </w:tcPr>
          <w:p>
            <w:pPr>
              <w:spacing w:after="0"/>
              <w:rPr>
                <w:sz w:val="22"/>
                <w:szCs w:val="22"/>
                <w:color w:val="auto"/>
              </w:rPr>
            </w:pPr>
          </w:p>
        </w:tc>
        <w:tc>
          <w:tcPr>
            <w:tcW w:w="600" w:type="dxa"/>
            <w:vAlign w:val="bottom"/>
          </w:tcPr>
          <w:p>
            <w:pPr>
              <w:jc w:val="right"/>
              <w:ind w:right="132"/>
              <w:spacing w:after="0"/>
              <w:rPr>
                <w:sz w:val="20"/>
                <w:szCs w:val="20"/>
                <w:color w:val="auto"/>
              </w:rPr>
            </w:pPr>
            <w:r>
              <w:rPr>
                <w:rFonts w:ascii="Arial" w:cs="Arial" w:eastAsia="Arial" w:hAnsi="Arial"/>
                <w:sz w:val="18"/>
                <w:szCs w:val="18"/>
                <w:color w:val="auto"/>
                <w:w w:val="89"/>
              </w:rPr>
              <w:t>2003</w:t>
            </w:r>
          </w:p>
        </w:tc>
        <w:tc>
          <w:tcPr>
            <w:tcW w:w="200" w:type="dxa"/>
            <w:vAlign w:val="bottom"/>
          </w:tcPr>
          <w:p>
            <w:pPr>
              <w:spacing w:after="0"/>
              <w:rPr>
                <w:sz w:val="22"/>
                <w:szCs w:val="22"/>
                <w:color w:val="auto"/>
              </w:rPr>
            </w:pPr>
          </w:p>
        </w:tc>
      </w:tr>
      <w:tr>
        <w:trPr>
          <w:trHeight w:val="251"/>
        </w:trPr>
        <w:tc>
          <w:tcPr>
            <w:tcW w:w="3380" w:type="dxa"/>
            <w:vAlign w:val="bottom"/>
            <w:shd w:val="clear" w:color="auto" w:fill="000000"/>
          </w:tcPr>
          <w:p>
            <w:pPr>
              <w:spacing w:after="0"/>
              <w:rPr>
                <w:sz w:val="21"/>
                <w:szCs w:val="21"/>
                <w:color w:val="auto"/>
              </w:rPr>
            </w:pPr>
          </w:p>
        </w:tc>
        <w:tc>
          <w:tcPr>
            <w:tcW w:w="200" w:type="dxa"/>
            <w:vAlign w:val="bottom"/>
            <w:shd w:val="clear" w:color="auto" w:fill="000000"/>
          </w:tcPr>
          <w:p>
            <w:pPr>
              <w:spacing w:after="0"/>
              <w:rPr>
                <w:sz w:val="21"/>
                <w:szCs w:val="21"/>
                <w:color w:val="auto"/>
              </w:rPr>
            </w:pPr>
          </w:p>
        </w:tc>
        <w:tc>
          <w:tcPr>
            <w:tcW w:w="660" w:type="dxa"/>
            <w:vAlign w:val="bottom"/>
            <w:shd w:val="clear" w:color="auto" w:fill="000000"/>
          </w:tcPr>
          <w:p>
            <w:pPr>
              <w:spacing w:after="0"/>
              <w:rPr>
                <w:sz w:val="21"/>
                <w:szCs w:val="21"/>
                <w:color w:val="auto"/>
              </w:rPr>
            </w:pPr>
          </w:p>
        </w:tc>
        <w:tc>
          <w:tcPr>
            <w:tcW w:w="220" w:type="dxa"/>
            <w:vAlign w:val="bottom"/>
            <w:shd w:val="clear" w:color="auto" w:fill="000000"/>
          </w:tcPr>
          <w:p>
            <w:pPr>
              <w:spacing w:after="0"/>
              <w:rPr>
                <w:sz w:val="21"/>
                <w:szCs w:val="21"/>
                <w:color w:val="auto"/>
              </w:rPr>
            </w:pPr>
          </w:p>
        </w:tc>
        <w:tc>
          <w:tcPr>
            <w:tcW w:w="660" w:type="dxa"/>
            <w:vAlign w:val="bottom"/>
            <w:shd w:val="clear" w:color="auto" w:fill="000000"/>
          </w:tcPr>
          <w:p>
            <w:pPr>
              <w:spacing w:after="0"/>
              <w:rPr>
                <w:sz w:val="21"/>
                <w:szCs w:val="21"/>
                <w:color w:val="auto"/>
              </w:rPr>
            </w:pPr>
          </w:p>
        </w:tc>
        <w:tc>
          <w:tcPr>
            <w:tcW w:w="240" w:type="dxa"/>
            <w:vAlign w:val="bottom"/>
            <w:shd w:val="clear" w:color="auto" w:fill="000000"/>
          </w:tcPr>
          <w:p>
            <w:pPr>
              <w:spacing w:after="0"/>
              <w:rPr>
                <w:sz w:val="21"/>
                <w:szCs w:val="21"/>
                <w:color w:val="auto"/>
              </w:rPr>
            </w:pPr>
          </w:p>
        </w:tc>
        <w:tc>
          <w:tcPr>
            <w:tcW w:w="540" w:type="dxa"/>
            <w:vAlign w:val="bottom"/>
            <w:shd w:val="clear" w:color="auto" w:fill="000000"/>
          </w:tcPr>
          <w:p>
            <w:pPr>
              <w:spacing w:after="0"/>
              <w:rPr>
                <w:sz w:val="21"/>
                <w:szCs w:val="21"/>
                <w:color w:val="auto"/>
              </w:rPr>
            </w:pPr>
          </w:p>
        </w:tc>
        <w:tc>
          <w:tcPr>
            <w:tcW w:w="340" w:type="dxa"/>
            <w:vAlign w:val="bottom"/>
            <w:shd w:val="clear" w:color="auto" w:fill="000000"/>
          </w:tcPr>
          <w:p>
            <w:pPr>
              <w:spacing w:after="0"/>
              <w:rPr>
                <w:sz w:val="21"/>
                <w:szCs w:val="21"/>
                <w:color w:val="auto"/>
              </w:rPr>
            </w:pPr>
          </w:p>
        </w:tc>
        <w:tc>
          <w:tcPr>
            <w:tcW w:w="200" w:type="dxa"/>
            <w:vAlign w:val="bottom"/>
            <w:shd w:val="clear" w:color="auto" w:fill="000000"/>
          </w:tcPr>
          <w:p>
            <w:pPr>
              <w:spacing w:after="0"/>
              <w:rPr>
                <w:sz w:val="21"/>
                <w:szCs w:val="21"/>
                <w:color w:val="auto"/>
              </w:rPr>
            </w:pPr>
          </w:p>
        </w:tc>
        <w:tc>
          <w:tcPr>
            <w:tcW w:w="680" w:type="dxa"/>
            <w:vAlign w:val="bottom"/>
            <w:shd w:val="clear" w:color="auto" w:fill="000000"/>
          </w:tcPr>
          <w:p>
            <w:pPr>
              <w:spacing w:after="0"/>
              <w:rPr>
                <w:sz w:val="21"/>
                <w:szCs w:val="21"/>
                <w:color w:val="auto"/>
              </w:rPr>
            </w:pPr>
          </w:p>
        </w:tc>
        <w:tc>
          <w:tcPr>
            <w:tcW w:w="180" w:type="dxa"/>
            <w:vAlign w:val="bottom"/>
            <w:shd w:val="clear" w:color="auto" w:fill="000000"/>
          </w:tcPr>
          <w:p>
            <w:pPr>
              <w:spacing w:after="0"/>
              <w:rPr>
                <w:sz w:val="21"/>
                <w:szCs w:val="21"/>
                <w:color w:val="auto"/>
              </w:rPr>
            </w:pPr>
          </w:p>
        </w:tc>
        <w:tc>
          <w:tcPr>
            <w:tcW w:w="720" w:type="dxa"/>
            <w:vAlign w:val="bottom"/>
            <w:shd w:val="clear" w:color="auto" w:fill="000000"/>
          </w:tcPr>
          <w:p>
            <w:pPr>
              <w:spacing w:after="0"/>
              <w:rPr>
                <w:sz w:val="21"/>
                <w:szCs w:val="21"/>
                <w:color w:val="auto"/>
              </w:rPr>
            </w:pPr>
          </w:p>
        </w:tc>
        <w:tc>
          <w:tcPr>
            <w:tcW w:w="200" w:type="dxa"/>
            <w:vAlign w:val="bottom"/>
            <w:shd w:val="clear" w:color="auto" w:fill="000000"/>
          </w:tcPr>
          <w:p>
            <w:pPr>
              <w:spacing w:after="0"/>
              <w:rPr>
                <w:sz w:val="21"/>
                <w:szCs w:val="21"/>
                <w:color w:val="auto"/>
              </w:rPr>
            </w:pPr>
          </w:p>
        </w:tc>
        <w:tc>
          <w:tcPr>
            <w:tcW w:w="600" w:type="dxa"/>
            <w:vAlign w:val="bottom"/>
            <w:shd w:val="clear" w:color="auto" w:fill="000000"/>
          </w:tcPr>
          <w:p>
            <w:pPr>
              <w:spacing w:after="0"/>
              <w:rPr>
                <w:sz w:val="21"/>
                <w:szCs w:val="21"/>
                <w:color w:val="auto"/>
              </w:rPr>
            </w:pPr>
          </w:p>
        </w:tc>
        <w:tc>
          <w:tcPr>
            <w:tcW w:w="200" w:type="dxa"/>
            <w:vAlign w:val="bottom"/>
            <w:shd w:val="clear" w:color="auto" w:fill="000000"/>
          </w:tcPr>
          <w:p>
            <w:pPr>
              <w:spacing w:after="0"/>
              <w:rPr>
                <w:sz w:val="21"/>
                <w:szCs w:val="21"/>
                <w:color w:val="auto"/>
              </w:rPr>
            </w:pPr>
          </w:p>
        </w:tc>
      </w:tr>
      <w:tr>
        <w:trPr>
          <w:trHeight w:val="255"/>
        </w:trPr>
        <w:tc>
          <w:tcPr>
            <w:tcW w:w="3380" w:type="dxa"/>
            <w:vAlign w:val="bottom"/>
          </w:tcPr>
          <w:p>
            <w:pPr>
              <w:spacing w:after="0"/>
              <w:rPr>
                <w:sz w:val="20"/>
                <w:szCs w:val="20"/>
                <w:color w:val="auto"/>
              </w:rPr>
            </w:pPr>
            <w:r>
              <w:rPr>
                <w:rFonts w:ascii="Arial" w:cs="Arial" w:eastAsia="Arial" w:hAnsi="Arial"/>
                <w:sz w:val="18"/>
                <w:szCs w:val="18"/>
                <w:color w:val="auto"/>
              </w:rPr>
              <w:t>Service cost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ind w:right="72"/>
              <w:spacing w:after="0"/>
              <w:rPr>
                <w:sz w:val="20"/>
                <w:szCs w:val="20"/>
                <w:color w:val="auto"/>
              </w:rPr>
            </w:pPr>
            <w:r>
              <w:rPr>
                <w:rFonts w:ascii="Arial" w:cs="Arial" w:eastAsia="Arial" w:hAnsi="Arial"/>
                <w:sz w:val="18"/>
                <w:szCs w:val="18"/>
                <w:color w:val="auto"/>
              </w:rPr>
              <w:t>10</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72"/>
              <w:spacing w:after="0"/>
              <w:rPr>
                <w:sz w:val="20"/>
                <w:szCs w:val="20"/>
                <w:color w:val="auto"/>
              </w:rPr>
            </w:pPr>
            <w:r>
              <w:rPr>
                <w:rFonts w:ascii="Arial" w:cs="Arial" w:eastAsia="Arial" w:hAnsi="Arial"/>
                <w:sz w:val="18"/>
                <w:szCs w:val="18"/>
                <w:color w:val="auto"/>
              </w:rPr>
              <w:t>9</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14</w:t>
            </w:r>
          </w:p>
        </w:tc>
        <w:tc>
          <w:tcPr>
            <w:tcW w:w="340" w:type="dxa"/>
            <w:vAlign w:val="bottom"/>
          </w:tcPr>
          <w:p>
            <w:pPr>
              <w:spacing w:after="0"/>
              <w:rPr>
                <w:sz w:val="22"/>
                <w:szCs w:val="22"/>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ind w:right="72"/>
              <w:spacing w:after="0"/>
              <w:rPr>
                <w:sz w:val="20"/>
                <w:szCs w:val="20"/>
                <w:color w:val="auto"/>
              </w:rPr>
            </w:pPr>
            <w:r>
              <w:rPr>
                <w:rFonts w:ascii="Arial" w:cs="Arial" w:eastAsia="Arial" w:hAnsi="Arial"/>
                <w:sz w:val="18"/>
                <w:szCs w:val="18"/>
                <w:color w:val="auto"/>
              </w:rPr>
              <w:t>3</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52"/>
              <w:spacing w:after="0"/>
              <w:rPr>
                <w:sz w:val="20"/>
                <w:szCs w:val="20"/>
                <w:color w:val="auto"/>
              </w:rPr>
            </w:pPr>
            <w:r>
              <w:rPr>
                <w:rFonts w:ascii="Arial" w:cs="Arial" w:eastAsia="Arial" w:hAnsi="Arial"/>
                <w:sz w:val="18"/>
                <w:szCs w:val="18"/>
                <w:color w:val="auto"/>
              </w:rPr>
              <w:t>3</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2</w:t>
            </w:r>
          </w:p>
        </w:tc>
        <w:tc>
          <w:tcPr>
            <w:tcW w:w="200" w:type="dxa"/>
            <w:vAlign w:val="bottom"/>
          </w:tcPr>
          <w:p>
            <w:pPr>
              <w:spacing w:after="0"/>
              <w:rPr>
                <w:sz w:val="22"/>
                <w:szCs w:val="22"/>
                <w:color w:val="auto"/>
              </w:rPr>
            </w:pPr>
          </w:p>
        </w:tc>
      </w:tr>
      <w:tr>
        <w:trPr>
          <w:trHeight w:val="270"/>
        </w:trPr>
        <w:tc>
          <w:tcPr>
            <w:tcW w:w="3380" w:type="dxa"/>
            <w:vAlign w:val="bottom"/>
          </w:tcPr>
          <w:p>
            <w:pPr>
              <w:spacing w:after="0"/>
              <w:rPr>
                <w:sz w:val="20"/>
                <w:szCs w:val="20"/>
                <w:color w:val="auto"/>
              </w:rPr>
            </w:pPr>
            <w:r>
              <w:rPr>
                <w:rFonts w:ascii="Arial" w:cs="Arial" w:eastAsia="Arial" w:hAnsi="Arial"/>
                <w:sz w:val="18"/>
                <w:szCs w:val="18"/>
                <w:color w:val="auto"/>
              </w:rPr>
              <w:t>Interest cost</w:t>
            </w:r>
          </w:p>
        </w:tc>
        <w:tc>
          <w:tcPr>
            <w:tcW w:w="200" w:type="dxa"/>
            <w:vAlign w:val="bottom"/>
          </w:tcPr>
          <w:p>
            <w:pPr>
              <w:spacing w:after="0"/>
              <w:rPr>
                <w:sz w:val="23"/>
                <w:szCs w:val="23"/>
                <w:color w:val="auto"/>
              </w:rPr>
            </w:pPr>
          </w:p>
        </w:tc>
        <w:tc>
          <w:tcPr>
            <w:tcW w:w="660" w:type="dxa"/>
            <w:vAlign w:val="bottom"/>
          </w:tcPr>
          <w:p>
            <w:pPr>
              <w:jc w:val="right"/>
              <w:ind w:right="72"/>
              <w:spacing w:after="0"/>
              <w:rPr>
                <w:sz w:val="20"/>
                <w:szCs w:val="20"/>
                <w:color w:val="auto"/>
              </w:rPr>
            </w:pPr>
            <w:r>
              <w:rPr>
                <w:rFonts w:ascii="Arial" w:cs="Arial" w:eastAsia="Arial" w:hAnsi="Arial"/>
                <w:sz w:val="18"/>
                <w:szCs w:val="18"/>
                <w:color w:val="auto"/>
              </w:rPr>
              <w:t>42</w:t>
            </w:r>
          </w:p>
        </w:tc>
        <w:tc>
          <w:tcPr>
            <w:tcW w:w="220" w:type="dxa"/>
            <w:vAlign w:val="bottom"/>
          </w:tcPr>
          <w:p>
            <w:pPr>
              <w:spacing w:after="0"/>
              <w:rPr>
                <w:sz w:val="23"/>
                <w:szCs w:val="23"/>
                <w:color w:val="auto"/>
              </w:rPr>
            </w:pPr>
          </w:p>
        </w:tc>
        <w:tc>
          <w:tcPr>
            <w:tcW w:w="660" w:type="dxa"/>
            <w:vAlign w:val="bottom"/>
          </w:tcPr>
          <w:p>
            <w:pPr>
              <w:jc w:val="right"/>
              <w:ind w:right="72"/>
              <w:spacing w:after="0"/>
              <w:rPr>
                <w:sz w:val="20"/>
                <w:szCs w:val="20"/>
                <w:color w:val="auto"/>
              </w:rPr>
            </w:pPr>
            <w:r>
              <w:rPr>
                <w:rFonts w:ascii="Arial" w:cs="Arial" w:eastAsia="Arial" w:hAnsi="Arial"/>
                <w:sz w:val="18"/>
                <w:szCs w:val="18"/>
                <w:color w:val="auto"/>
              </w:rPr>
              <w:t>41</w:t>
            </w:r>
          </w:p>
        </w:tc>
        <w:tc>
          <w:tcPr>
            <w:tcW w:w="240" w:type="dxa"/>
            <w:vAlign w:val="bottom"/>
          </w:tcPr>
          <w:p>
            <w:pPr>
              <w:spacing w:after="0"/>
              <w:rPr>
                <w:sz w:val="23"/>
                <w:szCs w:val="23"/>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40</w:t>
            </w:r>
          </w:p>
        </w:tc>
        <w:tc>
          <w:tcPr>
            <w:tcW w:w="3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80" w:type="dxa"/>
            <w:vAlign w:val="bottom"/>
          </w:tcPr>
          <w:p>
            <w:pPr>
              <w:jc w:val="right"/>
              <w:ind w:right="72"/>
              <w:spacing w:after="0"/>
              <w:rPr>
                <w:sz w:val="20"/>
                <w:szCs w:val="20"/>
                <w:color w:val="auto"/>
              </w:rPr>
            </w:pPr>
            <w:r>
              <w:rPr>
                <w:rFonts w:ascii="Arial" w:cs="Arial" w:eastAsia="Arial" w:hAnsi="Arial"/>
                <w:sz w:val="18"/>
                <w:szCs w:val="18"/>
                <w:color w:val="auto"/>
              </w:rPr>
              <w:t>5</w:t>
            </w:r>
          </w:p>
        </w:tc>
        <w:tc>
          <w:tcPr>
            <w:tcW w:w="180" w:type="dxa"/>
            <w:vAlign w:val="bottom"/>
          </w:tcPr>
          <w:p>
            <w:pPr>
              <w:spacing w:after="0"/>
              <w:rPr>
                <w:sz w:val="23"/>
                <w:szCs w:val="23"/>
                <w:color w:val="auto"/>
              </w:rPr>
            </w:pPr>
          </w:p>
        </w:tc>
        <w:tc>
          <w:tcPr>
            <w:tcW w:w="720" w:type="dxa"/>
            <w:vAlign w:val="bottom"/>
          </w:tcPr>
          <w:p>
            <w:pPr>
              <w:jc w:val="right"/>
              <w:ind w:right="52"/>
              <w:spacing w:after="0"/>
              <w:rPr>
                <w:sz w:val="20"/>
                <w:szCs w:val="20"/>
                <w:color w:val="auto"/>
              </w:rPr>
            </w:pPr>
            <w:r>
              <w:rPr>
                <w:rFonts w:ascii="Arial" w:cs="Arial" w:eastAsia="Arial" w:hAnsi="Arial"/>
                <w:sz w:val="18"/>
                <w:szCs w:val="18"/>
                <w:color w:val="auto"/>
              </w:rPr>
              <w:t>5</w:t>
            </w:r>
          </w:p>
        </w:tc>
        <w:tc>
          <w:tcPr>
            <w:tcW w:w="20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w:t>
            </w:r>
          </w:p>
        </w:tc>
        <w:tc>
          <w:tcPr>
            <w:tcW w:w="200" w:type="dxa"/>
            <w:vAlign w:val="bottom"/>
          </w:tcPr>
          <w:p>
            <w:pPr>
              <w:spacing w:after="0"/>
              <w:rPr>
                <w:sz w:val="23"/>
                <w:szCs w:val="23"/>
                <w:color w:val="auto"/>
              </w:rPr>
            </w:pPr>
          </w:p>
        </w:tc>
      </w:tr>
      <w:tr>
        <w:trPr>
          <w:trHeight w:val="270"/>
        </w:trPr>
        <w:tc>
          <w:tcPr>
            <w:tcW w:w="3380" w:type="dxa"/>
            <w:vAlign w:val="bottom"/>
          </w:tcPr>
          <w:p>
            <w:pPr>
              <w:spacing w:after="0"/>
              <w:rPr>
                <w:sz w:val="20"/>
                <w:szCs w:val="20"/>
                <w:color w:val="auto"/>
              </w:rPr>
            </w:pPr>
            <w:r>
              <w:rPr>
                <w:rFonts w:ascii="Arial" w:cs="Arial" w:eastAsia="Arial" w:hAnsi="Arial"/>
                <w:sz w:val="18"/>
                <w:szCs w:val="18"/>
                <w:color w:val="auto"/>
              </w:rPr>
              <w:t>Expected return on assets</w:t>
            </w:r>
          </w:p>
        </w:tc>
        <w:tc>
          <w:tcPr>
            <w:tcW w:w="20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(44 )</w:t>
            </w:r>
          </w:p>
        </w:tc>
        <w:tc>
          <w:tcPr>
            <w:tcW w:w="22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(40 )</w:t>
            </w:r>
          </w:p>
        </w:tc>
        <w:tc>
          <w:tcPr>
            <w:tcW w:w="240" w:type="dxa"/>
            <w:vAlign w:val="bottom"/>
          </w:tcPr>
          <w:p>
            <w:pPr>
              <w:spacing w:after="0"/>
              <w:rPr>
                <w:sz w:val="23"/>
                <w:szCs w:val="23"/>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rPr>
              <w:t>(33 )</w:t>
            </w:r>
          </w:p>
        </w:tc>
        <w:tc>
          <w:tcPr>
            <w:tcW w:w="20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(2 )</w:t>
            </w:r>
          </w:p>
        </w:tc>
        <w:tc>
          <w:tcPr>
            <w:tcW w:w="18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(3 )</w:t>
            </w:r>
          </w:p>
        </w:tc>
        <w:tc>
          <w:tcPr>
            <w:tcW w:w="200" w:type="dxa"/>
            <w:vAlign w:val="bottom"/>
          </w:tcPr>
          <w:p>
            <w:pPr>
              <w:spacing w:after="0"/>
              <w:rPr>
                <w:sz w:val="23"/>
                <w:szCs w:val="23"/>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(1 )</w:t>
            </w:r>
          </w:p>
        </w:tc>
      </w:tr>
      <w:tr>
        <w:trPr>
          <w:trHeight w:val="270"/>
        </w:trPr>
        <w:tc>
          <w:tcPr>
            <w:tcW w:w="3380" w:type="dxa"/>
            <w:vAlign w:val="bottom"/>
          </w:tcPr>
          <w:p>
            <w:pPr>
              <w:spacing w:after="0"/>
              <w:rPr>
                <w:sz w:val="20"/>
                <w:szCs w:val="20"/>
                <w:color w:val="auto"/>
              </w:rPr>
            </w:pPr>
            <w:r>
              <w:rPr>
                <w:rFonts w:ascii="Arial" w:cs="Arial" w:eastAsia="Arial" w:hAnsi="Arial"/>
                <w:sz w:val="18"/>
                <w:szCs w:val="18"/>
                <w:color w:val="auto"/>
              </w:rPr>
              <w:t>Amortization of:</w:t>
            </w:r>
          </w:p>
        </w:tc>
        <w:tc>
          <w:tcPr>
            <w:tcW w:w="2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200" w:type="dxa"/>
            <w:vAlign w:val="bottom"/>
          </w:tcPr>
          <w:p>
            <w:pPr>
              <w:spacing w:after="0"/>
              <w:rPr>
                <w:sz w:val="23"/>
                <w:szCs w:val="23"/>
                <w:color w:val="auto"/>
              </w:rPr>
            </w:pPr>
          </w:p>
        </w:tc>
      </w:tr>
      <w:tr>
        <w:trPr>
          <w:trHeight w:val="270"/>
        </w:trPr>
        <w:tc>
          <w:tcPr>
            <w:tcW w:w="3380" w:type="dxa"/>
            <w:vAlign w:val="bottom"/>
          </w:tcPr>
          <w:p>
            <w:pPr>
              <w:ind w:left="260"/>
              <w:spacing w:after="0"/>
              <w:rPr>
                <w:sz w:val="20"/>
                <w:szCs w:val="20"/>
                <w:color w:val="auto"/>
              </w:rPr>
            </w:pPr>
            <w:r>
              <w:rPr>
                <w:rFonts w:ascii="Arial" w:cs="Arial" w:eastAsia="Arial" w:hAnsi="Arial"/>
                <w:sz w:val="18"/>
                <w:szCs w:val="18"/>
                <w:color w:val="auto"/>
              </w:rPr>
              <w:t>Transition obligation</w:t>
            </w:r>
          </w:p>
        </w:tc>
        <w:tc>
          <w:tcPr>
            <w:tcW w:w="200" w:type="dxa"/>
            <w:vAlign w:val="bottom"/>
          </w:tcPr>
          <w:p>
            <w:pPr>
              <w:spacing w:after="0"/>
              <w:rPr>
                <w:sz w:val="23"/>
                <w:szCs w:val="23"/>
                <w:color w:val="auto"/>
              </w:rPr>
            </w:pPr>
          </w:p>
        </w:tc>
        <w:tc>
          <w:tcPr>
            <w:tcW w:w="66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66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3"/>
                <w:szCs w:val="23"/>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8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72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w:t>
            </w:r>
          </w:p>
        </w:tc>
        <w:tc>
          <w:tcPr>
            <w:tcW w:w="200" w:type="dxa"/>
            <w:vAlign w:val="bottom"/>
          </w:tcPr>
          <w:p>
            <w:pPr>
              <w:spacing w:after="0"/>
              <w:rPr>
                <w:sz w:val="23"/>
                <w:szCs w:val="23"/>
                <w:color w:val="auto"/>
              </w:rPr>
            </w:pPr>
          </w:p>
        </w:tc>
      </w:tr>
      <w:tr>
        <w:trPr>
          <w:trHeight w:val="270"/>
        </w:trPr>
        <w:tc>
          <w:tcPr>
            <w:tcW w:w="3380" w:type="dxa"/>
            <w:vAlign w:val="bottom"/>
          </w:tcPr>
          <w:p>
            <w:pPr>
              <w:ind w:left="260"/>
              <w:spacing w:after="0"/>
              <w:rPr>
                <w:sz w:val="20"/>
                <w:szCs w:val="20"/>
                <w:color w:val="auto"/>
              </w:rPr>
            </w:pPr>
            <w:r>
              <w:rPr>
                <w:rFonts w:ascii="Arial" w:cs="Arial" w:eastAsia="Arial" w:hAnsi="Arial"/>
                <w:sz w:val="18"/>
                <w:szCs w:val="18"/>
                <w:color w:val="auto"/>
              </w:rPr>
              <w:t>Prior service cost</w:t>
            </w:r>
          </w:p>
        </w:tc>
        <w:tc>
          <w:tcPr>
            <w:tcW w:w="200" w:type="dxa"/>
            <w:vAlign w:val="bottom"/>
          </w:tcPr>
          <w:p>
            <w:pPr>
              <w:spacing w:after="0"/>
              <w:rPr>
                <w:sz w:val="23"/>
                <w:szCs w:val="23"/>
                <w:color w:val="auto"/>
              </w:rPr>
            </w:pPr>
          </w:p>
        </w:tc>
        <w:tc>
          <w:tcPr>
            <w:tcW w:w="660" w:type="dxa"/>
            <w:vAlign w:val="bottom"/>
          </w:tcPr>
          <w:p>
            <w:pPr>
              <w:jc w:val="right"/>
              <w:ind w:right="72"/>
              <w:spacing w:after="0"/>
              <w:rPr>
                <w:sz w:val="20"/>
                <w:szCs w:val="20"/>
                <w:color w:val="auto"/>
              </w:rPr>
            </w:pPr>
            <w:r>
              <w:rPr>
                <w:rFonts w:ascii="Arial" w:cs="Arial" w:eastAsia="Arial" w:hAnsi="Arial"/>
                <w:sz w:val="18"/>
                <w:szCs w:val="18"/>
                <w:color w:val="auto"/>
              </w:rPr>
              <w:t>3</w:t>
            </w:r>
          </w:p>
        </w:tc>
        <w:tc>
          <w:tcPr>
            <w:tcW w:w="220" w:type="dxa"/>
            <w:vAlign w:val="bottom"/>
          </w:tcPr>
          <w:p>
            <w:pPr>
              <w:spacing w:after="0"/>
              <w:rPr>
                <w:sz w:val="23"/>
                <w:szCs w:val="23"/>
                <w:color w:val="auto"/>
              </w:rPr>
            </w:pPr>
          </w:p>
        </w:tc>
        <w:tc>
          <w:tcPr>
            <w:tcW w:w="660" w:type="dxa"/>
            <w:vAlign w:val="bottom"/>
          </w:tcPr>
          <w:p>
            <w:pPr>
              <w:jc w:val="right"/>
              <w:ind w:right="72"/>
              <w:spacing w:after="0"/>
              <w:rPr>
                <w:sz w:val="20"/>
                <w:szCs w:val="20"/>
                <w:color w:val="auto"/>
              </w:rPr>
            </w:pPr>
            <w:r>
              <w:rPr>
                <w:rFonts w:ascii="Arial" w:cs="Arial" w:eastAsia="Arial" w:hAnsi="Arial"/>
                <w:sz w:val="18"/>
                <w:szCs w:val="18"/>
                <w:color w:val="auto"/>
              </w:rPr>
              <w:t>2</w:t>
            </w:r>
          </w:p>
        </w:tc>
        <w:tc>
          <w:tcPr>
            <w:tcW w:w="240" w:type="dxa"/>
            <w:vAlign w:val="bottom"/>
          </w:tcPr>
          <w:p>
            <w:pPr>
              <w:spacing w:after="0"/>
              <w:rPr>
                <w:sz w:val="23"/>
                <w:szCs w:val="23"/>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w:t>
            </w:r>
          </w:p>
        </w:tc>
        <w:tc>
          <w:tcPr>
            <w:tcW w:w="3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(1 )</w:t>
            </w:r>
          </w:p>
        </w:tc>
        <w:tc>
          <w:tcPr>
            <w:tcW w:w="18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(1 )</w:t>
            </w:r>
          </w:p>
        </w:tc>
        <w:tc>
          <w:tcPr>
            <w:tcW w:w="200" w:type="dxa"/>
            <w:vAlign w:val="bottom"/>
          </w:tcPr>
          <w:p>
            <w:pPr>
              <w:spacing w:after="0"/>
              <w:rPr>
                <w:sz w:val="23"/>
                <w:szCs w:val="23"/>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(1 )</w:t>
            </w:r>
          </w:p>
        </w:tc>
      </w:tr>
      <w:tr>
        <w:trPr>
          <w:trHeight w:val="270"/>
        </w:trPr>
        <w:tc>
          <w:tcPr>
            <w:tcW w:w="3380" w:type="dxa"/>
            <w:vAlign w:val="bottom"/>
          </w:tcPr>
          <w:p>
            <w:pPr>
              <w:ind w:left="260"/>
              <w:spacing w:after="0"/>
              <w:rPr>
                <w:sz w:val="20"/>
                <w:szCs w:val="20"/>
                <w:color w:val="auto"/>
              </w:rPr>
            </w:pPr>
            <w:r>
              <w:rPr>
                <w:rFonts w:ascii="Arial" w:cs="Arial" w:eastAsia="Arial" w:hAnsi="Arial"/>
                <w:sz w:val="18"/>
                <w:szCs w:val="18"/>
                <w:color w:val="auto"/>
              </w:rPr>
              <w:t>Actuarial loss</w:t>
            </w:r>
          </w:p>
        </w:tc>
        <w:tc>
          <w:tcPr>
            <w:tcW w:w="200" w:type="dxa"/>
            <w:vAlign w:val="bottom"/>
          </w:tcPr>
          <w:p>
            <w:pPr>
              <w:spacing w:after="0"/>
              <w:rPr>
                <w:sz w:val="23"/>
                <w:szCs w:val="23"/>
                <w:color w:val="auto"/>
              </w:rPr>
            </w:pPr>
          </w:p>
        </w:tc>
        <w:tc>
          <w:tcPr>
            <w:tcW w:w="660" w:type="dxa"/>
            <w:vAlign w:val="bottom"/>
          </w:tcPr>
          <w:p>
            <w:pPr>
              <w:jc w:val="right"/>
              <w:ind w:right="72"/>
              <w:spacing w:after="0"/>
              <w:rPr>
                <w:sz w:val="20"/>
                <w:szCs w:val="20"/>
                <w:color w:val="auto"/>
              </w:rPr>
            </w:pPr>
            <w:r>
              <w:rPr>
                <w:rFonts w:ascii="Arial" w:cs="Arial" w:eastAsia="Arial" w:hAnsi="Arial"/>
                <w:sz w:val="18"/>
                <w:szCs w:val="18"/>
                <w:color w:val="auto"/>
              </w:rPr>
              <w:t>1</w:t>
            </w:r>
          </w:p>
        </w:tc>
        <w:tc>
          <w:tcPr>
            <w:tcW w:w="220" w:type="dxa"/>
            <w:vAlign w:val="bottom"/>
          </w:tcPr>
          <w:p>
            <w:pPr>
              <w:spacing w:after="0"/>
              <w:rPr>
                <w:sz w:val="23"/>
                <w:szCs w:val="23"/>
                <w:color w:val="auto"/>
              </w:rPr>
            </w:pPr>
          </w:p>
        </w:tc>
        <w:tc>
          <w:tcPr>
            <w:tcW w:w="660" w:type="dxa"/>
            <w:vAlign w:val="bottom"/>
          </w:tcPr>
          <w:p>
            <w:pPr>
              <w:jc w:val="right"/>
              <w:ind w:right="72"/>
              <w:spacing w:after="0"/>
              <w:rPr>
                <w:sz w:val="20"/>
                <w:szCs w:val="20"/>
                <w:color w:val="auto"/>
              </w:rPr>
            </w:pPr>
            <w:r>
              <w:rPr>
                <w:rFonts w:ascii="Arial" w:cs="Arial" w:eastAsia="Arial" w:hAnsi="Arial"/>
                <w:sz w:val="18"/>
                <w:szCs w:val="18"/>
                <w:color w:val="auto"/>
              </w:rPr>
              <w:t>1</w:t>
            </w:r>
          </w:p>
        </w:tc>
        <w:tc>
          <w:tcPr>
            <w:tcW w:w="240" w:type="dxa"/>
            <w:vAlign w:val="bottom"/>
          </w:tcPr>
          <w:p>
            <w:pPr>
              <w:spacing w:after="0"/>
              <w:rPr>
                <w:sz w:val="23"/>
                <w:szCs w:val="23"/>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w:t>
            </w:r>
          </w:p>
        </w:tc>
        <w:tc>
          <w:tcPr>
            <w:tcW w:w="3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80" w:type="dxa"/>
            <w:vAlign w:val="bottom"/>
          </w:tcPr>
          <w:p>
            <w:pPr>
              <w:jc w:val="right"/>
              <w:ind w:right="72"/>
              <w:spacing w:after="0"/>
              <w:rPr>
                <w:sz w:val="20"/>
                <w:szCs w:val="20"/>
                <w:color w:val="auto"/>
              </w:rPr>
            </w:pPr>
            <w:r>
              <w:rPr>
                <w:rFonts w:ascii="Arial" w:cs="Arial" w:eastAsia="Arial" w:hAnsi="Arial"/>
                <w:sz w:val="18"/>
                <w:szCs w:val="18"/>
                <w:color w:val="auto"/>
              </w:rPr>
              <w:t>1</w:t>
            </w:r>
          </w:p>
        </w:tc>
        <w:tc>
          <w:tcPr>
            <w:tcW w:w="180" w:type="dxa"/>
            <w:vAlign w:val="bottom"/>
          </w:tcPr>
          <w:p>
            <w:pPr>
              <w:spacing w:after="0"/>
              <w:rPr>
                <w:sz w:val="23"/>
                <w:szCs w:val="23"/>
                <w:color w:val="auto"/>
              </w:rPr>
            </w:pPr>
          </w:p>
        </w:tc>
        <w:tc>
          <w:tcPr>
            <w:tcW w:w="720" w:type="dxa"/>
            <w:vAlign w:val="bottom"/>
          </w:tcPr>
          <w:p>
            <w:pPr>
              <w:jc w:val="right"/>
              <w:ind w:right="52"/>
              <w:spacing w:after="0"/>
              <w:rPr>
                <w:sz w:val="20"/>
                <w:szCs w:val="20"/>
                <w:color w:val="auto"/>
              </w:rPr>
            </w:pPr>
            <w:r>
              <w:rPr>
                <w:rFonts w:ascii="Arial" w:cs="Arial" w:eastAsia="Arial" w:hAnsi="Arial"/>
                <w:sz w:val="18"/>
                <w:szCs w:val="18"/>
                <w:color w:val="auto"/>
              </w:rPr>
              <w:t>1</w:t>
            </w:r>
          </w:p>
        </w:tc>
        <w:tc>
          <w:tcPr>
            <w:tcW w:w="20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w:t>
            </w:r>
          </w:p>
        </w:tc>
        <w:tc>
          <w:tcPr>
            <w:tcW w:w="200" w:type="dxa"/>
            <w:vAlign w:val="bottom"/>
          </w:tcPr>
          <w:p>
            <w:pPr>
              <w:spacing w:after="0"/>
              <w:rPr>
                <w:sz w:val="23"/>
                <w:szCs w:val="23"/>
                <w:color w:val="auto"/>
              </w:rPr>
            </w:pPr>
          </w:p>
        </w:tc>
      </w:tr>
      <w:tr>
        <w:trPr>
          <w:trHeight w:val="270"/>
        </w:trPr>
        <w:tc>
          <w:tcPr>
            <w:tcW w:w="3380" w:type="dxa"/>
            <w:vAlign w:val="bottom"/>
          </w:tcPr>
          <w:p>
            <w:pPr>
              <w:spacing w:after="0"/>
              <w:rPr>
                <w:sz w:val="20"/>
                <w:szCs w:val="20"/>
                <w:color w:val="auto"/>
              </w:rPr>
            </w:pPr>
            <w:r>
              <w:rPr>
                <w:rFonts w:ascii="Arial" w:cs="Arial" w:eastAsia="Arial" w:hAnsi="Arial"/>
                <w:sz w:val="18"/>
                <w:szCs w:val="18"/>
                <w:color w:val="auto"/>
              </w:rPr>
              <w:t>Regulatory adjustment</w:t>
            </w:r>
          </w:p>
        </w:tc>
        <w:tc>
          <w:tcPr>
            <w:tcW w:w="200" w:type="dxa"/>
            <w:vAlign w:val="bottom"/>
          </w:tcPr>
          <w:p>
            <w:pPr>
              <w:spacing w:after="0"/>
              <w:rPr>
                <w:sz w:val="23"/>
                <w:szCs w:val="23"/>
                <w:color w:val="auto"/>
              </w:rPr>
            </w:pPr>
          </w:p>
        </w:tc>
        <w:tc>
          <w:tcPr>
            <w:tcW w:w="660" w:type="dxa"/>
            <w:vAlign w:val="bottom"/>
          </w:tcPr>
          <w:p>
            <w:pPr>
              <w:jc w:val="right"/>
              <w:ind w:right="72"/>
              <w:spacing w:after="0"/>
              <w:rPr>
                <w:sz w:val="20"/>
                <w:szCs w:val="20"/>
                <w:color w:val="auto"/>
              </w:rPr>
            </w:pPr>
            <w:r>
              <w:rPr>
                <w:rFonts w:ascii="Arial" w:cs="Arial" w:eastAsia="Arial" w:hAnsi="Arial"/>
                <w:sz w:val="18"/>
                <w:szCs w:val="18"/>
                <w:color w:val="auto"/>
              </w:rPr>
              <w:t>11</w:t>
            </w:r>
          </w:p>
        </w:tc>
        <w:tc>
          <w:tcPr>
            <w:tcW w:w="22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(55 )</w:t>
            </w:r>
          </w:p>
        </w:tc>
        <w:tc>
          <w:tcPr>
            <w:tcW w:w="240" w:type="dxa"/>
            <w:vAlign w:val="bottom"/>
          </w:tcPr>
          <w:p>
            <w:pPr>
              <w:spacing w:after="0"/>
              <w:rPr>
                <w:sz w:val="23"/>
                <w:szCs w:val="23"/>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80" w:type="dxa"/>
            <w:vAlign w:val="bottom"/>
          </w:tcPr>
          <w:p>
            <w:pPr>
              <w:jc w:val="right"/>
              <w:ind w:right="72"/>
              <w:spacing w:after="0"/>
              <w:rPr>
                <w:sz w:val="20"/>
                <w:szCs w:val="20"/>
                <w:color w:val="auto"/>
              </w:rPr>
            </w:pPr>
            <w:r>
              <w:rPr>
                <w:rFonts w:ascii="Arial" w:cs="Arial" w:eastAsia="Arial" w:hAnsi="Arial"/>
                <w:sz w:val="18"/>
                <w:szCs w:val="18"/>
                <w:color w:val="auto"/>
              </w:rPr>
              <w:t>1</w:t>
            </w:r>
          </w:p>
        </w:tc>
        <w:tc>
          <w:tcPr>
            <w:tcW w:w="18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(8 )</w:t>
            </w:r>
          </w:p>
        </w:tc>
        <w:tc>
          <w:tcPr>
            <w:tcW w:w="20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r>
      <w:tr>
        <w:trPr>
          <w:trHeight w:val="278"/>
        </w:trPr>
        <w:tc>
          <w:tcPr>
            <w:tcW w:w="3380" w:type="dxa"/>
            <w:vAlign w:val="bottom"/>
          </w:tcPr>
          <w:p>
            <w:pPr>
              <w:spacing w:after="0"/>
              <w:rPr>
                <w:sz w:val="20"/>
                <w:szCs w:val="20"/>
                <w:color w:val="auto"/>
              </w:rPr>
            </w:pPr>
            <w:r>
              <w:rPr>
                <w:rFonts w:ascii="Arial" w:cs="Arial" w:eastAsia="Arial" w:hAnsi="Arial"/>
                <w:sz w:val="18"/>
                <w:szCs w:val="18"/>
                <w:color w:val="auto"/>
              </w:rPr>
              <w:t>Transfer of retirees</w:t>
            </w:r>
          </w:p>
        </w:tc>
        <w:tc>
          <w:tcPr>
            <w:tcW w:w="200" w:type="dxa"/>
            <w:vAlign w:val="bottom"/>
          </w:tcPr>
          <w:p>
            <w:pPr>
              <w:spacing w:after="0"/>
              <w:rPr>
                <w:sz w:val="24"/>
                <w:szCs w:val="24"/>
                <w:color w:val="auto"/>
              </w:rPr>
            </w:pPr>
          </w:p>
        </w:tc>
        <w:tc>
          <w:tcPr>
            <w:tcW w:w="660" w:type="dxa"/>
            <w:vAlign w:val="bottom"/>
          </w:tcPr>
          <w:p>
            <w:pPr>
              <w:jc w:val="right"/>
              <w:ind w:right="72"/>
              <w:spacing w:after="0"/>
              <w:rPr>
                <w:sz w:val="20"/>
                <w:szCs w:val="20"/>
                <w:color w:val="auto"/>
              </w:rPr>
            </w:pPr>
            <w:r>
              <w:rPr>
                <w:rFonts w:ascii="Arial" w:cs="Arial" w:eastAsia="Arial" w:hAnsi="Arial"/>
                <w:sz w:val="18"/>
                <w:szCs w:val="18"/>
                <w:color w:val="auto"/>
              </w:rPr>
              <w:t>12</w:t>
            </w:r>
          </w:p>
        </w:tc>
        <w:tc>
          <w:tcPr>
            <w:tcW w:w="220" w:type="dxa"/>
            <w:vAlign w:val="bottom"/>
          </w:tcPr>
          <w:p>
            <w:pPr>
              <w:spacing w:after="0"/>
              <w:rPr>
                <w:sz w:val="24"/>
                <w:szCs w:val="24"/>
                <w:color w:val="auto"/>
              </w:rPr>
            </w:pPr>
          </w:p>
        </w:tc>
        <w:tc>
          <w:tcPr>
            <w:tcW w:w="66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(1 )</w:t>
            </w: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251"/>
        </w:trPr>
        <w:tc>
          <w:tcPr>
            <w:tcW w:w="3380" w:type="dxa"/>
            <w:vAlign w:val="bottom"/>
          </w:tcPr>
          <w:p>
            <w:pPr>
              <w:spacing w:after="0"/>
              <w:rPr>
                <w:sz w:val="21"/>
                <w:szCs w:val="21"/>
                <w:color w:val="auto"/>
              </w:rPr>
            </w:pPr>
          </w:p>
        </w:tc>
        <w:tc>
          <w:tcPr>
            <w:tcW w:w="200" w:type="dxa"/>
            <w:vAlign w:val="bottom"/>
            <w:shd w:val="clear" w:color="auto" w:fill="000000"/>
          </w:tcPr>
          <w:p>
            <w:pPr>
              <w:spacing w:after="0"/>
              <w:rPr>
                <w:sz w:val="21"/>
                <w:szCs w:val="21"/>
                <w:color w:val="auto"/>
              </w:rPr>
            </w:pPr>
          </w:p>
        </w:tc>
        <w:tc>
          <w:tcPr>
            <w:tcW w:w="660" w:type="dxa"/>
            <w:vAlign w:val="bottom"/>
            <w:shd w:val="clear" w:color="auto" w:fill="000000"/>
          </w:tcPr>
          <w:p>
            <w:pPr>
              <w:spacing w:after="0"/>
              <w:rPr>
                <w:sz w:val="21"/>
                <w:szCs w:val="21"/>
                <w:color w:val="auto"/>
              </w:rPr>
            </w:pPr>
          </w:p>
        </w:tc>
        <w:tc>
          <w:tcPr>
            <w:tcW w:w="220" w:type="dxa"/>
            <w:vAlign w:val="bottom"/>
            <w:shd w:val="clear" w:color="auto" w:fill="000000"/>
          </w:tcPr>
          <w:p>
            <w:pPr>
              <w:spacing w:after="0"/>
              <w:rPr>
                <w:sz w:val="21"/>
                <w:szCs w:val="21"/>
                <w:color w:val="auto"/>
              </w:rPr>
            </w:pPr>
          </w:p>
        </w:tc>
        <w:tc>
          <w:tcPr>
            <w:tcW w:w="660" w:type="dxa"/>
            <w:vAlign w:val="bottom"/>
            <w:shd w:val="clear" w:color="auto" w:fill="000000"/>
          </w:tcPr>
          <w:p>
            <w:pPr>
              <w:spacing w:after="0"/>
              <w:rPr>
                <w:sz w:val="21"/>
                <w:szCs w:val="21"/>
                <w:color w:val="auto"/>
              </w:rPr>
            </w:pPr>
          </w:p>
        </w:tc>
        <w:tc>
          <w:tcPr>
            <w:tcW w:w="240" w:type="dxa"/>
            <w:vAlign w:val="bottom"/>
            <w:shd w:val="clear" w:color="auto" w:fill="000000"/>
          </w:tcPr>
          <w:p>
            <w:pPr>
              <w:spacing w:after="0"/>
              <w:rPr>
                <w:sz w:val="21"/>
                <w:szCs w:val="21"/>
                <w:color w:val="auto"/>
              </w:rPr>
            </w:pPr>
          </w:p>
        </w:tc>
        <w:tc>
          <w:tcPr>
            <w:tcW w:w="540" w:type="dxa"/>
            <w:vAlign w:val="bottom"/>
            <w:shd w:val="clear" w:color="auto" w:fill="000000"/>
          </w:tcPr>
          <w:p>
            <w:pPr>
              <w:spacing w:after="0"/>
              <w:rPr>
                <w:sz w:val="21"/>
                <w:szCs w:val="21"/>
                <w:color w:val="auto"/>
              </w:rPr>
            </w:pPr>
          </w:p>
        </w:tc>
        <w:tc>
          <w:tcPr>
            <w:tcW w:w="340" w:type="dxa"/>
            <w:vAlign w:val="bottom"/>
            <w:shd w:val="clear" w:color="auto" w:fill="000000"/>
          </w:tcPr>
          <w:p>
            <w:pPr>
              <w:spacing w:after="0"/>
              <w:rPr>
                <w:sz w:val="21"/>
                <w:szCs w:val="21"/>
                <w:color w:val="auto"/>
              </w:rPr>
            </w:pPr>
          </w:p>
        </w:tc>
        <w:tc>
          <w:tcPr>
            <w:tcW w:w="200" w:type="dxa"/>
            <w:vAlign w:val="bottom"/>
            <w:shd w:val="clear" w:color="auto" w:fill="000000"/>
          </w:tcPr>
          <w:p>
            <w:pPr>
              <w:spacing w:after="0"/>
              <w:rPr>
                <w:sz w:val="21"/>
                <w:szCs w:val="21"/>
                <w:color w:val="auto"/>
              </w:rPr>
            </w:pPr>
          </w:p>
        </w:tc>
        <w:tc>
          <w:tcPr>
            <w:tcW w:w="680" w:type="dxa"/>
            <w:vAlign w:val="bottom"/>
            <w:shd w:val="clear" w:color="auto" w:fill="000000"/>
          </w:tcPr>
          <w:p>
            <w:pPr>
              <w:spacing w:after="0"/>
              <w:rPr>
                <w:sz w:val="21"/>
                <w:szCs w:val="21"/>
                <w:color w:val="auto"/>
              </w:rPr>
            </w:pPr>
          </w:p>
        </w:tc>
        <w:tc>
          <w:tcPr>
            <w:tcW w:w="180" w:type="dxa"/>
            <w:vAlign w:val="bottom"/>
            <w:shd w:val="clear" w:color="auto" w:fill="000000"/>
          </w:tcPr>
          <w:p>
            <w:pPr>
              <w:spacing w:after="0"/>
              <w:rPr>
                <w:sz w:val="21"/>
                <w:szCs w:val="21"/>
                <w:color w:val="auto"/>
              </w:rPr>
            </w:pPr>
          </w:p>
        </w:tc>
        <w:tc>
          <w:tcPr>
            <w:tcW w:w="720" w:type="dxa"/>
            <w:vAlign w:val="bottom"/>
            <w:shd w:val="clear" w:color="auto" w:fill="000000"/>
          </w:tcPr>
          <w:p>
            <w:pPr>
              <w:spacing w:after="0"/>
              <w:rPr>
                <w:sz w:val="21"/>
                <w:szCs w:val="21"/>
                <w:color w:val="auto"/>
              </w:rPr>
            </w:pPr>
          </w:p>
        </w:tc>
        <w:tc>
          <w:tcPr>
            <w:tcW w:w="200" w:type="dxa"/>
            <w:vAlign w:val="bottom"/>
            <w:shd w:val="clear" w:color="auto" w:fill="000000"/>
          </w:tcPr>
          <w:p>
            <w:pPr>
              <w:spacing w:after="0"/>
              <w:rPr>
                <w:sz w:val="21"/>
                <w:szCs w:val="21"/>
                <w:color w:val="auto"/>
              </w:rPr>
            </w:pPr>
          </w:p>
        </w:tc>
        <w:tc>
          <w:tcPr>
            <w:tcW w:w="600" w:type="dxa"/>
            <w:vAlign w:val="bottom"/>
            <w:shd w:val="clear" w:color="auto" w:fill="000000"/>
          </w:tcPr>
          <w:p>
            <w:pPr>
              <w:spacing w:after="0"/>
              <w:rPr>
                <w:sz w:val="21"/>
                <w:szCs w:val="21"/>
                <w:color w:val="auto"/>
              </w:rPr>
            </w:pPr>
          </w:p>
        </w:tc>
        <w:tc>
          <w:tcPr>
            <w:tcW w:w="200" w:type="dxa"/>
            <w:vAlign w:val="bottom"/>
          </w:tcPr>
          <w:p>
            <w:pPr>
              <w:spacing w:after="0"/>
              <w:rPr>
                <w:sz w:val="21"/>
                <w:szCs w:val="21"/>
                <w:color w:val="auto"/>
              </w:rPr>
            </w:pPr>
          </w:p>
        </w:tc>
      </w:tr>
      <w:tr>
        <w:trPr>
          <w:trHeight w:val="262"/>
        </w:trPr>
        <w:tc>
          <w:tcPr>
            <w:tcW w:w="3380" w:type="dxa"/>
            <w:vAlign w:val="bottom"/>
          </w:tcPr>
          <w:p>
            <w:pPr>
              <w:spacing w:after="0"/>
              <w:rPr>
                <w:sz w:val="20"/>
                <w:szCs w:val="20"/>
                <w:color w:val="auto"/>
              </w:rPr>
            </w:pPr>
            <w:r>
              <w:rPr>
                <w:rFonts w:ascii="Arial" w:cs="Arial" w:eastAsia="Arial" w:hAnsi="Arial"/>
                <w:sz w:val="18"/>
                <w:szCs w:val="18"/>
                <w:color w:val="auto"/>
              </w:rPr>
              <w:t>Total net periodic benefit cost (income)</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ind w:right="72"/>
              <w:spacing w:after="0"/>
              <w:rPr>
                <w:sz w:val="20"/>
                <w:szCs w:val="20"/>
                <w:color w:val="auto"/>
              </w:rPr>
            </w:pPr>
            <w:r>
              <w:rPr>
                <w:rFonts w:ascii="Arial" w:cs="Arial" w:eastAsia="Arial" w:hAnsi="Arial"/>
                <w:sz w:val="18"/>
                <w:szCs w:val="18"/>
                <w:color w:val="auto"/>
              </w:rPr>
              <w:t>35</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(42 )</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26</w:t>
            </w:r>
          </w:p>
        </w:tc>
        <w:tc>
          <w:tcPr>
            <w:tcW w:w="340" w:type="dxa"/>
            <w:vAlign w:val="bottom"/>
          </w:tcPr>
          <w:p>
            <w:pPr>
              <w:spacing w:after="0"/>
              <w:rPr>
                <w:sz w:val="22"/>
                <w:szCs w:val="22"/>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ind w:right="72"/>
              <w:spacing w:after="0"/>
              <w:rPr>
                <w:sz w:val="20"/>
                <w:szCs w:val="20"/>
                <w:color w:val="auto"/>
              </w:rPr>
            </w:pPr>
            <w:r>
              <w:rPr>
                <w:rFonts w:ascii="Arial" w:cs="Arial" w:eastAsia="Arial" w:hAnsi="Arial"/>
                <w:sz w:val="18"/>
                <w:szCs w:val="18"/>
                <w:color w:val="auto"/>
              </w:rPr>
              <w:t>6</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(3 )</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6</w:t>
            </w:r>
          </w:p>
        </w:tc>
        <w:tc>
          <w:tcPr>
            <w:tcW w:w="200" w:type="dxa"/>
            <w:vAlign w:val="bottom"/>
          </w:tcPr>
          <w:p>
            <w:pPr>
              <w:spacing w:after="0"/>
              <w:rPr>
                <w:sz w:val="22"/>
                <w:szCs w:val="22"/>
                <w:color w:val="auto"/>
              </w:rPr>
            </w:pPr>
          </w:p>
        </w:tc>
      </w:tr>
      <w:tr>
        <w:trPr>
          <w:trHeight w:val="251"/>
        </w:trPr>
        <w:tc>
          <w:tcPr>
            <w:tcW w:w="3380" w:type="dxa"/>
            <w:vAlign w:val="bottom"/>
            <w:shd w:val="clear" w:color="auto" w:fill="000000"/>
          </w:tcPr>
          <w:p>
            <w:pPr>
              <w:spacing w:after="0"/>
              <w:rPr>
                <w:sz w:val="21"/>
                <w:szCs w:val="21"/>
                <w:color w:val="auto"/>
              </w:rPr>
            </w:pPr>
          </w:p>
        </w:tc>
        <w:tc>
          <w:tcPr>
            <w:tcW w:w="200" w:type="dxa"/>
            <w:vAlign w:val="bottom"/>
            <w:shd w:val="clear" w:color="auto" w:fill="000000"/>
          </w:tcPr>
          <w:p>
            <w:pPr>
              <w:spacing w:after="0"/>
              <w:rPr>
                <w:sz w:val="21"/>
                <w:szCs w:val="21"/>
                <w:color w:val="auto"/>
              </w:rPr>
            </w:pPr>
          </w:p>
        </w:tc>
        <w:tc>
          <w:tcPr>
            <w:tcW w:w="660" w:type="dxa"/>
            <w:vAlign w:val="bottom"/>
            <w:shd w:val="clear" w:color="auto" w:fill="000000"/>
          </w:tcPr>
          <w:p>
            <w:pPr>
              <w:spacing w:after="0"/>
              <w:rPr>
                <w:sz w:val="21"/>
                <w:szCs w:val="21"/>
                <w:color w:val="auto"/>
              </w:rPr>
            </w:pPr>
          </w:p>
        </w:tc>
        <w:tc>
          <w:tcPr>
            <w:tcW w:w="220" w:type="dxa"/>
            <w:vAlign w:val="bottom"/>
            <w:shd w:val="clear" w:color="auto" w:fill="000000"/>
          </w:tcPr>
          <w:p>
            <w:pPr>
              <w:spacing w:after="0"/>
              <w:rPr>
                <w:sz w:val="21"/>
                <w:szCs w:val="21"/>
                <w:color w:val="auto"/>
              </w:rPr>
            </w:pPr>
          </w:p>
        </w:tc>
        <w:tc>
          <w:tcPr>
            <w:tcW w:w="660" w:type="dxa"/>
            <w:vAlign w:val="bottom"/>
            <w:shd w:val="clear" w:color="auto" w:fill="000000"/>
          </w:tcPr>
          <w:p>
            <w:pPr>
              <w:spacing w:after="0"/>
              <w:rPr>
                <w:sz w:val="21"/>
                <w:szCs w:val="21"/>
                <w:color w:val="auto"/>
              </w:rPr>
            </w:pPr>
          </w:p>
        </w:tc>
        <w:tc>
          <w:tcPr>
            <w:tcW w:w="240" w:type="dxa"/>
            <w:vAlign w:val="bottom"/>
            <w:shd w:val="clear" w:color="auto" w:fill="000000"/>
          </w:tcPr>
          <w:p>
            <w:pPr>
              <w:spacing w:after="0"/>
              <w:rPr>
                <w:sz w:val="21"/>
                <w:szCs w:val="21"/>
                <w:color w:val="auto"/>
              </w:rPr>
            </w:pPr>
          </w:p>
        </w:tc>
        <w:tc>
          <w:tcPr>
            <w:tcW w:w="540" w:type="dxa"/>
            <w:vAlign w:val="bottom"/>
            <w:shd w:val="clear" w:color="auto" w:fill="000000"/>
          </w:tcPr>
          <w:p>
            <w:pPr>
              <w:spacing w:after="0"/>
              <w:rPr>
                <w:sz w:val="21"/>
                <w:szCs w:val="21"/>
                <w:color w:val="auto"/>
              </w:rPr>
            </w:pPr>
          </w:p>
        </w:tc>
        <w:tc>
          <w:tcPr>
            <w:tcW w:w="340" w:type="dxa"/>
            <w:vAlign w:val="bottom"/>
            <w:shd w:val="clear" w:color="auto" w:fill="000000"/>
          </w:tcPr>
          <w:p>
            <w:pPr>
              <w:spacing w:after="0"/>
              <w:rPr>
                <w:sz w:val="21"/>
                <w:szCs w:val="21"/>
                <w:color w:val="auto"/>
              </w:rPr>
            </w:pPr>
          </w:p>
        </w:tc>
        <w:tc>
          <w:tcPr>
            <w:tcW w:w="200" w:type="dxa"/>
            <w:vAlign w:val="bottom"/>
            <w:shd w:val="clear" w:color="auto" w:fill="000000"/>
          </w:tcPr>
          <w:p>
            <w:pPr>
              <w:spacing w:after="0"/>
              <w:rPr>
                <w:sz w:val="21"/>
                <w:szCs w:val="21"/>
                <w:color w:val="auto"/>
              </w:rPr>
            </w:pPr>
          </w:p>
        </w:tc>
        <w:tc>
          <w:tcPr>
            <w:tcW w:w="680" w:type="dxa"/>
            <w:vAlign w:val="bottom"/>
            <w:shd w:val="clear" w:color="auto" w:fill="000000"/>
          </w:tcPr>
          <w:p>
            <w:pPr>
              <w:spacing w:after="0"/>
              <w:rPr>
                <w:sz w:val="21"/>
                <w:szCs w:val="21"/>
                <w:color w:val="auto"/>
              </w:rPr>
            </w:pPr>
          </w:p>
        </w:tc>
        <w:tc>
          <w:tcPr>
            <w:tcW w:w="180" w:type="dxa"/>
            <w:vAlign w:val="bottom"/>
            <w:shd w:val="clear" w:color="auto" w:fill="000000"/>
          </w:tcPr>
          <w:p>
            <w:pPr>
              <w:spacing w:after="0"/>
              <w:rPr>
                <w:sz w:val="21"/>
                <w:szCs w:val="21"/>
                <w:color w:val="auto"/>
              </w:rPr>
            </w:pPr>
          </w:p>
        </w:tc>
        <w:tc>
          <w:tcPr>
            <w:tcW w:w="720" w:type="dxa"/>
            <w:vAlign w:val="bottom"/>
            <w:shd w:val="clear" w:color="auto" w:fill="000000"/>
          </w:tcPr>
          <w:p>
            <w:pPr>
              <w:spacing w:after="0"/>
              <w:rPr>
                <w:sz w:val="21"/>
                <w:szCs w:val="21"/>
                <w:color w:val="auto"/>
              </w:rPr>
            </w:pPr>
          </w:p>
        </w:tc>
        <w:tc>
          <w:tcPr>
            <w:tcW w:w="200" w:type="dxa"/>
            <w:vAlign w:val="bottom"/>
            <w:shd w:val="clear" w:color="auto" w:fill="000000"/>
          </w:tcPr>
          <w:p>
            <w:pPr>
              <w:spacing w:after="0"/>
              <w:rPr>
                <w:sz w:val="21"/>
                <w:szCs w:val="21"/>
                <w:color w:val="auto"/>
              </w:rPr>
            </w:pPr>
          </w:p>
        </w:tc>
        <w:tc>
          <w:tcPr>
            <w:tcW w:w="600" w:type="dxa"/>
            <w:vAlign w:val="bottom"/>
            <w:shd w:val="clear" w:color="auto" w:fill="000000"/>
          </w:tcPr>
          <w:p>
            <w:pPr>
              <w:spacing w:after="0"/>
              <w:rPr>
                <w:sz w:val="21"/>
                <w:szCs w:val="21"/>
                <w:color w:val="auto"/>
              </w:rPr>
            </w:pPr>
          </w:p>
        </w:tc>
        <w:tc>
          <w:tcPr>
            <w:tcW w:w="200" w:type="dxa"/>
            <w:vAlign w:val="bottom"/>
          </w:tcPr>
          <w:p>
            <w:pPr>
              <w:spacing w:after="0"/>
              <w:rPr>
                <w:sz w:val="21"/>
                <w:szCs w:val="21"/>
                <w:color w:val="auto"/>
              </w:rPr>
            </w:pPr>
          </w:p>
        </w:tc>
      </w:tr>
    </w:tbl>
    <w:p>
      <w:pPr>
        <w:spacing w:after="0" w:line="200" w:lineRule="exact"/>
        <w:rPr>
          <w:sz w:val="20"/>
          <w:szCs w:val="20"/>
          <w:color w:val="auto"/>
        </w:rPr>
      </w:pPr>
    </w:p>
    <w:p>
      <w:pPr>
        <w:spacing w:after="0" w:line="265" w:lineRule="exact"/>
        <w:rPr>
          <w:sz w:val="20"/>
          <w:szCs w:val="20"/>
          <w:color w:val="auto"/>
        </w:rPr>
      </w:pPr>
    </w:p>
    <w:p>
      <w:pPr>
        <w:spacing w:after="0" w:line="234" w:lineRule="auto"/>
        <w:rPr>
          <w:sz w:val="20"/>
          <w:szCs w:val="20"/>
          <w:color w:val="auto"/>
        </w:rPr>
      </w:pPr>
      <w:r>
        <w:rPr>
          <w:rFonts w:ascii="Arial" w:cs="Arial" w:eastAsia="Arial" w:hAnsi="Arial"/>
          <w:sz w:val="22"/>
          <w:szCs w:val="22"/>
          <w:color w:val="auto"/>
        </w:rPr>
        <w:t>The Medicare Prescription Drug, Improvement and Modernization Act of 2003 (the Act) was enacted in December of 2003. The Act establishes a prescription drug benefit under Medicare (Medicare Part D) and a tax-exempt federal subsidy to sponsors of retiree health care benefit plans that provide a benefit that actuarially is at least equivalent to Medicare Part D. The company and its actuarial advisors determined that benefits provided to certain participants actuarially will be at least equivalent to Medicare Part D, and, accordingly, the company expects to be entitled to a tax-exempt subsidy that reduces the company's accumulated postretirement benefit obligation under the plan at January 1, 2005 and the net postretirement benefit cost for 2005 by immaterial amounts.</w:t>
      </w:r>
    </w:p>
    <w:p>
      <w:pPr>
        <w:spacing w:after="0" w:line="191" w:lineRule="exact"/>
        <w:rPr>
          <w:sz w:val="20"/>
          <w:szCs w:val="20"/>
          <w:color w:val="auto"/>
        </w:rPr>
      </w:pPr>
    </w:p>
    <w:p>
      <w:pPr>
        <w:spacing w:after="0"/>
        <w:rPr>
          <w:sz w:val="20"/>
          <w:szCs w:val="20"/>
          <w:color w:val="auto"/>
        </w:rPr>
      </w:pPr>
      <w:r>
        <w:rPr>
          <w:rFonts w:ascii="Arial" w:cs="Arial" w:eastAsia="Arial" w:hAnsi="Arial"/>
          <w:sz w:val="22"/>
          <w:szCs w:val="22"/>
          <w:color w:val="auto"/>
        </w:rPr>
        <w:t>The significant assumptions related to the company's pension and other postretirement benefit plans are as follows:</w:t>
      </w:r>
    </w:p>
    <w:p>
      <w:pPr>
        <w:spacing w:after="0" w:line="233" w:lineRule="exact"/>
        <w:rPr>
          <w:sz w:val="20"/>
          <w:szCs w:val="20"/>
          <w:color w:val="auto"/>
        </w:rPr>
      </w:pPr>
    </w:p>
    <w:tbl>
      <w:tblPr>
        <w:tblLayout w:type="fixed"/>
        <w:tblInd w:w="1240" w:type="dxa"/>
        <w:tblCellMar>
          <w:top w:w="0" w:type="dxa"/>
          <w:left w:w="0" w:type="dxa"/>
          <w:bottom w:w="0" w:type="dxa"/>
          <w:right w:w="0" w:type="dxa"/>
        </w:tblCellMar>
      </w:tblPr>
      <w:tr>
        <w:trPr>
          <w:trHeight w:val="216"/>
        </w:trPr>
        <w:tc>
          <w:tcPr>
            <w:tcW w:w="368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520" w:type="dxa"/>
            <w:vAlign w:val="bottom"/>
          </w:tcPr>
          <w:p>
            <w:pPr>
              <w:jc w:val="right"/>
              <w:ind w:right="92"/>
              <w:spacing w:after="0"/>
              <w:rPr>
                <w:sz w:val="20"/>
                <w:szCs w:val="20"/>
                <w:color w:val="auto"/>
              </w:rPr>
            </w:pPr>
            <w:r>
              <w:rPr>
                <w:rFonts w:ascii="Arial" w:cs="Arial" w:eastAsia="Arial" w:hAnsi="Arial"/>
                <w:sz w:val="18"/>
                <w:szCs w:val="18"/>
                <w:color w:val="auto"/>
              </w:rPr>
              <w:t>Other</w:t>
            </w:r>
          </w:p>
        </w:tc>
        <w:tc>
          <w:tcPr>
            <w:tcW w:w="760" w:type="dxa"/>
            <w:vAlign w:val="bottom"/>
          </w:tcPr>
          <w:p>
            <w:pPr>
              <w:spacing w:after="0"/>
              <w:rPr>
                <w:sz w:val="18"/>
                <w:szCs w:val="18"/>
                <w:color w:val="auto"/>
              </w:rPr>
            </w:pPr>
          </w:p>
        </w:tc>
      </w:tr>
      <w:tr>
        <w:trPr>
          <w:trHeight w:val="222"/>
        </w:trPr>
        <w:tc>
          <w:tcPr>
            <w:tcW w:w="36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Pension Benefits</w:t>
            </w:r>
          </w:p>
        </w:tc>
        <w:tc>
          <w:tcPr>
            <w:tcW w:w="5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280" w:type="dxa"/>
            <w:vAlign w:val="bottom"/>
            <w:gridSpan w:val="2"/>
          </w:tcPr>
          <w:p>
            <w:pPr>
              <w:jc w:val="right"/>
              <w:ind w:right="232"/>
              <w:spacing w:after="0"/>
              <w:rPr>
                <w:sz w:val="20"/>
                <w:szCs w:val="20"/>
                <w:color w:val="auto"/>
              </w:rPr>
            </w:pPr>
            <w:r>
              <w:rPr>
                <w:rFonts w:ascii="Arial" w:cs="Arial" w:eastAsia="Arial" w:hAnsi="Arial"/>
                <w:sz w:val="18"/>
                <w:szCs w:val="18"/>
                <w:color w:val="auto"/>
              </w:rPr>
              <w:t>Postretirement Benefits</w:t>
            </w:r>
          </w:p>
        </w:tc>
      </w:tr>
      <w:tr>
        <w:trPr>
          <w:trHeight w:val="97"/>
        </w:trPr>
        <w:tc>
          <w:tcPr>
            <w:tcW w:w="3680" w:type="dxa"/>
            <w:vAlign w:val="bottom"/>
          </w:tcPr>
          <w:p>
            <w:pPr>
              <w:spacing w:after="0"/>
              <w:rPr>
                <w:sz w:val="8"/>
                <w:szCs w:val="8"/>
                <w:color w:val="auto"/>
              </w:rPr>
            </w:pPr>
          </w:p>
        </w:tc>
        <w:tc>
          <w:tcPr>
            <w:tcW w:w="1780" w:type="dxa"/>
            <w:vAlign w:val="bottom"/>
          </w:tcPr>
          <w:p>
            <w:pPr>
              <w:spacing w:after="0"/>
              <w:rPr>
                <w:sz w:val="8"/>
                <w:szCs w:val="8"/>
                <w:color w:val="auto"/>
              </w:rPr>
            </w:pPr>
          </w:p>
        </w:tc>
        <w:tc>
          <w:tcPr>
            <w:tcW w:w="580" w:type="dxa"/>
            <w:vAlign w:val="bottom"/>
          </w:tcPr>
          <w:p>
            <w:pPr>
              <w:spacing w:after="0"/>
              <w:rPr>
                <w:sz w:val="8"/>
                <w:szCs w:val="8"/>
                <w:color w:val="auto"/>
              </w:rPr>
            </w:pPr>
          </w:p>
        </w:tc>
        <w:tc>
          <w:tcPr>
            <w:tcW w:w="460" w:type="dxa"/>
            <w:vAlign w:val="bottom"/>
          </w:tcPr>
          <w:p>
            <w:pPr>
              <w:spacing w:after="0"/>
              <w:rPr>
                <w:sz w:val="8"/>
                <w:szCs w:val="8"/>
                <w:color w:val="auto"/>
              </w:rPr>
            </w:pPr>
          </w:p>
        </w:tc>
        <w:tc>
          <w:tcPr>
            <w:tcW w:w="1520" w:type="dxa"/>
            <w:vAlign w:val="bottom"/>
          </w:tcPr>
          <w:p>
            <w:pPr>
              <w:spacing w:after="0"/>
              <w:rPr>
                <w:sz w:val="8"/>
                <w:szCs w:val="8"/>
                <w:color w:val="auto"/>
              </w:rPr>
            </w:pPr>
          </w:p>
        </w:tc>
        <w:tc>
          <w:tcPr>
            <w:tcW w:w="760" w:type="dxa"/>
            <w:vAlign w:val="bottom"/>
          </w:tcPr>
          <w:p>
            <w:pPr>
              <w:spacing w:after="0"/>
              <w:rPr>
                <w:sz w:val="8"/>
                <w:szCs w:val="8"/>
                <w:color w:val="auto"/>
              </w:rPr>
            </w:pPr>
          </w:p>
        </w:tc>
      </w:tr>
      <w:tr>
        <w:trPr>
          <w:trHeight w:val="243"/>
        </w:trPr>
        <w:tc>
          <w:tcPr>
            <w:tcW w:w="3680" w:type="dxa"/>
            <w:vAlign w:val="bottom"/>
          </w:tcPr>
          <w:p>
            <w:pPr>
              <w:spacing w:after="0"/>
              <w:rPr>
                <w:sz w:val="21"/>
                <w:szCs w:val="21"/>
                <w:color w:val="auto"/>
              </w:rPr>
            </w:pPr>
          </w:p>
        </w:tc>
        <w:tc>
          <w:tcPr>
            <w:tcW w:w="1780" w:type="dxa"/>
            <w:vAlign w:val="bottom"/>
            <w:shd w:val="clear" w:color="auto" w:fill="000000"/>
          </w:tcPr>
          <w:p>
            <w:pPr>
              <w:spacing w:after="0"/>
              <w:rPr>
                <w:sz w:val="21"/>
                <w:szCs w:val="21"/>
                <w:color w:val="auto"/>
              </w:rPr>
            </w:pPr>
          </w:p>
        </w:tc>
        <w:tc>
          <w:tcPr>
            <w:tcW w:w="580" w:type="dxa"/>
            <w:vAlign w:val="bottom"/>
            <w:shd w:val="clear" w:color="auto" w:fill="000000"/>
          </w:tcPr>
          <w:p>
            <w:pPr>
              <w:spacing w:after="0"/>
              <w:rPr>
                <w:sz w:val="21"/>
                <w:szCs w:val="21"/>
                <w:color w:val="auto"/>
              </w:rPr>
            </w:pPr>
          </w:p>
        </w:tc>
        <w:tc>
          <w:tcPr>
            <w:tcW w:w="460" w:type="dxa"/>
            <w:vAlign w:val="bottom"/>
          </w:tcPr>
          <w:p>
            <w:pPr>
              <w:spacing w:after="0"/>
              <w:rPr>
                <w:sz w:val="21"/>
                <w:szCs w:val="21"/>
                <w:color w:val="auto"/>
              </w:rPr>
            </w:pPr>
          </w:p>
        </w:tc>
        <w:tc>
          <w:tcPr>
            <w:tcW w:w="1520" w:type="dxa"/>
            <w:vAlign w:val="bottom"/>
            <w:shd w:val="clear" w:color="auto" w:fill="000000"/>
          </w:tcPr>
          <w:p>
            <w:pPr>
              <w:spacing w:after="0"/>
              <w:rPr>
                <w:sz w:val="21"/>
                <w:szCs w:val="21"/>
                <w:color w:val="auto"/>
              </w:rPr>
            </w:pPr>
          </w:p>
        </w:tc>
        <w:tc>
          <w:tcPr>
            <w:tcW w:w="760" w:type="dxa"/>
            <w:vAlign w:val="bottom"/>
            <w:shd w:val="clear" w:color="auto" w:fill="000000"/>
          </w:tcPr>
          <w:p>
            <w:pPr>
              <w:spacing w:after="0"/>
              <w:rPr>
                <w:sz w:val="21"/>
                <w:szCs w:val="21"/>
                <w:color w:val="auto"/>
              </w:rPr>
            </w:pPr>
          </w:p>
        </w:tc>
      </w:tr>
      <w:tr>
        <w:trPr>
          <w:trHeight w:val="228"/>
        </w:trPr>
        <w:tc>
          <w:tcPr>
            <w:tcW w:w="3680" w:type="dxa"/>
            <w:vAlign w:val="bottom"/>
          </w:tcPr>
          <w:p>
            <w:pPr>
              <w:spacing w:after="0"/>
              <w:rPr>
                <w:sz w:val="19"/>
                <w:szCs w:val="19"/>
                <w:color w:val="auto"/>
              </w:rPr>
            </w:pPr>
          </w:p>
        </w:tc>
        <w:tc>
          <w:tcPr>
            <w:tcW w:w="1780" w:type="dxa"/>
            <w:vAlign w:val="bottom"/>
          </w:tcPr>
          <w:p>
            <w:pPr>
              <w:jc w:val="right"/>
              <w:ind w:right="932"/>
              <w:spacing w:after="0"/>
              <w:rPr>
                <w:sz w:val="20"/>
                <w:szCs w:val="20"/>
                <w:color w:val="auto"/>
              </w:rPr>
            </w:pPr>
            <w:r>
              <w:rPr>
                <w:rFonts w:ascii="Arial" w:cs="Arial" w:eastAsia="Arial" w:hAnsi="Arial"/>
                <w:sz w:val="18"/>
                <w:szCs w:val="18"/>
                <w:color w:val="auto"/>
              </w:rPr>
              <w:t>2005</w:t>
            </w:r>
          </w:p>
        </w:tc>
        <w:tc>
          <w:tcPr>
            <w:tcW w:w="580" w:type="dxa"/>
            <w:vAlign w:val="bottom"/>
          </w:tcPr>
          <w:p>
            <w:pPr>
              <w:jc w:val="right"/>
              <w:ind w:right="132"/>
              <w:spacing w:after="0"/>
              <w:rPr>
                <w:sz w:val="20"/>
                <w:szCs w:val="20"/>
                <w:color w:val="auto"/>
              </w:rPr>
            </w:pPr>
            <w:r>
              <w:rPr>
                <w:rFonts w:ascii="Arial" w:cs="Arial" w:eastAsia="Arial" w:hAnsi="Arial"/>
                <w:sz w:val="18"/>
                <w:szCs w:val="18"/>
                <w:color w:val="auto"/>
                <w:w w:val="84"/>
              </w:rPr>
              <w:t>2004</w:t>
            </w:r>
          </w:p>
        </w:tc>
        <w:tc>
          <w:tcPr>
            <w:tcW w:w="1980" w:type="dxa"/>
            <w:vAlign w:val="bottom"/>
            <w:gridSpan w:val="2"/>
          </w:tcPr>
          <w:p>
            <w:pPr>
              <w:jc w:val="right"/>
              <w:ind w:right="692"/>
              <w:spacing w:after="0"/>
              <w:rPr>
                <w:sz w:val="20"/>
                <w:szCs w:val="20"/>
                <w:color w:val="auto"/>
              </w:rPr>
            </w:pPr>
            <w:r>
              <w:rPr>
                <w:rFonts w:ascii="Arial" w:cs="Arial" w:eastAsia="Arial" w:hAnsi="Arial"/>
                <w:sz w:val="18"/>
                <w:szCs w:val="18"/>
                <w:color w:val="auto"/>
              </w:rPr>
              <w:t>2005</w:t>
            </w:r>
          </w:p>
        </w:tc>
        <w:tc>
          <w:tcPr>
            <w:tcW w:w="760" w:type="dxa"/>
            <w:vAlign w:val="bottom"/>
          </w:tcPr>
          <w:p>
            <w:pPr>
              <w:jc w:val="right"/>
              <w:ind w:right="132"/>
              <w:spacing w:after="0"/>
              <w:rPr>
                <w:sz w:val="20"/>
                <w:szCs w:val="20"/>
                <w:color w:val="auto"/>
              </w:rPr>
            </w:pPr>
            <w:r>
              <w:rPr>
                <w:rFonts w:ascii="Arial" w:cs="Arial" w:eastAsia="Arial" w:hAnsi="Arial"/>
                <w:sz w:val="18"/>
                <w:szCs w:val="18"/>
                <w:color w:val="auto"/>
              </w:rPr>
              <w:t>2004</w:t>
            </w:r>
          </w:p>
        </w:tc>
      </w:tr>
      <w:tr>
        <w:trPr>
          <w:trHeight w:val="43"/>
        </w:trPr>
        <w:tc>
          <w:tcPr>
            <w:tcW w:w="3680" w:type="dxa"/>
            <w:vAlign w:val="bottom"/>
          </w:tcPr>
          <w:p>
            <w:pPr>
              <w:spacing w:after="0"/>
              <w:rPr>
                <w:sz w:val="3"/>
                <w:szCs w:val="3"/>
                <w:color w:val="auto"/>
              </w:rPr>
            </w:pPr>
          </w:p>
        </w:tc>
        <w:tc>
          <w:tcPr>
            <w:tcW w:w="1780" w:type="dxa"/>
            <w:vAlign w:val="bottom"/>
          </w:tcPr>
          <w:p>
            <w:pPr>
              <w:spacing w:after="0"/>
              <w:rPr>
                <w:sz w:val="3"/>
                <w:szCs w:val="3"/>
                <w:color w:val="auto"/>
              </w:rPr>
            </w:pPr>
          </w:p>
        </w:tc>
        <w:tc>
          <w:tcPr>
            <w:tcW w:w="580" w:type="dxa"/>
            <w:vAlign w:val="bottom"/>
          </w:tcPr>
          <w:p>
            <w:pPr>
              <w:spacing w:after="0"/>
              <w:rPr>
                <w:sz w:val="3"/>
                <w:szCs w:val="3"/>
                <w:color w:val="auto"/>
              </w:rPr>
            </w:pPr>
          </w:p>
        </w:tc>
        <w:tc>
          <w:tcPr>
            <w:tcW w:w="460" w:type="dxa"/>
            <w:vAlign w:val="bottom"/>
          </w:tcPr>
          <w:p>
            <w:pPr>
              <w:spacing w:after="0"/>
              <w:rPr>
                <w:sz w:val="3"/>
                <w:szCs w:val="3"/>
                <w:color w:val="auto"/>
              </w:rPr>
            </w:pPr>
          </w:p>
        </w:tc>
        <w:tc>
          <w:tcPr>
            <w:tcW w:w="1520" w:type="dxa"/>
            <w:vAlign w:val="bottom"/>
          </w:tcPr>
          <w:p>
            <w:pPr>
              <w:spacing w:after="0"/>
              <w:rPr>
                <w:sz w:val="3"/>
                <w:szCs w:val="3"/>
                <w:color w:val="auto"/>
              </w:rPr>
            </w:pPr>
          </w:p>
        </w:tc>
        <w:tc>
          <w:tcPr>
            <w:tcW w:w="760" w:type="dxa"/>
            <w:vAlign w:val="bottom"/>
          </w:tcPr>
          <w:p>
            <w:pPr>
              <w:spacing w:after="0"/>
              <w:rPr>
                <w:sz w:val="3"/>
                <w:szCs w:val="3"/>
                <w:color w:val="auto"/>
              </w:rPr>
            </w:pPr>
          </w:p>
        </w:tc>
      </w:tr>
      <w:tr>
        <w:trPr>
          <w:trHeight w:val="243"/>
        </w:trPr>
        <w:tc>
          <w:tcPr>
            <w:tcW w:w="3680" w:type="dxa"/>
            <w:vAlign w:val="bottom"/>
            <w:shd w:val="clear" w:color="auto" w:fill="000000"/>
          </w:tcPr>
          <w:p>
            <w:pPr>
              <w:spacing w:after="0"/>
              <w:rPr>
                <w:sz w:val="21"/>
                <w:szCs w:val="21"/>
                <w:color w:val="auto"/>
              </w:rPr>
            </w:pPr>
          </w:p>
        </w:tc>
        <w:tc>
          <w:tcPr>
            <w:tcW w:w="1780" w:type="dxa"/>
            <w:vAlign w:val="bottom"/>
            <w:shd w:val="clear" w:color="auto" w:fill="000000"/>
          </w:tcPr>
          <w:p>
            <w:pPr>
              <w:spacing w:after="0"/>
              <w:rPr>
                <w:sz w:val="21"/>
                <w:szCs w:val="21"/>
                <w:color w:val="auto"/>
              </w:rPr>
            </w:pPr>
          </w:p>
        </w:tc>
        <w:tc>
          <w:tcPr>
            <w:tcW w:w="580" w:type="dxa"/>
            <w:vAlign w:val="bottom"/>
            <w:shd w:val="clear" w:color="auto" w:fill="000000"/>
          </w:tcPr>
          <w:p>
            <w:pPr>
              <w:spacing w:after="0"/>
              <w:rPr>
                <w:sz w:val="21"/>
                <w:szCs w:val="21"/>
                <w:color w:val="auto"/>
              </w:rPr>
            </w:pPr>
          </w:p>
        </w:tc>
        <w:tc>
          <w:tcPr>
            <w:tcW w:w="460" w:type="dxa"/>
            <w:vAlign w:val="bottom"/>
            <w:shd w:val="clear" w:color="auto" w:fill="000000"/>
          </w:tcPr>
          <w:p>
            <w:pPr>
              <w:spacing w:after="0"/>
              <w:rPr>
                <w:sz w:val="21"/>
                <w:szCs w:val="21"/>
                <w:color w:val="auto"/>
              </w:rPr>
            </w:pPr>
          </w:p>
        </w:tc>
        <w:tc>
          <w:tcPr>
            <w:tcW w:w="1520" w:type="dxa"/>
            <w:vAlign w:val="bottom"/>
            <w:shd w:val="clear" w:color="auto" w:fill="000000"/>
          </w:tcPr>
          <w:p>
            <w:pPr>
              <w:spacing w:after="0"/>
              <w:rPr>
                <w:sz w:val="21"/>
                <w:szCs w:val="21"/>
                <w:color w:val="auto"/>
              </w:rPr>
            </w:pPr>
          </w:p>
        </w:tc>
        <w:tc>
          <w:tcPr>
            <w:tcW w:w="760" w:type="dxa"/>
            <w:vAlign w:val="bottom"/>
            <w:shd w:val="clear" w:color="auto" w:fill="000000"/>
          </w:tcPr>
          <w:p>
            <w:pPr>
              <w:spacing w:after="0"/>
              <w:rPr>
                <w:sz w:val="21"/>
                <w:szCs w:val="21"/>
                <w:color w:val="auto"/>
              </w:rPr>
            </w:pPr>
          </w:p>
        </w:tc>
      </w:tr>
      <w:tr>
        <w:trPr>
          <w:trHeight w:val="228"/>
        </w:trPr>
        <w:tc>
          <w:tcPr>
            <w:tcW w:w="3680" w:type="dxa"/>
            <w:vAlign w:val="bottom"/>
          </w:tcPr>
          <w:p>
            <w:pPr>
              <w:spacing w:after="0"/>
              <w:rPr>
                <w:sz w:val="20"/>
                <w:szCs w:val="20"/>
                <w:color w:val="auto"/>
              </w:rPr>
            </w:pPr>
            <w:r>
              <w:rPr>
                <w:rFonts w:ascii="Arial" w:cs="Arial" w:eastAsia="Arial" w:hAnsi="Arial"/>
                <w:sz w:val="18"/>
                <w:szCs w:val="18"/>
                <w:color w:val="auto"/>
                <w:w w:val="96"/>
              </w:rPr>
              <w:t>WEIGHTED-AVERAGE ASSUMPTIONS USED</w:t>
            </w:r>
          </w:p>
        </w:tc>
        <w:tc>
          <w:tcPr>
            <w:tcW w:w="17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760" w:type="dxa"/>
            <w:vAlign w:val="bottom"/>
          </w:tcPr>
          <w:p>
            <w:pPr>
              <w:spacing w:after="0"/>
              <w:rPr>
                <w:sz w:val="19"/>
                <w:szCs w:val="19"/>
                <w:color w:val="auto"/>
              </w:rPr>
            </w:pPr>
          </w:p>
        </w:tc>
      </w:tr>
      <w:tr>
        <w:trPr>
          <w:trHeight w:val="270"/>
        </w:trPr>
        <w:tc>
          <w:tcPr>
            <w:tcW w:w="3680" w:type="dxa"/>
            <w:vAlign w:val="bottom"/>
          </w:tcPr>
          <w:p>
            <w:pPr>
              <w:ind w:left="280"/>
              <w:spacing w:after="0"/>
              <w:rPr>
                <w:sz w:val="20"/>
                <w:szCs w:val="20"/>
                <w:color w:val="auto"/>
              </w:rPr>
            </w:pPr>
            <w:r>
              <w:rPr>
                <w:rFonts w:ascii="Arial" w:cs="Arial" w:eastAsia="Arial" w:hAnsi="Arial"/>
                <w:sz w:val="18"/>
                <w:szCs w:val="18"/>
                <w:color w:val="auto"/>
              </w:rPr>
              <w:t>TO DETERMINE BENEFIT OBLIGATION</w:t>
            </w:r>
          </w:p>
        </w:tc>
        <w:tc>
          <w:tcPr>
            <w:tcW w:w="17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520" w:type="dxa"/>
            <w:vAlign w:val="bottom"/>
          </w:tcPr>
          <w:p>
            <w:pPr>
              <w:spacing w:after="0"/>
              <w:rPr>
                <w:sz w:val="23"/>
                <w:szCs w:val="23"/>
                <w:color w:val="auto"/>
              </w:rPr>
            </w:pPr>
          </w:p>
        </w:tc>
        <w:tc>
          <w:tcPr>
            <w:tcW w:w="760" w:type="dxa"/>
            <w:vAlign w:val="bottom"/>
          </w:tcPr>
          <w:p>
            <w:pPr>
              <w:spacing w:after="0"/>
              <w:rPr>
                <w:sz w:val="23"/>
                <w:szCs w:val="23"/>
                <w:color w:val="auto"/>
              </w:rPr>
            </w:pPr>
          </w:p>
        </w:tc>
      </w:tr>
      <w:tr>
        <w:trPr>
          <w:trHeight w:val="270"/>
        </w:trPr>
        <w:tc>
          <w:tcPr>
            <w:tcW w:w="3680" w:type="dxa"/>
            <w:vAlign w:val="bottom"/>
          </w:tcPr>
          <w:p>
            <w:pPr>
              <w:ind w:left="280"/>
              <w:spacing w:after="0"/>
              <w:rPr>
                <w:sz w:val="20"/>
                <w:szCs w:val="20"/>
                <w:color w:val="auto"/>
              </w:rPr>
            </w:pPr>
            <w:r>
              <w:rPr>
                <w:rFonts w:ascii="Arial" w:cs="Arial" w:eastAsia="Arial" w:hAnsi="Arial"/>
                <w:sz w:val="18"/>
                <w:szCs w:val="18"/>
                <w:color w:val="auto"/>
              </w:rPr>
              <w:t>AS OF DECEMBER 31:</w:t>
            </w:r>
          </w:p>
        </w:tc>
        <w:tc>
          <w:tcPr>
            <w:tcW w:w="17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520" w:type="dxa"/>
            <w:vAlign w:val="bottom"/>
          </w:tcPr>
          <w:p>
            <w:pPr>
              <w:spacing w:after="0"/>
              <w:rPr>
                <w:sz w:val="23"/>
                <w:szCs w:val="23"/>
                <w:color w:val="auto"/>
              </w:rPr>
            </w:pPr>
          </w:p>
        </w:tc>
        <w:tc>
          <w:tcPr>
            <w:tcW w:w="760" w:type="dxa"/>
            <w:vAlign w:val="bottom"/>
          </w:tcPr>
          <w:p>
            <w:pPr>
              <w:spacing w:after="0"/>
              <w:rPr>
                <w:sz w:val="23"/>
                <w:szCs w:val="23"/>
                <w:color w:val="auto"/>
              </w:rPr>
            </w:pPr>
          </w:p>
        </w:tc>
      </w:tr>
      <w:tr>
        <w:trPr>
          <w:trHeight w:val="270"/>
        </w:trPr>
        <w:tc>
          <w:tcPr>
            <w:tcW w:w="3680" w:type="dxa"/>
            <w:vAlign w:val="bottom"/>
          </w:tcPr>
          <w:p>
            <w:pPr>
              <w:spacing w:after="0"/>
              <w:rPr>
                <w:sz w:val="20"/>
                <w:szCs w:val="20"/>
                <w:color w:val="auto"/>
              </w:rPr>
            </w:pPr>
            <w:r>
              <w:rPr>
                <w:rFonts w:ascii="Arial" w:cs="Arial" w:eastAsia="Arial" w:hAnsi="Arial"/>
                <w:sz w:val="18"/>
                <w:szCs w:val="18"/>
                <w:color w:val="auto"/>
              </w:rPr>
              <w:t>Discount rate</w:t>
            </w:r>
          </w:p>
        </w:tc>
        <w:tc>
          <w:tcPr>
            <w:tcW w:w="1780" w:type="dxa"/>
            <w:vAlign w:val="bottom"/>
          </w:tcPr>
          <w:p>
            <w:pPr>
              <w:jc w:val="right"/>
              <w:ind w:right="712"/>
              <w:spacing w:after="0"/>
              <w:rPr>
                <w:sz w:val="20"/>
                <w:szCs w:val="20"/>
                <w:color w:val="auto"/>
              </w:rPr>
            </w:pPr>
            <w:r>
              <w:rPr>
                <w:rFonts w:ascii="Arial" w:cs="Arial" w:eastAsia="Arial" w:hAnsi="Arial"/>
                <w:sz w:val="18"/>
                <w:szCs w:val="18"/>
                <w:color w:val="auto"/>
              </w:rPr>
              <w:t>5.50%</w:t>
            </w:r>
          </w:p>
        </w:tc>
        <w:tc>
          <w:tcPr>
            <w:tcW w:w="580" w:type="dxa"/>
            <w:vAlign w:val="bottom"/>
          </w:tcPr>
          <w:p>
            <w:pPr>
              <w:jc w:val="right"/>
              <w:spacing w:after="0"/>
              <w:rPr>
                <w:sz w:val="20"/>
                <w:szCs w:val="20"/>
                <w:color w:val="auto"/>
              </w:rPr>
            </w:pPr>
            <w:r>
              <w:rPr>
                <w:rFonts w:ascii="Arial" w:cs="Arial" w:eastAsia="Arial" w:hAnsi="Arial"/>
                <w:sz w:val="18"/>
                <w:szCs w:val="18"/>
                <w:color w:val="auto"/>
              </w:rPr>
              <w:t>5.66%</w:t>
            </w:r>
          </w:p>
        </w:tc>
        <w:tc>
          <w:tcPr>
            <w:tcW w:w="1980" w:type="dxa"/>
            <w:vAlign w:val="bottom"/>
            <w:gridSpan w:val="2"/>
          </w:tcPr>
          <w:p>
            <w:pPr>
              <w:jc w:val="right"/>
              <w:ind w:right="492"/>
              <w:spacing w:after="0"/>
              <w:rPr>
                <w:sz w:val="20"/>
                <w:szCs w:val="20"/>
                <w:color w:val="auto"/>
              </w:rPr>
            </w:pPr>
            <w:r>
              <w:rPr>
                <w:rFonts w:ascii="Arial" w:cs="Arial" w:eastAsia="Arial" w:hAnsi="Arial"/>
                <w:sz w:val="18"/>
                <w:szCs w:val="18"/>
                <w:color w:val="auto"/>
              </w:rPr>
              <w:t>5.60%</w:t>
            </w:r>
          </w:p>
        </w:tc>
        <w:tc>
          <w:tcPr>
            <w:tcW w:w="760" w:type="dxa"/>
            <w:vAlign w:val="bottom"/>
          </w:tcPr>
          <w:p>
            <w:pPr>
              <w:jc w:val="right"/>
              <w:spacing w:after="0"/>
              <w:rPr>
                <w:sz w:val="20"/>
                <w:szCs w:val="20"/>
                <w:color w:val="auto"/>
              </w:rPr>
            </w:pPr>
            <w:r>
              <w:rPr>
                <w:rFonts w:ascii="Arial" w:cs="Arial" w:eastAsia="Arial" w:hAnsi="Arial"/>
                <w:sz w:val="18"/>
                <w:szCs w:val="18"/>
                <w:color w:val="auto"/>
              </w:rPr>
              <w:t>5.66%</w:t>
            </w:r>
          </w:p>
        </w:tc>
      </w:tr>
      <w:tr>
        <w:trPr>
          <w:trHeight w:val="270"/>
        </w:trPr>
        <w:tc>
          <w:tcPr>
            <w:tcW w:w="3680" w:type="dxa"/>
            <w:vAlign w:val="bottom"/>
          </w:tcPr>
          <w:p>
            <w:pPr>
              <w:spacing w:after="0"/>
              <w:rPr>
                <w:sz w:val="20"/>
                <w:szCs w:val="20"/>
                <w:color w:val="auto"/>
              </w:rPr>
            </w:pPr>
            <w:r>
              <w:rPr>
                <w:rFonts w:ascii="Arial" w:cs="Arial" w:eastAsia="Arial" w:hAnsi="Arial"/>
                <w:sz w:val="18"/>
                <w:szCs w:val="18"/>
                <w:color w:val="auto"/>
              </w:rPr>
              <w:t>Rate of compensation increase</w:t>
            </w:r>
          </w:p>
        </w:tc>
        <w:tc>
          <w:tcPr>
            <w:tcW w:w="1780" w:type="dxa"/>
            <w:vAlign w:val="bottom"/>
          </w:tcPr>
          <w:p>
            <w:pPr>
              <w:jc w:val="right"/>
              <w:ind w:right="712"/>
              <w:spacing w:after="0"/>
              <w:rPr>
                <w:sz w:val="20"/>
                <w:szCs w:val="20"/>
                <w:color w:val="auto"/>
              </w:rPr>
            </w:pPr>
            <w:r>
              <w:rPr>
                <w:rFonts w:ascii="Arial" w:cs="Arial" w:eastAsia="Arial" w:hAnsi="Arial"/>
                <w:sz w:val="18"/>
                <w:szCs w:val="18"/>
                <w:color w:val="auto"/>
              </w:rPr>
              <w:t>4.50%</w:t>
            </w:r>
          </w:p>
        </w:tc>
        <w:tc>
          <w:tcPr>
            <w:tcW w:w="580" w:type="dxa"/>
            <w:vAlign w:val="bottom"/>
          </w:tcPr>
          <w:p>
            <w:pPr>
              <w:jc w:val="right"/>
              <w:spacing w:after="0"/>
              <w:rPr>
                <w:sz w:val="20"/>
                <w:szCs w:val="20"/>
                <w:color w:val="auto"/>
              </w:rPr>
            </w:pPr>
            <w:r>
              <w:rPr>
                <w:rFonts w:ascii="Arial" w:cs="Arial" w:eastAsia="Arial" w:hAnsi="Arial"/>
                <w:sz w:val="18"/>
                <w:szCs w:val="18"/>
                <w:color w:val="auto"/>
              </w:rPr>
              <w:t>4.50%</w:t>
            </w:r>
          </w:p>
        </w:tc>
        <w:tc>
          <w:tcPr>
            <w:tcW w:w="1980" w:type="dxa"/>
            <w:vAlign w:val="bottom"/>
            <w:gridSpan w:val="2"/>
          </w:tcPr>
          <w:p>
            <w:pPr>
              <w:jc w:val="right"/>
              <w:ind w:right="492"/>
              <w:spacing w:after="0"/>
              <w:rPr>
                <w:sz w:val="20"/>
                <w:szCs w:val="20"/>
                <w:color w:val="auto"/>
              </w:rPr>
            </w:pPr>
            <w:r>
              <w:rPr>
                <w:rFonts w:ascii="Arial" w:cs="Arial" w:eastAsia="Arial" w:hAnsi="Arial"/>
                <w:sz w:val="18"/>
                <w:szCs w:val="18"/>
                <w:color w:val="auto"/>
              </w:rPr>
              <w:t>4.50%</w:t>
            </w:r>
          </w:p>
        </w:tc>
        <w:tc>
          <w:tcPr>
            <w:tcW w:w="760" w:type="dxa"/>
            <w:vAlign w:val="bottom"/>
          </w:tcPr>
          <w:p>
            <w:pPr>
              <w:jc w:val="right"/>
              <w:spacing w:after="0"/>
              <w:rPr>
                <w:sz w:val="20"/>
                <w:szCs w:val="20"/>
                <w:color w:val="auto"/>
              </w:rPr>
            </w:pPr>
            <w:r>
              <w:rPr>
                <w:rFonts w:ascii="Arial" w:cs="Arial" w:eastAsia="Arial" w:hAnsi="Arial"/>
                <w:sz w:val="18"/>
                <w:szCs w:val="18"/>
                <w:color w:val="auto"/>
              </w:rPr>
              <w:t>4.50%</w:t>
            </w:r>
          </w:p>
        </w:tc>
      </w:tr>
      <w:tr>
        <w:trPr>
          <w:trHeight w:val="932"/>
        </w:trPr>
        <w:tc>
          <w:tcPr>
            <w:tcW w:w="3680" w:type="dxa"/>
            <w:vAlign w:val="bottom"/>
          </w:tcPr>
          <w:p>
            <w:pPr>
              <w:spacing w:after="0"/>
              <w:rPr>
                <w:sz w:val="20"/>
                <w:szCs w:val="20"/>
                <w:color w:val="auto"/>
              </w:rPr>
            </w:pPr>
            <w:r>
              <w:rPr>
                <w:rFonts w:ascii="Arial" w:cs="Arial" w:eastAsia="Arial" w:hAnsi="Arial"/>
                <w:sz w:val="18"/>
                <w:szCs w:val="18"/>
                <w:color w:val="auto"/>
                <w:w w:val="96"/>
              </w:rPr>
              <w:t>WEIGHTED-AVERAGE ASSUMPTIONS USED</w:t>
            </w:r>
          </w:p>
        </w:tc>
        <w:tc>
          <w:tcPr>
            <w:tcW w:w="17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270"/>
        </w:trPr>
        <w:tc>
          <w:tcPr>
            <w:tcW w:w="3680" w:type="dxa"/>
            <w:vAlign w:val="bottom"/>
          </w:tcPr>
          <w:p>
            <w:pPr>
              <w:ind w:left="280"/>
              <w:spacing w:after="0"/>
              <w:rPr>
                <w:sz w:val="20"/>
                <w:szCs w:val="20"/>
                <w:color w:val="auto"/>
              </w:rPr>
            </w:pPr>
            <w:r>
              <w:rPr>
                <w:rFonts w:ascii="Arial" w:cs="Arial" w:eastAsia="Arial" w:hAnsi="Arial"/>
                <w:sz w:val="18"/>
                <w:szCs w:val="18"/>
                <w:color w:val="auto"/>
                <w:w w:val="96"/>
              </w:rPr>
              <w:t>TO DETERMINE NET PERIODIC BENEFIT</w:t>
            </w:r>
          </w:p>
        </w:tc>
        <w:tc>
          <w:tcPr>
            <w:tcW w:w="17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520" w:type="dxa"/>
            <w:vAlign w:val="bottom"/>
          </w:tcPr>
          <w:p>
            <w:pPr>
              <w:spacing w:after="0"/>
              <w:rPr>
                <w:sz w:val="23"/>
                <w:szCs w:val="23"/>
                <w:color w:val="auto"/>
              </w:rPr>
            </w:pPr>
          </w:p>
        </w:tc>
        <w:tc>
          <w:tcPr>
            <w:tcW w:w="760" w:type="dxa"/>
            <w:vAlign w:val="bottom"/>
          </w:tcPr>
          <w:p>
            <w:pPr>
              <w:spacing w:after="0"/>
              <w:rPr>
                <w:sz w:val="23"/>
                <w:szCs w:val="23"/>
                <w:color w:val="auto"/>
              </w:rPr>
            </w:pPr>
          </w:p>
        </w:tc>
      </w:tr>
    </w:tbl>
    <w:p>
      <w:pPr>
        <w:spacing w:after="0" w:line="48" w:lineRule="exact"/>
        <w:rPr>
          <w:sz w:val="20"/>
          <w:szCs w:val="20"/>
          <w:color w:val="auto"/>
        </w:rPr>
      </w:pPr>
    </w:p>
    <w:tbl>
      <w:tblPr>
        <w:tblLayout w:type="fixed"/>
        <w:tblInd w:w="1240" w:type="dxa"/>
        <w:tblCellMar>
          <w:top w:w="0" w:type="dxa"/>
          <w:left w:w="0" w:type="dxa"/>
          <w:bottom w:w="0" w:type="dxa"/>
          <w:right w:w="0" w:type="dxa"/>
        </w:tblCellMar>
      </w:tblPr>
      <w:tr>
        <w:trPr>
          <w:trHeight w:val="222"/>
        </w:trPr>
        <w:tc>
          <w:tcPr>
            <w:tcW w:w="4020" w:type="dxa"/>
            <w:vAlign w:val="bottom"/>
          </w:tcPr>
          <w:p>
            <w:pPr>
              <w:ind w:left="280"/>
              <w:spacing w:after="0"/>
              <w:rPr>
                <w:sz w:val="20"/>
                <w:szCs w:val="20"/>
                <w:color w:val="auto"/>
              </w:rPr>
            </w:pPr>
            <w:r>
              <w:rPr>
                <w:rFonts w:ascii="Arial" w:cs="Arial" w:eastAsia="Arial" w:hAnsi="Arial"/>
                <w:sz w:val="18"/>
                <w:szCs w:val="18"/>
                <w:color w:val="auto"/>
                <w:w w:val="98"/>
              </w:rPr>
              <w:t>COSTS FOR YEARS ENDED DECEMBER 31:</w:t>
            </w:r>
          </w:p>
        </w:tc>
        <w:tc>
          <w:tcPr>
            <w:tcW w:w="11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70"/>
        </w:trPr>
        <w:tc>
          <w:tcPr>
            <w:tcW w:w="4020" w:type="dxa"/>
            <w:vAlign w:val="bottom"/>
          </w:tcPr>
          <w:p>
            <w:pPr>
              <w:spacing w:after="0"/>
              <w:rPr>
                <w:sz w:val="20"/>
                <w:szCs w:val="20"/>
                <w:color w:val="auto"/>
              </w:rPr>
            </w:pPr>
            <w:r>
              <w:rPr>
                <w:rFonts w:ascii="Arial" w:cs="Arial" w:eastAsia="Arial" w:hAnsi="Arial"/>
                <w:sz w:val="18"/>
                <w:szCs w:val="18"/>
                <w:color w:val="auto"/>
              </w:rPr>
              <w:t>Discount rate</w:t>
            </w:r>
          </w:p>
        </w:tc>
        <w:tc>
          <w:tcPr>
            <w:tcW w:w="1180" w:type="dxa"/>
            <w:vAlign w:val="bottom"/>
          </w:tcPr>
          <w:p>
            <w:pPr>
              <w:jc w:val="right"/>
              <w:ind w:right="372"/>
              <w:spacing w:after="0"/>
              <w:rPr>
                <w:sz w:val="20"/>
                <w:szCs w:val="20"/>
                <w:color w:val="auto"/>
              </w:rPr>
            </w:pPr>
            <w:r>
              <w:rPr>
                <w:rFonts w:ascii="Arial" w:cs="Arial" w:eastAsia="Arial" w:hAnsi="Arial"/>
                <w:sz w:val="18"/>
                <w:szCs w:val="18"/>
                <w:color w:val="auto"/>
              </w:rPr>
              <w:t>5.66%</w:t>
            </w:r>
          </w:p>
        </w:tc>
        <w:tc>
          <w:tcPr>
            <w:tcW w:w="1400" w:type="dxa"/>
            <w:vAlign w:val="bottom"/>
          </w:tcPr>
          <w:p>
            <w:pPr>
              <w:jc w:val="right"/>
              <w:ind w:right="412"/>
              <w:spacing w:after="0"/>
              <w:rPr>
                <w:sz w:val="20"/>
                <w:szCs w:val="20"/>
                <w:color w:val="auto"/>
              </w:rPr>
            </w:pPr>
            <w:r>
              <w:rPr>
                <w:rFonts w:ascii="Arial" w:cs="Arial" w:eastAsia="Arial" w:hAnsi="Arial"/>
                <w:sz w:val="18"/>
                <w:szCs w:val="18"/>
                <w:color w:val="auto"/>
              </w:rPr>
              <w:t>6.00%</w:t>
            </w:r>
          </w:p>
        </w:tc>
        <w:tc>
          <w:tcPr>
            <w:tcW w:w="1360" w:type="dxa"/>
            <w:vAlign w:val="bottom"/>
          </w:tcPr>
          <w:p>
            <w:pPr>
              <w:jc w:val="right"/>
              <w:ind w:right="352"/>
              <w:spacing w:after="0"/>
              <w:rPr>
                <w:sz w:val="20"/>
                <w:szCs w:val="20"/>
                <w:color w:val="auto"/>
              </w:rPr>
            </w:pPr>
            <w:r>
              <w:rPr>
                <w:rFonts w:ascii="Arial" w:cs="Arial" w:eastAsia="Arial" w:hAnsi="Arial"/>
                <w:sz w:val="18"/>
                <w:szCs w:val="18"/>
                <w:color w:val="auto"/>
              </w:rPr>
              <w:t>5.66%</w:t>
            </w: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6.00%</w:t>
            </w:r>
          </w:p>
        </w:tc>
      </w:tr>
      <w:tr>
        <w:trPr>
          <w:trHeight w:val="270"/>
        </w:trPr>
        <w:tc>
          <w:tcPr>
            <w:tcW w:w="4020" w:type="dxa"/>
            <w:vAlign w:val="bottom"/>
          </w:tcPr>
          <w:p>
            <w:pPr>
              <w:spacing w:after="0"/>
              <w:rPr>
                <w:sz w:val="20"/>
                <w:szCs w:val="20"/>
                <w:color w:val="auto"/>
              </w:rPr>
            </w:pPr>
            <w:r>
              <w:rPr>
                <w:rFonts w:ascii="Arial" w:cs="Arial" w:eastAsia="Arial" w:hAnsi="Arial"/>
                <w:sz w:val="18"/>
                <w:szCs w:val="18"/>
                <w:color w:val="auto"/>
              </w:rPr>
              <w:t>Expected return on plan assets</w:t>
            </w:r>
          </w:p>
        </w:tc>
        <w:tc>
          <w:tcPr>
            <w:tcW w:w="1180" w:type="dxa"/>
            <w:vAlign w:val="bottom"/>
          </w:tcPr>
          <w:p>
            <w:pPr>
              <w:jc w:val="right"/>
              <w:ind w:right="372"/>
              <w:spacing w:after="0"/>
              <w:rPr>
                <w:sz w:val="20"/>
                <w:szCs w:val="20"/>
                <w:color w:val="auto"/>
              </w:rPr>
            </w:pPr>
            <w:r>
              <w:rPr>
                <w:rFonts w:ascii="Arial" w:cs="Arial" w:eastAsia="Arial" w:hAnsi="Arial"/>
                <w:sz w:val="18"/>
                <w:szCs w:val="18"/>
                <w:color w:val="auto"/>
              </w:rPr>
              <w:t>7.50%</w:t>
            </w:r>
          </w:p>
        </w:tc>
        <w:tc>
          <w:tcPr>
            <w:tcW w:w="1400" w:type="dxa"/>
            <w:vAlign w:val="bottom"/>
          </w:tcPr>
          <w:p>
            <w:pPr>
              <w:jc w:val="right"/>
              <w:ind w:right="412"/>
              <w:spacing w:after="0"/>
              <w:rPr>
                <w:sz w:val="20"/>
                <w:szCs w:val="20"/>
                <w:color w:val="auto"/>
              </w:rPr>
            </w:pPr>
            <w:r>
              <w:rPr>
                <w:rFonts w:ascii="Arial" w:cs="Arial" w:eastAsia="Arial" w:hAnsi="Arial"/>
                <w:sz w:val="18"/>
                <w:szCs w:val="18"/>
                <w:color w:val="auto"/>
              </w:rPr>
              <w:t>7.50%</w:t>
            </w:r>
          </w:p>
        </w:tc>
        <w:tc>
          <w:tcPr>
            <w:tcW w:w="1360" w:type="dxa"/>
            <w:vAlign w:val="bottom"/>
          </w:tcPr>
          <w:p>
            <w:pPr>
              <w:jc w:val="right"/>
              <w:ind w:right="352"/>
              <w:spacing w:after="0"/>
              <w:rPr>
                <w:sz w:val="20"/>
                <w:szCs w:val="20"/>
                <w:color w:val="auto"/>
              </w:rPr>
            </w:pPr>
            <w:r>
              <w:rPr>
                <w:rFonts w:ascii="Arial" w:cs="Arial" w:eastAsia="Arial" w:hAnsi="Arial"/>
                <w:sz w:val="18"/>
                <w:szCs w:val="18"/>
                <w:color w:val="auto"/>
              </w:rPr>
              <w:t>4.61%</w:t>
            </w: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4.76%</w:t>
            </w:r>
          </w:p>
        </w:tc>
      </w:tr>
      <w:tr>
        <w:trPr>
          <w:trHeight w:val="270"/>
        </w:trPr>
        <w:tc>
          <w:tcPr>
            <w:tcW w:w="4020" w:type="dxa"/>
            <w:vAlign w:val="bottom"/>
          </w:tcPr>
          <w:p>
            <w:pPr>
              <w:spacing w:after="0"/>
              <w:rPr>
                <w:sz w:val="20"/>
                <w:szCs w:val="20"/>
                <w:color w:val="auto"/>
              </w:rPr>
            </w:pPr>
            <w:r>
              <w:rPr>
                <w:rFonts w:ascii="Arial" w:cs="Arial" w:eastAsia="Arial" w:hAnsi="Arial"/>
                <w:sz w:val="18"/>
                <w:szCs w:val="18"/>
                <w:color w:val="auto"/>
              </w:rPr>
              <w:t>Rate of compensation increase</w:t>
            </w:r>
          </w:p>
        </w:tc>
        <w:tc>
          <w:tcPr>
            <w:tcW w:w="1180" w:type="dxa"/>
            <w:vAlign w:val="bottom"/>
          </w:tcPr>
          <w:p>
            <w:pPr>
              <w:jc w:val="right"/>
              <w:ind w:right="372"/>
              <w:spacing w:after="0"/>
              <w:rPr>
                <w:sz w:val="20"/>
                <w:szCs w:val="20"/>
                <w:color w:val="auto"/>
              </w:rPr>
            </w:pPr>
            <w:r>
              <w:rPr>
                <w:rFonts w:ascii="Arial" w:cs="Arial" w:eastAsia="Arial" w:hAnsi="Arial"/>
                <w:sz w:val="18"/>
                <w:szCs w:val="18"/>
                <w:color w:val="auto"/>
              </w:rPr>
              <w:t>4.50%</w:t>
            </w:r>
          </w:p>
        </w:tc>
        <w:tc>
          <w:tcPr>
            <w:tcW w:w="1400" w:type="dxa"/>
            <w:vAlign w:val="bottom"/>
          </w:tcPr>
          <w:p>
            <w:pPr>
              <w:jc w:val="right"/>
              <w:ind w:right="412"/>
              <w:spacing w:after="0"/>
              <w:rPr>
                <w:sz w:val="20"/>
                <w:szCs w:val="20"/>
                <w:color w:val="auto"/>
              </w:rPr>
            </w:pPr>
            <w:r>
              <w:rPr>
                <w:rFonts w:ascii="Arial" w:cs="Arial" w:eastAsia="Arial" w:hAnsi="Arial"/>
                <w:sz w:val="18"/>
                <w:szCs w:val="18"/>
                <w:color w:val="auto"/>
              </w:rPr>
              <w:t>4.50%</w:t>
            </w:r>
          </w:p>
        </w:tc>
        <w:tc>
          <w:tcPr>
            <w:tcW w:w="1360" w:type="dxa"/>
            <w:vAlign w:val="bottom"/>
          </w:tcPr>
          <w:p>
            <w:pPr>
              <w:jc w:val="right"/>
              <w:ind w:right="352"/>
              <w:spacing w:after="0"/>
              <w:rPr>
                <w:sz w:val="20"/>
                <w:szCs w:val="20"/>
                <w:color w:val="auto"/>
              </w:rPr>
            </w:pPr>
            <w:r>
              <w:rPr>
                <w:rFonts w:ascii="Arial" w:cs="Arial" w:eastAsia="Arial" w:hAnsi="Arial"/>
                <w:sz w:val="18"/>
                <w:szCs w:val="18"/>
                <w:color w:val="auto"/>
              </w:rPr>
              <w:t>4.50%</w:t>
            </w: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4.50%</w:t>
            </w:r>
          </w:p>
        </w:tc>
      </w:tr>
      <w:tr>
        <w:trPr>
          <w:trHeight w:val="43"/>
        </w:trPr>
        <w:tc>
          <w:tcPr>
            <w:tcW w:w="402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400" w:type="dxa"/>
            <w:vAlign w:val="bottom"/>
          </w:tcPr>
          <w:p>
            <w:pPr>
              <w:spacing w:after="0"/>
              <w:rPr>
                <w:sz w:val="3"/>
                <w:szCs w:val="3"/>
                <w:color w:val="auto"/>
              </w:rPr>
            </w:pPr>
          </w:p>
        </w:tc>
        <w:tc>
          <w:tcPr>
            <w:tcW w:w="1360" w:type="dxa"/>
            <w:vAlign w:val="bottom"/>
          </w:tcPr>
          <w:p>
            <w:pPr>
              <w:spacing w:after="0"/>
              <w:rPr>
                <w:sz w:val="3"/>
                <w:szCs w:val="3"/>
                <w:color w:val="auto"/>
              </w:rPr>
            </w:pPr>
          </w:p>
        </w:tc>
        <w:tc>
          <w:tcPr>
            <w:tcW w:w="1000" w:type="dxa"/>
            <w:vAlign w:val="bottom"/>
          </w:tcPr>
          <w:p>
            <w:pPr>
              <w:spacing w:after="0"/>
              <w:rPr>
                <w:sz w:val="3"/>
                <w:szCs w:val="3"/>
                <w:color w:val="auto"/>
              </w:rPr>
            </w:pPr>
          </w:p>
        </w:tc>
      </w:tr>
      <w:tr>
        <w:trPr>
          <w:trHeight w:val="243"/>
        </w:trPr>
        <w:tc>
          <w:tcPr>
            <w:tcW w:w="4020" w:type="dxa"/>
            <w:vAlign w:val="bottom"/>
            <w:shd w:val="clear" w:color="auto" w:fill="000000"/>
          </w:tcPr>
          <w:p>
            <w:pPr>
              <w:spacing w:after="0"/>
              <w:rPr>
                <w:sz w:val="21"/>
                <w:szCs w:val="21"/>
                <w:color w:val="auto"/>
              </w:rPr>
            </w:pPr>
          </w:p>
        </w:tc>
        <w:tc>
          <w:tcPr>
            <w:tcW w:w="1180" w:type="dxa"/>
            <w:vAlign w:val="bottom"/>
            <w:shd w:val="clear" w:color="auto" w:fill="000000"/>
          </w:tcPr>
          <w:p>
            <w:pPr>
              <w:spacing w:after="0"/>
              <w:rPr>
                <w:sz w:val="21"/>
                <w:szCs w:val="21"/>
                <w:color w:val="auto"/>
              </w:rPr>
            </w:pPr>
          </w:p>
        </w:tc>
        <w:tc>
          <w:tcPr>
            <w:tcW w:w="1400" w:type="dxa"/>
            <w:vAlign w:val="bottom"/>
            <w:shd w:val="clear" w:color="auto" w:fill="000000"/>
          </w:tcPr>
          <w:p>
            <w:pPr>
              <w:spacing w:after="0"/>
              <w:rPr>
                <w:sz w:val="21"/>
                <w:szCs w:val="21"/>
                <w:color w:val="auto"/>
              </w:rPr>
            </w:pPr>
          </w:p>
        </w:tc>
        <w:tc>
          <w:tcPr>
            <w:tcW w:w="1360" w:type="dxa"/>
            <w:vAlign w:val="bottom"/>
            <w:shd w:val="clear" w:color="auto" w:fill="000000"/>
          </w:tcPr>
          <w:p>
            <w:pPr>
              <w:spacing w:after="0"/>
              <w:rPr>
                <w:sz w:val="21"/>
                <w:szCs w:val="21"/>
                <w:color w:val="auto"/>
              </w:rPr>
            </w:pPr>
          </w:p>
        </w:tc>
        <w:tc>
          <w:tcPr>
            <w:tcW w:w="1000" w:type="dxa"/>
            <w:vAlign w:val="bottom"/>
            <w:shd w:val="clear" w:color="auto" w:fill="000000"/>
          </w:tcPr>
          <w:p>
            <w:pPr>
              <w:spacing w:after="0"/>
              <w:rPr>
                <w:sz w:val="21"/>
                <w:szCs w:val="21"/>
                <w:color w:val="auto"/>
              </w:rPr>
            </w:pPr>
          </w:p>
        </w:tc>
      </w:tr>
    </w:tbl>
    <w:p>
      <w:pPr>
        <w:spacing w:after="0" w:line="168" w:lineRule="exact"/>
        <w:rPr>
          <w:sz w:val="20"/>
          <w:szCs w:val="20"/>
          <w:color w:val="auto"/>
        </w:rPr>
      </w:pPr>
    </w:p>
    <w:p>
      <w:pPr>
        <w:sectPr>
          <w:pgSz w:w="11900" w:h="16838" w:orient="portrait"/>
          <w:cols w:equalWidth="0" w:num="1">
            <w:col w:w="11400"/>
          </w:cols>
          <w:pgMar w:left="240" w:top="118" w:right="259" w:bottom="0" w:gutter="0" w:footer="0" w:header="0"/>
        </w:sectPr>
      </w:pPr>
    </w:p>
    <w:p>
      <w:pPr>
        <w:ind w:right="820"/>
        <w:spacing w:after="0" w:line="251" w:lineRule="auto"/>
        <w:rPr>
          <w:sz w:val="20"/>
          <w:szCs w:val="20"/>
          <w:color w:val="auto"/>
        </w:rPr>
      </w:pPr>
      <w:r>
        <w:rPr>
          <w:rFonts w:ascii="Arial" w:cs="Arial" w:eastAsia="Arial" w:hAnsi="Arial"/>
          <w:sz w:val="22"/>
          <w:szCs w:val="22"/>
          <w:color w:val="auto"/>
        </w:rPr>
        <w:t>The company utilizes a bond-pricing model that is tailored to the attributes of its pension and other postretirement plans to determine the appropriate discount rate to use for its benefit plans.</w:t>
      </w:r>
    </w:p>
    <w:p>
      <w:pPr>
        <w:sectPr>
          <w:pgSz w:w="11900" w:h="16838" w:orient="portrait"/>
          <w:cols w:equalWidth="0" w:num="1">
            <w:col w:w="11400"/>
          </w:cols>
          <w:pgMar w:left="240" w:top="118" w:right="259" w:bottom="0" w:gutter="0" w:footer="0" w:header="0"/>
          <w:type w:val="continuous"/>
        </w:sectPr>
      </w:pPr>
    </w:p>
    <w:bookmarkStart w:id="38" w:name="page39"/>
    <w:bookmarkEnd w:id="38"/>
    <w:p>
      <w:pPr>
        <w:spacing w:after="0" w:line="18" w:lineRule="exact"/>
        <w:rPr>
          <w:sz w:val="20"/>
          <w:szCs w:val="20"/>
          <w:color w:val="auto"/>
        </w:rPr>
      </w:pPr>
    </w:p>
    <w:p>
      <w:pPr>
        <w:ind w:right="600"/>
        <w:spacing w:after="0" w:line="251" w:lineRule="auto"/>
        <w:rPr>
          <w:sz w:val="20"/>
          <w:szCs w:val="20"/>
          <w:color w:val="auto"/>
        </w:rPr>
      </w:pPr>
      <w:r>
        <w:rPr>
          <w:rFonts w:ascii="Arial" w:cs="Arial" w:eastAsia="Arial" w:hAnsi="Arial"/>
          <w:sz w:val="22"/>
          <w:szCs w:val="22"/>
          <w:color w:val="auto"/>
        </w:rPr>
        <w:t>The expected long-term rate of return on plan assets is derived from historical returns for broad asset classes consistent with expectations from a variety of sources, including pension consultants and investment advisors.</w:t>
      </w:r>
    </w:p>
    <w:p>
      <w:pPr>
        <w:spacing w:after="0" w:line="200" w:lineRule="exact"/>
        <w:rPr>
          <w:sz w:val="20"/>
          <w:szCs w:val="20"/>
          <w:color w:val="auto"/>
        </w:rPr>
      </w:pPr>
    </w:p>
    <w:tbl>
      <w:tblPr>
        <w:tblLayout w:type="fixed"/>
        <w:tblInd w:w="2160" w:type="dxa"/>
        <w:tblCellMar>
          <w:top w:w="0" w:type="dxa"/>
          <w:left w:w="0" w:type="dxa"/>
          <w:bottom w:w="0" w:type="dxa"/>
          <w:right w:w="0" w:type="dxa"/>
        </w:tblCellMar>
      </w:tblPr>
      <w:tr>
        <w:trPr>
          <w:trHeight w:val="222"/>
        </w:trPr>
        <w:tc>
          <w:tcPr>
            <w:tcW w:w="4120" w:type="dxa"/>
            <w:vAlign w:val="bottom"/>
          </w:tcPr>
          <w:p>
            <w:pPr>
              <w:spacing w:after="0"/>
              <w:rPr>
                <w:sz w:val="19"/>
                <w:szCs w:val="19"/>
                <w:color w:val="auto"/>
              </w:rPr>
            </w:pPr>
          </w:p>
        </w:tc>
        <w:tc>
          <w:tcPr>
            <w:tcW w:w="1860" w:type="dxa"/>
            <w:vAlign w:val="bottom"/>
          </w:tcPr>
          <w:p>
            <w:pPr>
              <w:ind w:left="880"/>
              <w:spacing w:after="0"/>
              <w:rPr>
                <w:sz w:val="20"/>
                <w:szCs w:val="20"/>
                <w:color w:val="auto"/>
              </w:rPr>
            </w:pPr>
            <w:r>
              <w:rPr>
                <w:rFonts w:ascii="Arial" w:cs="Arial" w:eastAsia="Arial" w:hAnsi="Arial"/>
                <w:sz w:val="18"/>
                <w:szCs w:val="18"/>
                <w:color w:val="auto"/>
              </w:rPr>
              <w:t>2005</w:t>
            </w:r>
          </w:p>
        </w:tc>
        <w:tc>
          <w:tcPr>
            <w:tcW w:w="1020" w:type="dxa"/>
            <w:vAlign w:val="bottom"/>
          </w:tcPr>
          <w:p>
            <w:pPr>
              <w:jc w:val="right"/>
              <w:ind w:right="152"/>
              <w:spacing w:after="0"/>
              <w:rPr>
                <w:sz w:val="20"/>
                <w:szCs w:val="20"/>
                <w:color w:val="auto"/>
              </w:rPr>
            </w:pPr>
            <w:r>
              <w:rPr>
                <w:rFonts w:ascii="Arial" w:cs="Arial" w:eastAsia="Arial" w:hAnsi="Arial"/>
                <w:sz w:val="18"/>
                <w:szCs w:val="18"/>
                <w:color w:val="auto"/>
              </w:rPr>
              <w:t>2004</w:t>
            </w:r>
          </w:p>
        </w:tc>
        <w:tc>
          <w:tcPr>
            <w:tcW w:w="100" w:type="dxa"/>
            <w:vAlign w:val="bottom"/>
          </w:tcPr>
          <w:p>
            <w:pPr>
              <w:spacing w:after="0"/>
              <w:rPr>
                <w:sz w:val="19"/>
                <w:szCs w:val="19"/>
                <w:color w:val="auto"/>
              </w:rPr>
            </w:pPr>
          </w:p>
        </w:tc>
      </w:tr>
      <w:tr>
        <w:trPr>
          <w:trHeight w:val="43"/>
        </w:trPr>
        <w:tc>
          <w:tcPr>
            <w:tcW w:w="4120" w:type="dxa"/>
            <w:vAlign w:val="bottom"/>
          </w:tcPr>
          <w:p>
            <w:pPr>
              <w:spacing w:after="0"/>
              <w:rPr>
                <w:sz w:val="3"/>
                <w:szCs w:val="3"/>
                <w:color w:val="auto"/>
              </w:rPr>
            </w:pPr>
          </w:p>
        </w:tc>
        <w:tc>
          <w:tcPr>
            <w:tcW w:w="186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0" w:type="dxa"/>
            <w:vAlign w:val="bottom"/>
          </w:tcPr>
          <w:p>
            <w:pPr>
              <w:spacing w:after="0"/>
              <w:rPr>
                <w:sz w:val="3"/>
                <w:szCs w:val="3"/>
                <w:color w:val="auto"/>
              </w:rPr>
            </w:pPr>
          </w:p>
        </w:tc>
      </w:tr>
      <w:tr>
        <w:trPr>
          <w:trHeight w:val="243"/>
        </w:trPr>
        <w:tc>
          <w:tcPr>
            <w:tcW w:w="4120" w:type="dxa"/>
            <w:vAlign w:val="bottom"/>
            <w:shd w:val="clear" w:color="auto" w:fill="000000"/>
          </w:tcPr>
          <w:p>
            <w:pPr>
              <w:spacing w:after="0"/>
              <w:rPr>
                <w:sz w:val="21"/>
                <w:szCs w:val="21"/>
                <w:color w:val="auto"/>
              </w:rPr>
            </w:pPr>
          </w:p>
        </w:tc>
        <w:tc>
          <w:tcPr>
            <w:tcW w:w="1860" w:type="dxa"/>
            <w:vAlign w:val="bottom"/>
            <w:shd w:val="clear" w:color="auto" w:fill="000000"/>
          </w:tcPr>
          <w:p>
            <w:pPr>
              <w:spacing w:after="0"/>
              <w:rPr>
                <w:sz w:val="21"/>
                <w:szCs w:val="21"/>
                <w:color w:val="auto"/>
              </w:rPr>
            </w:pPr>
          </w:p>
        </w:tc>
        <w:tc>
          <w:tcPr>
            <w:tcW w:w="1020" w:type="dxa"/>
            <w:vAlign w:val="bottom"/>
            <w:shd w:val="clear" w:color="auto" w:fill="000000"/>
          </w:tcPr>
          <w:p>
            <w:pPr>
              <w:spacing w:after="0"/>
              <w:rPr>
                <w:sz w:val="21"/>
                <w:szCs w:val="21"/>
                <w:color w:val="auto"/>
              </w:rPr>
            </w:pPr>
          </w:p>
        </w:tc>
        <w:tc>
          <w:tcPr>
            <w:tcW w:w="100" w:type="dxa"/>
            <w:vAlign w:val="bottom"/>
          </w:tcPr>
          <w:p>
            <w:pPr>
              <w:spacing w:after="0"/>
              <w:rPr>
                <w:sz w:val="21"/>
                <w:szCs w:val="21"/>
                <w:color w:val="auto"/>
              </w:rPr>
            </w:pPr>
          </w:p>
        </w:tc>
      </w:tr>
      <w:tr>
        <w:trPr>
          <w:trHeight w:val="228"/>
        </w:trPr>
        <w:tc>
          <w:tcPr>
            <w:tcW w:w="4120" w:type="dxa"/>
            <w:vAlign w:val="bottom"/>
          </w:tcPr>
          <w:p>
            <w:pPr>
              <w:spacing w:after="0"/>
              <w:rPr>
                <w:sz w:val="20"/>
                <w:szCs w:val="20"/>
                <w:color w:val="auto"/>
              </w:rPr>
            </w:pPr>
            <w:r>
              <w:rPr>
                <w:rFonts w:ascii="Arial" w:cs="Arial" w:eastAsia="Arial" w:hAnsi="Arial"/>
                <w:sz w:val="18"/>
                <w:szCs w:val="18"/>
                <w:color w:val="auto"/>
              </w:rPr>
              <w:t>ASSUMED HEALTH CARE COST</w:t>
            </w:r>
          </w:p>
        </w:tc>
        <w:tc>
          <w:tcPr>
            <w:tcW w:w="18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70"/>
        </w:trPr>
        <w:tc>
          <w:tcPr>
            <w:tcW w:w="4120" w:type="dxa"/>
            <w:vAlign w:val="bottom"/>
          </w:tcPr>
          <w:p>
            <w:pPr>
              <w:ind w:left="340"/>
              <w:spacing w:after="0"/>
              <w:rPr>
                <w:sz w:val="20"/>
                <w:szCs w:val="20"/>
                <w:color w:val="auto"/>
              </w:rPr>
            </w:pPr>
            <w:r>
              <w:rPr>
                <w:rFonts w:ascii="Arial" w:cs="Arial" w:eastAsia="Arial" w:hAnsi="Arial"/>
                <w:sz w:val="18"/>
                <w:szCs w:val="18"/>
                <w:color w:val="auto"/>
              </w:rPr>
              <w:t>TREND RATES AT DECEMBER 31:</w:t>
            </w:r>
          </w:p>
        </w:tc>
        <w:tc>
          <w:tcPr>
            <w:tcW w:w="186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97"/>
        </w:trPr>
        <w:tc>
          <w:tcPr>
            <w:tcW w:w="4120" w:type="dxa"/>
            <w:vAlign w:val="bottom"/>
          </w:tcPr>
          <w:p>
            <w:pPr>
              <w:spacing w:after="0"/>
              <w:rPr>
                <w:sz w:val="20"/>
                <w:szCs w:val="20"/>
                <w:color w:val="auto"/>
              </w:rPr>
            </w:pPr>
            <w:r>
              <w:rPr>
                <w:rFonts w:ascii="Arial" w:cs="Arial" w:eastAsia="Arial" w:hAnsi="Arial"/>
                <w:sz w:val="18"/>
                <w:szCs w:val="18"/>
                <w:color w:val="auto"/>
              </w:rPr>
              <w:t>Health-care cost trend rate</w:t>
            </w:r>
          </w:p>
        </w:tc>
        <w:tc>
          <w:tcPr>
            <w:tcW w:w="1860" w:type="dxa"/>
            <w:vAlign w:val="bottom"/>
          </w:tcPr>
          <w:p>
            <w:pPr>
              <w:ind w:left="880"/>
              <w:spacing w:after="0"/>
              <w:rPr>
                <w:sz w:val="20"/>
                <w:szCs w:val="20"/>
                <w:color w:val="auto"/>
              </w:rPr>
            </w:pPr>
            <w:r>
              <w:rPr>
                <w:rFonts w:ascii="Arial" w:cs="Arial" w:eastAsia="Arial" w:hAnsi="Arial"/>
                <w:sz w:val="18"/>
                <w:szCs w:val="18"/>
                <w:color w:val="auto"/>
              </w:rPr>
              <w:t>9.78 %  *</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19.00 %   *</w:t>
            </w:r>
          </w:p>
        </w:tc>
      </w:tr>
      <w:tr>
        <w:trPr>
          <w:trHeight w:val="243"/>
        </w:trPr>
        <w:tc>
          <w:tcPr>
            <w:tcW w:w="4120" w:type="dxa"/>
            <w:vAlign w:val="bottom"/>
          </w:tcPr>
          <w:p>
            <w:pPr>
              <w:spacing w:after="0"/>
              <w:rPr>
                <w:sz w:val="20"/>
                <w:szCs w:val="20"/>
                <w:color w:val="auto"/>
              </w:rPr>
            </w:pPr>
            <w:r>
              <w:rPr>
                <w:rFonts w:ascii="Arial" w:cs="Arial" w:eastAsia="Arial" w:hAnsi="Arial"/>
                <w:sz w:val="18"/>
                <w:szCs w:val="18"/>
                <w:color w:val="auto"/>
              </w:rPr>
              <w:t>Rate to which the cost trend rate is assumed to</w:t>
            </w:r>
          </w:p>
        </w:tc>
        <w:tc>
          <w:tcPr>
            <w:tcW w:w="18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70"/>
        </w:trPr>
        <w:tc>
          <w:tcPr>
            <w:tcW w:w="4120" w:type="dxa"/>
            <w:vAlign w:val="bottom"/>
          </w:tcPr>
          <w:p>
            <w:pPr>
              <w:ind w:left="340"/>
              <w:spacing w:after="0"/>
              <w:rPr>
                <w:sz w:val="20"/>
                <w:szCs w:val="20"/>
                <w:color w:val="auto"/>
              </w:rPr>
            </w:pPr>
            <w:r>
              <w:rPr>
                <w:rFonts w:ascii="Arial" w:cs="Arial" w:eastAsia="Arial" w:hAnsi="Arial"/>
                <w:sz w:val="18"/>
                <w:szCs w:val="18"/>
                <w:color w:val="auto"/>
              </w:rPr>
              <w:t>decline (the ultimate trend)</w:t>
            </w:r>
          </w:p>
        </w:tc>
        <w:tc>
          <w:tcPr>
            <w:tcW w:w="1860" w:type="dxa"/>
            <w:vAlign w:val="bottom"/>
          </w:tcPr>
          <w:p>
            <w:pPr>
              <w:ind w:left="880"/>
              <w:spacing w:after="0"/>
              <w:rPr>
                <w:sz w:val="20"/>
                <w:szCs w:val="20"/>
                <w:color w:val="auto"/>
              </w:rPr>
            </w:pPr>
            <w:r>
              <w:rPr>
                <w:rFonts w:ascii="Arial" w:cs="Arial" w:eastAsia="Arial" w:hAnsi="Arial"/>
                <w:sz w:val="18"/>
                <w:szCs w:val="18"/>
                <w:color w:val="auto"/>
              </w:rPr>
              <w:t>5.50 %</w:t>
            </w:r>
          </w:p>
        </w:tc>
        <w:tc>
          <w:tcPr>
            <w:tcW w:w="1020" w:type="dxa"/>
            <w:vAlign w:val="bottom"/>
          </w:tcPr>
          <w:p>
            <w:pPr>
              <w:jc w:val="right"/>
              <w:ind w:right="112"/>
              <w:spacing w:after="0"/>
              <w:rPr>
                <w:sz w:val="20"/>
                <w:szCs w:val="20"/>
                <w:color w:val="auto"/>
              </w:rPr>
            </w:pPr>
            <w:r>
              <w:rPr>
                <w:rFonts w:ascii="Arial" w:cs="Arial" w:eastAsia="Arial" w:hAnsi="Arial"/>
                <w:sz w:val="18"/>
                <w:szCs w:val="18"/>
                <w:color w:val="auto"/>
              </w:rPr>
              <w:t>5.50 %</w:t>
            </w:r>
          </w:p>
        </w:tc>
        <w:tc>
          <w:tcPr>
            <w:tcW w:w="100" w:type="dxa"/>
            <w:vAlign w:val="bottom"/>
          </w:tcPr>
          <w:p>
            <w:pPr>
              <w:spacing w:after="0"/>
              <w:rPr>
                <w:sz w:val="23"/>
                <w:szCs w:val="23"/>
                <w:color w:val="auto"/>
              </w:rPr>
            </w:pPr>
          </w:p>
        </w:tc>
      </w:tr>
      <w:tr>
        <w:trPr>
          <w:trHeight w:val="270"/>
        </w:trPr>
        <w:tc>
          <w:tcPr>
            <w:tcW w:w="4120" w:type="dxa"/>
            <w:vAlign w:val="bottom"/>
          </w:tcPr>
          <w:p>
            <w:pPr>
              <w:spacing w:after="0"/>
              <w:rPr>
                <w:sz w:val="20"/>
                <w:szCs w:val="20"/>
                <w:color w:val="auto"/>
              </w:rPr>
            </w:pPr>
            <w:r>
              <w:rPr>
                <w:rFonts w:ascii="Arial" w:cs="Arial" w:eastAsia="Arial" w:hAnsi="Arial"/>
                <w:sz w:val="18"/>
                <w:szCs w:val="18"/>
                <w:color w:val="auto"/>
              </w:rPr>
              <w:t>Year that the rate reaches the ultimate trend</w:t>
            </w:r>
          </w:p>
        </w:tc>
        <w:tc>
          <w:tcPr>
            <w:tcW w:w="1860" w:type="dxa"/>
            <w:vAlign w:val="bottom"/>
          </w:tcPr>
          <w:p>
            <w:pPr>
              <w:jc w:val="right"/>
              <w:ind w:right="592"/>
              <w:spacing w:after="0"/>
              <w:rPr>
                <w:sz w:val="20"/>
                <w:szCs w:val="20"/>
                <w:color w:val="auto"/>
              </w:rPr>
            </w:pPr>
            <w:r>
              <w:rPr>
                <w:rFonts w:ascii="Arial" w:cs="Arial" w:eastAsia="Arial" w:hAnsi="Arial"/>
                <w:sz w:val="18"/>
                <w:szCs w:val="18"/>
                <w:color w:val="auto"/>
              </w:rPr>
              <w:t>2008</w:t>
            </w:r>
          </w:p>
        </w:tc>
        <w:tc>
          <w:tcPr>
            <w:tcW w:w="1020" w:type="dxa"/>
            <w:vAlign w:val="bottom"/>
          </w:tcPr>
          <w:p>
            <w:pPr>
              <w:jc w:val="right"/>
              <w:ind w:right="272"/>
              <w:spacing w:after="0"/>
              <w:rPr>
                <w:sz w:val="20"/>
                <w:szCs w:val="20"/>
                <w:color w:val="auto"/>
              </w:rPr>
            </w:pPr>
            <w:r>
              <w:rPr>
                <w:rFonts w:ascii="Arial" w:cs="Arial" w:eastAsia="Arial" w:hAnsi="Arial"/>
                <w:sz w:val="18"/>
                <w:szCs w:val="18"/>
                <w:color w:val="auto"/>
              </w:rPr>
              <w:t>2008</w:t>
            </w:r>
          </w:p>
        </w:tc>
        <w:tc>
          <w:tcPr>
            <w:tcW w:w="100" w:type="dxa"/>
            <w:vAlign w:val="bottom"/>
          </w:tcPr>
          <w:p>
            <w:pPr>
              <w:spacing w:after="0"/>
              <w:rPr>
                <w:sz w:val="23"/>
                <w:szCs w:val="23"/>
                <w:color w:val="auto"/>
              </w:rPr>
            </w:pPr>
          </w:p>
        </w:tc>
      </w:tr>
      <w:tr>
        <w:trPr>
          <w:trHeight w:val="43"/>
        </w:trPr>
        <w:tc>
          <w:tcPr>
            <w:tcW w:w="4120" w:type="dxa"/>
            <w:vAlign w:val="bottom"/>
          </w:tcPr>
          <w:p>
            <w:pPr>
              <w:spacing w:after="0"/>
              <w:rPr>
                <w:sz w:val="3"/>
                <w:szCs w:val="3"/>
                <w:color w:val="auto"/>
              </w:rPr>
            </w:pPr>
          </w:p>
        </w:tc>
        <w:tc>
          <w:tcPr>
            <w:tcW w:w="186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0" w:type="dxa"/>
            <w:vAlign w:val="bottom"/>
          </w:tcPr>
          <w:p>
            <w:pPr>
              <w:spacing w:after="0"/>
              <w:rPr>
                <w:sz w:val="3"/>
                <w:szCs w:val="3"/>
                <w:color w:val="auto"/>
              </w:rPr>
            </w:pPr>
          </w:p>
        </w:tc>
      </w:tr>
      <w:tr>
        <w:trPr>
          <w:trHeight w:val="243"/>
        </w:trPr>
        <w:tc>
          <w:tcPr>
            <w:tcW w:w="4120" w:type="dxa"/>
            <w:vAlign w:val="bottom"/>
            <w:shd w:val="clear" w:color="auto" w:fill="000000"/>
          </w:tcPr>
          <w:p>
            <w:pPr>
              <w:spacing w:after="0"/>
              <w:rPr>
                <w:sz w:val="21"/>
                <w:szCs w:val="21"/>
                <w:color w:val="auto"/>
              </w:rPr>
            </w:pPr>
          </w:p>
        </w:tc>
        <w:tc>
          <w:tcPr>
            <w:tcW w:w="1860" w:type="dxa"/>
            <w:vAlign w:val="bottom"/>
            <w:shd w:val="clear" w:color="auto" w:fill="000000"/>
          </w:tcPr>
          <w:p>
            <w:pPr>
              <w:spacing w:after="0"/>
              <w:rPr>
                <w:sz w:val="21"/>
                <w:szCs w:val="21"/>
                <w:color w:val="auto"/>
              </w:rPr>
            </w:pPr>
          </w:p>
        </w:tc>
        <w:tc>
          <w:tcPr>
            <w:tcW w:w="1020" w:type="dxa"/>
            <w:vAlign w:val="bottom"/>
            <w:shd w:val="clear" w:color="auto" w:fill="000000"/>
          </w:tcPr>
          <w:p>
            <w:pPr>
              <w:spacing w:after="0"/>
              <w:rPr>
                <w:sz w:val="21"/>
                <w:szCs w:val="21"/>
                <w:color w:val="auto"/>
              </w:rPr>
            </w:pPr>
          </w:p>
        </w:tc>
        <w:tc>
          <w:tcPr>
            <w:tcW w:w="100" w:type="dxa"/>
            <w:vAlign w:val="bottom"/>
          </w:tcPr>
          <w:p>
            <w:pPr>
              <w:spacing w:after="0"/>
              <w:rPr>
                <w:sz w:val="21"/>
                <w:szCs w:val="21"/>
                <w:color w:val="auto"/>
              </w:rPr>
            </w:pPr>
          </w:p>
        </w:tc>
      </w:tr>
    </w:tbl>
    <w:p>
      <w:pPr>
        <w:spacing w:after="0" w:line="167" w:lineRule="exact"/>
        <w:rPr>
          <w:sz w:val="20"/>
          <w:szCs w:val="20"/>
          <w:color w:val="auto"/>
        </w:rPr>
      </w:pPr>
    </w:p>
    <w:p>
      <w:pPr>
        <w:ind w:right="20" w:firstLine="8"/>
        <w:spacing w:after="0" w:line="268" w:lineRule="auto"/>
        <w:tabs>
          <w:tab w:leader="none" w:pos="132" w:val="left"/>
        </w:tabs>
        <w:numPr>
          <w:ilvl w:val="0"/>
          <w:numId w:val="7"/>
        </w:numPr>
        <w:rPr>
          <w:rFonts w:ascii="Arial" w:cs="Arial" w:eastAsia="Arial" w:hAnsi="Arial"/>
          <w:sz w:val="18"/>
          <w:szCs w:val="18"/>
          <w:color w:val="auto"/>
        </w:rPr>
      </w:pPr>
      <w:r>
        <w:rPr>
          <w:rFonts w:ascii="Arial" w:cs="Arial" w:eastAsia="Arial" w:hAnsi="Arial"/>
          <w:sz w:val="18"/>
          <w:szCs w:val="18"/>
          <w:color w:val="auto"/>
        </w:rPr>
        <w:t>This is the weighted average of the increases for the company's health plans. The rate for these plans ranged from 8.50% to 10% in 2005 and from 10% to 20% in 2004.</w:t>
      </w:r>
    </w:p>
    <w:p>
      <w:pPr>
        <w:spacing w:after="0" w:line="173" w:lineRule="exact"/>
        <w:rPr>
          <w:sz w:val="20"/>
          <w:szCs w:val="20"/>
          <w:color w:val="auto"/>
        </w:rPr>
      </w:pPr>
    </w:p>
    <w:p>
      <w:pPr>
        <w:spacing w:after="0" w:line="251" w:lineRule="auto"/>
        <w:rPr>
          <w:sz w:val="20"/>
          <w:szCs w:val="20"/>
          <w:color w:val="auto"/>
        </w:rPr>
      </w:pPr>
      <w:r>
        <w:rPr>
          <w:rFonts w:ascii="Arial" w:cs="Arial" w:eastAsia="Arial" w:hAnsi="Arial"/>
          <w:sz w:val="22"/>
          <w:szCs w:val="22"/>
          <w:color w:val="auto"/>
        </w:rPr>
        <w:t>Assumed health-care cost trend rates have a significant effect on the amounts reported for the health-care plan costs. A one-percent change in assumed health-care cost trend rates would have the following effects:</w:t>
      </w:r>
    </w:p>
    <w:p>
      <w:pPr>
        <w:spacing w:after="0" w:line="200" w:lineRule="exact"/>
        <w:rPr>
          <w:sz w:val="20"/>
          <w:szCs w:val="20"/>
          <w:color w:val="auto"/>
        </w:rPr>
      </w:pPr>
    </w:p>
    <w:tbl>
      <w:tblPr>
        <w:tblLayout w:type="fixed"/>
        <w:tblInd w:w="1980" w:type="dxa"/>
        <w:tblCellMar>
          <w:top w:w="0" w:type="dxa"/>
          <w:left w:w="0" w:type="dxa"/>
          <w:bottom w:w="0" w:type="dxa"/>
          <w:right w:w="0" w:type="dxa"/>
        </w:tblCellMar>
      </w:tblPr>
      <w:tr>
        <w:trPr>
          <w:trHeight w:val="222"/>
        </w:trPr>
        <w:tc>
          <w:tcPr>
            <w:tcW w:w="4660" w:type="dxa"/>
            <w:vAlign w:val="bottom"/>
          </w:tcPr>
          <w:p>
            <w:pPr>
              <w:ind w:left="20"/>
              <w:spacing w:after="0"/>
              <w:rPr>
                <w:sz w:val="20"/>
                <w:szCs w:val="20"/>
                <w:color w:val="auto"/>
              </w:rPr>
            </w:pPr>
            <w:r>
              <w:rPr>
                <w:rFonts w:ascii="Arial" w:cs="Arial" w:eastAsia="Arial" w:hAnsi="Arial"/>
                <w:sz w:val="18"/>
                <w:szCs w:val="18"/>
                <w:color w:val="auto"/>
              </w:rPr>
              <w:t>(Dollars in millions)</w:t>
            </w:r>
          </w:p>
        </w:tc>
        <w:tc>
          <w:tcPr>
            <w:tcW w:w="1440" w:type="dxa"/>
            <w:vAlign w:val="bottom"/>
            <w:gridSpan w:val="2"/>
          </w:tcPr>
          <w:p>
            <w:pPr>
              <w:ind w:left="320"/>
              <w:spacing w:after="0"/>
              <w:rPr>
                <w:sz w:val="20"/>
                <w:szCs w:val="20"/>
                <w:color w:val="auto"/>
              </w:rPr>
            </w:pPr>
            <w:r>
              <w:rPr>
                <w:rFonts w:ascii="Arial" w:cs="Arial" w:eastAsia="Arial" w:hAnsi="Arial"/>
                <w:sz w:val="18"/>
                <w:szCs w:val="18"/>
                <w:color w:val="auto"/>
              </w:rPr>
              <w:t>1% Increase</w:t>
            </w:r>
          </w:p>
        </w:tc>
        <w:tc>
          <w:tcPr>
            <w:tcW w:w="1220" w:type="dxa"/>
            <w:vAlign w:val="bottom"/>
            <w:gridSpan w:val="3"/>
          </w:tcPr>
          <w:p>
            <w:pPr>
              <w:ind w:left="180"/>
              <w:spacing w:after="0"/>
              <w:rPr>
                <w:sz w:val="20"/>
                <w:szCs w:val="20"/>
                <w:color w:val="auto"/>
              </w:rPr>
            </w:pPr>
            <w:r>
              <w:rPr>
                <w:rFonts w:ascii="Arial" w:cs="Arial" w:eastAsia="Arial" w:hAnsi="Arial"/>
                <w:sz w:val="18"/>
                <w:szCs w:val="18"/>
                <w:color w:val="auto"/>
                <w:w w:val="94"/>
              </w:rPr>
              <w:t>1% Decrease</w:t>
            </w:r>
          </w:p>
        </w:tc>
      </w:tr>
      <w:tr>
        <w:trPr>
          <w:trHeight w:val="43"/>
        </w:trPr>
        <w:tc>
          <w:tcPr>
            <w:tcW w:w="4660" w:type="dxa"/>
            <w:vAlign w:val="bottom"/>
          </w:tcPr>
          <w:p>
            <w:pPr>
              <w:spacing w:after="0"/>
              <w:rPr>
                <w:sz w:val="3"/>
                <w:szCs w:val="3"/>
                <w:color w:val="auto"/>
              </w:rPr>
            </w:pPr>
          </w:p>
        </w:tc>
        <w:tc>
          <w:tcPr>
            <w:tcW w:w="780" w:type="dxa"/>
            <w:vAlign w:val="bottom"/>
          </w:tcPr>
          <w:p>
            <w:pPr>
              <w:spacing w:after="0"/>
              <w:rPr>
                <w:sz w:val="3"/>
                <w:szCs w:val="3"/>
                <w:color w:val="auto"/>
              </w:rPr>
            </w:pPr>
          </w:p>
        </w:tc>
        <w:tc>
          <w:tcPr>
            <w:tcW w:w="660" w:type="dxa"/>
            <w:vAlign w:val="bottom"/>
          </w:tcPr>
          <w:p>
            <w:pPr>
              <w:spacing w:after="0"/>
              <w:rPr>
                <w:sz w:val="3"/>
                <w:szCs w:val="3"/>
                <w:color w:val="auto"/>
              </w:rPr>
            </w:pPr>
          </w:p>
        </w:tc>
        <w:tc>
          <w:tcPr>
            <w:tcW w:w="64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r>
      <w:tr>
        <w:trPr>
          <w:trHeight w:val="243"/>
        </w:trPr>
        <w:tc>
          <w:tcPr>
            <w:tcW w:w="4660" w:type="dxa"/>
            <w:vAlign w:val="bottom"/>
            <w:shd w:val="clear" w:color="auto" w:fill="000000"/>
          </w:tcPr>
          <w:p>
            <w:pPr>
              <w:spacing w:after="0"/>
              <w:rPr>
                <w:sz w:val="21"/>
                <w:szCs w:val="21"/>
                <w:color w:val="auto"/>
              </w:rPr>
            </w:pPr>
          </w:p>
        </w:tc>
        <w:tc>
          <w:tcPr>
            <w:tcW w:w="780" w:type="dxa"/>
            <w:vAlign w:val="bottom"/>
            <w:shd w:val="clear" w:color="auto" w:fill="000000"/>
          </w:tcPr>
          <w:p>
            <w:pPr>
              <w:spacing w:after="0"/>
              <w:rPr>
                <w:sz w:val="21"/>
                <w:szCs w:val="21"/>
                <w:color w:val="auto"/>
              </w:rPr>
            </w:pPr>
          </w:p>
        </w:tc>
        <w:tc>
          <w:tcPr>
            <w:tcW w:w="660" w:type="dxa"/>
            <w:vAlign w:val="bottom"/>
            <w:shd w:val="clear" w:color="auto" w:fill="000000"/>
          </w:tcPr>
          <w:p>
            <w:pPr>
              <w:spacing w:after="0"/>
              <w:rPr>
                <w:sz w:val="21"/>
                <w:szCs w:val="21"/>
                <w:color w:val="auto"/>
              </w:rPr>
            </w:pPr>
          </w:p>
        </w:tc>
        <w:tc>
          <w:tcPr>
            <w:tcW w:w="640" w:type="dxa"/>
            <w:vAlign w:val="bottom"/>
            <w:shd w:val="clear" w:color="auto" w:fill="000000"/>
          </w:tcPr>
          <w:p>
            <w:pPr>
              <w:spacing w:after="0"/>
              <w:rPr>
                <w:sz w:val="21"/>
                <w:szCs w:val="21"/>
                <w:color w:val="auto"/>
              </w:rPr>
            </w:pPr>
          </w:p>
        </w:tc>
        <w:tc>
          <w:tcPr>
            <w:tcW w:w="520" w:type="dxa"/>
            <w:vAlign w:val="bottom"/>
            <w:shd w:val="clear" w:color="auto" w:fill="000000"/>
          </w:tcPr>
          <w:p>
            <w:pPr>
              <w:spacing w:after="0"/>
              <w:rPr>
                <w:sz w:val="21"/>
                <w:szCs w:val="21"/>
                <w:color w:val="auto"/>
              </w:rPr>
            </w:pPr>
          </w:p>
        </w:tc>
        <w:tc>
          <w:tcPr>
            <w:tcW w:w="60" w:type="dxa"/>
            <w:vAlign w:val="bottom"/>
          </w:tcPr>
          <w:p>
            <w:pPr>
              <w:spacing w:after="0"/>
              <w:rPr>
                <w:sz w:val="21"/>
                <w:szCs w:val="21"/>
                <w:color w:val="auto"/>
              </w:rPr>
            </w:pPr>
          </w:p>
        </w:tc>
      </w:tr>
      <w:tr>
        <w:trPr>
          <w:trHeight w:val="228"/>
        </w:trPr>
        <w:tc>
          <w:tcPr>
            <w:tcW w:w="4660" w:type="dxa"/>
            <w:vAlign w:val="bottom"/>
          </w:tcPr>
          <w:p>
            <w:pPr>
              <w:ind w:left="20"/>
              <w:spacing w:after="0"/>
              <w:rPr>
                <w:sz w:val="20"/>
                <w:szCs w:val="20"/>
                <w:color w:val="auto"/>
              </w:rPr>
            </w:pPr>
            <w:r>
              <w:rPr>
                <w:rFonts w:ascii="Arial" w:cs="Arial" w:eastAsia="Arial" w:hAnsi="Arial"/>
                <w:sz w:val="18"/>
                <w:szCs w:val="18"/>
                <w:color w:val="auto"/>
                <w:w w:val="95"/>
              </w:rPr>
              <w:t>Effect on total of service and interest cost components of net</w:t>
            </w:r>
          </w:p>
        </w:tc>
        <w:tc>
          <w:tcPr>
            <w:tcW w:w="7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70"/>
        </w:trPr>
        <w:tc>
          <w:tcPr>
            <w:tcW w:w="4660" w:type="dxa"/>
            <w:vAlign w:val="bottom"/>
          </w:tcPr>
          <w:p>
            <w:pPr>
              <w:ind w:left="320"/>
              <w:spacing w:after="0"/>
              <w:rPr>
                <w:sz w:val="20"/>
                <w:szCs w:val="20"/>
                <w:color w:val="auto"/>
              </w:rPr>
            </w:pPr>
            <w:r>
              <w:rPr>
                <w:rFonts w:ascii="Arial" w:cs="Arial" w:eastAsia="Arial" w:hAnsi="Arial"/>
                <w:sz w:val="18"/>
                <w:szCs w:val="18"/>
                <w:color w:val="auto"/>
              </w:rPr>
              <w:t>periodic postretirement health-care benefit cost</w:t>
            </w:r>
          </w:p>
        </w:tc>
        <w:tc>
          <w:tcPr>
            <w:tcW w:w="780" w:type="dxa"/>
            <w:vAlign w:val="bottom"/>
          </w:tcPr>
          <w:p>
            <w:pPr>
              <w:ind w:left="300"/>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92"/>
              <w:spacing w:after="0"/>
              <w:rPr>
                <w:sz w:val="20"/>
                <w:szCs w:val="20"/>
                <w:color w:val="auto"/>
              </w:rPr>
            </w:pPr>
            <w:r>
              <w:rPr>
                <w:rFonts w:ascii="Arial" w:cs="Arial" w:eastAsia="Arial" w:hAnsi="Arial"/>
                <w:sz w:val="18"/>
                <w:szCs w:val="18"/>
                <w:color w:val="auto"/>
              </w:rPr>
              <w:t>1</w:t>
            </w:r>
          </w:p>
        </w:tc>
        <w:tc>
          <w:tcPr>
            <w:tcW w:w="640" w:type="dxa"/>
            <w:vAlign w:val="bottom"/>
          </w:tcPr>
          <w:p>
            <w:pPr>
              <w:ind w:left="180"/>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(1 )</w:t>
            </w:r>
          </w:p>
        </w:tc>
      </w:tr>
      <w:tr>
        <w:trPr>
          <w:trHeight w:val="540"/>
        </w:trPr>
        <w:tc>
          <w:tcPr>
            <w:tcW w:w="4660" w:type="dxa"/>
            <w:vAlign w:val="bottom"/>
          </w:tcPr>
          <w:p>
            <w:pPr>
              <w:ind w:left="20"/>
              <w:spacing w:after="0"/>
              <w:rPr>
                <w:sz w:val="20"/>
                <w:szCs w:val="20"/>
                <w:color w:val="auto"/>
              </w:rPr>
            </w:pPr>
            <w:r>
              <w:rPr>
                <w:rFonts w:ascii="Arial" w:cs="Arial" w:eastAsia="Arial" w:hAnsi="Arial"/>
                <w:sz w:val="18"/>
                <w:szCs w:val="18"/>
                <w:color w:val="auto"/>
                <w:w w:val="93"/>
              </w:rPr>
              <w:t>Effect on the health-care component of the accumulated other</w:t>
            </w:r>
          </w:p>
        </w:tc>
        <w:tc>
          <w:tcPr>
            <w:tcW w:w="7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70"/>
        </w:trPr>
        <w:tc>
          <w:tcPr>
            <w:tcW w:w="4660" w:type="dxa"/>
            <w:vAlign w:val="bottom"/>
          </w:tcPr>
          <w:p>
            <w:pPr>
              <w:ind w:left="320"/>
              <w:spacing w:after="0"/>
              <w:rPr>
                <w:sz w:val="20"/>
                <w:szCs w:val="20"/>
                <w:color w:val="auto"/>
              </w:rPr>
            </w:pPr>
            <w:r>
              <w:rPr>
                <w:rFonts w:ascii="Arial" w:cs="Arial" w:eastAsia="Arial" w:hAnsi="Arial"/>
                <w:sz w:val="18"/>
                <w:szCs w:val="18"/>
                <w:color w:val="auto"/>
              </w:rPr>
              <w:t>postretirement benefit obligation</w:t>
            </w:r>
          </w:p>
        </w:tc>
        <w:tc>
          <w:tcPr>
            <w:tcW w:w="780" w:type="dxa"/>
            <w:vAlign w:val="bottom"/>
          </w:tcPr>
          <w:p>
            <w:pPr>
              <w:ind w:left="300"/>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92"/>
              <w:spacing w:after="0"/>
              <w:rPr>
                <w:sz w:val="20"/>
                <w:szCs w:val="20"/>
                <w:color w:val="auto"/>
              </w:rPr>
            </w:pPr>
            <w:r>
              <w:rPr>
                <w:rFonts w:ascii="Arial" w:cs="Arial" w:eastAsia="Arial" w:hAnsi="Arial"/>
                <w:sz w:val="18"/>
                <w:szCs w:val="18"/>
                <w:color w:val="auto"/>
              </w:rPr>
              <w:t>7</w:t>
            </w:r>
          </w:p>
        </w:tc>
        <w:tc>
          <w:tcPr>
            <w:tcW w:w="640" w:type="dxa"/>
            <w:vAlign w:val="bottom"/>
          </w:tcPr>
          <w:p>
            <w:pPr>
              <w:ind w:left="180"/>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(6 )</w:t>
            </w:r>
          </w:p>
        </w:tc>
      </w:tr>
      <w:tr>
        <w:trPr>
          <w:trHeight w:val="313"/>
        </w:trPr>
        <w:tc>
          <w:tcPr>
            <w:tcW w:w="46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43"/>
        </w:trPr>
        <w:tc>
          <w:tcPr>
            <w:tcW w:w="4660" w:type="dxa"/>
            <w:vAlign w:val="bottom"/>
            <w:shd w:val="clear" w:color="auto" w:fill="000000"/>
          </w:tcPr>
          <w:p>
            <w:pPr>
              <w:spacing w:after="0"/>
              <w:rPr>
                <w:sz w:val="21"/>
                <w:szCs w:val="21"/>
                <w:color w:val="auto"/>
              </w:rPr>
            </w:pPr>
          </w:p>
        </w:tc>
        <w:tc>
          <w:tcPr>
            <w:tcW w:w="780" w:type="dxa"/>
            <w:vAlign w:val="bottom"/>
            <w:shd w:val="clear" w:color="auto" w:fill="000000"/>
          </w:tcPr>
          <w:p>
            <w:pPr>
              <w:spacing w:after="0"/>
              <w:rPr>
                <w:sz w:val="21"/>
                <w:szCs w:val="21"/>
                <w:color w:val="auto"/>
              </w:rPr>
            </w:pPr>
          </w:p>
        </w:tc>
        <w:tc>
          <w:tcPr>
            <w:tcW w:w="660" w:type="dxa"/>
            <w:vAlign w:val="bottom"/>
            <w:shd w:val="clear" w:color="auto" w:fill="000000"/>
          </w:tcPr>
          <w:p>
            <w:pPr>
              <w:spacing w:after="0"/>
              <w:rPr>
                <w:sz w:val="21"/>
                <w:szCs w:val="21"/>
                <w:color w:val="auto"/>
              </w:rPr>
            </w:pPr>
          </w:p>
        </w:tc>
        <w:tc>
          <w:tcPr>
            <w:tcW w:w="640" w:type="dxa"/>
            <w:vAlign w:val="bottom"/>
            <w:shd w:val="clear" w:color="auto" w:fill="000000"/>
          </w:tcPr>
          <w:p>
            <w:pPr>
              <w:spacing w:after="0"/>
              <w:rPr>
                <w:sz w:val="21"/>
                <w:szCs w:val="21"/>
                <w:color w:val="auto"/>
              </w:rPr>
            </w:pPr>
          </w:p>
        </w:tc>
        <w:tc>
          <w:tcPr>
            <w:tcW w:w="520" w:type="dxa"/>
            <w:vAlign w:val="bottom"/>
            <w:shd w:val="clear" w:color="auto" w:fill="000000"/>
          </w:tcPr>
          <w:p>
            <w:pPr>
              <w:spacing w:after="0"/>
              <w:rPr>
                <w:sz w:val="21"/>
                <w:szCs w:val="21"/>
                <w:color w:val="auto"/>
              </w:rPr>
            </w:pPr>
          </w:p>
        </w:tc>
        <w:tc>
          <w:tcPr>
            <w:tcW w:w="60" w:type="dxa"/>
            <w:vAlign w:val="bottom"/>
          </w:tcPr>
          <w:p>
            <w:pPr>
              <w:spacing w:after="0"/>
              <w:rPr>
                <w:sz w:val="21"/>
                <w:szCs w:val="2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Pension Plan Investment Strategy</w:t>
      </w:r>
    </w:p>
    <w:p>
      <w:pPr>
        <w:spacing w:after="0" w:line="212" w:lineRule="exact"/>
        <w:rPr>
          <w:sz w:val="20"/>
          <w:szCs w:val="20"/>
          <w:color w:val="auto"/>
        </w:rPr>
      </w:pPr>
    </w:p>
    <w:p>
      <w:pPr>
        <w:spacing w:after="0"/>
        <w:rPr>
          <w:sz w:val="20"/>
          <w:szCs w:val="20"/>
          <w:color w:val="auto"/>
        </w:rPr>
      </w:pPr>
      <w:r>
        <w:rPr>
          <w:rFonts w:ascii="Arial" w:cs="Arial" w:eastAsia="Arial" w:hAnsi="Arial"/>
          <w:sz w:val="19"/>
          <w:szCs w:val="19"/>
          <w:color w:val="auto"/>
        </w:rPr>
        <w:t>The asset allocation for Sempra Energy's pension trust (which includes the company's pension plan) at December 31, 2005 and</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2004 and the target allocation for 2006 by asset categories are as follows:</w:t>
      </w:r>
    </w:p>
    <w:p>
      <w:pPr>
        <w:spacing w:after="0" w:line="188" w:lineRule="exact"/>
        <w:rPr>
          <w:sz w:val="20"/>
          <w:szCs w:val="20"/>
          <w:color w:val="auto"/>
        </w:rPr>
      </w:pPr>
    </w:p>
    <w:tbl>
      <w:tblPr>
        <w:tblLayout w:type="fixed"/>
        <w:tblInd w:w="1820" w:type="dxa"/>
        <w:tblCellMar>
          <w:top w:w="0" w:type="dxa"/>
          <w:left w:w="0" w:type="dxa"/>
          <w:bottom w:w="0" w:type="dxa"/>
          <w:right w:w="0" w:type="dxa"/>
        </w:tblCellMar>
      </w:tblPr>
      <w:tr>
        <w:trPr>
          <w:trHeight w:val="216"/>
        </w:trPr>
        <w:tc>
          <w:tcPr>
            <w:tcW w:w="346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84"/>
              </w:rPr>
              <w:t>Target</w:t>
            </w:r>
          </w:p>
        </w:tc>
        <w:tc>
          <w:tcPr>
            <w:tcW w:w="640" w:type="dxa"/>
            <w:vAlign w:val="bottom"/>
          </w:tcPr>
          <w:p>
            <w:pPr>
              <w:spacing w:after="0"/>
              <w:rPr>
                <w:sz w:val="18"/>
                <w:szCs w:val="18"/>
                <w:color w:val="auto"/>
              </w:rPr>
            </w:pPr>
          </w:p>
        </w:tc>
        <w:tc>
          <w:tcPr>
            <w:tcW w:w="2360" w:type="dxa"/>
            <w:vAlign w:val="bottom"/>
            <w:gridSpan w:val="2"/>
          </w:tcPr>
          <w:p>
            <w:pPr>
              <w:jc w:val="right"/>
              <w:ind w:right="432"/>
              <w:spacing w:after="0"/>
              <w:rPr>
                <w:sz w:val="20"/>
                <w:szCs w:val="20"/>
                <w:color w:val="auto"/>
              </w:rPr>
            </w:pPr>
            <w:r>
              <w:rPr>
                <w:rFonts w:ascii="Arial" w:cs="Arial" w:eastAsia="Arial" w:hAnsi="Arial"/>
                <w:sz w:val="18"/>
                <w:szCs w:val="18"/>
                <w:color w:val="auto"/>
              </w:rPr>
              <w:t>Percentage of Plan</w:t>
            </w:r>
          </w:p>
        </w:tc>
        <w:tc>
          <w:tcPr>
            <w:tcW w:w="0" w:type="dxa"/>
            <w:vAlign w:val="bottom"/>
          </w:tcPr>
          <w:p>
            <w:pPr>
              <w:spacing w:after="0"/>
              <w:rPr>
                <w:sz w:val="1"/>
                <w:szCs w:val="1"/>
                <w:color w:val="auto"/>
              </w:rPr>
            </w:pPr>
          </w:p>
        </w:tc>
      </w:tr>
      <w:tr>
        <w:trPr>
          <w:trHeight w:val="222"/>
        </w:trPr>
        <w:tc>
          <w:tcPr>
            <w:tcW w:w="3460" w:type="dxa"/>
            <w:vAlign w:val="bottom"/>
          </w:tcPr>
          <w:p>
            <w:pPr>
              <w:spacing w:after="0"/>
              <w:rPr>
                <w:sz w:val="19"/>
                <w:szCs w:val="19"/>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94"/>
              </w:rPr>
              <w:t>Allocation</w:t>
            </w:r>
          </w:p>
        </w:tc>
        <w:tc>
          <w:tcPr>
            <w:tcW w:w="640" w:type="dxa"/>
            <w:vAlign w:val="bottom"/>
          </w:tcPr>
          <w:p>
            <w:pPr>
              <w:spacing w:after="0"/>
              <w:rPr>
                <w:sz w:val="19"/>
                <w:szCs w:val="19"/>
                <w:color w:val="auto"/>
              </w:rPr>
            </w:pPr>
          </w:p>
        </w:tc>
        <w:tc>
          <w:tcPr>
            <w:tcW w:w="2360" w:type="dxa"/>
            <w:vAlign w:val="bottom"/>
            <w:gridSpan w:val="2"/>
          </w:tcPr>
          <w:p>
            <w:pPr>
              <w:jc w:val="right"/>
              <w:ind w:right="252"/>
              <w:spacing w:after="0"/>
              <w:rPr>
                <w:sz w:val="20"/>
                <w:szCs w:val="20"/>
                <w:color w:val="auto"/>
              </w:rPr>
            </w:pPr>
            <w:r>
              <w:rPr>
                <w:rFonts w:ascii="Arial" w:cs="Arial" w:eastAsia="Arial" w:hAnsi="Arial"/>
                <w:sz w:val="18"/>
                <w:szCs w:val="18"/>
                <w:color w:val="auto"/>
              </w:rPr>
              <w:t>Assets at December 31,</w:t>
            </w:r>
          </w:p>
        </w:tc>
        <w:tc>
          <w:tcPr>
            <w:tcW w:w="0" w:type="dxa"/>
            <w:vAlign w:val="bottom"/>
          </w:tcPr>
          <w:p>
            <w:pPr>
              <w:spacing w:after="0"/>
              <w:rPr>
                <w:sz w:val="1"/>
                <w:szCs w:val="1"/>
                <w:color w:val="auto"/>
              </w:rPr>
            </w:pPr>
          </w:p>
        </w:tc>
      </w:tr>
      <w:tr>
        <w:trPr>
          <w:trHeight w:val="97"/>
        </w:trPr>
        <w:tc>
          <w:tcPr>
            <w:tcW w:w="3460" w:type="dxa"/>
            <w:vAlign w:val="bottom"/>
            <w:vMerge w:val="restart"/>
          </w:tcPr>
          <w:p>
            <w:pPr>
              <w:ind w:left="20"/>
              <w:spacing w:after="0"/>
              <w:rPr>
                <w:sz w:val="20"/>
                <w:szCs w:val="20"/>
                <w:color w:val="auto"/>
              </w:rPr>
            </w:pPr>
            <w:r>
              <w:rPr>
                <w:rFonts w:ascii="Arial" w:cs="Arial" w:eastAsia="Arial" w:hAnsi="Arial"/>
                <w:sz w:val="18"/>
                <w:szCs w:val="18"/>
                <w:color w:val="auto"/>
              </w:rPr>
              <w:t>Asset Category</w:t>
            </w:r>
          </w:p>
        </w:tc>
        <w:tc>
          <w:tcPr>
            <w:tcW w:w="9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2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43"/>
        </w:trPr>
        <w:tc>
          <w:tcPr>
            <w:tcW w:w="3460" w:type="dxa"/>
            <w:vAlign w:val="bottom"/>
            <w:vMerge w:val="continue"/>
          </w:tcPr>
          <w:p>
            <w:pPr>
              <w:spacing w:after="0"/>
              <w:rPr>
                <w:sz w:val="21"/>
                <w:szCs w:val="21"/>
                <w:color w:val="auto"/>
              </w:rPr>
            </w:pPr>
          </w:p>
        </w:tc>
        <w:tc>
          <w:tcPr>
            <w:tcW w:w="920" w:type="dxa"/>
            <w:vAlign w:val="bottom"/>
            <w:shd w:val="clear" w:color="auto" w:fill="000000"/>
          </w:tcPr>
          <w:p>
            <w:pPr>
              <w:spacing w:after="0"/>
              <w:rPr>
                <w:sz w:val="21"/>
                <w:szCs w:val="21"/>
                <w:color w:val="auto"/>
              </w:rPr>
            </w:pPr>
          </w:p>
        </w:tc>
        <w:tc>
          <w:tcPr>
            <w:tcW w:w="640" w:type="dxa"/>
            <w:vAlign w:val="bottom"/>
          </w:tcPr>
          <w:p>
            <w:pPr>
              <w:spacing w:after="0"/>
              <w:rPr>
                <w:sz w:val="21"/>
                <w:szCs w:val="21"/>
                <w:color w:val="auto"/>
              </w:rPr>
            </w:pPr>
          </w:p>
        </w:tc>
        <w:tc>
          <w:tcPr>
            <w:tcW w:w="1220" w:type="dxa"/>
            <w:vAlign w:val="bottom"/>
            <w:shd w:val="clear" w:color="auto" w:fill="000000"/>
          </w:tcPr>
          <w:p>
            <w:pPr>
              <w:spacing w:after="0"/>
              <w:rPr>
                <w:sz w:val="21"/>
                <w:szCs w:val="21"/>
                <w:color w:val="auto"/>
              </w:rPr>
            </w:pPr>
          </w:p>
        </w:tc>
        <w:tc>
          <w:tcPr>
            <w:tcW w:w="1140" w:type="dxa"/>
            <w:vAlign w:val="bottom"/>
            <w:shd w:val="clear" w:color="auto" w:fill="000000"/>
          </w:tcPr>
          <w:p>
            <w:pPr>
              <w:spacing w:after="0"/>
              <w:rPr>
                <w:sz w:val="21"/>
                <w:szCs w:val="21"/>
                <w:color w:val="auto"/>
              </w:rPr>
            </w:pPr>
          </w:p>
        </w:tc>
        <w:tc>
          <w:tcPr>
            <w:tcW w:w="0" w:type="dxa"/>
            <w:vAlign w:val="bottom"/>
          </w:tcPr>
          <w:p>
            <w:pPr>
              <w:spacing w:after="0"/>
              <w:rPr>
                <w:sz w:val="1"/>
                <w:szCs w:val="1"/>
                <w:color w:val="auto"/>
              </w:rPr>
            </w:pPr>
          </w:p>
        </w:tc>
      </w:tr>
      <w:tr>
        <w:trPr>
          <w:trHeight w:val="228"/>
        </w:trPr>
        <w:tc>
          <w:tcPr>
            <w:tcW w:w="3460" w:type="dxa"/>
            <w:vAlign w:val="bottom"/>
            <w:vMerge w:val="continue"/>
          </w:tcPr>
          <w:p>
            <w:pPr>
              <w:spacing w:after="0"/>
              <w:rPr>
                <w:sz w:val="19"/>
                <w:szCs w:val="19"/>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89"/>
              </w:rPr>
              <w:t>2006</w:t>
            </w:r>
          </w:p>
        </w:tc>
        <w:tc>
          <w:tcPr>
            <w:tcW w:w="1860" w:type="dxa"/>
            <w:vAlign w:val="bottom"/>
            <w:gridSpan w:val="2"/>
          </w:tcPr>
          <w:p>
            <w:pPr>
              <w:jc w:val="right"/>
              <w:ind w:right="532"/>
              <w:spacing w:after="0"/>
              <w:rPr>
                <w:sz w:val="20"/>
                <w:szCs w:val="20"/>
                <w:color w:val="auto"/>
              </w:rPr>
            </w:pPr>
            <w:r>
              <w:rPr>
                <w:rFonts w:ascii="Arial" w:cs="Arial" w:eastAsia="Arial" w:hAnsi="Arial"/>
                <w:sz w:val="18"/>
                <w:szCs w:val="18"/>
                <w:color w:val="auto"/>
              </w:rPr>
              <w:t>2005</w:t>
            </w:r>
          </w:p>
        </w:tc>
        <w:tc>
          <w:tcPr>
            <w:tcW w:w="1140" w:type="dxa"/>
            <w:vAlign w:val="bottom"/>
          </w:tcPr>
          <w:p>
            <w:pPr>
              <w:jc w:val="right"/>
              <w:ind w:right="212"/>
              <w:spacing w:after="0"/>
              <w:rPr>
                <w:sz w:val="20"/>
                <w:szCs w:val="20"/>
                <w:color w:val="auto"/>
              </w:rPr>
            </w:pPr>
            <w:r>
              <w:rPr>
                <w:rFonts w:ascii="Arial" w:cs="Arial" w:eastAsia="Arial" w:hAnsi="Arial"/>
                <w:sz w:val="18"/>
                <w:szCs w:val="18"/>
                <w:color w:val="auto"/>
              </w:rPr>
              <w:t>2004</w:t>
            </w:r>
          </w:p>
        </w:tc>
        <w:tc>
          <w:tcPr>
            <w:tcW w:w="0" w:type="dxa"/>
            <w:vAlign w:val="bottom"/>
          </w:tcPr>
          <w:p>
            <w:pPr>
              <w:spacing w:after="0"/>
              <w:rPr>
                <w:sz w:val="1"/>
                <w:szCs w:val="1"/>
                <w:color w:val="auto"/>
              </w:rPr>
            </w:pPr>
          </w:p>
        </w:tc>
      </w:tr>
      <w:tr>
        <w:trPr>
          <w:trHeight w:val="43"/>
        </w:trPr>
        <w:tc>
          <w:tcPr>
            <w:tcW w:w="3460" w:type="dxa"/>
            <w:vAlign w:val="bottom"/>
          </w:tcPr>
          <w:p>
            <w:pPr>
              <w:spacing w:after="0"/>
              <w:rPr>
                <w:sz w:val="3"/>
                <w:szCs w:val="3"/>
                <w:color w:val="auto"/>
              </w:rPr>
            </w:pPr>
          </w:p>
        </w:tc>
        <w:tc>
          <w:tcPr>
            <w:tcW w:w="920" w:type="dxa"/>
            <w:vAlign w:val="bottom"/>
          </w:tcPr>
          <w:p>
            <w:pPr>
              <w:spacing w:after="0"/>
              <w:rPr>
                <w:sz w:val="3"/>
                <w:szCs w:val="3"/>
                <w:color w:val="auto"/>
              </w:rPr>
            </w:pPr>
          </w:p>
        </w:tc>
        <w:tc>
          <w:tcPr>
            <w:tcW w:w="1860" w:type="dxa"/>
            <w:vAlign w:val="bottom"/>
            <w:gridSpan w:val="2"/>
          </w:tcPr>
          <w:p>
            <w:pPr>
              <w:spacing w:after="0"/>
              <w:rPr>
                <w:sz w:val="3"/>
                <w:szCs w:val="3"/>
                <w:color w:val="auto"/>
              </w:rPr>
            </w:pPr>
          </w:p>
        </w:tc>
        <w:tc>
          <w:tcPr>
            <w:tcW w:w="1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3460" w:type="dxa"/>
            <w:vAlign w:val="bottom"/>
            <w:shd w:val="clear" w:color="auto" w:fill="000000"/>
          </w:tcPr>
          <w:p>
            <w:pPr>
              <w:spacing w:after="0"/>
              <w:rPr>
                <w:sz w:val="21"/>
                <w:szCs w:val="21"/>
                <w:color w:val="auto"/>
              </w:rPr>
            </w:pPr>
          </w:p>
        </w:tc>
        <w:tc>
          <w:tcPr>
            <w:tcW w:w="920" w:type="dxa"/>
            <w:vAlign w:val="bottom"/>
            <w:shd w:val="clear" w:color="auto" w:fill="000000"/>
          </w:tcPr>
          <w:p>
            <w:pPr>
              <w:spacing w:after="0"/>
              <w:rPr>
                <w:sz w:val="21"/>
                <w:szCs w:val="21"/>
                <w:color w:val="auto"/>
              </w:rPr>
            </w:pPr>
          </w:p>
        </w:tc>
        <w:tc>
          <w:tcPr>
            <w:tcW w:w="1860" w:type="dxa"/>
            <w:vAlign w:val="bottom"/>
            <w:gridSpan w:val="2"/>
            <w:shd w:val="clear" w:color="auto" w:fill="000000"/>
          </w:tcPr>
          <w:p>
            <w:pPr>
              <w:spacing w:after="0"/>
              <w:rPr>
                <w:sz w:val="21"/>
                <w:szCs w:val="21"/>
                <w:color w:val="auto"/>
              </w:rPr>
            </w:pPr>
          </w:p>
        </w:tc>
        <w:tc>
          <w:tcPr>
            <w:tcW w:w="1140" w:type="dxa"/>
            <w:vAlign w:val="bottom"/>
            <w:shd w:val="clear" w:color="auto" w:fill="000000"/>
          </w:tcPr>
          <w:p>
            <w:pPr>
              <w:spacing w:after="0"/>
              <w:rPr>
                <w:sz w:val="21"/>
                <w:szCs w:val="21"/>
                <w:color w:val="auto"/>
              </w:rPr>
            </w:pPr>
          </w:p>
        </w:tc>
        <w:tc>
          <w:tcPr>
            <w:tcW w:w="0" w:type="dxa"/>
            <w:vAlign w:val="bottom"/>
          </w:tcPr>
          <w:p>
            <w:pPr>
              <w:spacing w:after="0"/>
              <w:rPr>
                <w:sz w:val="1"/>
                <w:szCs w:val="1"/>
                <w:color w:val="auto"/>
              </w:rPr>
            </w:pPr>
          </w:p>
        </w:tc>
      </w:tr>
      <w:tr>
        <w:trPr>
          <w:trHeight w:val="471"/>
        </w:trPr>
        <w:tc>
          <w:tcPr>
            <w:tcW w:w="3460" w:type="dxa"/>
            <w:vAlign w:val="bottom"/>
          </w:tcPr>
          <w:p>
            <w:pPr>
              <w:ind w:left="20"/>
              <w:spacing w:after="0"/>
              <w:rPr>
                <w:sz w:val="20"/>
                <w:szCs w:val="20"/>
                <w:color w:val="auto"/>
              </w:rPr>
            </w:pPr>
            <w:r>
              <w:rPr>
                <w:rFonts w:ascii="Arial" w:cs="Arial" w:eastAsia="Arial" w:hAnsi="Arial"/>
                <w:sz w:val="18"/>
                <w:szCs w:val="18"/>
                <w:color w:val="auto"/>
              </w:rPr>
              <w:t>U.S. Equity</w:t>
            </w:r>
          </w:p>
        </w:tc>
        <w:tc>
          <w:tcPr>
            <w:tcW w:w="920" w:type="dxa"/>
            <w:vAlign w:val="bottom"/>
          </w:tcPr>
          <w:p>
            <w:pPr>
              <w:jc w:val="right"/>
              <w:ind w:right="52"/>
              <w:spacing w:after="0"/>
              <w:rPr>
                <w:sz w:val="20"/>
                <w:szCs w:val="20"/>
                <w:color w:val="auto"/>
              </w:rPr>
            </w:pPr>
            <w:r>
              <w:rPr>
                <w:rFonts w:ascii="Arial" w:cs="Arial" w:eastAsia="Arial" w:hAnsi="Arial"/>
                <w:sz w:val="18"/>
                <w:szCs w:val="18"/>
                <w:color w:val="auto"/>
              </w:rPr>
              <w:t>45 %</w:t>
            </w:r>
          </w:p>
        </w:tc>
        <w:tc>
          <w:tcPr>
            <w:tcW w:w="1860" w:type="dxa"/>
            <w:vAlign w:val="bottom"/>
            <w:gridSpan w:val="2"/>
          </w:tcPr>
          <w:p>
            <w:pPr>
              <w:jc w:val="right"/>
              <w:ind w:right="412"/>
              <w:spacing w:after="0"/>
              <w:rPr>
                <w:sz w:val="20"/>
                <w:szCs w:val="20"/>
                <w:color w:val="auto"/>
              </w:rPr>
            </w:pPr>
            <w:r>
              <w:rPr>
                <w:rFonts w:ascii="Arial" w:cs="Arial" w:eastAsia="Arial" w:hAnsi="Arial"/>
                <w:sz w:val="18"/>
                <w:szCs w:val="18"/>
                <w:color w:val="auto"/>
              </w:rPr>
              <w:t>44 %</w:t>
            </w:r>
          </w:p>
        </w:tc>
        <w:tc>
          <w:tcPr>
            <w:tcW w:w="1140" w:type="dxa"/>
            <w:vAlign w:val="bottom"/>
          </w:tcPr>
          <w:p>
            <w:pPr>
              <w:jc w:val="right"/>
              <w:ind w:right="52"/>
              <w:spacing w:after="0"/>
              <w:rPr>
                <w:sz w:val="20"/>
                <w:szCs w:val="20"/>
                <w:color w:val="auto"/>
              </w:rPr>
            </w:pPr>
            <w:r>
              <w:rPr>
                <w:rFonts w:ascii="Arial" w:cs="Arial" w:eastAsia="Arial" w:hAnsi="Arial"/>
                <w:sz w:val="18"/>
                <w:szCs w:val="18"/>
                <w:color w:val="auto"/>
              </w:rPr>
              <w:t>45 %</w:t>
            </w:r>
          </w:p>
        </w:tc>
        <w:tc>
          <w:tcPr>
            <w:tcW w:w="0" w:type="dxa"/>
            <w:vAlign w:val="bottom"/>
          </w:tcPr>
          <w:p>
            <w:pPr>
              <w:spacing w:after="0"/>
              <w:rPr>
                <w:sz w:val="1"/>
                <w:szCs w:val="1"/>
                <w:color w:val="auto"/>
              </w:rPr>
            </w:pPr>
          </w:p>
        </w:tc>
      </w:tr>
      <w:tr>
        <w:trPr>
          <w:trHeight w:val="270"/>
        </w:trPr>
        <w:tc>
          <w:tcPr>
            <w:tcW w:w="3460" w:type="dxa"/>
            <w:vAlign w:val="bottom"/>
          </w:tcPr>
          <w:p>
            <w:pPr>
              <w:ind w:left="20"/>
              <w:spacing w:after="0"/>
              <w:rPr>
                <w:sz w:val="20"/>
                <w:szCs w:val="20"/>
                <w:color w:val="auto"/>
              </w:rPr>
            </w:pPr>
            <w:r>
              <w:rPr>
                <w:rFonts w:ascii="Arial" w:cs="Arial" w:eastAsia="Arial" w:hAnsi="Arial"/>
                <w:sz w:val="18"/>
                <w:szCs w:val="18"/>
                <w:color w:val="auto"/>
              </w:rPr>
              <w:t>Foreign Equity</w:t>
            </w:r>
          </w:p>
        </w:tc>
        <w:tc>
          <w:tcPr>
            <w:tcW w:w="920" w:type="dxa"/>
            <w:vAlign w:val="bottom"/>
          </w:tcPr>
          <w:p>
            <w:pPr>
              <w:jc w:val="right"/>
              <w:ind w:right="232"/>
              <w:spacing w:after="0"/>
              <w:rPr>
                <w:sz w:val="20"/>
                <w:szCs w:val="20"/>
                <w:color w:val="auto"/>
              </w:rPr>
            </w:pPr>
            <w:r>
              <w:rPr>
                <w:rFonts w:ascii="Arial" w:cs="Arial" w:eastAsia="Arial" w:hAnsi="Arial"/>
                <w:sz w:val="18"/>
                <w:szCs w:val="18"/>
                <w:color w:val="auto"/>
              </w:rPr>
              <w:t>25</w:t>
            </w:r>
          </w:p>
        </w:tc>
        <w:tc>
          <w:tcPr>
            <w:tcW w:w="1860" w:type="dxa"/>
            <w:vAlign w:val="bottom"/>
            <w:gridSpan w:val="2"/>
          </w:tcPr>
          <w:p>
            <w:pPr>
              <w:jc w:val="right"/>
              <w:ind w:right="592"/>
              <w:spacing w:after="0"/>
              <w:rPr>
                <w:sz w:val="20"/>
                <w:szCs w:val="20"/>
                <w:color w:val="auto"/>
              </w:rPr>
            </w:pPr>
            <w:r>
              <w:rPr>
                <w:rFonts w:ascii="Arial" w:cs="Arial" w:eastAsia="Arial" w:hAnsi="Arial"/>
                <w:sz w:val="18"/>
                <w:szCs w:val="18"/>
                <w:color w:val="auto"/>
              </w:rPr>
              <w:t>27</w:t>
            </w:r>
          </w:p>
        </w:tc>
        <w:tc>
          <w:tcPr>
            <w:tcW w:w="1140" w:type="dxa"/>
            <w:vAlign w:val="bottom"/>
          </w:tcPr>
          <w:p>
            <w:pPr>
              <w:jc w:val="right"/>
              <w:ind w:right="232"/>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70"/>
        </w:trPr>
        <w:tc>
          <w:tcPr>
            <w:tcW w:w="3460" w:type="dxa"/>
            <w:vAlign w:val="bottom"/>
          </w:tcPr>
          <w:p>
            <w:pPr>
              <w:ind w:left="20"/>
              <w:spacing w:after="0"/>
              <w:rPr>
                <w:sz w:val="20"/>
                <w:szCs w:val="20"/>
                <w:color w:val="auto"/>
              </w:rPr>
            </w:pPr>
            <w:r>
              <w:rPr>
                <w:rFonts w:ascii="Arial" w:cs="Arial" w:eastAsia="Arial" w:hAnsi="Arial"/>
                <w:sz w:val="18"/>
                <w:szCs w:val="18"/>
                <w:color w:val="auto"/>
              </w:rPr>
              <w:t>Fixed Income</w:t>
            </w:r>
          </w:p>
        </w:tc>
        <w:tc>
          <w:tcPr>
            <w:tcW w:w="920" w:type="dxa"/>
            <w:vAlign w:val="bottom"/>
          </w:tcPr>
          <w:p>
            <w:pPr>
              <w:jc w:val="right"/>
              <w:ind w:right="232"/>
              <w:spacing w:after="0"/>
              <w:rPr>
                <w:sz w:val="20"/>
                <w:szCs w:val="20"/>
                <w:color w:val="auto"/>
              </w:rPr>
            </w:pPr>
            <w:r>
              <w:rPr>
                <w:rFonts w:ascii="Arial" w:cs="Arial" w:eastAsia="Arial" w:hAnsi="Arial"/>
                <w:sz w:val="18"/>
                <w:szCs w:val="18"/>
                <w:color w:val="auto"/>
              </w:rPr>
              <w:t>30</w:t>
            </w:r>
          </w:p>
        </w:tc>
        <w:tc>
          <w:tcPr>
            <w:tcW w:w="1860" w:type="dxa"/>
            <w:vAlign w:val="bottom"/>
            <w:gridSpan w:val="2"/>
          </w:tcPr>
          <w:p>
            <w:pPr>
              <w:jc w:val="right"/>
              <w:ind w:right="592"/>
              <w:spacing w:after="0"/>
              <w:rPr>
                <w:sz w:val="20"/>
                <w:szCs w:val="20"/>
                <w:color w:val="auto"/>
              </w:rPr>
            </w:pPr>
            <w:r>
              <w:rPr>
                <w:rFonts w:ascii="Arial" w:cs="Arial" w:eastAsia="Arial" w:hAnsi="Arial"/>
                <w:sz w:val="18"/>
                <w:szCs w:val="18"/>
                <w:color w:val="auto"/>
              </w:rPr>
              <w:t>29</w:t>
            </w:r>
          </w:p>
        </w:tc>
        <w:tc>
          <w:tcPr>
            <w:tcW w:w="1140" w:type="dxa"/>
            <w:vAlign w:val="bottom"/>
          </w:tcPr>
          <w:p>
            <w:pPr>
              <w:jc w:val="right"/>
              <w:ind w:right="232"/>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43"/>
        </w:trPr>
        <w:tc>
          <w:tcPr>
            <w:tcW w:w="3460" w:type="dxa"/>
            <w:vAlign w:val="bottom"/>
            <w:vMerge w:val="restart"/>
          </w:tcPr>
          <w:p>
            <w:pPr>
              <w:ind w:left="320"/>
              <w:spacing w:after="0"/>
              <w:rPr>
                <w:sz w:val="20"/>
                <w:szCs w:val="20"/>
                <w:color w:val="auto"/>
              </w:rPr>
            </w:pPr>
            <w:r>
              <w:rPr>
                <w:rFonts w:ascii="Arial" w:cs="Arial" w:eastAsia="Arial" w:hAnsi="Arial"/>
                <w:sz w:val="18"/>
                <w:szCs w:val="18"/>
                <w:color w:val="auto"/>
              </w:rPr>
              <w:t>Total</w:t>
            </w:r>
          </w:p>
        </w:tc>
        <w:tc>
          <w:tcPr>
            <w:tcW w:w="920" w:type="dxa"/>
            <w:vAlign w:val="bottom"/>
          </w:tcPr>
          <w:p>
            <w:pPr>
              <w:spacing w:after="0"/>
              <w:rPr>
                <w:sz w:val="3"/>
                <w:szCs w:val="3"/>
                <w:color w:val="auto"/>
              </w:rPr>
            </w:pPr>
          </w:p>
        </w:tc>
        <w:tc>
          <w:tcPr>
            <w:tcW w:w="1860" w:type="dxa"/>
            <w:vAlign w:val="bottom"/>
            <w:gridSpan w:val="2"/>
          </w:tcPr>
          <w:p>
            <w:pPr>
              <w:spacing w:after="0"/>
              <w:rPr>
                <w:sz w:val="3"/>
                <w:szCs w:val="3"/>
                <w:color w:val="auto"/>
              </w:rPr>
            </w:pPr>
          </w:p>
        </w:tc>
        <w:tc>
          <w:tcPr>
            <w:tcW w:w="1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3460" w:type="dxa"/>
            <w:vAlign w:val="bottom"/>
            <w:vMerge w:val="continue"/>
          </w:tcPr>
          <w:p>
            <w:pPr>
              <w:spacing w:after="0"/>
              <w:rPr>
                <w:sz w:val="21"/>
                <w:szCs w:val="21"/>
                <w:color w:val="auto"/>
              </w:rPr>
            </w:pPr>
          </w:p>
        </w:tc>
        <w:tc>
          <w:tcPr>
            <w:tcW w:w="920" w:type="dxa"/>
            <w:vAlign w:val="bottom"/>
            <w:shd w:val="clear" w:color="auto" w:fill="000000"/>
          </w:tcPr>
          <w:p>
            <w:pPr>
              <w:spacing w:after="0"/>
              <w:rPr>
                <w:sz w:val="21"/>
                <w:szCs w:val="21"/>
                <w:color w:val="auto"/>
              </w:rPr>
            </w:pPr>
          </w:p>
        </w:tc>
        <w:tc>
          <w:tcPr>
            <w:tcW w:w="1860" w:type="dxa"/>
            <w:vAlign w:val="bottom"/>
            <w:gridSpan w:val="2"/>
            <w:shd w:val="clear" w:color="auto" w:fill="000000"/>
          </w:tcPr>
          <w:p>
            <w:pPr>
              <w:spacing w:after="0"/>
              <w:rPr>
                <w:sz w:val="21"/>
                <w:szCs w:val="21"/>
                <w:color w:val="auto"/>
              </w:rPr>
            </w:pPr>
          </w:p>
        </w:tc>
        <w:tc>
          <w:tcPr>
            <w:tcW w:w="1140" w:type="dxa"/>
            <w:vAlign w:val="bottom"/>
            <w:shd w:val="clear" w:color="auto" w:fill="000000"/>
          </w:tcPr>
          <w:p>
            <w:pPr>
              <w:spacing w:after="0"/>
              <w:rPr>
                <w:sz w:val="21"/>
                <w:szCs w:val="21"/>
                <w:color w:val="auto"/>
              </w:rPr>
            </w:pPr>
          </w:p>
        </w:tc>
        <w:tc>
          <w:tcPr>
            <w:tcW w:w="0" w:type="dxa"/>
            <w:vAlign w:val="bottom"/>
          </w:tcPr>
          <w:p>
            <w:pPr>
              <w:spacing w:after="0"/>
              <w:rPr>
                <w:sz w:val="1"/>
                <w:szCs w:val="1"/>
                <w:color w:val="auto"/>
              </w:rPr>
            </w:pPr>
          </w:p>
        </w:tc>
      </w:tr>
      <w:tr>
        <w:trPr>
          <w:trHeight w:val="228"/>
        </w:trPr>
        <w:tc>
          <w:tcPr>
            <w:tcW w:w="3460" w:type="dxa"/>
            <w:vAlign w:val="bottom"/>
            <w:vMerge w:val="continue"/>
          </w:tcPr>
          <w:p>
            <w:pPr>
              <w:spacing w:after="0"/>
              <w:rPr>
                <w:sz w:val="19"/>
                <w:szCs w:val="19"/>
                <w:color w:val="auto"/>
              </w:rPr>
            </w:pPr>
          </w:p>
        </w:tc>
        <w:tc>
          <w:tcPr>
            <w:tcW w:w="920" w:type="dxa"/>
            <w:vAlign w:val="bottom"/>
          </w:tcPr>
          <w:p>
            <w:pPr>
              <w:jc w:val="right"/>
              <w:ind w:right="52"/>
              <w:spacing w:after="0"/>
              <w:rPr>
                <w:sz w:val="20"/>
                <w:szCs w:val="20"/>
                <w:color w:val="auto"/>
              </w:rPr>
            </w:pPr>
            <w:r>
              <w:rPr>
                <w:rFonts w:ascii="Arial" w:cs="Arial" w:eastAsia="Arial" w:hAnsi="Arial"/>
                <w:sz w:val="18"/>
                <w:szCs w:val="18"/>
                <w:color w:val="auto"/>
              </w:rPr>
              <w:t>100 %</w:t>
            </w:r>
          </w:p>
        </w:tc>
        <w:tc>
          <w:tcPr>
            <w:tcW w:w="1860" w:type="dxa"/>
            <w:vAlign w:val="bottom"/>
            <w:gridSpan w:val="2"/>
          </w:tcPr>
          <w:p>
            <w:pPr>
              <w:jc w:val="right"/>
              <w:ind w:right="412"/>
              <w:spacing w:after="0"/>
              <w:rPr>
                <w:sz w:val="20"/>
                <w:szCs w:val="20"/>
                <w:color w:val="auto"/>
              </w:rPr>
            </w:pPr>
            <w:r>
              <w:rPr>
                <w:rFonts w:ascii="Arial" w:cs="Arial" w:eastAsia="Arial" w:hAnsi="Arial"/>
                <w:sz w:val="18"/>
                <w:szCs w:val="18"/>
                <w:color w:val="auto"/>
              </w:rPr>
              <w:t>100 %</w:t>
            </w:r>
          </w:p>
        </w:tc>
        <w:tc>
          <w:tcPr>
            <w:tcW w:w="1140" w:type="dxa"/>
            <w:vAlign w:val="bottom"/>
          </w:tcPr>
          <w:p>
            <w:pPr>
              <w:jc w:val="right"/>
              <w:ind w:right="52"/>
              <w:spacing w:after="0"/>
              <w:rPr>
                <w:sz w:val="20"/>
                <w:szCs w:val="20"/>
                <w:color w:val="auto"/>
              </w:rPr>
            </w:pPr>
            <w:r>
              <w:rPr>
                <w:rFonts w:ascii="Arial" w:cs="Arial" w:eastAsia="Arial" w:hAnsi="Arial"/>
                <w:sz w:val="18"/>
                <w:szCs w:val="18"/>
                <w:color w:val="auto"/>
              </w:rPr>
              <w:t>100 %</w:t>
            </w:r>
          </w:p>
        </w:tc>
        <w:tc>
          <w:tcPr>
            <w:tcW w:w="0" w:type="dxa"/>
            <w:vAlign w:val="bottom"/>
          </w:tcPr>
          <w:p>
            <w:pPr>
              <w:spacing w:after="0"/>
              <w:rPr>
                <w:sz w:val="1"/>
                <w:szCs w:val="1"/>
                <w:color w:val="auto"/>
              </w:rPr>
            </w:pPr>
          </w:p>
        </w:tc>
      </w:tr>
      <w:tr>
        <w:trPr>
          <w:trHeight w:val="43"/>
        </w:trPr>
        <w:tc>
          <w:tcPr>
            <w:tcW w:w="3460" w:type="dxa"/>
            <w:vAlign w:val="bottom"/>
          </w:tcPr>
          <w:p>
            <w:pPr>
              <w:spacing w:after="0"/>
              <w:rPr>
                <w:sz w:val="3"/>
                <w:szCs w:val="3"/>
                <w:color w:val="auto"/>
              </w:rPr>
            </w:pPr>
          </w:p>
        </w:tc>
        <w:tc>
          <w:tcPr>
            <w:tcW w:w="9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2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3460" w:type="dxa"/>
            <w:vAlign w:val="bottom"/>
            <w:shd w:val="clear" w:color="auto" w:fill="000000"/>
          </w:tcPr>
          <w:p>
            <w:pPr>
              <w:spacing w:after="0"/>
              <w:rPr>
                <w:sz w:val="21"/>
                <w:szCs w:val="21"/>
                <w:color w:val="auto"/>
              </w:rPr>
            </w:pPr>
          </w:p>
        </w:tc>
        <w:tc>
          <w:tcPr>
            <w:tcW w:w="920" w:type="dxa"/>
            <w:vAlign w:val="bottom"/>
            <w:shd w:val="clear" w:color="auto" w:fill="000000"/>
          </w:tcPr>
          <w:p>
            <w:pPr>
              <w:spacing w:after="0"/>
              <w:rPr>
                <w:sz w:val="21"/>
                <w:szCs w:val="21"/>
                <w:color w:val="auto"/>
              </w:rPr>
            </w:pPr>
          </w:p>
        </w:tc>
        <w:tc>
          <w:tcPr>
            <w:tcW w:w="640" w:type="dxa"/>
            <w:vAlign w:val="bottom"/>
            <w:shd w:val="clear" w:color="auto" w:fill="000000"/>
          </w:tcPr>
          <w:p>
            <w:pPr>
              <w:spacing w:after="0"/>
              <w:rPr>
                <w:sz w:val="21"/>
                <w:szCs w:val="21"/>
                <w:color w:val="auto"/>
              </w:rPr>
            </w:pPr>
          </w:p>
        </w:tc>
        <w:tc>
          <w:tcPr>
            <w:tcW w:w="1220" w:type="dxa"/>
            <w:vAlign w:val="bottom"/>
            <w:shd w:val="clear" w:color="auto" w:fill="000000"/>
          </w:tcPr>
          <w:p>
            <w:pPr>
              <w:spacing w:after="0"/>
              <w:rPr>
                <w:sz w:val="21"/>
                <w:szCs w:val="21"/>
                <w:color w:val="auto"/>
              </w:rPr>
            </w:pPr>
          </w:p>
        </w:tc>
        <w:tc>
          <w:tcPr>
            <w:tcW w:w="1140" w:type="dxa"/>
            <w:vAlign w:val="bottom"/>
            <w:shd w:val="clear" w:color="auto" w:fill="000000"/>
          </w:tcPr>
          <w:p>
            <w:pPr>
              <w:spacing w:after="0"/>
              <w:rPr>
                <w:sz w:val="21"/>
                <w:szCs w:val="2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65" w:lineRule="exact"/>
        <w:rPr>
          <w:sz w:val="20"/>
          <w:szCs w:val="20"/>
          <w:color w:val="auto"/>
        </w:rPr>
      </w:pPr>
    </w:p>
    <w:p>
      <w:pPr>
        <w:ind w:right="40"/>
        <w:spacing w:after="0" w:line="235" w:lineRule="auto"/>
        <w:rPr>
          <w:sz w:val="20"/>
          <w:szCs w:val="20"/>
          <w:color w:val="auto"/>
        </w:rPr>
      </w:pPr>
      <w:r>
        <w:rPr>
          <w:rFonts w:ascii="Arial" w:cs="Arial" w:eastAsia="Arial" w:hAnsi="Arial"/>
          <w:sz w:val="22"/>
          <w:szCs w:val="22"/>
          <w:color w:val="auto"/>
        </w:rPr>
        <w:t>The company's investment strategy is to stay fully invested at all times and maintain its strategic asset allocation, keeping the investment structure relatively simple. The equity portfolio is balanced to maintain risk characteristics similar to the Morgan Stanley Capital International (MSCI) 2500 index with respect to industry and sector exposures and market capitalization. The foreign equity portfolios are managed to track the MSCI Europe, Pacific Rim and Emerging Markets indexes. Bond portfolios are managed with respect to the Lehman Aggregate Bond Index and Lehman Long Government Credit Bond Index. The plan does not invest in securities of Sempra Energy.</w:t>
      </w:r>
    </w:p>
    <w:p>
      <w:pPr>
        <w:spacing w:after="0" w:line="18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Investment Strategy for Postretirement Health Plans</w:t>
      </w:r>
    </w:p>
    <w:p>
      <w:pPr>
        <w:spacing w:after="0" w:line="212" w:lineRule="exact"/>
        <w:rPr>
          <w:sz w:val="20"/>
          <w:szCs w:val="20"/>
          <w:color w:val="auto"/>
        </w:rPr>
      </w:pPr>
    </w:p>
    <w:p>
      <w:pPr>
        <w:spacing w:after="0"/>
        <w:rPr>
          <w:sz w:val="20"/>
          <w:szCs w:val="20"/>
          <w:color w:val="auto"/>
        </w:rPr>
      </w:pPr>
      <w:r>
        <w:rPr>
          <w:rFonts w:ascii="Arial" w:cs="Arial" w:eastAsia="Arial" w:hAnsi="Arial"/>
          <w:sz w:val="19"/>
          <w:szCs w:val="19"/>
          <w:color w:val="auto"/>
        </w:rPr>
        <w:t>The asset allocation for the company's postretirement health plans at December 31, 2005 and 2004 and the target allocation for</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2006 by asset categories are as follows:</w:t>
      </w:r>
    </w:p>
    <w:p>
      <w:pPr>
        <w:spacing w:after="0" w:line="296" w:lineRule="exact"/>
        <w:rPr>
          <w:sz w:val="20"/>
          <w:szCs w:val="20"/>
          <w:color w:val="auto"/>
        </w:rPr>
      </w:pPr>
    </w:p>
    <w:tbl>
      <w:tblPr>
        <w:tblLayout w:type="fixed"/>
        <w:tblInd w:w="1820" w:type="dxa"/>
        <w:tblCellMar>
          <w:top w:w="0" w:type="dxa"/>
          <w:left w:w="0" w:type="dxa"/>
          <w:bottom w:w="0" w:type="dxa"/>
          <w:right w:w="0" w:type="dxa"/>
        </w:tblCellMar>
      </w:tblPr>
      <w:tr>
        <w:trPr>
          <w:trHeight w:val="216"/>
        </w:trPr>
        <w:tc>
          <w:tcPr>
            <w:tcW w:w="346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84"/>
              </w:rPr>
              <w:t>Target</w:t>
            </w:r>
          </w:p>
        </w:tc>
        <w:tc>
          <w:tcPr>
            <w:tcW w:w="640" w:type="dxa"/>
            <w:vAlign w:val="bottom"/>
          </w:tcPr>
          <w:p>
            <w:pPr>
              <w:spacing w:after="0"/>
              <w:rPr>
                <w:sz w:val="18"/>
                <w:szCs w:val="18"/>
                <w:color w:val="auto"/>
              </w:rPr>
            </w:pPr>
          </w:p>
        </w:tc>
        <w:tc>
          <w:tcPr>
            <w:tcW w:w="2360" w:type="dxa"/>
            <w:vAlign w:val="bottom"/>
            <w:gridSpan w:val="2"/>
          </w:tcPr>
          <w:p>
            <w:pPr>
              <w:jc w:val="center"/>
              <w:spacing w:after="0"/>
              <w:rPr>
                <w:sz w:val="20"/>
                <w:szCs w:val="20"/>
                <w:color w:val="auto"/>
              </w:rPr>
            </w:pPr>
            <w:r>
              <w:rPr>
                <w:rFonts w:ascii="Arial" w:cs="Arial" w:eastAsia="Arial" w:hAnsi="Arial"/>
                <w:sz w:val="18"/>
                <w:szCs w:val="18"/>
                <w:color w:val="auto"/>
                <w:w w:val="86"/>
              </w:rPr>
              <w:t>Percentage of Plan</w:t>
            </w:r>
          </w:p>
        </w:tc>
      </w:tr>
      <w:tr>
        <w:trPr>
          <w:trHeight w:val="230"/>
        </w:trPr>
        <w:tc>
          <w:tcPr>
            <w:tcW w:w="3460" w:type="dxa"/>
            <w:vAlign w:val="bottom"/>
          </w:tcPr>
          <w:p>
            <w:pPr>
              <w:spacing w:after="0"/>
              <w:rPr>
                <w:sz w:val="20"/>
                <w:szCs w:val="20"/>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94"/>
              </w:rPr>
              <w:t>Allocation</w:t>
            </w:r>
          </w:p>
        </w:tc>
        <w:tc>
          <w:tcPr>
            <w:tcW w:w="640" w:type="dxa"/>
            <w:vAlign w:val="bottom"/>
          </w:tcPr>
          <w:p>
            <w:pPr>
              <w:spacing w:after="0"/>
              <w:rPr>
                <w:sz w:val="20"/>
                <w:szCs w:val="20"/>
                <w:color w:val="auto"/>
              </w:rPr>
            </w:pPr>
          </w:p>
        </w:tc>
        <w:tc>
          <w:tcPr>
            <w:tcW w:w="2360" w:type="dxa"/>
            <w:vAlign w:val="bottom"/>
            <w:gridSpan w:val="2"/>
          </w:tcPr>
          <w:p>
            <w:pPr>
              <w:jc w:val="center"/>
              <w:spacing w:after="0"/>
              <w:rPr>
                <w:sz w:val="20"/>
                <w:szCs w:val="20"/>
                <w:color w:val="auto"/>
              </w:rPr>
            </w:pPr>
            <w:r>
              <w:rPr>
                <w:rFonts w:ascii="Arial" w:cs="Arial" w:eastAsia="Arial" w:hAnsi="Arial"/>
                <w:sz w:val="18"/>
                <w:szCs w:val="18"/>
                <w:color w:val="auto"/>
                <w:w w:val="86"/>
              </w:rPr>
              <w:t>Assets at December 31,</w:t>
            </w:r>
          </w:p>
        </w:tc>
      </w:tr>
      <w:tr>
        <w:trPr>
          <w:trHeight w:val="251"/>
        </w:trPr>
        <w:tc>
          <w:tcPr>
            <w:tcW w:w="3460" w:type="dxa"/>
            <w:vAlign w:val="bottom"/>
          </w:tcPr>
          <w:p>
            <w:pPr>
              <w:spacing w:after="0"/>
              <w:rPr>
                <w:sz w:val="21"/>
                <w:szCs w:val="21"/>
                <w:color w:val="auto"/>
              </w:rPr>
            </w:pPr>
          </w:p>
        </w:tc>
        <w:tc>
          <w:tcPr>
            <w:tcW w:w="920" w:type="dxa"/>
            <w:vAlign w:val="bottom"/>
            <w:shd w:val="clear" w:color="auto" w:fill="000000"/>
          </w:tcPr>
          <w:p>
            <w:pPr>
              <w:spacing w:after="0"/>
              <w:rPr>
                <w:sz w:val="21"/>
                <w:szCs w:val="21"/>
                <w:color w:val="auto"/>
              </w:rPr>
            </w:pPr>
          </w:p>
        </w:tc>
        <w:tc>
          <w:tcPr>
            <w:tcW w:w="640" w:type="dxa"/>
            <w:vAlign w:val="bottom"/>
          </w:tcPr>
          <w:p>
            <w:pPr>
              <w:spacing w:after="0"/>
              <w:rPr>
                <w:sz w:val="21"/>
                <w:szCs w:val="21"/>
                <w:color w:val="auto"/>
              </w:rPr>
            </w:pPr>
          </w:p>
        </w:tc>
        <w:tc>
          <w:tcPr>
            <w:tcW w:w="1160" w:type="dxa"/>
            <w:vAlign w:val="bottom"/>
            <w:shd w:val="clear" w:color="auto" w:fill="000000"/>
          </w:tcPr>
          <w:p>
            <w:pPr>
              <w:spacing w:after="0"/>
              <w:rPr>
                <w:sz w:val="21"/>
                <w:szCs w:val="21"/>
                <w:color w:val="auto"/>
              </w:rPr>
            </w:pPr>
          </w:p>
        </w:tc>
        <w:tc>
          <w:tcPr>
            <w:tcW w:w="1200" w:type="dxa"/>
            <w:vAlign w:val="bottom"/>
            <w:shd w:val="clear" w:color="auto" w:fill="000000"/>
          </w:tcPr>
          <w:p>
            <w:pPr>
              <w:spacing w:after="0"/>
              <w:rPr>
                <w:sz w:val="21"/>
                <w:szCs w:val="21"/>
                <w:color w:val="auto"/>
              </w:rPr>
            </w:pPr>
          </w:p>
        </w:tc>
      </w:tr>
      <w:tr>
        <w:trPr>
          <w:trHeight w:val="262"/>
        </w:trPr>
        <w:tc>
          <w:tcPr>
            <w:tcW w:w="3460" w:type="dxa"/>
            <w:vAlign w:val="bottom"/>
          </w:tcPr>
          <w:p>
            <w:pPr>
              <w:ind w:left="20"/>
              <w:spacing w:after="0"/>
              <w:rPr>
                <w:sz w:val="20"/>
                <w:szCs w:val="20"/>
                <w:color w:val="auto"/>
              </w:rPr>
            </w:pPr>
            <w:r>
              <w:rPr>
                <w:rFonts w:ascii="Arial" w:cs="Arial" w:eastAsia="Arial" w:hAnsi="Arial"/>
                <w:sz w:val="18"/>
                <w:szCs w:val="18"/>
                <w:color w:val="auto"/>
              </w:rPr>
              <w:t>Asset Category</w:t>
            </w:r>
          </w:p>
        </w:tc>
        <w:tc>
          <w:tcPr>
            <w:tcW w:w="920" w:type="dxa"/>
            <w:vAlign w:val="bottom"/>
          </w:tcPr>
          <w:p>
            <w:pPr>
              <w:jc w:val="center"/>
              <w:spacing w:after="0"/>
              <w:rPr>
                <w:sz w:val="20"/>
                <w:szCs w:val="20"/>
                <w:color w:val="auto"/>
              </w:rPr>
            </w:pPr>
            <w:r>
              <w:rPr>
                <w:rFonts w:ascii="Arial" w:cs="Arial" w:eastAsia="Arial" w:hAnsi="Arial"/>
                <w:sz w:val="18"/>
                <w:szCs w:val="18"/>
                <w:color w:val="auto"/>
                <w:w w:val="89"/>
              </w:rPr>
              <w:t>2006</w:t>
            </w:r>
          </w:p>
        </w:tc>
        <w:tc>
          <w:tcPr>
            <w:tcW w:w="1800" w:type="dxa"/>
            <w:vAlign w:val="bottom"/>
            <w:gridSpan w:val="2"/>
          </w:tcPr>
          <w:p>
            <w:pPr>
              <w:jc w:val="right"/>
              <w:ind w:right="472"/>
              <w:spacing w:after="0"/>
              <w:rPr>
                <w:sz w:val="20"/>
                <w:szCs w:val="20"/>
                <w:color w:val="auto"/>
              </w:rPr>
            </w:pPr>
            <w:r>
              <w:rPr>
                <w:rFonts w:ascii="Arial" w:cs="Arial" w:eastAsia="Arial" w:hAnsi="Arial"/>
                <w:sz w:val="18"/>
                <w:szCs w:val="18"/>
                <w:color w:val="auto"/>
              </w:rPr>
              <w:t>2005</w:t>
            </w:r>
          </w:p>
        </w:tc>
        <w:tc>
          <w:tcPr>
            <w:tcW w:w="1200" w:type="dxa"/>
            <w:vAlign w:val="bottom"/>
          </w:tcPr>
          <w:p>
            <w:pPr>
              <w:jc w:val="right"/>
              <w:ind w:right="212"/>
              <w:spacing w:after="0"/>
              <w:rPr>
                <w:sz w:val="20"/>
                <w:szCs w:val="20"/>
                <w:color w:val="auto"/>
              </w:rPr>
            </w:pPr>
            <w:r>
              <w:rPr>
                <w:rFonts w:ascii="Arial" w:cs="Arial" w:eastAsia="Arial" w:hAnsi="Arial"/>
                <w:sz w:val="18"/>
                <w:szCs w:val="18"/>
                <w:color w:val="auto"/>
              </w:rPr>
              <w:t>2004</w:t>
            </w:r>
          </w:p>
        </w:tc>
      </w:tr>
      <w:tr>
        <w:trPr>
          <w:trHeight w:val="251"/>
        </w:trPr>
        <w:tc>
          <w:tcPr>
            <w:tcW w:w="3460" w:type="dxa"/>
            <w:vAlign w:val="bottom"/>
            <w:shd w:val="clear" w:color="auto" w:fill="000000"/>
          </w:tcPr>
          <w:p>
            <w:pPr>
              <w:spacing w:after="0"/>
              <w:rPr>
                <w:sz w:val="21"/>
                <w:szCs w:val="21"/>
                <w:color w:val="auto"/>
              </w:rPr>
            </w:pPr>
          </w:p>
        </w:tc>
        <w:tc>
          <w:tcPr>
            <w:tcW w:w="920" w:type="dxa"/>
            <w:vAlign w:val="bottom"/>
            <w:shd w:val="clear" w:color="auto" w:fill="000000"/>
          </w:tcPr>
          <w:p>
            <w:pPr>
              <w:spacing w:after="0"/>
              <w:rPr>
                <w:sz w:val="21"/>
                <w:szCs w:val="21"/>
                <w:color w:val="auto"/>
              </w:rPr>
            </w:pPr>
          </w:p>
        </w:tc>
        <w:tc>
          <w:tcPr>
            <w:tcW w:w="640" w:type="dxa"/>
            <w:vAlign w:val="bottom"/>
            <w:shd w:val="clear" w:color="auto" w:fill="000000"/>
          </w:tcPr>
          <w:p>
            <w:pPr>
              <w:spacing w:after="0"/>
              <w:rPr>
                <w:sz w:val="21"/>
                <w:szCs w:val="21"/>
                <w:color w:val="auto"/>
              </w:rPr>
            </w:pPr>
          </w:p>
        </w:tc>
        <w:tc>
          <w:tcPr>
            <w:tcW w:w="1160" w:type="dxa"/>
            <w:vAlign w:val="bottom"/>
            <w:shd w:val="clear" w:color="auto" w:fill="000000"/>
          </w:tcPr>
          <w:p>
            <w:pPr>
              <w:spacing w:after="0"/>
              <w:rPr>
                <w:sz w:val="21"/>
                <w:szCs w:val="21"/>
                <w:color w:val="auto"/>
              </w:rPr>
            </w:pPr>
          </w:p>
        </w:tc>
        <w:tc>
          <w:tcPr>
            <w:tcW w:w="1200" w:type="dxa"/>
            <w:vAlign w:val="bottom"/>
            <w:shd w:val="clear" w:color="auto" w:fill="000000"/>
          </w:tcPr>
          <w:p>
            <w:pPr>
              <w:spacing w:after="0"/>
              <w:rPr>
                <w:sz w:val="21"/>
                <w:szCs w:val="21"/>
                <w:color w:val="auto"/>
              </w:rPr>
            </w:pPr>
          </w:p>
        </w:tc>
      </w:tr>
    </w:tbl>
    <w:p>
      <w:pPr>
        <w:sectPr>
          <w:pgSz w:w="11900" w:h="16857" w:orient="portrait"/>
          <w:cols w:equalWidth="0" w:num="1">
            <w:col w:w="11340"/>
          </w:cols>
          <w:pgMar w:left="240" w:top="118" w:right="319" w:bottom="0" w:gutter="0" w:footer="0" w:header="0"/>
        </w:sectPr>
      </w:pPr>
    </w:p>
    <w:bookmarkStart w:id="39" w:name="page40"/>
    <w:bookmarkEnd w:id="39"/>
    <w:p>
      <w:pPr>
        <w:spacing w:after="0" w:line="1" w:lineRule="exact"/>
        <w:rPr>
          <w:sz w:val="20"/>
          <w:szCs w:val="20"/>
          <w:color w:val="auto"/>
        </w:rPr>
      </w:pPr>
    </w:p>
    <w:tbl>
      <w:tblPr>
        <w:tblLayout w:type="fixed"/>
        <w:tblInd w:w="1820" w:type="dxa"/>
        <w:tblCellMar>
          <w:top w:w="0" w:type="dxa"/>
          <w:left w:w="0" w:type="dxa"/>
          <w:bottom w:w="0" w:type="dxa"/>
          <w:right w:w="0" w:type="dxa"/>
        </w:tblCellMar>
      </w:tblPr>
      <w:tr>
        <w:trPr>
          <w:trHeight w:val="222"/>
        </w:trPr>
        <w:tc>
          <w:tcPr>
            <w:tcW w:w="3460" w:type="dxa"/>
            <w:vAlign w:val="bottom"/>
          </w:tcPr>
          <w:p>
            <w:pPr>
              <w:ind w:left="20"/>
              <w:spacing w:after="0"/>
              <w:rPr>
                <w:sz w:val="20"/>
                <w:szCs w:val="20"/>
                <w:color w:val="auto"/>
              </w:rPr>
            </w:pPr>
            <w:r>
              <w:rPr>
                <w:rFonts w:ascii="Arial" w:cs="Arial" w:eastAsia="Arial" w:hAnsi="Arial"/>
                <w:sz w:val="18"/>
                <w:szCs w:val="18"/>
                <w:color w:val="auto"/>
              </w:rPr>
              <w:t>U.S. Equity</w:t>
            </w:r>
          </w:p>
        </w:tc>
        <w:tc>
          <w:tcPr>
            <w:tcW w:w="1300" w:type="dxa"/>
            <w:vAlign w:val="bottom"/>
          </w:tcPr>
          <w:p>
            <w:pPr>
              <w:jc w:val="right"/>
              <w:ind w:right="432"/>
              <w:spacing w:after="0"/>
              <w:rPr>
                <w:sz w:val="20"/>
                <w:szCs w:val="20"/>
                <w:color w:val="auto"/>
              </w:rPr>
            </w:pPr>
            <w:r>
              <w:rPr>
                <w:rFonts w:ascii="Arial" w:cs="Arial" w:eastAsia="Arial" w:hAnsi="Arial"/>
                <w:sz w:val="18"/>
                <w:szCs w:val="18"/>
                <w:color w:val="auto"/>
              </w:rPr>
              <w:t>25 %</w:t>
            </w:r>
          </w:p>
        </w:tc>
        <w:tc>
          <w:tcPr>
            <w:tcW w:w="1500" w:type="dxa"/>
            <w:vAlign w:val="bottom"/>
          </w:tcPr>
          <w:p>
            <w:pPr>
              <w:jc w:val="right"/>
              <w:ind w:right="432"/>
              <w:spacing w:after="0"/>
              <w:rPr>
                <w:sz w:val="20"/>
                <w:szCs w:val="20"/>
                <w:color w:val="auto"/>
              </w:rPr>
            </w:pPr>
            <w:r>
              <w:rPr>
                <w:rFonts w:ascii="Arial" w:cs="Arial" w:eastAsia="Arial" w:hAnsi="Arial"/>
                <w:sz w:val="18"/>
                <w:szCs w:val="18"/>
                <w:color w:val="auto"/>
              </w:rPr>
              <w:t>23 %</w:t>
            </w:r>
          </w:p>
        </w:tc>
        <w:tc>
          <w:tcPr>
            <w:tcW w:w="1120" w:type="dxa"/>
            <w:vAlign w:val="bottom"/>
          </w:tcPr>
          <w:p>
            <w:pPr>
              <w:jc w:val="right"/>
              <w:ind w:right="52"/>
              <w:spacing w:after="0"/>
              <w:rPr>
                <w:sz w:val="20"/>
                <w:szCs w:val="20"/>
                <w:color w:val="auto"/>
              </w:rPr>
            </w:pPr>
            <w:r>
              <w:rPr>
                <w:rFonts w:ascii="Arial" w:cs="Arial" w:eastAsia="Arial" w:hAnsi="Arial"/>
                <w:sz w:val="18"/>
                <w:szCs w:val="18"/>
                <w:color w:val="auto"/>
              </w:rPr>
              <w:t>25 %</w:t>
            </w:r>
          </w:p>
        </w:tc>
      </w:tr>
      <w:tr>
        <w:trPr>
          <w:trHeight w:val="270"/>
        </w:trPr>
        <w:tc>
          <w:tcPr>
            <w:tcW w:w="3460" w:type="dxa"/>
            <w:vAlign w:val="bottom"/>
          </w:tcPr>
          <w:p>
            <w:pPr>
              <w:ind w:left="20"/>
              <w:spacing w:after="0"/>
              <w:rPr>
                <w:sz w:val="20"/>
                <w:szCs w:val="20"/>
                <w:color w:val="auto"/>
              </w:rPr>
            </w:pPr>
            <w:r>
              <w:rPr>
                <w:rFonts w:ascii="Arial" w:cs="Arial" w:eastAsia="Arial" w:hAnsi="Arial"/>
                <w:sz w:val="18"/>
                <w:szCs w:val="18"/>
                <w:color w:val="auto"/>
              </w:rPr>
              <w:t>Foreign Equity</w:t>
            </w:r>
          </w:p>
        </w:tc>
        <w:tc>
          <w:tcPr>
            <w:tcW w:w="1300" w:type="dxa"/>
            <w:vAlign w:val="bottom"/>
          </w:tcPr>
          <w:p>
            <w:pPr>
              <w:jc w:val="right"/>
              <w:ind w:right="612"/>
              <w:spacing w:after="0"/>
              <w:rPr>
                <w:sz w:val="20"/>
                <w:szCs w:val="20"/>
                <w:color w:val="auto"/>
              </w:rPr>
            </w:pPr>
            <w:r>
              <w:rPr>
                <w:rFonts w:ascii="Arial" w:cs="Arial" w:eastAsia="Arial" w:hAnsi="Arial"/>
                <w:sz w:val="18"/>
                <w:szCs w:val="18"/>
                <w:color w:val="auto"/>
              </w:rPr>
              <w:t>5</w:t>
            </w:r>
          </w:p>
        </w:tc>
        <w:tc>
          <w:tcPr>
            <w:tcW w:w="1500" w:type="dxa"/>
            <w:vAlign w:val="bottom"/>
          </w:tcPr>
          <w:p>
            <w:pPr>
              <w:jc w:val="right"/>
              <w:ind w:right="612"/>
              <w:spacing w:after="0"/>
              <w:rPr>
                <w:sz w:val="20"/>
                <w:szCs w:val="20"/>
                <w:color w:val="auto"/>
              </w:rPr>
            </w:pPr>
            <w:r>
              <w:rPr>
                <w:rFonts w:ascii="Arial" w:cs="Arial" w:eastAsia="Arial" w:hAnsi="Arial"/>
                <w:sz w:val="18"/>
                <w:szCs w:val="18"/>
                <w:color w:val="auto"/>
              </w:rPr>
              <w:t>6</w:t>
            </w:r>
          </w:p>
        </w:tc>
        <w:tc>
          <w:tcPr>
            <w:tcW w:w="1120" w:type="dxa"/>
            <w:vAlign w:val="bottom"/>
          </w:tcPr>
          <w:p>
            <w:pPr>
              <w:jc w:val="right"/>
              <w:ind w:right="232"/>
              <w:spacing w:after="0"/>
              <w:rPr>
                <w:sz w:val="20"/>
                <w:szCs w:val="20"/>
                <w:color w:val="auto"/>
              </w:rPr>
            </w:pPr>
            <w:r>
              <w:rPr>
                <w:rFonts w:ascii="Arial" w:cs="Arial" w:eastAsia="Arial" w:hAnsi="Arial"/>
                <w:sz w:val="18"/>
                <w:szCs w:val="18"/>
                <w:color w:val="auto"/>
              </w:rPr>
              <w:t>6</w:t>
            </w:r>
          </w:p>
        </w:tc>
      </w:tr>
      <w:tr>
        <w:trPr>
          <w:trHeight w:val="278"/>
        </w:trPr>
        <w:tc>
          <w:tcPr>
            <w:tcW w:w="3460" w:type="dxa"/>
            <w:vAlign w:val="bottom"/>
          </w:tcPr>
          <w:p>
            <w:pPr>
              <w:ind w:left="20"/>
              <w:spacing w:after="0"/>
              <w:rPr>
                <w:sz w:val="20"/>
                <w:szCs w:val="20"/>
                <w:color w:val="auto"/>
              </w:rPr>
            </w:pPr>
            <w:r>
              <w:rPr>
                <w:rFonts w:ascii="Arial" w:cs="Arial" w:eastAsia="Arial" w:hAnsi="Arial"/>
                <w:sz w:val="18"/>
                <w:szCs w:val="18"/>
                <w:color w:val="auto"/>
              </w:rPr>
              <w:t>Fixed Income</w:t>
            </w:r>
          </w:p>
        </w:tc>
        <w:tc>
          <w:tcPr>
            <w:tcW w:w="1300" w:type="dxa"/>
            <w:vAlign w:val="bottom"/>
          </w:tcPr>
          <w:p>
            <w:pPr>
              <w:jc w:val="right"/>
              <w:ind w:right="612"/>
              <w:spacing w:after="0"/>
              <w:rPr>
                <w:sz w:val="20"/>
                <w:szCs w:val="20"/>
                <w:color w:val="auto"/>
              </w:rPr>
            </w:pPr>
            <w:r>
              <w:rPr>
                <w:rFonts w:ascii="Arial" w:cs="Arial" w:eastAsia="Arial" w:hAnsi="Arial"/>
                <w:sz w:val="18"/>
                <w:szCs w:val="18"/>
                <w:color w:val="auto"/>
              </w:rPr>
              <w:t>70</w:t>
            </w:r>
          </w:p>
        </w:tc>
        <w:tc>
          <w:tcPr>
            <w:tcW w:w="1500" w:type="dxa"/>
            <w:vAlign w:val="bottom"/>
          </w:tcPr>
          <w:p>
            <w:pPr>
              <w:jc w:val="right"/>
              <w:ind w:right="612"/>
              <w:spacing w:after="0"/>
              <w:rPr>
                <w:sz w:val="20"/>
                <w:szCs w:val="20"/>
                <w:color w:val="auto"/>
              </w:rPr>
            </w:pPr>
            <w:r>
              <w:rPr>
                <w:rFonts w:ascii="Arial" w:cs="Arial" w:eastAsia="Arial" w:hAnsi="Arial"/>
                <w:sz w:val="18"/>
                <w:szCs w:val="18"/>
                <w:color w:val="auto"/>
              </w:rPr>
              <w:t>71</w:t>
            </w:r>
          </w:p>
        </w:tc>
        <w:tc>
          <w:tcPr>
            <w:tcW w:w="1120" w:type="dxa"/>
            <w:vAlign w:val="bottom"/>
          </w:tcPr>
          <w:p>
            <w:pPr>
              <w:jc w:val="right"/>
              <w:ind w:right="232"/>
              <w:spacing w:after="0"/>
              <w:rPr>
                <w:sz w:val="20"/>
                <w:szCs w:val="20"/>
                <w:color w:val="auto"/>
              </w:rPr>
            </w:pPr>
            <w:r>
              <w:rPr>
                <w:rFonts w:ascii="Arial" w:cs="Arial" w:eastAsia="Arial" w:hAnsi="Arial"/>
                <w:sz w:val="18"/>
                <w:szCs w:val="18"/>
                <w:color w:val="auto"/>
              </w:rPr>
              <w:t>69</w:t>
            </w:r>
          </w:p>
        </w:tc>
      </w:tr>
      <w:tr>
        <w:trPr>
          <w:trHeight w:val="251"/>
        </w:trPr>
        <w:tc>
          <w:tcPr>
            <w:tcW w:w="3460" w:type="dxa"/>
            <w:vAlign w:val="bottom"/>
          </w:tcPr>
          <w:p>
            <w:pPr>
              <w:spacing w:after="0"/>
              <w:rPr>
                <w:sz w:val="21"/>
                <w:szCs w:val="21"/>
                <w:color w:val="auto"/>
              </w:rPr>
            </w:pPr>
          </w:p>
        </w:tc>
        <w:tc>
          <w:tcPr>
            <w:tcW w:w="1300" w:type="dxa"/>
            <w:vAlign w:val="bottom"/>
            <w:shd w:val="clear" w:color="auto" w:fill="000000"/>
          </w:tcPr>
          <w:p>
            <w:pPr>
              <w:spacing w:after="0"/>
              <w:rPr>
                <w:sz w:val="21"/>
                <w:szCs w:val="21"/>
                <w:color w:val="auto"/>
              </w:rPr>
            </w:pPr>
          </w:p>
        </w:tc>
        <w:tc>
          <w:tcPr>
            <w:tcW w:w="1500" w:type="dxa"/>
            <w:vAlign w:val="bottom"/>
            <w:shd w:val="clear" w:color="auto" w:fill="000000"/>
          </w:tcPr>
          <w:p>
            <w:pPr>
              <w:spacing w:after="0"/>
              <w:rPr>
                <w:sz w:val="21"/>
                <w:szCs w:val="21"/>
                <w:color w:val="auto"/>
              </w:rPr>
            </w:pPr>
          </w:p>
        </w:tc>
        <w:tc>
          <w:tcPr>
            <w:tcW w:w="1120" w:type="dxa"/>
            <w:vAlign w:val="bottom"/>
            <w:shd w:val="clear" w:color="auto" w:fill="000000"/>
          </w:tcPr>
          <w:p>
            <w:pPr>
              <w:spacing w:after="0"/>
              <w:rPr>
                <w:sz w:val="21"/>
                <w:szCs w:val="21"/>
                <w:color w:val="auto"/>
              </w:rPr>
            </w:pPr>
          </w:p>
        </w:tc>
      </w:tr>
      <w:tr>
        <w:trPr>
          <w:trHeight w:val="262"/>
        </w:trPr>
        <w:tc>
          <w:tcPr>
            <w:tcW w:w="3460" w:type="dxa"/>
            <w:vAlign w:val="bottom"/>
          </w:tcPr>
          <w:p>
            <w:pPr>
              <w:ind w:left="320"/>
              <w:spacing w:after="0"/>
              <w:rPr>
                <w:sz w:val="20"/>
                <w:szCs w:val="20"/>
                <w:color w:val="auto"/>
              </w:rPr>
            </w:pPr>
            <w:r>
              <w:rPr>
                <w:rFonts w:ascii="Arial" w:cs="Arial" w:eastAsia="Arial" w:hAnsi="Arial"/>
                <w:sz w:val="18"/>
                <w:szCs w:val="18"/>
                <w:color w:val="auto"/>
              </w:rPr>
              <w:t>Total</w:t>
            </w:r>
          </w:p>
        </w:tc>
        <w:tc>
          <w:tcPr>
            <w:tcW w:w="1300" w:type="dxa"/>
            <w:vAlign w:val="bottom"/>
          </w:tcPr>
          <w:p>
            <w:pPr>
              <w:jc w:val="right"/>
              <w:ind w:right="432"/>
              <w:spacing w:after="0"/>
              <w:rPr>
                <w:sz w:val="20"/>
                <w:szCs w:val="20"/>
                <w:color w:val="auto"/>
              </w:rPr>
            </w:pPr>
            <w:r>
              <w:rPr>
                <w:rFonts w:ascii="Arial" w:cs="Arial" w:eastAsia="Arial" w:hAnsi="Arial"/>
                <w:sz w:val="18"/>
                <w:szCs w:val="18"/>
                <w:color w:val="auto"/>
              </w:rPr>
              <w:t>100 %</w:t>
            </w:r>
          </w:p>
        </w:tc>
        <w:tc>
          <w:tcPr>
            <w:tcW w:w="1500" w:type="dxa"/>
            <w:vAlign w:val="bottom"/>
          </w:tcPr>
          <w:p>
            <w:pPr>
              <w:jc w:val="right"/>
              <w:ind w:right="432"/>
              <w:spacing w:after="0"/>
              <w:rPr>
                <w:sz w:val="20"/>
                <w:szCs w:val="20"/>
                <w:color w:val="auto"/>
              </w:rPr>
            </w:pPr>
            <w:r>
              <w:rPr>
                <w:rFonts w:ascii="Arial" w:cs="Arial" w:eastAsia="Arial" w:hAnsi="Arial"/>
                <w:sz w:val="18"/>
                <w:szCs w:val="18"/>
                <w:color w:val="auto"/>
              </w:rPr>
              <w:t>100 %</w:t>
            </w:r>
          </w:p>
        </w:tc>
        <w:tc>
          <w:tcPr>
            <w:tcW w:w="1120" w:type="dxa"/>
            <w:vAlign w:val="bottom"/>
          </w:tcPr>
          <w:p>
            <w:pPr>
              <w:jc w:val="right"/>
              <w:ind w:right="52"/>
              <w:spacing w:after="0"/>
              <w:rPr>
                <w:sz w:val="20"/>
                <w:szCs w:val="20"/>
                <w:color w:val="auto"/>
              </w:rPr>
            </w:pPr>
            <w:r>
              <w:rPr>
                <w:rFonts w:ascii="Arial" w:cs="Arial" w:eastAsia="Arial" w:hAnsi="Arial"/>
                <w:sz w:val="18"/>
                <w:szCs w:val="18"/>
                <w:color w:val="auto"/>
              </w:rPr>
              <w:t>100 %</w:t>
            </w:r>
          </w:p>
        </w:tc>
      </w:tr>
      <w:tr>
        <w:trPr>
          <w:trHeight w:val="251"/>
        </w:trPr>
        <w:tc>
          <w:tcPr>
            <w:tcW w:w="3460" w:type="dxa"/>
            <w:vAlign w:val="bottom"/>
            <w:shd w:val="clear" w:color="auto" w:fill="000000"/>
          </w:tcPr>
          <w:p>
            <w:pPr>
              <w:spacing w:after="0"/>
              <w:rPr>
                <w:sz w:val="21"/>
                <w:szCs w:val="21"/>
                <w:color w:val="auto"/>
              </w:rPr>
            </w:pPr>
          </w:p>
        </w:tc>
        <w:tc>
          <w:tcPr>
            <w:tcW w:w="1300" w:type="dxa"/>
            <w:vAlign w:val="bottom"/>
            <w:shd w:val="clear" w:color="auto" w:fill="000000"/>
          </w:tcPr>
          <w:p>
            <w:pPr>
              <w:spacing w:after="0"/>
              <w:rPr>
                <w:sz w:val="21"/>
                <w:szCs w:val="21"/>
                <w:color w:val="auto"/>
              </w:rPr>
            </w:pPr>
          </w:p>
        </w:tc>
        <w:tc>
          <w:tcPr>
            <w:tcW w:w="1500" w:type="dxa"/>
            <w:vAlign w:val="bottom"/>
            <w:shd w:val="clear" w:color="auto" w:fill="000000"/>
          </w:tcPr>
          <w:p>
            <w:pPr>
              <w:spacing w:after="0"/>
              <w:rPr>
                <w:sz w:val="21"/>
                <w:szCs w:val="21"/>
                <w:color w:val="auto"/>
              </w:rPr>
            </w:pPr>
          </w:p>
        </w:tc>
        <w:tc>
          <w:tcPr>
            <w:tcW w:w="1120" w:type="dxa"/>
            <w:vAlign w:val="bottom"/>
            <w:shd w:val="clear" w:color="auto" w:fill="000000"/>
          </w:tcPr>
          <w:p>
            <w:pPr>
              <w:spacing w:after="0"/>
              <w:rPr>
                <w:sz w:val="21"/>
                <w:szCs w:val="21"/>
                <w:color w:val="auto"/>
              </w:rPr>
            </w:pPr>
          </w:p>
        </w:tc>
      </w:tr>
    </w:tbl>
    <w:p>
      <w:pPr>
        <w:spacing w:after="0" w:line="200" w:lineRule="exact"/>
        <w:rPr>
          <w:sz w:val="20"/>
          <w:szCs w:val="20"/>
          <w:color w:val="auto"/>
        </w:rPr>
      </w:pPr>
    </w:p>
    <w:p>
      <w:pPr>
        <w:spacing w:after="0" w:line="265" w:lineRule="exact"/>
        <w:rPr>
          <w:sz w:val="20"/>
          <w:szCs w:val="20"/>
          <w:color w:val="auto"/>
        </w:rPr>
      </w:pPr>
    </w:p>
    <w:p>
      <w:pPr>
        <w:ind w:right="160"/>
        <w:spacing w:after="0" w:line="297" w:lineRule="auto"/>
        <w:rPr>
          <w:sz w:val="20"/>
          <w:szCs w:val="20"/>
          <w:color w:val="auto"/>
        </w:rPr>
      </w:pPr>
      <w:r>
        <w:rPr>
          <w:rFonts w:ascii="Arial" w:cs="Arial" w:eastAsia="Arial" w:hAnsi="Arial"/>
          <w:sz w:val="19"/>
          <w:szCs w:val="19"/>
          <w:color w:val="auto"/>
        </w:rPr>
        <w:t>The company's postretirement health plans that are not included in the pension trust (shown above) pay premiums to health maintenance organization and point-of-service plans from company and participant contributions. The company's investment strategy is to match the long-term growth rate of the liability primarily through the use of tax-exempt California municipal bonds.</w:t>
      </w:r>
    </w:p>
    <w:p>
      <w:pPr>
        <w:spacing w:after="0" w:line="12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Future Payments</w:t>
      </w:r>
    </w:p>
    <w:p>
      <w:pPr>
        <w:spacing w:after="0" w:line="212" w:lineRule="exact"/>
        <w:rPr>
          <w:sz w:val="20"/>
          <w:szCs w:val="20"/>
          <w:color w:val="auto"/>
        </w:rPr>
      </w:pPr>
    </w:p>
    <w:p>
      <w:pPr>
        <w:spacing w:after="0"/>
        <w:rPr>
          <w:sz w:val="20"/>
          <w:szCs w:val="20"/>
          <w:color w:val="auto"/>
        </w:rPr>
      </w:pPr>
      <w:r>
        <w:rPr>
          <w:rFonts w:ascii="Arial" w:cs="Arial" w:eastAsia="Arial" w:hAnsi="Arial"/>
          <w:sz w:val="19"/>
          <w:szCs w:val="19"/>
          <w:color w:val="auto"/>
        </w:rPr>
        <w:t>The company expects to contribute $1 million to the pension plan and $15 million to its other postretirement benefit plans in 2006.</w:t>
      </w:r>
    </w:p>
    <w:p>
      <w:pPr>
        <w:spacing w:after="0" w:line="241" w:lineRule="exact"/>
        <w:rPr>
          <w:sz w:val="20"/>
          <w:szCs w:val="20"/>
          <w:color w:val="auto"/>
        </w:rPr>
      </w:pPr>
    </w:p>
    <w:p>
      <w:pPr>
        <w:jc w:val="both"/>
        <w:ind w:right="180"/>
        <w:spacing w:after="0"/>
        <w:rPr>
          <w:sz w:val="20"/>
          <w:szCs w:val="20"/>
          <w:color w:val="auto"/>
        </w:rPr>
      </w:pPr>
      <w:r>
        <w:rPr>
          <w:rFonts w:ascii="Arial" w:cs="Arial" w:eastAsia="Arial" w:hAnsi="Arial"/>
          <w:sz w:val="22"/>
          <w:szCs w:val="22"/>
          <w:color w:val="auto"/>
        </w:rPr>
        <w:t>The following table reflects the total benefits expected to be paid for the next 10 years to current employees and retirees from the plans or from the company's assets, including both the company's share of the benefit cost and, where applicable, the participants' share of the costs, which is funded by participant contributions to the plans.</w:t>
      </w:r>
    </w:p>
    <w:p>
      <w:pPr>
        <w:spacing w:after="0" w:line="294" w:lineRule="exact"/>
        <w:rPr>
          <w:sz w:val="20"/>
          <w:szCs w:val="20"/>
          <w:color w:val="auto"/>
        </w:rPr>
      </w:pPr>
    </w:p>
    <w:tbl>
      <w:tblPr>
        <w:tblLayout w:type="fixed"/>
        <w:tblInd w:w="2040" w:type="dxa"/>
        <w:tblCellMar>
          <w:top w:w="0" w:type="dxa"/>
          <w:left w:w="0" w:type="dxa"/>
          <w:bottom w:w="0" w:type="dxa"/>
          <w:right w:w="0" w:type="dxa"/>
        </w:tblCellMar>
      </w:tblPr>
      <w:tr>
        <w:trPr>
          <w:trHeight w:val="216"/>
        </w:trPr>
        <w:tc>
          <w:tcPr>
            <w:tcW w:w="26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140" w:type="dxa"/>
            <w:vAlign w:val="bottom"/>
          </w:tcPr>
          <w:p>
            <w:pPr>
              <w:jc w:val="right"/>
              <w:ind w:right="632"/>
              <w:spacing w:after="0"/>
              <w:rPr>
                <w:sz w:val="20"/>
                <w:szCs w:val="20"/>
                <w:color w:val="auto"/>
              </w:rPr>
            </w:pPr>
            <w:r>
              <w:rPr>
                <w:rFonts w:ascii="Arial" w:cs="Arial" w:eastAsia="Arial" w:hAnsi="Arial"/>
                <w:sz w:val="18"/>
                <w:szCs w:val="18"/>
                <w:color w:val="auto"/>
                <w:w w:val="88"/>
              </w:rPr>
              <w:t>Other</w:t>
            </w:r>
          </w:p>
        </w:tc>
      </w:tr>
      <w:tr>
        <w:trPr>
          <w:trHeight w:val="230"/>
        </w:trPr>
        <w:tc>
          <w:tcPr>
            <w:tcW w:w="2600" w:type="dxa"/>
            <w:vAlign w:val="bottom"/>
          </w:tcPr>
          <w:p>
            <w:pPr>
              <w:spacing w:after="0"/>
              <w:rPr>
                <w:sz w:val="20"/>
                <w:szCs w:val="20"/>
                <w:color w:val="auto"/>
              </w:rPr>
            </w:pPr>
            <w:r>
              <w:rPr>
                <w:rFonts w:ascii="Arial" w:cs="Arial" w:eastAsia="Arial" w:hAnsi="Arial"/>
                <w:sz w:val="18"/>
                <w:szCs w:val="18"/>
                <w:color w:val="auto"/>
              </w:rPr>
              <w:t>(Dollars in millions)</w:t>
            </w:r>
          </w:p>
        </w:tc>
        <w:tc>
          <w:tcPr>
            <w:tcW w:w="2680" w:type="dxa"/>
            <w:vAlign w:val="bottom"/>
            <w:gridSpan w:val="2"/>
          </w:tcPr>
          <w:p>
            <w:pPr>
              <w:jc w:val="right"/>
              <w:ind w:right="272"/>
              <w:spacing w:after="0"/>
              <w:rPr>
                <w:sz w:val="20"/>
                <w:szCs w:val="20"/>
                <w:color w:val="auto"/>
              </w:rPr>
            </w:pPr>
            <w:r>
              <w:rPr>
                <w:rFonts w:ascii="Arial" w:cs="Arial" w:eastAsia="Arial" w:hAnsi="Arial"/>
                <w:sz w:val="18"/>
                <w:szCs w:val="18"/>
                <w:color w:val="auto"/>
              </w:rPr>
              <w:t>Pension Benefits</w:t>
            </w:r>
          </w:p>
        </w:tc>
        <w:tc>
          <w:tcPr>
            <w:tcW w:w="2080" w:type="dxa"/>
            <w:vAlign w:val="bottom"/>
            <w:gridSpan w:val="2"/>
          </w:tcPr>
          <w:p>
            <w:pPr>
              <w:jc w:val="right"/>
              <w:spacing w:after="0"/>
              <w:rPr>
                <w:sz w:val="20"/>
                <w:szCs w:val="20"/>
                <w:color w:val="auto"/>
              </w:rPr>
            </w:pPr>
            <w:r>
              <w:rPr>
                <w:rFonts w:ascii="Arial" w:cs="Arial" w:eastAsia="Arial" w:hAnsi="Arial"/>
                <w:sz w:val="18"/>
                <w:szCs w:val="18"/>
                <w:color w:val="auto"/>
              </w:rPr>
              <w:t>Postretirement Benefits</w:t>
            </w:r>
          </w:p>
        </w:tc>
      </w:tr>
      <w:tr>
        <w:trPr>
          <w:trHeight w:val="251"/>
        </w:trPr>
        <w:tc>
          <w:tcPr>
            <w:tcW w:w="2600" w:type="dxa"/>
            <w:vAlign w:val="bottom"/>
            <w:shd w:val="clear" w:color="auto" w:fill="000000"/>
          </w:tcPr>
          <w:p>
            <w:pPr>
              <w:spacing w:after="0"/>
              <w:rPr>
                <w:sz w:val="21"/>
                <w:szCs w:val="21"/>
                <w:color w:val="auto"/>
              </w:rPr>
            </w:pPr>
          </w:p>
        </w:tc>
        <w:tc>
          <w:tcPr>
            <w:tcW w:w="1520" w:type="dxa"/>
            <w:vAlign w:val="bottom"/>
            <w:shd w:val="clear" w:color="auto" w:fill="000000"/>
          </w:tcPr>
          <w:p>
            <w:pPr>
              <w:spacing w:after="0"/>
              <w:rPr>
                <w:sz w:val="21"/>
                <w:szCs w:val="21"/>
                <w:color w:val="auto"/>
              </w:rPr>
            </w:pPr>
          </w:p>
        </w:tc>
        <w:tc>
          <w:tcPr>
            <w:tcW w:w="1160" w:type="dxa"/>
            <w:vAlign w:val="bottom"/>
            <w:shd w:val="clear" w:color="auto" w:fill="000000"/>
          </w:tcPr>
          <w:p>
            <w:pPr>
              <w:spacing w:after="0"/>
              <w:rPr>
                <w:sz w:val="21"/>
                <w:szCs w:val="21"/>
                <w:color w:val="auto"/>
              </w:rPr>
            </w:pPr>
          </w:p>
        </w:tc>
        <w:tc>
          <w:tcPr>
            <w:tcW w:w="940" w:type="dxa"/>
            <w:vAlign w:val="bottom"/>
            <w:shd w:val="clear" w:color="auto" w:fill="000000"/>
          </w:tcPr>
          <w:p>
            <w:pPr>
              <w:spacing w:after="0"/>
              <w:rPr>
                <w:sz w:val="21"/>
                <w:szCs w:val="21"/>
                <w:color w:val="auto"/>
              </w:rPr>
            </w:pPr>
          </w:p>
        </w:tc>
        <w:tc>
          <w:tcPr>
            <w:tcW w:w="1140" w:type="dxa"/>
            <w:vAlign w:val="bottom"/>
            <w:shd w:val="clear" w:color="auto" w:fill="000000"/>
          </w:tcPr>
          <w:p>
            <w:pPr>
              <w:spacing w:after="0"/>
              <w:rPr>
                <w:sz w:val="21"/>
                <w:szCs w:val="21"/>
                <w:color w:val="auto"/>
              </w:rPr>
            </w:pPr>
          </w:p>
        </w:tc>
      </w:tr>
      <w:tr>
        <w:trPr>
          <w:trHeight w:val="255"/>
        </w:trPr>
        <w:tc>
          <w:tcPr>
            <w:tcW w:w="2600" w:type="dxa"/>
            <w:vAlign w:val="bottom"/>
          </w:tcPr>
          <w:p>
            <w:pPr>
              <w:spacing w:after="0"/>
              <w:rPr>
                <w:sz w:val="20"/>
                <w:szCs w:val="20"/>
                <w:color w:val="auto"/>
              </w:rPr>
            </w:pPr>
            <w:r>
              <w:rPr>
                <w:rFonts w:ascii="Arial" w:cs="Arial" w:eastAsia="Arial" w:hAnsi="Arial"/>
                <w:sz w:val="18"/>
                <w:szCs w:val="18"/>
                <w:color w:val="auto"/>
              </w:rPr>
              <w:t>2006</w:t>
            </w:r>
          </w:p>
        </w:tc>
        <w:tc>
          <w:tcPr>
            <w:tcW w:w="152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692"/>
              <w:spacing w:after="0"/>
              <w:rPr>
                <w:sz w:val="20"/>
                <w:szCs w:val="20"/>
                <w:color w:val="auto"/>
              </w:rPr>
            </w:pPr>
            <w:r>
              <w:rPr>
                <w:rFonts w:ascii="Arial" w:cs="Arial" w:eastAsia="Arial" w:hAnsi="Arial"/>
                <w:sz w:val="18"/>
                <w:szCs w:val="18"/>
                <w:color w:val="auto"/>
              </w:rPr>
              <w:t>54</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532"/>
              <w:spacing w:after="0"/>
              <w:rPr>
                <w:sz w:val="20"/>
                <w:szCs w:val="20"/>
                <w:color w:val="auto"/>
              </w:rPr>
            </w:pPr>
            <w:r>
              <w:rPr>
                <w:rFonts w:ascii="Arial" w:cs="Arial" w:eastAsia="Arial" w:hAnsi="Arial"/>
                <w:sz w:val="18"/>
                <w:szCs w:val="18"/>
                <w:color w:val="auto"/>
              </w:rPr>
              <w:t>7</w:t>
            </w:r>
          </w:p>
        </w:tc>
      </w:tr>
      <w:tr>
        <w:trPr>
          <w:trHeight w:val="270"/>
        </w:trPr>
        <w:tc>
          <w:tcPr>
            <w:tcW w:w="2600" w:type="dxa"/>
            <w:vAlign w:val="bottom"/>
          </w:tcPr>
          <w:p>
            <w:pPr>
              <w:spacing w:after="0"/>
              <w:rPr>
                <w:sz w:val="20"/>
                <w:szCs w:val="20"/>
                <w:color w:val="auto"/>
              </w:rPr>
            </w:pPr>
            <w:r>
              <w:rPr>
                <w:rFonts w:ascii="Arial" w:cs="Arial" w:eastAsia="Arial" w:hAnsi="Arial"/>
                <w:sz w:val="18"/>
                <w:szCs w:val="18"/>
                <w:color w:val="auto"/>
              </w:rPr>
              <w:t>2007</w:t>
            </w:r>
          </w:p>
        </w:tc>
        <w:tc>
          <w:tcPr>
            <w:tcW w:w="152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692"/>
              <w:spacing w:after="0"/>
              <w:rPr>
                <w:sz w:val="20"/>
                <w:szCs w:val="20"/>
                <w:color w:val="auto"/>
              </w:rPr>
            </w:pPr>
            <w:r>
              <w:rPr>
                <w:rFonts w:ascii="Arial" w:cs="Arial" w:eastAsia="Arial" w:hAnsi="Arial"/>
                <w:sz w:val="18"/>
                <w:szCs w:val="18"/>
                <w:color w:val="auto"/>
              </w:rPr>
              <w:t>56</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532"/>
              <w:spacing w:after="0"/>
              <w:rPr>
                <w:sz w:val="20"/>
                <w:szCs w:val="20"/>
                <w:color w:val="auto"/>
              </w:rPr>
            </w:pPr>
            <w:r>
              <w:rPr>
                <w:rFonts w:ascii="Arial" w:cs="Arial" w:eastAsia="Arial" w:hAnsi="Arial"/>
                <w:sz w:val="18"/>
                <w:szCs w:val="18"/>
                <w:color w:val="auto"/>
              </w:rPr>
              <w:t>8</w:t>
            </w:r>
          </w:p>
        </w:tc>
      </w:tr>
      <w:tr>
        <w:trPr>
          <w:trHeight w:val="270"/>
        </w:trPr>
        <w:tc>
          <w:tcPr>
            <w:tcW w:w="2600" w:type="dxa"/>
            <w:vAlign w:val="bottom"/>
          </w:tcPr>
          <w:p>
            <w:pPr>
              <w:spacing w:after="0"/>
              <w:rPr>
                <w:sz w:val="20"/>
                <w:szCs w:val="20"/>
                <w:color w:val="auto"/>
              </w:rPr>
            </w:pPr>
            <w:r>
              <w:rPr>
                <w:rFonts w:ascii="Arial" w:cs="Arial" w:eastAsia="Arial" w:hAnsi="Arial"/>
                <w:sz w:val="18"/>
                <w:szCs w:val="18"/>
                <w:color w:val="auto"/>
              </w:rPr>
              <w:t>2008</w:t>
            </w:r>
          </w:p>
        </w:tc>
        <w:tc>
          <w:tcPr>
            <w:tcW w:w="152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692"/>
              <w:spacing w:after="0"/>
              <w:rPr>
                <w:sz w:val="20"/>
                <w:szCs w:val="20"/>
                <w:color w:val="auto"/>
              </w:rPr>
            </w:pPr>
            <w:r>
              <w:rPr>
                <w:rFonts w:ascii="Arial" w:cs="Arial" w:eastAsia="Arial" w:hAnsi="Arial"/>
                <w:sz w:val="18"/>
                <w:szCs w:val="18"/>
                <w:color w:val="auto"/>
              </w:rPr>
              <w:t>61</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532"/>
              <w:spacing w:after="0"/>
              <w:rPr>
                <w:sz w:val="20"/>
                <w:szCs w:val="20"/>
                <w:color w:val="auto"/>
              </w:rPr>
            </w:pPr>
            <w:r>
              <w:rPr>
                <w:rFonts w:ascii="Arial" w:cs="Arial" w:eastAsia="Arial" w:hAnsi="Arial"/>
                <w:sz w:val="18"/>
                <w:szCs w:val="18"/>
                <w:color w:val="auto"/>
              </w:rPr>
              <w:t>8</w:t>
            </w:r>
          </w:p>
        </w:tc>
      </w:tr>
      <w:tr>
        <w:trPr>
          <w:trHeight w:val="270"/>
        </w:trPr>
        <w:tc>
          <w:tcPr>
            <w:tcW w:w="2600" w:type="dxa"/>
            <w:vAlign w:val="bottom"/>
          </w:tcPr>
          <w:p>
            <w:pPr>
              <w:spacing w:after="0"/>
              <w:rPr>
                <w:sz w:val="20"/>
                <w:szCs w:val="20"/>
                <w:color w:val="auto"/>
              </w:rPr>
            </w:pPr>
            <w:r>
              <w:rPr>
                <w:rFonts w:ascii="Arial" w:cs="Arial" w:eastAsia="Arial" w:hAnsi="Arial"/>
                <w:sz w:val="18"/>
                <w:szCs w:val="18"/>
                <w:color w:val="auto"/>
              </w:rPr>
              <w:t>2009</w:t>
            </w:r>
          </w:p>
        </w:tc>
        <w:tc>
          <w:tcPr>
            <w:tcW w:w="152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692"/>
              <w:spacing w:after="0"/>
              <w:rPr>
                <w:sz w:val="20"/>
                <w:szCs w:val="20"/>
                <w:color w:val="auto"/>
              </w:rPr>
            </w:pPr>
            <w:r>
              <w:rPr>
                <w:rFonts w:ascii="Arial" w:cs="Arial" w:eastAsia="Arial" w:hAnsi="Arial"/>
                <w:sz w:val="18"/>
                <w:szCs w:val="18"/>
                <w:color w:val="auto"/>
              </w:rPr>
              <w:t>62</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532"/>
              <w:spacing w:after="0"/>
              <w:rPr>
                <w:sz w:val="20"/>
                <w:szCs w:val="20"/>
                <w:color w:val="auto"/>
              </w:rPr>
            </w:pPr>
            <w:r>
              <w:rPr>
                <w:rFonts w:ascii="Arial" w:cs="Arial" w:eastAsia="Arial" w:hAnsi="Arial"/>
                <w:sz w:val="18"/>
                <w:szCs w:val="18"/>
                <w:color w:val="auto"/>
              </w:rPr>
              <w:t>9</w:t>
            </w:r>
          </w:p>
        </w:tc>
      </w:tr>
      <w:tr>
        <w:trPr>
          <w:trHeight w:val="270"/>
        </w:trPr>
        <w:tc>
          <w:tcPr>
            <w:tcW w:w="2600" w:type="dxa"/>
            <w:vAlign w:val="bottom"/>
          </w:tcPr>
          <w:p>
            <w:pPr>
              <w:spacing w:after="0"/>
              <w:rPr>
                <w:sz w:val="20"/>
                <w:szCs w:val="20"/>
                <w:color w:val="auto"/>
              </w:rPr>
            </w:pPr>
            <w:r>
              <w:rPr>
                <w:rFonts w:ascii="Arial" w:cs="Arial" w:eastAsia="Arial" w:hAnsi="Arial"/>
                <w:sz w:val="18"/>
                <w:szCs w:val="18"/>
                <w:color w:val="auto"/>
              </w:rPr>
              <w:t>2010</w:t>
            </w:r>
          </w:p>
        </w:tc>
        <w:tc>
          <w:tcPr>
            <w:tcW w:w="152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692"/>
              <w:spacing w:after="0"/>
              <w:rPr>
                <w:sz w:val="20"/>
                <w:szCs w:val="20"/>
                <w:color w:val="auto"/>
              </w:rPr>
            </w:pPr>
            <w:r>
              <w:rPr>
                <w:rFonts w:ascii="Arial" w:cs="Arial" w:eastAsia="Arial" w:hAnsi="Arial"/>
                <w:sz w:val="18"/>
                <w:szCs w:val="18"/>
                <w:color w:val="auto"/>
              </w:rPr>
              <w:t>64</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532"/>
              <w:spacing w:after="0"/>
              <w:rPr>
                <w:sz w:val="20"/>
                <w:szCs w:val="20"/>
                <w:color w:val="auto"/>
              </w:rPr>
            </w:pPr>
            <w:r>
              <w:rPr>
                <w:rFonts w:ascii="Arial" w:cs="Arial" w:eastAsia="Arial" w:hAnsi="Arial"/>
                <w:sz w:val="18"/>
                <w:szCs w:val="18"/>
                <w:color w:val="auto"/>
              </w:rPr>
              <w:t>9</w:t>
            </w:r>
          </w:p>
        </w:tc>
      </w:tr>
      <w:tr>
        <w:trPr>
          <w:trHeight w:val="278"/>
        </w:trPr>
        <w:tc>
          <w:tcPr>
            <w:tcW w:w="2600" w:type="dxa"/>
            <w:vAlign w:val="bottom"/>
          </w:tcPr>
          <w:p>
            <w:pPr>
              <w:spacing w:after="0"/>
              <w:rPr>
                <w:sz w:val="20"/>
                <w:szCs w:val="20"/>
                <w:color w:val="auto"/>
              </w:rPr>
            </w:pPr>
            <w:r>
              <w:rPr>
                <w:rFonts w:ascii="Arial" w:cs="Arial" w:eastAsia="Arial" w:hAnsi="Arial"/>
                <w:sz w:val="18"/>
                <w:szCs w:val="18"/>
                <w:color w:val="auto"/>
              </w:rPr>
              <w:t>2011-2015</w:t>
            </w:r>
          </w:p>
        </w:tc>
        <w:tc>
          <w:tcPr>
            <w:tcW w:w="152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692"/>
              <w:spacing w:after="0"/>
              <w:rPr>
                <w:sz w:val="20"/>
                <w:szCs w:val="20"/>
                <w:color w:val="auto"/>
              </w:rPr>
            </w:pPr>
            <w:r>
              <w:rPr>
                <w:rFonts w:ascii="Arial" w:cs="Arial" w:eastAsia="Arial" w:hAnsi="Arial"/>
                <w:sz w:val="18"/>
                <w:szCs w:val="18"/>
                <w:color w:val="auto"/>
              </w:rPr>
              <w:t>347</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532"/>
              <w:spacing w:after="0"/>
              <w:rPr>
                <w:sz w:val="20"/>
                <w:szCs w:val="20"/>
                <w:color w:val="auto"/>
              </w:rPr>
            </w:pPr>
            <w:r>
              <w:rPr>
                <w:rFonts w:ascii="Arial" w:cs="Arial" w:eastAsia="Arial" w:hAnsi="Arial"/>
                <w:sz w:val="18"/>
                <w:szCs w:val="18"/>
                <w:color w:val="auto"/>
              </w:rPr>
              <w:t>54</w:t>
            </w:r>
          </w:p>
        </w:tc>
      </w:tr>
      <w:tr>
        <w:trPr>
          <w:trHeight w:val="251"/>
        </w:trPr>
        <w:tc>
          <w:tcPr>
            <w:tcW w:w="2600" w:type="dxa"/>
            <w:vAlign w:val="bottom"/>
            <w:shd w:val="clear" w:color="auto" w:fill="000000"/>
          </w:tcPr>
          <w:p>
            <w:pPr>
              <w:spacing w:after="0"/>
              <w:rPr>
                <w:sz w:val="21"/>
                <w:szCs w:val="21"/>
                <w:color w:val="auto"/>
              </w:rPr>
            </w:pPr>
          </w:p>
        </w:tc>
        <w:tc>
          <w:tcPr>
            <w:tcW w:w="1520" w:type="dxa"/>
            <w:vAlign w:val="bottom"/>
            <w:shd w:val="clear" w:color="auto" w:fill="000000"/>
          </w:tcPr>
          <w:p>
            <w:pPr>
              <w:spacing w:after="0"/>
              <w:rPr>
                <w:sz w:val="21"/>
                <w:szCs w:val="21"/>
                <w:color w:val="auto"/>
              </w:rPr>
            </w:pPr>
          </w:p>
        </w:tc>
        <w:tc>
          <w:tcPr>
            <w:tcW w:w="1160" w:type="dxa"/>
            <w:vAlign w:val="bottom"/>
            <w:shd w:val="clear" w:color="auto" w:fill="000000"/>
          </w:tcPr>
          <w:p>
            <w:pPr>
              <w:spacing w:after="0"/>
              <w:rPr>
                <w:sz w:val="21"/>
                <w:szCs w:val="21"/>
                <w:color w:val="auto"/>
              </w:rPr>
            </w:pPr>
          </w:p>
        </w:tc>
        <w:tc>
          <w:tcPr>
            <w:tcW w:w="940" w:type="dxa"/>
            <w:vAlign w:val="bottom"/>
            <w:shd w:val="clear" w:color="auto" w:fill="000000"/>
          </w:tcPr>
          <w:p>
            <w:pPr>
              <w:spacing w:after="0"/>
              <w:rPr>
                <w:sz w:val="21"/>
                <w:szCs w:val="21"/>
                <w:color w:val="auto"/>
              </w:rPr>
            </w:pPr>
          </w:p>
        </w:tc>
        <w:tc>
          <w:tcPr>
            <w:tcW w:w="1140" w:type="dxa"/>
            <w:vAlign w:val="bottom"/>
            <w:shd w:val="clear" w:color="auto" w:fill="000000"/>
          </w:tcPr>
          <w:p>
            <w:pPr>
              <w:spacing w:after="0"/>
              <w:rPr>
                <w:sz w:val="21"/>
                <w:szCs w:val="21"/>
                <w:color w:val="auto"/>
              </w:rPr>
            </w:pPr>
          </w:p>
        </w:tc>
      </w:tr>
    </w:tbl>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22"/>
          <w:szCs w:val="22"/>
          <w:color w:val="auto"/>
        </w:rPr>
        <w:t>The expected future Medicare Part D subsidy payments are as follows:</w:t>
      </w:r>
    </w:p>
    <w:p>
      <w:pPr>
        <w:spacing w:after="0" w:line="260" w:lineRule="exact"/>
        <w:rPr>
          <w:sz w:val="20"/>
          <w:szCs w:val="20"/>
          <w:color w:val="auto"/>
        </w:rPr>
      </w:pPr>
    </w:p>
    <w:p>
      <w:pPr>
        <w:ind w:left="2040"/>
        <w:spacing w:after="0"/>
        <w:rPr>
          <w:sz w:val="20"/>
          <w:szCs w:val="20"/>
          <w:color w:val="auto"/>
        </w:rPr>
      </w:pPr>
      <w:r>
        <w:rPr>
          <w:rFonts w:ascii="Arial" w:cs="Arial" w:eastAsia="Arial" w:hAnsi="Arial"/>
          <w:sz w:val="18"/>
          <w:szCs w:val="18"/>
          <w:color w:val="auto"/>
        </w:rPr>
        <w:t>(Dollars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1291590</wp:posOffset>
            </wp:positionH>
            <wp:positionV relativeFrom="paragraph">
              <wp:posOffset>19685</wp:posOffset>
            </wp:positionV>
            <wp:extent cx="4673600" cy="15430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4673600" cy="154305"/>
                    </a:xfrm>
                    <a:prstGeom prst="rect">
                      <a:avLst/>
                    </a:prstGeom>
                    <a:noFill/>
                  </pic:spPr>
                </pic:pic>
              </a:graphicData>
            </a:graphic>
          </wp:anchor>
        </w:drawing>
      </w:r>
    </w:p>
    <w:p>
      <w:pPr>
        <w:spacing w:after="0" w:line="286" w:lineRule="exact"/>
        <w:rPr>
          <w:sz w:val="20"/>
          <w:szCs w:val="20"/>
          <w:color w:val="auto"/>
        </w:rPr>
      </w:pPr>
    </w:p>
    <w:tbl>
      <w:tblPr>
        <w:tblLayout w:type="fixed"/>
        <w:tblInd w:w="2040" w:type="dxa"/>
        <w:tblCellMar>
          <w:top w:w="0" w:type="dxa"/>
          <w:left w:w="0" w:type="dxa"/>
          <w:bottom w:w="0" w:type="dxa"/>
          <w:right w:w="0" w:type="dxa"/>
        </w:tblCellMar>
      </w:tblPr>
      <w:tr>
        <w:trPr>
          <w:trHeight w:val="222"/>
        </w:trPr>
        <w:tc>
          <w:tcPr>
            <w:tcW w:w="3440" w:type="dxa"/>
            <w:vAlign w:val="bottom"/>
          </w:tcPr>
          <w:p>
            <w:pPr>
              <w:jc w:val="right"/>
              <w:ind w:right="2592"/>
              <w:spacing w:after="0"/>
              <w:rPr>
                <w:sz w:val="20"/>
                <w:szCs w:val="20"/>
                <w:color w:val="auto"/>
              </w:rPr>
            </w:pPr>
            <w:r>
              <w:rPr>
                <w:rFonts w:ascii="Arial" w:cs="Arial" w:eastAsia="Arial" w:hAnsi="Arial"/>
                <w:sz w:val="18"/>
                <w:szCs w:val="18"/>
                <w:color w:val="auto"/>
                <w:w w:val="85"/>
              </w:rPr>
              <w:t>2006-2010</w:t>
            </w:r>
          </w:p>
        </w:tc>
        <w:tc>
          <w:tcPr>
            <w:tcW w:w="298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532"/>
              <w:spacing w:after="0"/>
              <w:rPr>
                <w:sz w:val="20"/>
                <w:szCs w:val="20"/>
                <w:color w:val="auto"/>
              </w:rPr>
            </w:pPr>
            <w:r>
              <w:rPr>
                <w:rFonts w:ascii="Arial" w:cs="Arial" w:eastAsia="Arial" w:hAnsi="Arial"/>
                <w:sz w:val="18"/>
                <w:szCs w:val="18"/>
                <w:color w:val="auto"/>
              </w:rPr>
              <w:t>2</w:t>
            </w:r>
          </w:p>
        </w:tc>
      </w:tr>
      <w:tr>
        <w:trPr>
          <w:trHeight w:val="278"/>
        </w:trPr>
        <w:tc>
          <w:tcPr>
            <w:tcW w:w="3440" w:type="dxa"/>
            <w:vAlign w:val="bottom"/>
          </w:tcPr>
          <w:p>
            <w:pPr>
              <w:jc w:val="right"/>
              <w:ind w:right="2592"/>
              <w:spacing w:after="0"/>
              <w:rPr>
                <w:sz w:val="20"/>
                <w:szCs w:val="20"/>
                <w:color w:val="auto"/>
              </w:rPr>
            </w:pPr>
            <w:r>
              <w:rPr>
                <w:rFonts w:ascii="Arial" w:cs="Arial" w:eastAsia="Arial" w:hAnsi="Arial"/>
                <w:sz w:val="18"/>
                <w:szCs w:val="18"/>
                <w:color w:val="auto"/>
                <w:w w:val="85"/>
              </w:rPr>
              <w:t>2011-2015</w:t>
            </w:r>
          </w:p>
        </w:tc>
        <w:tc>
          <w:tcPr>
            <w:tcW w:w="298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532"/>
              <w:spacing w:after="0"/>
              <w:rPr>
                <w:sz w:val="20"/>
                <w:szCs w:val="20"/>
                <w:color w:val="auto"/>
              </w:rPr>
            </w:pPr>
            <w:r>
              <w:rPr>
                <w:rFonts w:ascii="Arial" w:cs="Arial" w:eastAsia="Arial" w:hAnsi="Arial"/>
                <w:sz w:val="18"/>
                <w:szCs w:val="18"/>
                <w:color w:val="auto"/>
              </w:rPr>
              <w:t>4</w:t>
            </w:r>
          </w:p>
        </w:tc>
      </w:tr>
      <w:tr>
        <w:trPr>
          <w:trHeight w:val="251"/>
        </w:trPr>
        <w:tc>
          <w:tcPr>
            <w:tcW w:w="3440" w:type="dxa"/>
            <w:vAlign w:val="bottom"/>
            <w:shd w:val="clear" w:color="auto" w:fill="000000"/>
          </w:tcPr>
          <w:p>
            <w:pPr>
              <w:spacing w:after="0"/>
              <w:rPr>
                <w:sz w:val="21"/>
                <w:szCs w:val="21"/>
                <w:color w:val="auto"/>
              </w:rPr>
            </w:pPr>
          </w:p>
        </w:tc>
        <w:tc>
          <w:tcPr>
            <w:tcW w:w="2980" w:type="dxa"/>
            <w:vAlign w:val="bottom"/>
            <w:shd w:val="clear" w:color="auto" w:fill="000000"/>
          </w:tcPr>
          <w:p>
            <w:pPr>
              <w:spacing w:after="0"/>
              <w:rPr>
                <w:sz w:val="21"/>
                <w:szCs w:val="21"/>
                <w:color w:val="auto"/>
              </w:rPr>
            </w:pPr>
          </w:p>
        </w:tc>
        <w:tc>
          <w:tcPr>
            <w:tcW w:w="940" w:type="dxa"/>
            <w:vAlign w:val="bottom"/>
            <w:shd w:val="clear" w:color="auto" w:fill="000000"/>
          </w:tcPr>
          <w:p>
            <w:pPr>
              <w:spacing w:after="0"/>
              <w:rPr>
                <w:sz w:val="21"/>
                <w:szCs w:val="21"/>
                <w:color w:val="auto"/>
              </w:rPr>
            </w:pPr>
          </w:p>
        </w:tc>
      </w:tr>
    </w:tbl>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Savings Plan</w:t>
      </w:r>
    </w:p>
    <w:p>
      <w:pPr>
        <w:spacing w:after="0" w:line="212" w:lineRule="exact"/>
        <w:rPr>
          <w:sz w:val="20"/>
          <w:szCs w:val="20"/>
          <w:color w:val="auto"/>
        </w:rPr>
      </w:pPr>
    </w:p>
    <w:p>
      <w:pPr>
        <w:ind w:right="20"/>
        <w:spacing w:after="0" w:line="282" w:lineRule="auto"/>
        <w:rPr>
          <w:sz w:val="20"/>
          <w:szCs w:val="20"/>
          <w:color w:val="auto"/>
        </w:rPr>
      </w:pPr>
      <w:r>
        <w:rPr>
          <w:rFonts w:ascii="Arial" w:cs="Arial" w:eastAsia="Arial" w:hAnsi="Arial"/>
          <w:sz w:val="19"/>
          <w:szCs w:val="19"/>
          <w:color w:val="auto"/>
        </w:rPr>
        <w:t>The company offers a trusteed savings plan to all eligible employees. Eligibility to participate in the plan is immediate for salary deferrals. Subject to plan provisions, employees may contribute from one percent to 25 percent of their regular earnings, beginning with the start of employment. After one year of each employee's completed service, the company begins to make matching contributions. Employer contributions are equal to 50 percent of the first 6 percent of eligible base salary contributed by employees and, if certain company goals are met, an additional amount related to incentive compensation payments.</w:t>
      </w:r>
    </w:p>
    <w:p>
      <w:pPr>
        <w:spacing w:after="0" w:line="148" w:lineRule="exact"/>
        <w:rPr>
          <w:sz w:val="20"/>
          <w:szCs w:val="20"/>
          <w:color w:val="auto"/>
        </w:rPr>
      </w:pPr>
    </w:p>
    <w:p>
      <w:pPr>
        <w:ind w:right="60"/>
        <w:spacing w:after="0" w:line="252" w:lineRule="auto"/>
        <w:rPr>
          <w:sz w:val="20"/>
          <w:szCs w:val="20"/>
          <w:color w:val="auto"/>
        </w:rPr>
      </w:pPr>
      <w:r>
        <w:rPr>
          <w:rFonts w:ascii="Arial" w:cs="Arial" w:eastAsia="Arial" w:hAnsi="Arial"/>
          <w:sz w:val="21"/>
          <w:szCs w:val="21"/>
          <w:color w:val="auto"/>
        </w:rPr>
        <w:t>Employer contributions are initially invested in Sempra Energy common stock but may be transferred by the employee into other investments. Employee contributions are invested in Sempra Energy stock, mutual funds, or institutional trusts (the same investments to which employees may direct the employer contributions) as elected by the employee. Company contributions to the savings plan were $11 million in 2005, $10 million in 2004 and $8 million in 2003.</w:t>
      </w:r>
    </w:p>
    <w:p>
      <w:pPr>
        <w:spacing w:after="0" w:line="16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6. STOCK-BASED COMPENSATION</w:t>
      </w:r>
    </w:p>
    <w:p>
      <w:pPr>
        <w:spacing w:after="0" w:line="212" w:lineRule="exact"/>
        <w:rPr>
          <w:sz w:val="20"/>
          <w:szCs w:val="20"/>
          <w:color w:val="auto"/>
        </w:rPr>
      </w:pPr>
    </w:p>
    <w:p>
      <w:pPr>
        <w:spacing w:after="0" w:line="297" w:lineRule="auto"/>
        <w:rPr>
          <w:sz w:val="20"/>
          <w:szCs w:val="20"/>
          <w:color w:val="auto"/>
        </w:rPr>
      </w:pPr>
      <w:r>
        <w:rPr>
          <w:rFonts w:ascii="Arial" w:cs="Arial" w:eastAsia="Arial" w:hAnsi="Arial"/>
          <w:sz w:val="19"/>
          <w:szCs w:val="19"/>
          <w:color w:val="auto"/>
        </w:rPr>
        <w:t>Sempra Energy has stock-based compensation plans intended to align employee and shareholder objectives related to the long-term growth of the company. The plans permit a wide variety of stock-based awards, including nonqualified stock options, incentive stock options, restricted stock, stock appreciation rights, performance awards, stock payments and dividend equivalents.</w:t>
      </w:r>
    </w:p>
    <w:p>
      <w:pPr>
        <w:spacing w:after="0" w:line="134" w:lineRule="exact"/>
        <w:rPr>
          <w:sz w:val="20"/>
          <w:szCs w:val="20"/>
          <w:color w:val="auto"/>
        </w:rPr>
      </w:pPr>
    </w:p>
    <w:p>
      <w:pPr>
        <w:ind w:right="20"/>
        <w:spacing w:after="0" w:line="282" w:lineRule="auto"/>
        <w:rPr>
          <w:sz w:val="20"/>
          <w:szCs w:val="20"/>
          <w:color w:val="auto"/>
        </w:rPr>
      </w:pPr>
      <w:r>
        <w:rPr>
          <w:rFonts w:ascii="Arial" w:cs="Arial" w:eastAsia="Arial" w:hAnsi="Arial"/>
          <w:sz w:val="19"/>
          <w:szCs w:val="19"/>
          <w:color w:val="auto"/>
        </w:rPr>
        <w:t>In 1995, SFAS 123 was issued. It encouraged a fair-value-based method of accounting for stock-based compensation. As permitted by SFAS 123, Sempra Energy and its subsidiaries adopted only its disclosure requirements and continued to account for stock-based compensation in accordance with the provisions of APBO 25. The issuance of SFAS 123R will require the company to begin accelerated recognition of stock-based compensation expense for participants who are eligible for retirement-related vesting, beginning in 2006. Discussion of SFAS 123R (a revision of SFAS 123) is provided in Note 1.</w:t>
      </w:r>
    </w:p>
    <w:p>
      <w:pPr>
        <w:sectPr>
          <w:pgSz w:w="11900" w:h="16838" w:orient="portrait"/>
          <w:cols w:equalWidth="0" w:num="1">
            <w:col w:w="11380"/>
          </w:cols>
          <w:pgMar w:left="240" w:top="212" w:right="279" w:bottom="165" w:gutter="0" w:footer="0" w:header="0"/>
        </w:sectPr>
      </w:pPr>
    </w:p>
    <w:bookmarkStart w:id="40" w:name="page41"/>
    <w:bookmarkEnd w:id="40"/>
    <w:p>
      <w:pPr>
        <w:spacing w:after="0" w:line="30" w:lineRule="exact"/>
        <w:rPr>
          <w:sz w:val="20"/>
          <w:szCs w:val="20"/>
          <w:color w:val="auto"/>
        </w:rPr>
      </w:pPr>
    </w:p>
    <w:p>
      <w:pPr>
        <w:spacing w:after="0" w:line="241" w:lineRule="auto"/>
        <w:rPr>
          <w:sz w:val="20"/>
          <w:szCs w:val="20"/>
          <w:color w:val="auto"/>
        </w:rPr>
      </w:pPr>
      <w:r>
        <w:rPr>
          <w:rFonts w:ascii="Arial" w:cs="Arial" w:eastAsia="Arial" w:hAnsi="Arial"/>
          <w:sz w:val="22"/>
          <w:szCs w:val="22"/>
          <w:color w:val="auto"/>
        </w:rPr>
        <w:t>Sempra Energy subsidiaries record an expense for the plans to the extent that subsidiary employees participate in the plans or that the subsidiaries are allocated a portion of Sempra Energy's costs of the plans. SDG&amp;E recorded expenses of $12 million, $9 million and $7 million in 2005, 2004 and 2003, respectively.</w:t>
      </w:r>
    </w:p>
    <w:p>
      <w:pPr>
        <w:spacing w:after="0" w:line="17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7. FINANCIAL INSTRUMENTS</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Fair Value Hedges</w:t>
      </w:r>
    </w:p>
    <w:p>
      <w:pPr>
        <w:spacing w:after="0" w:line="212" w:lineRule="exact"/>
        <w:rPr>
          <w:sz w:val="20"/>
          <w:szCs w:val="20"/>
          <w:color w:val="auto"/>
        </w:rPr>
      </w:pPr>
    </w:p>
    <w:p>
      <w:pPr>
        <w:ind w:right="180"/>
        <w:spacing w:after="0" w:line="251" w:lineRule="auto"/>
        <w:rPr>
          <w:sz w:val="20"/>
          <w:szCs w:val="20"/>
          <w:color w:val="auto"/>
        </w:rPr>
      </w:pPr>
      <w:r>
        <w:rPr>
          <w:rFonts w:ascii="Arial" w:cs="Arial" w:eastAsia="Arial" w:hAnsi="Arial"/>
          <w:sz w:val="22"/>
          <w:szCs w:val="22"/>
          <w:color w:val="auto"/>
        </w:rPr>
        <w:t>The company periodically enters into interest-rate swap agreements to moderate its exposure to interest-rate changes and to lower its overall cost of borrowing. The company's interest-rate swaps are discussed in Note 2.</w:t>
      </w:r>
    </w:p>
    <w:p>
      <w:pPr>
        <w:spacing w:after="0" w:line="16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Cash Flow Hedges</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color w:val="auto"/>
        </w:rPr>
        <w:t>The company's interest-rate swaps to hedge cash flows are also discussed in Note 2.</w:t>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Energy Contracts</w:t>
      </w:r>
    </w:p>
    <w:p>
      <w:pPr>
        <w:spacing w:after="0" w:line="212" w:lineRule="exact"/>
        <w:rPr>
          <w:sz w:val="20"/>
          <w:szCs w:val="20"/>
          <w:color w:val="auto"/>
        </w:rPr>
      </w:pPr>
    </w:p>
    <w:p>
      <w:pPr>
        <w:ind w:right="80"/>
        <w:spacing w:after="0" w:line="279" w:lineRule="auto"/>
        <w:rPr>
          <w:sz w:val="20"/>
          <w:szCs w:val="20"/>
          <w:color w:val="auto"/>
        </w:rPr>
      </w:pPr>
      <w:r>
        <w:rPr>
          <w:rFonts w:ascii="Arial" w:cs="Arial" w:eastAsia="Arial" w:hAnsi="Arial"/>
          <w:sz w:val="19"/>
          <w:szCs w:val="19"/>
          <w:color w:val="auto"/>
        </w:rPr>
        <w:t>At SDG&amp;E, the use of derivative instruments is subject to certain limitations imposed by company policy and regulatory requirements. These instruments allow the company to estimate with greater certainty the effective prices to be received by the company and the prices to be charged to customers. The company records transactions for natural gas and electric energy contracts in Cost of Natural Gas and in Cost of Electric Fuel and Purchased Power, respectively, in the Statements of Consolidated Income. Unrealized gain and losses related to these derivatives have offsetting regulatory assets and liabilities on the Consolidated Balance Sheets to the extent derivative gains and losses will be recoverable from or payable to customers in future rates.</w:t>
      </w:r>
    </w:p>
    <w:p>
      <w:pPr>
        <w:spacing w:after="0" w:line="14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Fair Value of Financial Instruments</w:t>
      </w:r>
    </w:p>
    <w:p>
      <w:pPr>
        <w:spacing w:after="0" w:line="212" w:lineRule="exact"/>
        <w:rPr>
          <w:sz w:val="20"/>
          <w:szCs w:val="20"/>
          <w:color w:val="auto"/>
        </w:rPr>
      </w:pPr>
    </w:p>
    <w:p>
      <w:pPr>
        <w:ind w:right="160"/>
        <w:spacing w:after="0"/>
        <w:rPr>
          <w:sz w:val="20"/>
          <w:szCs w:val="20"/>
          <w:color w:val="auto"/>
        </w:rPr>
      </w:pPr>
      <w:r>
        <w:rPr>
          <w:rFonts w:ascii="Arial" w:cs="Arial" w:eastAsia="Arial" w:hAnsi="Arial"/>
          <w:sz w:val="22"/>
          <w:szCs w:val="22"/>
          <w:color w:val="auto"/>
        </w:rPr>
        <w:t>The fair values of certain of the company's financial instruments (cash, temporary investments, notes receivable and customer deposits) approximate their carrying amounts. The following table provides the carrying amounts and fair values of the remaining financial instruments at December 31:</w:t>
      </w:r>
    </w:p>
    <w:p>
      <w:pPr>
        <w:spacing w:after="0" w:line="213" w:lineRule="exact"/>
        <w:rPr>
          <w:sz w:val="20"/>
          <w:szCs w:val="20"/>
          <w:color w:val="auto"/>
        </w:rPr>
      </w:pPr>
    </w:p>
    <w:tbl>
      <w:tblPr>
        <w:tblLayout w:type="fixed"/>
        <w:tblInd w:w="1820" w:type="dxa"/>
        <w:tblCellMar>
          <w:top w:w="0" w:type="dxa"/>
          <w:left w:w="0" w:type="dxa"/>
          <w:bottom w:w="0" w:type="dxa"/>
          <w:right w:w="0" w:type="dxa"/>
        </w:tblCellMar>
      </w:tblPr>
      <w:tr>
        <w:trPr>
          <w:trHeight w:val="222"/>
        </w:trPr>
        <w:tc>
          <w:tcPr>
            <w:tcW w:w="24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2005</w:t>
            </w: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2004</w:t>
            </w: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r>
      <w:tr>
        <w:trPr>
          <w:trHeight w:val="270"/>
        </w:trPr>
        <w:tc>
          <w:tcPr>
            <w:tcW w:w="24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96"/>
              </w:rPr>
              <w:t>Carrying</w:t>
            </w:r>
          </w:p>
        </w:tc>
        <w:tc>
          <w:tcPr>
            <w:tcW w:w="3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40" w:type="dxa"/>
            <w:vAlign w:val="bottom"/>
          </w:tcPr>
          <w:p>
            <w:pPr>
              <w:jc w:val="right"/>
              <w:ind w:right="392"/>
              <w:spacing w:after="0"/>
              <w:rPr>
                <w:sz w:val="20"/>
                <w:szCs w:val="20"/>
                <w:color w:val="auto"/>
              </w:rPr>
            </w:pPr>
            <w:r>
              <w:rPr>
                <w:rFonts w:ascii="Arial" w:cs="Arial" w:eastAsia="Arial" w:hAnsi="Arial"/>
                <w:sz w:val="18"/>
                <w:szCs w:val="18"/>
                <w:color w:val="auto"/>
              </w:rPr>
              <w:t>Fair</w:t>
            </w:r>
          </w:p>
        </w:tc>
        <w:tc>
          <w:tcPr>
            <w:tcW w:w="40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Carrying</w:t>
            </w:r>
          </w:p>
        </w:tc>
        <w:tc>
          <w:tcPr>
            <w:tcW w:w="3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40" w:type="dxa"/>
            <w:vAlign w:val="bottom"/>
          </w:tcPr>
          <w:p>
            <w:pPr>
              <w:jc w:val="right"/>
              <w:ind w:right="192"/>
              <w:spacing w:after="0"/>
              <w:rPr>
                <w:sz w:val="20"/>
                <w:szCs w:val="20"/>
                <w:color w:val="auto"/>
              </w:rPr>
            </w:pPr>
            <w:r>
              <w:rPr>
                <w:rFonts w:ascii="Arial" w:cs="Arial" w:eastAsia="Arial" w:hAnsi="Arial"/>
                <w:sz w:val="18"/>
                <w:szCs w:val="18"/>
                <w:color w:val="auto"/>
              </w:rPr>
              <w:t>Fair</w:t>
            </w:r>
          </w:p>
        </w:tc>
      </w:tr>
      <w:tr>
        <w:trPr>
          <w:trHeight w:val="270"/>
        </w:trPr>
        <w:tc>
          <w:tcPr>
            <w:tcW w:w="2440" w:type="dxa"/>
            <w:vAlign w:val="bottom"/>
          </w:tcPr>
          <w:p>
            <w:pPr>
              <w:spacing w:after="0"/>
              <w:rPr>
                <w:sz w:val="20"/>
                <w:szCs w:val="20"/>
                <w:color w:val="auto"/>
              </w:rPr>
            </w:pPr>
            <w:r>
              <w:rPr>
                <w:rFonts w:ascii="Arial" w:cs="Arial" w:eastAsia="Arial" w:hAnsi="Arial"/>
                <w:sz w:val="18"/>
                <w:szCs w:val="18"/>
                <w:color w:val="auto"/>
              </w:rPr>
              <w:t>(Dollars in millions)</w:t>
            </w:r>
          </w:p>
        </w:tc>
        <w:tc>
          <w:tcPr>
            <w:tcW w:w="460" w:type="dxa"/>
            <w:vAlign w:val="bottom"/>
          </w:tcPr>
          <w:p>
            <w:pPr>
              <w:spacing w:after="0"/>
              <w:rPr>
                <w:sz w:val="23"/>
                <w:szCs w:val="23"/>
                <w:color w:val="auto"/>
              </w:rPr>
            </w:pPr>
          </w:p>
        </w:tc>
        <w:tc>
          <w:tcPr>
            <w:tcW w:w="760" w:type="dxa"/>
            <w:vAlign w:val="bottom"/>
          </w:tcPr>
          <w:p>
            <w:pPr>
              <w:jc w:val="right"/>
              <w:ind w:right="12"/>
              <w:spacing w:after="0"/>
              <w:rPr>
                <w:sz w:val="20"/>
                <w:szCs w:val="20"/>
                <w:color w:val="auto"/>
              </w:rPr>
            </w:pPr>
            <w:r>
              <w:rPr>
                <w:rFonts w:ascii="Arial" w:cs="Arial" w:eastAsia="Arial" w:hAnsi="Arial"/>
                <w:sz w:val="18"/>
                <w:szCs w:val="18"/>
                <w:color w:val="auto"/>
              </w:rPr>
              <w:t>Amount</w:t>
            </w:r>
          </w:p>
        </w:tc>
        <w:tc>
          <w:tcPr>
            <w:tcW w:w="3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40" w:type="dxa"/>
            <w:vAlign w:val="bottom"/>
          </w:tcPr>
          <w:p>
            <w:pPr>
              <w:jc w:val="right"/>
              <w:ind w:right="332"/>
              <w:spacing w:after="0"/>
              <w:rPr>
                <w:sz w:val="20"/>
                <w:szCs w:val="20"/>
                <w:color w:val="auto"/>
              </w:rPr>
            </w:pPr>
            <w:r>
              <w:rPr>
                <w:rFonts w:ascii="Arial" w:cs="Arial" w:eastAsia="Arial" w:hAnsi="Arial"/>
                <w:sz w:val="18"/>
                <w:szCs w:val="18"/>
                <w:color w:val="auto"/>
              </w:rPr>
              <w:t>Value</w:t>
            </w:r>
          </w:p>
        </w:tc>
        <w:tc>
          <w:tcPr>
            <w:tcW w:w="400" w:type="dxa"/>
            <w:vAlign w:val="bottom"/>
          </w:tcPr>
          <w:p>
            <w:pPr>
              <w:spacing w:after="0"/>
              <w:rPr>
                <w:sz w:val="23"/>
                <w:szCs w:val="23"/>
                <w:color w:val="auto"/>
              </w:rPr>
            </w:pPr>
          </w:p>
        </w:tc>
        <w:tc>
          <w:tcPr>
            <w:tcW w:w="800" w:type="dxa"/>
            <w:vAlign w:val="bottom"/>
          </w:tcPr>
          <w:p>
            <w:pPr>
              <w:jc w:val="right"/>
              <w:ind w:right="32"/>
              <w:spacing w:after="0"/>
              <w:rPr>
                <w:sz w:val="20"/>
                <w:szCs w:val="20"/>
                <w:color w:val="auto"/>
              </w:rPr>
            </w:pPr>
            <w:r>
              <w:rPr>
                <w:rFonts w:ascii="Arial" w:cs="Arial" w:eastAsia="Arial" w:hAnsi="Arial"/>
                <w:sz w:val="18"/>
                <w:szCs w:val="18"/>
                <w:color w:val="auto"/>
              </w:rPr>
              <w:t>Amount</w:t>
            </w:r>
          </w:p>
        </w:tc>
        <w:tc>
          <w:tcPr>
            <w:tcW w:w="3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40" w:type="dxa"/>
            <w:vAlign w:val="bottom"/>
          </w:tcPr>
          <w:p>
            <w:pPr>
              <w:jc w:val="right"/>
              <w:ind w:right="132"/>
              <w:spacing w:after="0"/>
              <w:rPr>
                <w:sz w:val="20"/>
                <w:szCs w:val="20"/>
                <w:color w:val="auto"/>
              </w:rPr>
            </w:pPr>
            <w:r>
              <w:rPr>
                <w:rFonts w:ascii="Arial" w:cs="Arial" w:eastAsia="Arial" w:hAnsi="Arial"/>
                <w:sz w:val="18"/>
                <w:szCs w:val="18"/>
                <w:color w:val="auto"/>
              </w:rPr>
              <w:t>Value</w:t>
            </w:r>
          </w:p>
        </w:tc>
      </w:tr>
      <w:tr>
        <w:trPr>
          <w:trHeight w:val="43"/>
        </w:trPr>
        <w:tc>
          <w:tcPr>
            <w:tcW w:w="2440" w:type="dxa"/>
            <w:vAlign w:val="bottom"/>
          </w:tcPr>
          <w:p>
            <w:pPr>
              <w:spacing w:after="0"/>
              <w:rPr>
                <w:sz w:val="3"/>
                <w:szCs w:val="3"/>
                <w:color w:val="auto"/>
              </w:rPr>
            </w:pPr>
          </w:p>
        </w:tc>
        <w:tc>
          <w:tcPr>
            <w:tcW w:w="460" w:type="dxa"/>
            <w:vAlign w:val="bottom"/>
          </w:tcPr>
          <w:p>
            <w:pPr>
              <w:spacing w:after="0"/>
              <w:rPr>
                <w:sz w:val="3"/>
                <w:szCs w:val="3"/>
                <w:color w:val="auto"/>
              </w:rPr>
            </w:pPr>
          </w:p>
        </w:tc>
        <w:tc>
          <w:tcPr>
            <w:tcW w:w="760" w:type="dxa"/>
            <w:vAlign w:val="bottom"/>
          </w:tcPr>
          <w:p>
            <w:pPr>
              <w:spacing w:after="0"/>
              <w:rPr>
                <w:sz w:val="3"/>
                <w:szCs w:val="3"/>
                <w:color w:val="auto"/>
              </w:rPr>
            </w:pPr>
          </w:p>
        </w:tc>
        <w:tc>
          <w:tcPr>
            <w:tcW w:w="340" w:type="dxa"/>
            <w:vAlign w:val="bottom"/>
          </w:tcPr>
          <w:p>
            <w:pPr>
              <w:spacing w:after="0"/>
              <w:rPr>
                <w:sz w:val="3"/>
                <w:szCs w:val="3"/>
                <w:color w:val="auto"/>
              </w:rPr>
            </w:pPr>
          </w:p>
        </w:tc>
        <w:tc>
          <w:tcPr>
            <w:tcW w:w="200" w:type="dxa"/>
            <w:vAlign w:val="bottom"/>
          </w:tcPr>
          <w:p>
            <w:pPr>
              <w:spacing w:after="0"/>
              <w:rPr>
                <w:sz w:val="3"/>
                <w:szCs w:val="3"/>
                <w:color w:val="auto"/>
              </w:rPr>
            </w:pPr>
          </w:p>
        </w:tc>
        <w:tc>
          <w:tcPr>
            <w:tcW w:w="940" w:type="dxa"/>
            <w:vAlign w:val="bottom"/>
          </w:tcPr>
          <w:p>
            <w:pPr>
              <w:spacing w:after="0"/>
              <w:rPr>
                <w:sz w:val="3"/>
                <w:szCs w:val="3"/>
                <w:color w:val="auto"/>
              </w:rPr>
            </w:pPr>
          </w:p>
        </w:tc>
        <w:tc>
          <w:tcPr>
            <w:tcW w:w="400" w:type="dxa"/>
            <w:vAlign w:val="bottom"/>
          </w:tcPr>
          <w:p>
            <w:pPr>
              <w:spacing w:after="0"/>
              <w:rPr>
                <w:sz w:val="3"/>
                <w:szCs w:val="3"/>
                <w:color w:val="auto"/>
              </w:rPr>
            </w:pPr>
          </w:p>
        </w:tc>
        <w:tc>
          <w:tcPr>
            <w:tcW w:w="800" w:type="dxa"/>
            <w:vAlign w:val="bottom"/>
          </w:tcPr>
          <w:p>
            <w:pPr>
              <w:spacing w:after="0"/>
              <w:rPr>
                <w:sz w:val="3"/>
                <w:szCs w:val="3"/>
                <w:color w:val="auto"/>
              </w:rPr>
            </w:pPr>
          </w:p>
        </w:tc>
        <w:tc>
          <w:tcPr>
            <w:tcW w:w="340" w:type="dxa"/>
            <w:vAlign w:val="bottom"/>
          </w:tcPr>
          <w:p>
            <w:pPr>
              <w:spacing w:after="0"/>
              <w:rPr>
                <w:sz w:val="3"/>
                <w:szCs w:val="3"/>
                <w:color w:val="auto"/>
              </w:rPr>
            </w:pPr>
          </w:p>
        </w:tc>
        <w:tc>
          <w:tcPr>
            <w:tcW w:w="220" w:type="dxa"/>
            <w:vAlign w:val="bottom"/>
          </w:tcPr>
          <w:p>
            <w:pPr>
              <w:spacing w:after="0"/>
              <w:rPr>
                <w:sz w:val="3"/>
                <w:szCs w:val="3"/>
                <w:color w:val="auto"/>
              </w:rPr>
            </w:pPr>
          </w:p>
        </w:tc>
        <w:tc>
          <w:tcPr>
            <w:tcW w:w="740" w:type="dxa"/>
            <w:vAlign w:val="bottom"/>
          </w:tcPr>
          <w:p>
            <w:pPr>
              <w:spacing w:after="0"/>
              <w:rPr>
                <w:sz w:val="3"/>
                <w:szCs w:val="3"/>
                <w:color w:val="auto"/>
              </w:rPr>
            </w:pPr>
          </w:p>
        </w:tc>
      </w:tr>
      <w:tr>
        <w:trPr>
          <w:trHeight w:val="243"/>
        </w:trPr>
        <w:tc>
          <w:tcPr>
            <w:tcW w:w="2440" w:type="dxa"/>
            <w:vAlign w:val="bottom"/>
            <w:shd w:val="clear" w:color="auto" w:fill="000000"/>
          </w:tcPr>
          <w:p>
            <w:pPr>
              <w:spacing w:after="0"/>
              <w:rPr>
                <w:sz w:val="21"/>
                <w:szCs w:val="21"/>
                <w:color w:val="auto"/>
              </w:rPr>
            </w:pPr>
          </w:p>
        </w:tc>
        <w:tc>
          <w:tcPr>
            <w:tcW w:w="460" w:type="dxa"/>
            <w:vAlign w:val="bottom"/>
            <w:shd w:val="clear" w:color="auto" w:fill="000000"/>
          </w:tcPr>
          <w:p>
            <w:pPr>
              <w:spacing w:after="0"/>
              <w:rPr>
                <w:sz w:val="21"/>
                <w:szCs w:val="21"/>
                <w:color w:val="auto"/>
              </w:rPr>
            </w:pPr>
          </w:p>
        </w:tc>
        <w:tc>
          <w:tcPr>
            <w:tcW w:w="760" w:type="dxa"/>
            <w:vAlign w:val="bottom"/>
            <w:shd w:val="clear" w:color="auto" w:fill="000000"/>
          </w:tcPr>
          <w:p>
            <w:pPr>
              <w:spacing w:after="0"/>
              <w:rPr>
                <w:sz w:val="21"/>
                <w:szCs w:val="21"/>
                <w:color w:val="auto"/>
              </w:rPr>
            </w:pPr>
          </w:p>
        </w:tc>
        <w:tc>
          <w:tcPr>
            <w:tcW w:w="340" w:type="dxa"/>
            <w:vAlign w:val="bottom"/>
            <w:shd w:val="clear" w:color="auto" w:fill="000000"/>
          </w:tcPr>
          <w:p>
            <w:pPr>
              <w:spacing w:after="0"/>
              <w:rPr>
                <w:sz w:val="21"/>
                <w:szCs w:val="21"/>
                <w:color w:val="auto"/>
              </w:rPr>
            </w:pPr>
          </w:p>
        </w:tc>
        <w:tc>
          <w:tcPr>
            <w:tcW w:w="200" w:type="dxa"/>
            <w:vAlign w:val="bottom"/>
            <w:shd w:val="clear" w:color="auto" w:fill="000000"/>
          </w:tcPr>
          <w:p>
            <w:pPr>
              <w:spacing w:after="0"/>
              <w:rPr>
                <w:sz w:val="21"/>
                <w:szCs w:val="21"/>
                <w:color w:val="auto"/>
              </w:rPr>
            </w:pPr>
          </w:p>
        </w:tc>
        <w:tc>
          <w:tcPr>
            <w:tcW w:w="940" w:type="dxa"/>
            <w:vAlign w:val="bottom"/>
            <w:shd w:val="clear" w:color="auto" w:fill="000000"/>
          </w:tcPr>
          <w:p>
            <w:pPr>
              <w:spacing w:after="0"/>
              <w:rPr>
                <w:sz w:val="21"/>
                <w:szCs w:val="21"/>
                <w:color w:val="auto"/>
              </w:rPr>
            </w:pPr>
          </w:p>
        </w:tc>
        <w:tc>
          <w:tcPr>
            <w:tcW w:w="400" w:type="dxa"/>
            <w:vAlign w:val="bottom"/>
            <w:shd w:val="clear" w:color="auto" w:fill="000000"/>
          </w:tcPr>
          <w:p>
            <w:pPr>
              <w:spacing w:after="0"/>
              <w:rPr>
                <w:sz w:val="21"/>
                <w:szCs w:val="21"/>
                <w:color w:val="auto"/>
              </w:rPr>
            </w:pPr>
          </w:p>
        </w:tc>
        <w:tc>
          <w:tcPr>
            <w:tcW w:w="800" w:type="dxa"/>
            <w:vAlign w:val="bottom"/>
            <w:shd w:val="clear" w:color="auto" w:fill="000000"/>
          </w:tcPr>
          <w:p>
            <w:pPr>
              <w:spacing w:after="0"/>
              <w:rPr>
                <w:sz w:val="21"/>
                <w:szCs w:val="21"/>
                <w:color w:val="auto"/>
              </w:rPr>
            </w:pPr>
          </w:p>
        </w:tc>
        <w:tc>
          <w:tcPr>
            <w:tcW w:w="340" w:type="dxa"/>
            <w:vAlign w:val="bottom"/>
            <w:shd w:val="clear" w:color="auto" w:fill="000000"/>
          </w:tcPr>
          <w:p>
            <w:pPr>
              <w:spacing w:after="0"/>
              <w:rPr>
                <w:sz w:val="21"/>
                <w:szCs w:val="21"/>
                <w:color w:val="auto"/>
              </w:rPr>
            </w:pPr>
          </w:p>
        </w:tc>
        <w:tc>
          <w:tcPr>
            <w:tcW w:w="220" w:type="dxa"/>
            <w:vAlign w:val="bottom"/>
            <w:shd w:val="clear" w:color="auto" w:fill="000000"/>
          </w:tcPr>
          <w:p>
            <w:pPr>
              <w:spacing w:after="0"/>
              <w:rPr>
                <w:sz w:val="21"/>
                <w:szCs w:val="21"/>
                <w:color w:val="auto"/>
              </w:rPr>
            </w:pPr>
          </w:p>
        </w:tc>
        <w:tc>
          <w:tcPr>
            <w:tcW w:w="740" w:type="dxa"/>
            <w:vAlign w:val="bottom"/>
            <w:shd w:val="clear" w:color="auto" w:fill="000000"/>
          </w:tcPr>
          <w:p>
            <w:pPr>
              <w:spacing w:after="0"/>
              <w:rPr>
                <w:sz w:val="21"/>
                <w:szCs w:val="21"/>
                <w:color w:val="auto"/>
              </w:rPr>
            </w:pPr>
          </w:p>
        </w:tc>
      </w:tr>
      <w:tr>
        <w:trPr>
          <w:trHeight w:val="228"/>
        </w:trPr>
        <w:tc>
          <w:tcPr>
            <w:tcW w:w="2440" w:type="dxa"/>
            <w:vAlign w:val="bottom"/>
          </w:tcPr>
          <w:p>
            <w:pPr>
              <w:spacing w:after="0"/>
              <w:rPr>
                <w:sz w:val="20"/>
                <w:szCs w:val="20"/>
                <w:color w:val="auto"/>
              </w:rPr>
            </w:pPr>
            <w:r>
              <w:rPr>
                <w:rFonts w:ascii="Arial" w:cs="Arial" w:eastAsia="Arial" w:hAnsi="Arial"/>
                <w:sz w:val="18"/>
                <w:szCs w:val="18"/>
                <w:color w:val="auto"/>
              </w:rPr>
              <w:t>Total long-term debt</w:t>
            </w:r>
          </w:p>
        </w:tc>
        <w:tc>
          <w:tcPr>
            <w:tcW w:w="4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1,522</w:t>
            </w:r>
          </w:p>
        </w:tc>
        <w:tc>
          <w:tcPr>
            <w:tcW w:w="340" w:type="dxa"/>
            <w:vAlign w:val="bottom"/>
          </w:tcPr>
          <w:p>
            <w:pPr>
              <w:spacing w:after="0"/>
              <w:rPr>
                <w:sz w:val="19"/>
                <w:szCs w:val="19"/>
                <w:color w:val="auto"/>
              </w:rPr>
            </w:pPr>
          </w:p>
        </w:tc>
        <w:tc>
          <w:tcPr>
            <w:tcW w:w="200" w:type="dxa"/>
            <w:vAlign w:val="bottom"/>
          </w:tcPr>
          <w:p>
            <w:pPr>
              <w:jc w:val="right"/>
              <w:ind w:right="12"/>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ind w:right="152"/>
              <w:spacing w:after="0"/>
              <w:rPr>
                <w:sz w:val="20"/>
                <w:szCs w:val="20"/>
                <w:color w:val="auto"/>
              </w:rPr>
            </w:pPr>
            <w:r>
              <w:rPr>
                <w:rFonts w:ascii="Arial" w:cs="Arial" w:eastAsia="Arial" w:hAnsi="Arial"/>
                <w:sz w:val="18"/>
                <w:szCs w:val="18"/>
                <w:color w:val="auto"/>
              </w:rPr>
              <w:t>1,544</w:t>
            </w: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1,088</w:t>
            </w:r>
          </w:p>
        </w:tc>
        <w:tc>
          <w:tcPr>
            <w:tcW w:w="340" w:type="dxa"/>
            <w:vAlign w:val="bottom"/>
          </w:tcPr>
          <w:p>
            <w:pPr>
              <w:spacing w:after="0"/>
              <w:rPr>
                <w:sz w:val="19"/>
                <w:szCs w:val="19"/>
                <w:color w:val="auto"/>
              </w:rPr>
            </w:pPr>
          </w:p>
        </w:tc>
        <w:tc>
          <w:tcPr>
            <w:tcW w:w="220" w:type="dxa"/>
            <w:vAlign w:val="bottom"/>
          </w:tcPr>
          <w:p>
            <w:pPr>
              <w:jc w:val="right"/>
              <w:ind w:right="32"/>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1,179</w:t>
            </w:r>
          </w:p>
        </w:tc>
      </w:tr>
      <w:tr>
        <w:trPr>
          <w:trHeight w:val="512"/>
        </w:trPr>
        <w:tc>
          <w:tcPr>
            <w:tcW w:w="2440" w:type="dxa"/>
            <w:vAlign w:val="bottom"/>
          </w:tcPr>
          <w:p>
            <w:pPr>
              <w:spacing w:after="0"/>
              <w:rPr>
                <w:sz w:val="20"/>
                <w:szCs w:val="20"/>
                <w:color w:val="auto"/>
              </w:rPr>
            </w:pPr>
            <w:r>
              <w:rPr>
                <w:rFonts w:ascii="Arial" w:cs="Arial" w:eastAsia="Arial" w:hAnsi="Arial"/>
                <w:sz w:val="18"/>
                <w:szCs w:val="18"/>
                <w:color w:val="auto"/>
                <w:w w:val="99"/>
              </w:rPr>
              <w:t>Preferred stock of subsidiaries</w:t>
            </w:r>
          </w:p>
        </w:tc>
        <w:tc>
          <w:tcPr>
            <w:tcW w:w="4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98</w:t>
            </w:r>
          </w:p>
        </w:tc>
        <w:tc>
          <w:tcPr>
            <w:tcW w:w="34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200" w:type="dxa"/>
            <w:vAlign w:val="bottom"/>
          </w:tcPr>
          <w:p>
            <w:pPr>
              <w:jc w:val="right"/>
              <w:ind w:right="12"/>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ind w:right="152"/>
              <w:spacing w:after="0"/>
              <w:rPr>
                <w:sz w:val="20"/>
                <w:szCs w:val="20"/>
                <w:color w:val="auto"/>
              </w:rPr>
            </w:pPr>
            <w:r>
              <w:rPr>
                <w:rFonts w:ascii="Arial" w:cs="Arial" w:eastAsia="Arial" w:hAnsi="Arial"/>
                <w:sz w:val="18"/>
                <w:szCs w:val="18"/>
                <w:color w:val="auto"/>
              </w:rPr>
              <w:t>96</w:t>
            </w: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100</w:t>
            </w:r>
          </w:p>
        </w:tc>
        <w:tc>
          <w:tcPr>
            <w:tcW w:w="34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32"/>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100</w:t>
            </w:r>
          </w:p>
        </w:tc>
      </w:tr>
      <w:tr>
        <w:trPr>
          <w:trHeight w:val="43"/>
        </w:trPr>
        <w:tc>
          <w:tcPr>
            <w:tcW w:w="2440" w:type="dxa"/>
            <w:vAlign w:val="bottom"/>
          </w:tcPr>
          <w:p>
            <w:pPr>
              <w:spacing w:after="0"/>
              <w:rPr>
                <w:sz w:val="3"/>
                <w:szCs w:val="3"/>
                <w:color w:val="auto"/>
              </w:rPr>
            </w:pPr>
          </w:p>
        </w:tc>
        <w:tc>
          <w:tcPr>
            <w:tcW w:w="460" w:type="dxa"/>
            <w:vAlign w:val="bottom"/>
          </w:tcPr>
          <w:p>
            <w:pPr>
              <w:spacing w:after="0"/>
              <w:rPr>
                <w:sz w:val="3"/>
                <w:szCs w:val="3"/>
                <w:color w:val="auto"/>
              </w:rPr>
            </w:pPr>
          </w:p>
        </w:tc>
        <w:tc>
          <w:tcPr>
            <w:tcW w:w="760" w:type="dxa"/>
            <w:vAlign w:val="bottom"/>
          </w:tcPr>
          <w:p>
            <w:pPr>
              <w:spacing w:after="0"/>
              <w:rPr>
                <w:sz w:val="3"/>
                <w:szCs w:val="3"/>
                <w:color w:val="auto"/>
              </w:rPr>
            </w:pPr>
          </w:p>
        </w:tc>
        <w:tc>
          <w:tcPr>
            <w:tcW w:w="340" w:type="dxa"/>
            <w:vAlign w:val="bottom"/>
          </w:tcPr>
          <w:p>
            <w:pPr>
              <w:spacing w:after="0"/>
              <w:rPr>
                <w:sz w:val="3"/>
                <w:szCs w:val="3"/>
                <w:color w:val="auto"/>
              </w:rPr>
            </w:pPr>
          </w:p>
        </w:tc>
        <w:tc>
          <w:tcPr>
            <w:tcW w:w="200" w:type="dxa"/>
            <w:vAlign w:val="bottom"/>
          </w:tcPr>
          <w:p>
            <w:pPr>
              <w:spacing w:after="0"/>
              <w:rPr>
                <w:sz w:val="3"/>
                <w:szCs w:val="3"/>
                <w:color w:val="auto"/>
              </w:rPr>
            </w:pPr>
          </w:p>
        </w:tc>
        <w:tc>
          <w:tcPr>
            <w:tcW w:w="940" w:type="dxa"/>
            <w:vAlign w:val="bottom"/>
          </w:tcPr>
          <w:p>
            <w:pPr>
              <w:spacing w:after="0"/>
              <w:rPr>
                <w:sz w:val="3"/>
                <w:szCs w:val="3"/>
                <w:color w:val="auto"/>
              </w:rPr>
            </w:pPr>
          </w:p>
        </w:tc>
        <w:tc>
          <w:tcPr>
            <w:tcW w:w="400" w:type="dxa"/>
            <w:vAlign w:val="bottom"/>
          </w:tcPr>
          <w:p>
            <w:pPr>
              <w:spacing w:after="0"/>
              <w:rPr>
                <w:sz w:val="3"/>
                <w:szCs w:val="3"/>
                <w:color w:val="auto"/>
              </w:rPr>
            </w:pPr>
          </w:p>
        </w:tc>
        <w:tc>
          <w:tcPr>
            <w:tcW w:w="800" w:type="dxa"/>
            <w:vAlign w:val="bottom"/>
          </w:tcPr>
          <w:p>
            <w:pPr>
              <w:spacing w:after="0"/>
              <w:rPr>
                <w:sz w:val="3"/>
                <w:szCs w:val="3"/>
                <w:color w:val="auto"/>
              </w:rPr>
            </w:pPr>
          </w:p>
        </w:tc>
        <w:tc>
          <w:tcPr>
            <w:tcW w:w="340" w:type="dxa"/>
            <w:vAlign w:val="bottom"/>
          </w:tcPr>
          <w:p>
            <w:pPr>
              <w:spacing w:after="0"/>
              <w:rPr>
                <w:sz w:val="3"/>
                <w:szCs w:val="3"/>
                <w:color w:val="auto"/>
              </w:rPr>
            </w:pPr>
          </w:p>
        </w:tc>
        <w:tc>
          <w:tcPr>
            <w:tcW w:w="220" w:type="dxa"/>
            <w:vAlign w:val="bottom"/>
          </w:tcPr>
          <w:p>
            <w:pPr>
              <w:spacing w:after="0"/>
              <w:rPr>
                <w:sz w:val="3"/>
                <w:szCs w:val="3"/>
                <w:color w:val="auto"/>
              </w:rPr>
            </w:pPr>
          </w:p>
        </w:tc>
        <w:tc>
          <w:tcPr>
            <w:tcW w:w="740" w:type="dxa"/>
            <w:vAlign w:val="bottom"/>
          </w:tcPr>
          <w:p>
            <w:pPr>
              <w:spacing w:after="0"/>
              <w:rPr>
                <w:sz w:val="3"/>
                <w:szCs w:val="3"/>
                <w:color w:val="auto"/>
              </w:rPr>
            </w:pPr>
          </w:p>
        </w:tc>
      </w:tr>
      <w:tr>
        <w:trPr>
          <w:trHeight w:val="243"/>
        </w:trPr>
        <w:tc>
          <w:tcPr>
            <w:tcW w:w="2440" w:type="dxa"/>
            <w:vAlign w:val="bottom"/>
            <w:shd w:val="clear" w:color="auto" w:fill="000000"/>
          </w:tcPr>
          <w:p>
            <w:pPr>
              <w:spacing w:after="0"/>
              <w:rPr>
                <w:sz w:val="21"/>
                <w:szCs w:val="21"/>
                <w:color w:val="auto"/>
              </w:rPr>
            </w:pPr>
          </w:p>
        </w:tc>
        <w:tc>
          <w:tcPr>
            <w:tcW w:w="460" w:type="dxa"/>
            <w:vAlign w:val="bottom"/>
            <w:shd w:val="clear" w:color="auto" w:fill="000000"/>
          </w:tcPr>
          <w:p>
            <w:pPr>
              <w:spacing w:after="0"/>
              <w:rPr>
                <w:sz w:val="21"/>
                <w:szCs w:val="21"/>
                <w:color w:val="auto"/>
              </w:rPr>
            </w:pPr>
          </w:p>
        </w:tc>
        <w:tc>
          <w:tcPr>
            <w:tcW w:w="760" w:type="dxa"/>
            <w:vAlign w:val="bottom"/>
            <w:shd w:val="clear" w:color="auto" w:fill="000000"/>
          </w:tcPr>
          <w:p>
            <w:pPr>
              <w:spacing w:after="0"/>
              <w:rPr>
                <w:sz w:val="21"/>
                <w:szCs w:val="21"/>
                <w:color w:val="auto"/>
              </w:rPr>
            </w:pPr>
          </w:p>
        </w:tc>
        <w:tc>
          <w:tcPr>
            <w:tcW w:w="340" w:type="dxa"/>
            <w:vAlign w:val="bottom"/>
            <w:shd w:val="clear" w:color="auto" w:fill="000000"/>
          </w:tcPr>
          <w:p>
            <w:pPr>
              <w:spacing w:after="0"/>
              <w:rPr>
                <w:sz w:val="21"/>
                <w:szCs w:val="21"/>
                <w:color w:val="auto"/>
              </w:rPr>
            </w:pPr>
          </w:p>
        </w:tc>
        <w:tc>
          <w:tcPr>
            <w:tcW w:w="200" w:type="dxa"/>
            <w:vAlign w:val="bottom"/>
            <w:shd w:val="clear" w:color="auto" w:fill="000000"/>
          </w:tcPr>
          <w:p>
            <w:pPr>
              <w:spacing w:after="0"/>
              <w:rPr>
                <w:sz w:val="21"/>
                <w:szCs w:val="21"/>
                <w:color w:val="auto"/>
              </w:rPr>
            </w:pPr>
          </w:p>
        </w:tc>
        <w:tc>
          <w:tcPr>
            <w:tcW w:w="940" w:type="dxa"/>
            <w:vAlign w:val="bottom"/>
            <w:shd w:val="clear" w:color="auto" w:fill="000000"/>
          </w:tcPr>
          <w:p>
            <w:pPr>
              <w:spacing w:after="0"/>
              <w:rPr>
                <w:sz w:val="21"/>
                <w:szCs w:val="21"/>
                <w:color w:val="auto"/>
              </w:rPr>
            </w:pPr>
          </w:p>
        </w:tc>
        <w:tc>
          <w:tcPr>
            <w:tcW w:w="400" w:type="dxa"/>
            <w:vAlign w:val="bottom"/>
            <w:shd w:val="clear" w:color="auto" w:fill="000000"/>
          </w:tcPr>
          <w:p>
            <w:pPr>
              <w:spacing w:after="0"/>
              <w:rPr>
                <w:sz w:val="21"/>
                <w:szCs w:val="21"/>
                <w:color w:val="auto"/>
              </w:rPr>
            </w:pPr>
          </w:p>
        </w:tc>
        <w:tc>
          <w:tcPr>
            <w:tcW w:w="800" w:type="dxa"/>
            <w:vAlign w:val="bottom"/>
            <w:shd w:val="clear" w:color="auto" w:fill="000000"/>
          </w:tcPr>
          <w:p>
            <w:pPr>
              <w:spacing w:after="0"/>
              <w:rPr>
                <w:sz w:val="21"/>
                <w:szCs w:val="21"/>
                <w:color w:val="auto"/>
              </w:rPr>
            </w:pPr>
          </w:p>
        </w:tc>
        <w:tc>
          <w:tcPr>
            <w:tcW w:w="340" w:type="dxa"/>
            <w:vAlign w:val="bottom"/>
            <w:shd w:val="clear" w:color="auto" w:fill="000000"/>
          </w:tcPr>
          <w:p>
            <w:pPr>
              <w:spacing w:after="0"/>
              <w:rPr>
                <w:sz w:val="21"/>
                <w:szCs w:val="21"/>
                <w:color w:val="auto"/>
              </w:rPr>
            </w:pPr>
          </w:p>
        </w:tc>
        <w:tc>
          <w:tcPr>
            <w:tcW w:w="220" w:type="dxa"/>
            <w:vAlign w:val="bottom"/>
            <w:shd w:val="clear" w:color="auto" w:fill="000000"/>
          </w:tcPr>
          <w:p>
            <w:pPr>
              <w:spacing w:after="0"/>
              <w:rPr>
                <w:sz w:val="21"/>
                <w:szCs w:val="21"/>
                <w:color w:val="auto"/>
              </w:rPr>
            </w:pPr>
          </w:p>
        </w:tc>
        <w:tc>
          <w:tcPr>
            <w:tcW w:w="740" w:type="dxa"/>
            <w:vAlign w:val="bottom"/>
            <w:shd w:val="clear" w:color="auto" w:fill="000000"/>
          </w:tcPr>
          <w:p>
            <w:pPr>
              <w:spacing w:after="0"/>
              <w:rPr>
                <w:sz w:val="21"/>
                <w:szCs w:val="21"/>
                <w:color w:val="auto"/>
              </w:rPr>
            </w:pPr>
          </w:p>
        </w:tc>
      </w:tr>
    </w:tbl>
    <w:p>
      <w:pPr>
        <w:spacing w:after="0" w:line="167" w:lineRule="exact"/>
        <w:rPr>
          <w:sz w:val="20"/>
          <w:szCs w:val="20"/>
          <w:color w:val="auto"/>
        </w:rPr>
      </w:pPr>
    </w:p>
    <w:p>
      <w:pPr>
        <w:ind w:right="20" w:firstLine="8"/>
        <w:spacing w:after="0" w:line="268" w:lineRule="auto"/>
        <w:tabs>
          <w:tab w:leader="none" w:pos="132" w:val="left"/>
        </w:tabs>
        <w:numPr>
          <w:ilvl w:val="0"/>
          <w:numId w:val="8"/>
        </w:numPr>
        <w:rPr>
          <w:rFonts w:ascii="Arial" w:cs="Arial" w:eastAsia="Arial" w:hAnsi="Arial"/>
          <w:sz w:val="18"/>
          <w:szCs w:val="18"/>
          <w:color w:val="auto"/>
        </w:rPr>
      </w:pPr>
      <w:r>
        <w:rPr>
          <w:rFonts w:ascii="Arial" w:cs="Arial" w:eastAsia="Arial" w:hAnsi="Arial"/>
          <w:sz w:val="18"/>
          <w:szCs w:val="18"/>
          <w:color w:val="auto"/>
        </w:rPr>
        <w:t>$19 million and $21 million in 2005 and 2004, respectively, of mandatorily redeemable preferred stock is included in Deferred Credits and Other Liabilities and in Other Current Liabilities on the Consolidated Balance Sheets.</w:t>
      </w:r>
    </w:p>
    <w:p>
      <w:pPr>
        <w:spacing w:after="0" w:line="173" w:lineRule="exact"/>
        <w:rPr>
          <w:sz w:val="20"/>
          <w:szCs w:val="20"/>
          <w:color w:val="auto"/>
        </w:rPr>
      </w:pPr>
    </w:p>
    <w:p>
      <w:pPr>
        <w:ind w:right="300"/>
        <w:spacing w:after="0" w:line="251" w:lineRule="auto"/>
        <w:rPr>
          <w:sz w:val="20"/>
          <w:szCs w:val="20"/>
          <w:color w:val="auto"/>
        </w:rPr>
      </w:pPr>
      <w:r>
        <w:rPr>
          <w:rFonts w:ascii="Arial" w:cs="Arial" w:eastAsia="Arial" w:hAnsi="Arial"/>
          <w:sz w:val="22"/>
          <w:szCs w:val="22"/>
          <w:color w:val="auto"/>
        </w:rPr>
        <w:t>The fair values of long-term debt and preferred stock are based on their quoted market prices or quoted market prices for similar securities.</w:t>
      </w:r>
    </w:p>
    <w:p>
      <w:pPr>
        <w:spacing w:after="0" w:line="16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8. PREFERRED STOCK</w:t>
      </w:r>
    </w:p>
    <w:p>
      <w:pPr>
        <w:spacing w:after="0" w:line="333" w:lineRule="exact"/>
        <w:rPr>
          <w:sz w:val="20"/>
          <w:szCs w:val="20"/>
          <w:color w:val="auto"/>
        </w:rPr>
      </w:pPr>
    </w:p>
    <w:tbl>
      <w:tblPr>
        <w:tblLayout w:type="fixed"/>
        <w:tblInd w:w="1960" w:type="dxa"/>
        <w:tblCellMar>
          <w:top w:w="0" w:type="dxa"/>
          <w:left w:w="0" w:type="dxa"/>
          <w:bottom w:w="0" w:type="dxa"/>
          <w:right w:w="0" w:type="dxa"/>
        </w:tblCellMar>
      </w:tblPr>
      <w:tr>
        <w:trPr>
          <w:trHeight w:val="222"/>
        </w:trPr>
        <w:tc>
          <w:tcPr>
            <w:tcW w:w="44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80" w:type="dxa"/>
            <w:vAlign w:val="bottom"/>
          </w:tcPr>
          <w:p>
            <w:pPr>
              <w:jc w:val="right"/>
              <w:ind w:right="12"/>
              <w:spacing w:after="0"/>
              <w:rPr>
                <w:sz w:val="20"/>
                <w:szCs w:val="20"/>
                <w:color w:val="auto"/>
              </w:rPr>
            </w:pPr>
            <w:r>
              <w:rPr>
                <w:rFonts w:ascii="Arial" w:cs="Arial" w:eastAsia="Arial" w:hAnsi="Arial"/>
                <w:sz w:val="18"/>
                <w:szCs w:val="18"/>
                <w:color w:val="auto"/>
              </w:rPr>
              <w:t>Call/</w:t>
            </w:r>
          </w:p>
        </w:tc>
        <w:tc>
          <w:tcPr>
            <w:tcW w:w="2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00" w:type="dxa"/>
            <w:vAlign w:val="bottom"/>
          </w:tcPr>
          <w:p>
            <w:pPr>
              <w:spacing w:after="0"/>
              <w:rPr>
                <w:sz w:val="19"/>
                <w:szCs w:val="19"/>
                <w:color w:val="auto"/>
              </w:rPr>
            </w:pPr>
          </w:p>
        </w:tc>
      </w:tr>
      <w:tr>
        <w:trPr>
          <w:trHeight w:val="432"/>
        </w:trPr>
        <w:tc>
          <w:tcPr>
            <w:tcW w:w="4440" w:type="dxa"/>
            <w:vAlign w:val="bottom"/>
          </w:tcPr>
          <w:p>
            <w:pPr>
              <w:spacing w:after="0"/>
              <w:rPr>
                <w:sz w:val="24"/>
                <w:szCs w:val="24"/>
                <w:color w:val="auto"/>
              </w:rPr>
            </w:pPr>
          </w:p>
        </w:tc>
        <w:tc>
          <w:tcPr>
            <w:tcW w:w="1520" w:type="dxa"/>
            <w:vAlign w:val="bottom"/>
            <w:gridSpan w:val="2"/>
          </w:tcPr>
          <w:p>
            <w:pPr>
              <w:jc w:val="right"/>
              <w:ind w:right="12"/>
              <w:spacing w:after="0"/>
              <w:rPr>
                <w:sz w:val="20"/>
                <w:szCs w:val="20"/>
                <w:color w:val="auto"/>
              </w:rPr>
            </w:pPr>
            <w:r>
              <w:rPr>
                <w:rFonts w:ascii="Arial" w:cs="Arial" w:eastAsia="Arial" w:hAnsi="Arial"/>
                <w:sz w:val="18"/>
                <w:szCs w:val="18"/>
                <w:color w:val="auto"/>
              </w:rPr>
              <w:t>Redemption</w:t>
            </w:r>
          </w:p>
        </w:tc>
        <w:tc>
          <w:tcPr>
            <w:tcW w:w="280" w:type="dxa"/>
            <w:vAlign w:val="bottom"/>
          </w:tcPr>
          <w:p>
            <w:pPr>
              <w:spacing w:after="0"/>
              <w:rPr>
                <w:sz w:val="24"/>
                <w:szCs w:val="24"/>
                <w:color w:val="auto"/>
              </w:rPr>
            </w:pPr>
          </w:p>
        </w:tc>
        <w:tc>
          <w:tcPr>
            <w:tcW w:w="1280" w:type="dxa"/>
            <w:vAlign w:val="bottom"/>
            <w:gridSpan w:val="3"/>
          </w:tcPr>
          <w:p>
            <w:pPr>
              <w:jc w:val="right"/>
              <w:ind w:right="12"/>
              <w:spacing w:after="0"/>
              <w:rPr>
                <w:sz w:val="20"/>
                <w:szCs w:val="20"/>
                <w:color w:val="auto"/>
              </w:rPr>
            </w:pPr>
            <w:r>
              <w:rPr>
                <w:rFonts w:ascii="Arial" w:cs="Arial" w:eastAsia="Arial" w:hAnsi="Arial"/>
                <w:sz w:val="18"/>
                <w:szCs w:val="18"/>
                <w:color w:val="auto"/>
              </w:rPr>
              <w:t>December 31,</w:t>
            </w:r>
          </w:p>
        </w:tc>
      </w:tr>
      <w:tr>
        <w:trPr>
          <w:trHeight w:val="432"/>
        </w:trPr>
        <w:tc>
          <w:tcPr>
            <w:tcW w:w="44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80" w:type="dxa"/>
            <w:vAlign w:val="bottom"/>
          </w:tcPr>
          <w:p>
            <w:pPr>
              <w:jc w:val="right"/>
              <w:ind w:right="12"/>
              <w:spacing w:after="0"/>
              <w:rPr>
                <w:sz w:val="20"/>
                <w:szCs w:val="20"/>
                <w:color w:val="auto"/>
              </w:rPr>
            </w:pPr>
            <w:r>
              <w:rPr>
                <w:rFonts w:ascii="Arial" w:cs="Arial" w:eastAsia="Arial" w:hAnsi="Arial"/>
                <w:sz w:val="18"/>
                <w:szCs w:val="18"/>
                <w:color w:val="auto"/>
              </w:rPr>
              <w:t>Price</w:t>
            </w:r>
          </w:p>
        </w:tc>
        <w:tc>
          <w:tcPr>
            <w:tcW w:w="280" w:type="dxa"/>
            <w:vAlign w:val="bottom"/>
          </w:tcPr>
          <w:p>
            <w:pPr>
              <w:spacing w:after="0"/>
              <w:rPr>
                <w:sz w:val="24"/>
                <w:szCs w:val="24"/>
                <w:color w:val="auto"/>
              </w:rPr>
            </w:pPr>
          </w:p>
        </w:tc>
        <w:tc>
          <w:tcPr>
            <w:tcW w:w="540" w:type="dxa"/>
            <w:vAlign w:val="bottom"/>
          </w:tcPr>
          <w:p>
            <w:pPr>
              <w:jc w:val="right"/>
              <w:ind w:right="12"/>
              <w:spacing w:after="0"/>
              <w:rPr>
                <w:sz w:val="20"/>
                <w:szCs w:val="20"/>
                <w:color w:val="auto"/>
              </w:rPr>
            </w:pPr>
            <w:r>
              <w:rPr>
                <w:rFonts w:ascii="Arial" w:cs="Arial" w:eastAsia="Arial" w:hAnsi="Arial"/>
                <w:sz w:val="18"/>
                <w:szCs w:val="18"/>
                <w:color w:val="auto"/>
              </w:rPr>
              <w:t>2005</w:t>
            </w:r>
          </w:p>
        </w:tc>
        <w:tc>
          <w:tcPr>
            <w:tcW w:w="240" w:type="dxa"/>
            <w:vAlign w:val="bottom"/>
          </w:tcPr>
          <w:p>
            <w:pPr>
              <w:spacing w:after="0"/>
              <w:rPr>
                <w:sz w:val="24"/>
                <w:szCs w:val="24"/>
                <w:color w:val="auto"/>
              </w:rPr>
            </w:pPr>
          </w:p>
        </w:tc>
        <w:tc>
          <w:tcPr>
            <w:tcW w:w="500" w:type="dxa"/>
            <w:vAlign w:val="bottom"/>
          </w:tcPr>
          <w:p>
            <w:pPr>
              <w:jc w:val="right"/>
              <w:ind w:right="12"/>
              <w:spacing w:after="0"/>
              <w:rPr>
                <w:sz w:val="20"/>
                <w:szCs w:val="20"/>
                <w:color w:val="auto"/>
              </w:rPr>
            </w:pPr>
            <w:r>
              <w:rPr>
                <w:rFonts w:ascii="Arial" w:cs="Arial" w:eastAsia="Arial" w:hAnsi="Arial"/>
                <w:sz w:val="18"/>
                <w:szCs w:val="18"/>
                <w:color w:val="auto"/>
                <w:w w:val="94"/>
              </w:rPr>
              <w:t>2004</w:t>
            </w:r>
          </w:p>
        </w:tc>
      </w:tr>
      <w:tr>
        <w:trPr>
          <w:trHeight w:val="110"/>
        </w:trPr>
        <w:tc>
          <w:tcPr>
            <w:tcW w:w="4440" w:type="dxa"/>
            <w:vAlign w:val="bottom"/>
          </w:tcPr>
          <w:p>
            <w:pPr>
              <w:spacing w:after="0"/>
              <w:rPr>
                <w:sz w:val="9"/>
                <w:szCs w:val="9"/>
                <w:color w:val="auto"/>
              </w:rPr>
            </w:pPr>
          </w:p>
        </w:tc>
        <w:tc>
          <w:tcPr>
            <w:tcW w:w="840" w:type="dxa"/>
            <w:vAlign w:val="bottom"/>
          </w:tcPr>
          <w:p>
            <w:pPr>
              <w:spacing w:after="0"/>
              <w:rPr>
                <w:sz w:val="9"/>
                <w:szCs w:val="9"/>
                <w:color w:val="auto"/>
              </w:rPr>
            </w:pPr>
          </w:p>
        </w:tc>
        <w:tc>
          <w:tcPr>
            <w:tcW w:w="6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80" w:type="dxa"/>
            <w:vAlign w:val="bottom"/>
            <w:gridSpan w:val="3"/>
          </w:tcPr>
          <w:p>
            <w:pPr>
              <w:spacing w:after="0"/>
              <w:rPr>
                <w:sz w:val="9"/>
                <w:szCs w:val="9"/>
                <w:color w:val="auto"/>
              </w:rPr>
            </w:pPr>
          </w:p>
        </w:tc>
      </w:tr>
      <w:tr>
        <w:trPr>
          <w:trHeight w:val="405"/>
        </w:trPr>
        <w:tc>
          <w:tcPr>
            <w:tcW w:w="4440" w:type="dxa"/>
            <w:vAlign w:val="bottom"/>
            <w:shd w:val="clear" w:color="auto" w:fill="000000"/>
          </w:tcPr>
          <w:p>
            <w:pPr>
              <w:spacing w:after="0"/>
              <w:rPr>
                <w:sz w:val="24"/>
                <w:szCs w:val="24"/>
                <w:color w:val="auto"/>
              </w:rPr>
            </w:pPr>
          </w:p>
        </w:tc>
        <w:tc>
          <w:tcPr>
            <w:tcW w:w="840" w:type="dxa"/>
            <w:vAlign w:val="bottom"/>
            <w:shd w:val="clear" w:color="auto" w:fill="000000"/>
          </w:tcPr>
          <w:p>
            <w:pPr>
              <w:spacing w:after="0"/>
              <w:rPr>
                <w:sz w:val="24"/>
                <w:szCs w:val="24"/>
                <w:color w:val="auto"/>
              </w:rPr>
            </w:pPr>
          </w:p>
        </w:tc>
        <w:tc>
          <w:tcPr>
            <w:tcW w:w="680" w:type="dxa"/>
            <w:vAlign w:val="bottom"/>
            <w:shd w:val="clear" w:color="auto" w:fill="000000"/>
          </w:tcPr>
          <w:p>
            <w:pPr>
              <w:spacing w:after="0"/>
              <w:rPr>
                <w:sz w:val="24"/>
                <w:szCs w:val="24"/>
                <w:color w:val="auto"/>
              </w:rPr>
            </w:pPr>
          </w:p>
        </w:tc>
        <w:tc>
          <w:tcPr>
            <w:tcW w:w="280" w:type="dxa"/>
            <w:vAlign w:val="bottom"/>
            <w:shd w:val="clear" w:color="auto" w:fill="000000"/>
          </w:tcPr>
          <w:p>
            <w:pPr>
              <w:spacing w:after="0"/>
              <w:rPr>
                <w:sz w:val="24"/>
                <w:szCs w:val="24"/>
                <w:color w:val="auto"/>
              </w:rPr>
            </w:pPr>
          </w:p>
        </w:tc>
        <w:tc>
          <w:tcPr>
            <w:tcW w:w="1280" w:type="dxa"/>
            <w:vAlign w:val="bottom"/>
            <w:gridSpan w:val="3"/>
            <w:shd w:val="clear" w:color="auto" w:fill="000000"/>
          </w:tcPr>
          <w:p>
            <w:pPr>
              <w:spacing w:after="0"/>
              <w:rPr>
                <w:sz w:val="24"/>
                <w:szCs w:val="24"/>
                <w:color w:val="auto"/>
              </w:rPr>
            </w:pPr>
          </w:p>
        </w:tc>
      </w:tr>
      <w:tr>
        <w:trPr>
          <w:trHeight w:val="309"/>
        </w:trPr>
        <w:tc>
          <w:tcPr>
            <w:tcW w:w="4440" w:type="dxa"/>
            <w:vAlign w:val="bottom"/>
          </w:tcPr>
          <w:p>
            <w:pPr>
              <w:ind w:left="80"/>
              <w:spacing w:after="0"/>
              <w:rPr>
                <w:sz w:val="20"/>
                <w:szCs w:val="20"/>
                <w:color w:val="auto"/>
              </w:rPr>
            </w:pPr>
            <w:r>
              <w:rPr>
                <w:rFonts w:ascii="Arial" w:cs="Arial" w:eastAsia="Arial" w:hAnsi="Arial"/>
                <w:sz w:val="18"/>
                <w:szCs w:val="18"/>
                <w:color w:val="auto"/>
              </w:rPr>
              <w:t>Not subject to mandatory redemption:</w:t>
            </w:r>
          </w:p>
        </w:tc>
        <w:tc>
          <w:tcPr>
            <w:tcW w:w="8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80" w:type="dxa"/>
            <w:vAlign w:val="bottom"/>
            <w:gridSpan w:val="3"/>
          </w:tcPr>
          <w:p>
            <w:pPr>
              <w:jc w:val="right"/>
              <w:ind w:right="12"/>
              <w:spacing w:after="0"/>
              <w:rPr>
                <w:sz w:val="20"/>
                <w:szCs w:val="20"/>
                <w:color w:val="auto"/>
              </w:rPr>
            </w:pPr>
            <w:r>
              <w:rPr>
                <w:rFonts w:ascii="Arial" w:cs="Arial" w:eastAsia="Arial" w:hAnsi="Arial"/>
                <w:sz w:val="18"/>
                <w:szCs w:val="18"/>
                <w:color w:val="auto"/>
              </w:rPr>
              <w:t>(in millions)</w:t>
            </w:r>
          </w:p>
        </w:tc>
      </w:tr>
      <w:tr>
        <w:trPr>
          <w:trHeight w:val="405"/>
        </w:trPr>
        <w:tc>
          <w:tcPr>
            <w:tcW w:w="4440" w:type="dxa"/>
            <w:vAlign w:val="bottom"/>
          </w:tcPr>
          <w:p>
            <w:pPr>
              <w:ind w:left="580"/>
              <w:spacing w:after="0"/>
              <w:rPr>
                <w:sz w:val="20"/>
                <w:szCs w:val="20"/>
                <w:color w:val="auto"/>
              </w:rPr>
            </w:pPr>
            <w:r>
              <w:rPr>
                <w:rFonts w:ascii="Arial" w:cs="Arial" w:eastAsia="Arial" w:hAnsi="Arial"/>
                <w:sz w:val="18"/>
                <w:szCs w:val="18"/>
                <w:color w:val="auto"/>
              </w:rPr>
              <w:t>$20 par value, authorized 1,375,000 shares:</w:t>
            </w:r>
          </w:p>
        </w:tc>
        <w:tc>
          <w:tcPr>
            <w:tcW w:w="8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r>
      <w:tr>
        <w:trPr>
          <w:trHeight w:val="446"/>
        </w:trPr>
        <w:tc>
          <w:tcPr>
            <w:tcW w:w="4440" w:type="dxa"/>
            <w:vAlign w:val="bottom"/>
          </w:tcPr>
          <w:p>
            <w:pPr>
              <w:ind w:left="860"/>
              <w:spacing w:after="0"/>
              <w:rPr>
                <w:sz w:val="20"/>
                <w:szCs w:val="20"/>
                <w:color w:val="auto"/>
              </w:rPr>
            </w:pPr>
            <w:r>
              <w:rPr>
                <w:rFonts w:ascii="Arial" w:cs="Arial" w:eastAsia="Arial" w:hAnsi="Arial"/>
                <w:sz w:val="18"/>
                <w:szCs w:val="18"/>
                <w:color w:val="auto"/>
              </w:rPr>
              <w:t>5% Series, 375,000 shares outstanding</w:t>
            </w:r>
          </w:p>
        </w:tc>
        <w:tc>
          <w:tcPr>
            <w:tcW w:w="84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92"/>
              <w:spacing w:after="0"/>
              <w:rPr>
                <w:sz w:val="20"/>
                <w:szCs w:val="20"/>
                <w:color w:val="auto"/>
              </w:rPr>
            </w:pPr>
            <w:r>
              <w:rPr>
                <w:rFonts w:ascii="Arial" w:cs="Arial" w:eastAsia="Arial" w:hAnsi="Arial"/>
                <w:sz w:val="18"/>
                <w:szCs w:val="18"/>
                <w:color w:val="auto"/>
              </w:rPr>
              <w:t>24.00</w:t>
            </w:r>
          </w:p>
        </w:tc>
        <w:tc>
          <w:tcPr>
            <w:tcW w:w="2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540" w:type="dxa"/>
            <w:vAlign w:val="bottom"/>
          </w:tcPr>
          <w:p>
            <w:pPr>
              <w:jc w:val="right"/>
              <w:ind w:right="12"/>
              <w:spacing w:after="0"/>
              <w:rPr>
                <w:sz w:val="20"/>
                <w:szCs w:val="20"/>
                <w:color w:val="auto"/>
              </w:rPr>
            </w:pPr>
            <w:r>
              <w:rPr>
                <w:rFonts w:ascii="Arial" w:cs="Arial" w:eastAsia="Arial" w:hAnsi="Arial"/>
                <w:sz w:val="18"/>
                <w:szCs w:val="18"/>
                <w:color w:val="auto"/>
              </w:rPr>
              <w:t>8</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ind w:right="12"/>
              <w:spacing w:after="0"/>
              <w:rPr>
                <w:sz w:val="20"/>
                <w:szCs w:val="20"/>
                <w:color w:val="auto"/>
              </w:rPr>
            </w:pPr>
            <w:r>
              <w:rPr>
                <w:rFonts w:ascii="Arial" w:cs="Arial" w:eastAsia="Arial" w:hAnsi="Arial"/>
                <w:sz w:val="18"/>
                <w:szCs w:val="18"/>
                <w:color w:val="auto"/>
              </w:rPr>
              <w:t>8</w:t>
            </w:r>
          </w:p>
        </w:tc>
      </w:tr>
      <w:tr>
        <w:trPr>
          <w:trHeight w:val="432"/>
        </w:trPr>
        <w:tc>
          <w:tcPr>
            <w:tcW w:w="4440" w:type="dxa"/>
            <w:vAlign w:val="bottom"/>
          </w:tcPr>
          <w:p>
            <w:pPr>
              <w:ind w:left="860"/>
              <w:spacing w:after="0"/>
              <w:rPr>
                <w:sz w:val="20"/>
                <w:szCs w:val="20"/>
                <w:color w:val="auto"/>
              </w:rPr>
            </w:pPr>
            <w:r>
              <w:rPr>
                <w:rFonts w:ascii="Arial" w:cs="Arial" w:eastAsia="Arial" w:hAnsi="Arial"/>
                <w:sz w:val="18"/>
                <w:szCs w:val="18"/>
                <w:color w:val="auto"/>
              </w:rPr>
              <w:t>4.5% Series, 300,000 shares outstanding</w:t>
            </w:r>
          </w:p>
        </w:tc>
        <w:tc>
          <w:tcPr>
            <w:tcW w:w="84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92"/>
              <w:spacing w:after="0"/>
              <w:rPr>
                <w:sz w:val="20"/>
                <w:szCs w:val="20"/>
                <w:color w:val="auto"/>
              </w:rPr>
            </w:pPr>
            <w:r>
              <w:rPr>
                <w:rFonts w:ascii="Arial" w:cs="Arial" w:eastAsia="Arial" w:hAnsi="Arial"/>
                <w:sz w:val="18"/>
                <w:szCs w:val="18"/>
                <w:color w:val="auto"/>
              </w:rPr>
              <w:t>21.20</w:t>
            </w:r>
          </w:p>
        </w:tc>
        <w:tc>
          <w:tcPr>
            <w:tcW w:w="280" w:type="dxa"/>
            <w:vAlign w:val="bottom"/>
          </w:tcPr>
          <w:p>
            <w:pPr>
              <w:spacing w:after="0"/>
              <w:rPr>
                <w:sz w:val="24"/>
                <w:szCs w:val="24"/>
                <w:color w:val="auto"/>
              </w:rPr>
            </w:pPr>
          </w:p>
        </w:tc>
        <w:tc>
          <w:tcPr>
            <w:tcW w:w="540" w:type="dxa"/>
            <w:vAlign w:val="bottom"/>
          </w:tcPr>
          <w:p>
            <w:pPr>
              <w:jc w:val="right"/>
              <w:ind w:right="12"/>
              <w:spacing w:after="0"/>
              <w:rPr>
                <w:sz w:val="20"/>
                <w:szCs w:val="20"/>
                <w:color w:val="auto"/>
              </w:rPr>
            </w:pPr>
            <w:r>
              <w:rPr>
                <w:rFonts w:ascii="Arial" w:cs="Arial" w:eastAsia="Arial" w:hAnsi="Arial"/>
                <w:sz w:val="18"/>
                <w:szCs w:val="18"/>
                <w:color w:val="auto"/>
              </w:rPr>
              <w:t>6</w:t>
            </w:r>
          </w:p>
        </w:tc>
        <w:tc>
          <w:tcPr>
            <w:tcW w:w="240" w:type="dxa"/>
            <w:vAlign w:val="bottom"/>
          </w:tcPr>
          <w:p>
            <w:pPr>
              <w:spacing w:after="0"/>
              <w:rPr>
                <w:sz w:val="24"/>
                <w:szCs w:val="24"/>
                <w:color w:val="auto"/>
              </w:rPr>
            </w:pPr>
          </w:p>
        </w:tc>
        <w:tc>
          <w:tcPr>
            <w:tcW w:w="500" w:type="dxa"/>
            <w:vAlign w:val="bottom"/>
          </w:tcPr>
          <w:p>
            <w:pPr>
              <w:jc w:val="right"/>
              <w:ind w:right="12"/>
              <w:spacing w:after="0"/>
              <w:rPr>
                <w:sz w:val="20"/>
                <w:szCs w:val="20"/>
                <w:color w:val="auto"/>
              </w:rPr>
            </w:pPr>
            <w:r>
              <w:rPr>
                <w:rFonts w:ascii="Arial" w:cs="Arial" w:eastAsia="Arial" w:hAnsi="Arial"/>
                <w:sz w:val="18"/>
                <w:szCs w:val="18"/>
                <w:color w:val="auto"/>
              </w:rPr>
              <w:t>6</w:t>
            </w:r>
          </w:p>
        </w:tc>
      </w:tr>
      <w:tr>
        <w:trPr>
          <w:trHeight w:val="432"/>
        </w:trPr>
        <w:tc>
          <w:tcPr>
            <w:tcW w:w="4440" w:type="dxa"/>
            <w:vAlign w:val="bottom"/>
          </w:tcPr>
          <w:p>
            <w:pPr>
              <w:ind w:left="860"/>
              <w:spacing w:after="0"/>
              <w:rPr>
                <w:sz w:val="20"/>
                <w:szCs w:val="20"/>
                <w:color w:val="auto"/>
              </w:rPr>
            </w:pPr>
            <w:r>
              <w:rPr>
                <w:rFonts w:ascii="Arial" w:cs="Arial" w:eastAsia="Arial" w:hAnsi="Arial"/>
                <w:sz w:val="18"/>
                <w:szCs w:val="18"/>
                <w:color w:val="auto"/>
              </w:rPr>
              <w:t>4.4% Series, 325,000 shares outstanding</w:t>
            </w:r>
          </w:p>
        </w:tc>
        <w:tc>
          <w:tcPr>
            <w:tcW w:w="84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92"/>
              <w:spacing w:after="0"/>
              <w:rPr>
                <w:sz w:val="20"/>
                <w:szCs w:val="20"/>
                <w:color w:val="auto"/>
              </w:rPr>
            </w:pPr>
            <w:r>
              <w:rPr>
                <w:rFonts w:ascii="Arial" w:cs="Arial" w:eastAsia="Arial" w:hAnsi="Arial"/>
                <w:sz w:val="18"/>
                <w:szCs w:val="18"/>
                <w:color w:val="auto"/>
              </w:rPr>
              <w:t>21.00</w:t>
            </w:r>
          </w:p>
        </w:tc>
        <w:tc>
          <w:tcPr>
            <w:tcW w:w="280" w:type="dxa"/>
            <w:vAlign w:val="bottom"/>
          </w:tcPr>
          <w:p>
            <w:pPr>
              <w:spacing w:after="0"/>
              <w:rPr>
                <w:sz w:val="24"/>
                <w:szCs w:val="24"/>
                <w:color w:val="auto"/>
              </w:rPr>
            </w:pPr>
          </w:p>
        </w:tc>
        <w:tc>
          <w:tcPr>
            <w:tcW w:w="540" w:type="dxa"/>
            <w:vAlign w:val="bottom"/>
          </w:tcPr>
          <w:p>
            <w:pPr>
              <w:jc w:val="right"/>
              <w:ind w:right="12"/>
              <w:spacing w:after="0"/>
              <w:rPr>
                <w:sz w:val="20"/>
                <w:szCs w:val="20"/>
                <w:color w:val="auto"/>
              </w:rPr>
            </w:pPr>
            <w:r>
              <w:rPr>
                <w:rFonts w:ascii="Arial" w:cs="Arial" w:eastAsia="Arial" w:hAnsi="Arial"/>
                <w:sz w:val="18"/>
                <w:szCs w:val="18"/>
                <w:color w:val="auto"/>
              </w:rPr>
              <w:t>7</w:t>
            </w:r>
          </w:p>
        </w:tc>
        <w:tc>
          <w:tcPr>
            <w:tcW w:w="240" w:type="dxa"/>
            <w:vAlign w:val="bottom"/>
          </w:tcPr>
          <w:p>
            <w:pPr>
              <w:spacing w:after="0"/>
              <w:rPr>
                <w:sz w:val="24"/>
                <w:szCs w:val="24"/>
                <w:color w:val="auto"/>
              </w:rPr>
            </w:pPr>
          </w:p>
        </w:tc>
        <w:tc>
          <w:tcPr>
            <w:tcW w:w="500" w:type="dxa"/>
            <w:vAlign w:val="bottom"/>
          </w:tcPr>
          <w:p>
            <w:pPr>
              <w:jc w:val="right"/>
              <w:ind w:right="12"/>
              <w:spacing w:after="0"/>
              <w:rPr>
                <w:sz w:val="20"/>
                <w:szCs w:val="20"/>
                <w:color w:val="auto"/>
              </w:rPr>
            </w:pPr>
            <w:r>
              <w:rPr>
                <w:rFonts w:ascii="Arial" w:cs="Arial" w:eastAsia="Arial" w:hAnsi="Arial"/>
                <w:sz w:val="18"/>
                <w:szCs w:val="18"/>
                <w:color w:val="auto"/>
              </w:rPr>
              <w:t>7</w:t>
            </w:r>
          </w:p>
        </w:tc>
      </w:tr>
      <w:tr>
        <w:trPr>
          <w:trHeight w:val="432"/>
        </w:trPr>
        <w:tc>
          <w:tcPr>
            <w:tcW w:w="4440" w:type="dxa"/>
            <w:vAlign w:val="bottom"/>
          </w:tcPr>
          <w:p>
            <w:pPr>
              <w:ind w:left="860"/>
              <w:spacing w:after="0"/>
              <w:rPr>
                <w:sz w:val="20"/>
                <w:szCs w:val="20"/>
                <w:color w:val="auto"/>
              </w:rPr>
            </w:pPr>
            <w:r>
              <w:rPr>
                <w:rFonts w:ascii="Arial" w:cs="Arial" w:eastAsia="Arial" w:hAnsi="Arial"/>
                <w:sz w:val="18"/>
                <w:szCs w:val="18"/>
                <w:color w:val="auto"/>
              </w:rPr>
              <w:t>4.6% Series, 373,770 shares outstanding</w:t>
            </w:r>
          </w:p>
        </w:tc>
        <w:tc>
          <w:tcPr>
            <w:tcW w:w="84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92"/>
              <w:spacing w:after="0"/>
              <w:rPr>
                <w:sz w:val="20"/>
                <w:szCs w:val="20"/>
                <w:color w:val="auto"/>
              </w:rPr>
            </w:pPr>
            <w:r>
              <w:rPr>
                <w:rFonts w:ascii="Arial" w:cs="Arial" w:eastAsia="Arial" w:hAnsi="Arial"/>
                <w:sz w:val="18"/>
                <w:szCs w:val="18"/>
                <w:color w:val="auto"/>
              </w:rPr>
              <w:t>20.25</w:t>
            </w:r>
          </w:p>
        </w:tc>
        <w:tc>
          <w:tcPr>
            <w:tcW w:w="280" w:type="dxa"/>
            <w:vAlign w:val="bottom"/>
          </w:tcPr>
          <w:p>
            <w:pPr>
              <w:spacing w:after="0"/>
              <w:rPr>
                <w:sz w:val="24"/>
                <w:szCs w:val="24"/>
                <w:color w:val="auto"/>
              </w:rPr>
            </w:pPr>
          </w:p>
        </w:tc>
        <w:tc>
          <w:tcPr>
            <w:tcW w:w="540" w:type="dxa"/>
            <w:vAlign w:val="bottom"/>
          </w:tcPr>
          <w:p>
            <w:pPr>
              <w:jc w:val="right"/>
              <w:ind w:right="12"/>
              <w:spacing w:after="0"/>
              <w:rPr>
                <w:sz w:val="20"/>
                <w:szCs w:val="20"/>
                <w:color w:val="auto"/>
              </w:rPr>
            </w:pPr>
            <w:r>
              <w:rPr>
                <w:rFonts w:ascii="Arial" w:cs="Arial" w:eastAsia="Arial" w:hAnsi="Arial"/>
                <w:sz w:val="18"/>
                <w:szCs w:val="18"/>
                <w:color w:val="auto"/>
              </w:rPr>
              <w:t>7</w:t>
            </w:r>
          </w:p>
        </w:tc>
        <w:tc>
          <w:tcPr>
            <w:tcW w:w="240" w:type="dxa"/>
            <w:vAlign w:val="bottom"/>
          </w:tcPr>
          <w:p>
            <w:pPr>
              <w:spacing w:after="0"/>
              <w:rPr>
                <w:sz w:val="24"/>
                <w:szCs w:val="24"/>
                <w:color w:val="auto"/>
              </w:rPr>
            </w:pPr>
          </w:p>
        </w:tc>
        <w:tc>
          <w:tcPr>
            <w:tcW w:w="500" w:type="dxa"/>
            <w:vAlign w:val="bottom"/>
          </w:tcPr>
          <w:p>
            <w:pPr>
              <w:jc w:val="right"/>
              <w:ind w:right="12"/>
              <w:spacing w:after="0"/>
              <w:rPr>
                <w:sz w:val="20"/>
                <w:szCs w:val="20"/>
                <w:color w:val="auto"/>
              </w:rPr>
            </w:pPr>
            <w:r>
              <w:rPr>
                <w:rFonts w:ascii="Arial" w:cs="Arial" w:eastAsia="Arial" w:hAnsi="Arial"/>
                <w:sz w:val="18"/>
                <w:szCs w:val="18"/>
                <w:color w:val="auto"/>
              </w:rPr>
              <w:t>7</w:t>
            </w:r>
          </w:p>
        </w:tc>
      </w:tr>
      <w:tr>
        <w:trPr>
          <w:trHeight w:val="419"/>
        </w:trPr>
        <w:tc>
          <w:tcPr>
            <w:tcW w:w="4440" w:type="dxa"/>
            <w:vAlign w:val="bottom"/>
          </w:tcPr>
          <w:p>
            <w:pPr>
              <w:ind w:left="580"/>
              <w:spacing w:after="0"/>
              <w:rPr>
                <w:sz w:val="20"/>
                <w:szCs w:val="20"/>
                <w:color w:val="auto"/>
              </w:rPr>
            </w:pPr>
            <w:r>
              <w:rPr>
                <w:rFonts w:ascii="Arial" w:cs="Arial" w:eastAsia="Arial" w:hAnsi="Arial"/>
                <w:sz w:val="18"/>
                <w:szCs w:val="18"/>
                <w:color w:val="auto"/>
              </w:rPr>
              <w:t>Without par value:</w:t>
            </w:r>
          </w:p>
        </w:tc>
        <w:tc>
          <w:tcPr>
            <w:tcW w:w="8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r>
      <w:tr>
        <w:trPr>
          <w:trHeight w:val="446"/>
        </w:trPr>
        <w:tc>
          <w:tcPr>
            <w:tcW w:w="4440" w:type="dxa"/>
            <w:vAlign w:val="bottom"/>
          </w:tcPr>
          <w:p>
            <w:pPr>
              <w:ind w:left="860"/>
              <w:spacing w:after="0"/>
              <w:rPr>
                <w:sz w:val="20"/>
                <w:szCs w:val="20"/>
                <w:color w:val="auto"/>
              </w:rPr>
            </w:pPr>
            <w:r>
              <w:rPr>
                <w:rFonts w:ascii="Arial" w:cs="Arial" w:eastAsia="Arial" w:hAnsi="Arial"/>
                <w:sz w:val="18"/>
                <w:szCs w:val="18"/>
                <w:color w:val="auto"/>
              </w:rPr>
              <w:t>$1.70 Series, 1,400,000 shares outstanding</w:t>
            </w:r>
          </w:p>
        </w:tc>
        <w:tc>
          <w:tcPr>
            <w:tcW w:w="84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92"/>
              <w:spacing w:after="0"/>
              <w:rPr>
                <w:sz w:val="20"/>
                <w:szCs w:val="20"/>
                <w:color w:val="auto"/>
              </w:rPr>
            </w:pPr>
            <w:r>
              <w:rPr>
                <w:rFonts w:ascii="Arial" w:cs="Arial" w:eastAsia="Arial" w:hAnsi="Arial"/>
                <w:sz w:val="18"/>
                <w:szCs w:val="18"/>
                <w:color w:val="auto"/>
              </w:rPr>
              <w:t>25.85</w:t>
            </w:r>
          </w:p>
        </w:tc>
        <w:tc>
          <w:tcPr>
            <w:tcW w:w="280" w:type="dxa"/>
            <w:vAlign w:val="bottom"/>
          </w:tcPr>
          <w:p>
            <w:pPr>
              <w:spacing w:after="0"/>
              <w:rPr>
                <w:sz w:val="24"/>
                <w:szCs w:val="24"/>
                <w:color w:val="auto"/>
              </w:rPr>
            </w:pPr>
          </w:p>
        </w:tc>
        <w:tc>
          <w:tcPr>
            <w:tcW w:w="540" w:type="dxa"/>
            <w:vAlign w:val="bottom"/>
          </w:tcPr>
          <w:p>
            <w:pPr>
              <w:jc w:val="right"/>
              <w:ind w:right="12"/>
              <w:spacing w:after="0"/>
              <w:rPr>
                <w:sz w:val="20"/>
                <w:szCs w:val="20"/>
                <w:color w:val="auto"/>
              </w:rPr>
            </w:pPr>
            <w:r>
              <w:rPr>
                <w:rFonts w:ascii="Arial" w:cs="Arial" w:eastAsia="Arial" w:hAnsi="Arial"/>
                <w:sz w:val="18"/>
                <w:szCs w:val="18"/>
                <w:color w:val="auto"/>
              </w:rPr>
              <w:t>35</w:t>
            </w:r>
          </w:p>
        </w:tc>
        <w:tc>
          <w:tcPr>
            <w:tcW w:w="240" w:type="dxa"/>
            <w:vAlign w:val="bottom"/>
          </w:tcPr>
          <w:p>
            <w:pPr>
              <w:spacing w:after="0"/>
              <w:rPr>
                <w:sz w:val="24"/>
                <w:szCs w:val="24"/>
                <w:color w:val="auto"/>
              </w:rPr>
            </w:pPr>
          </w:p>
        </w:tc>
        <w:tc>
          <w:tcPr>
            <w:tcW w:w="500" w:type="dxa"/>
            <w:vAlign w:val="bottom"/>
          </w:tcPr>
          <w:p>
            <w:pPr>
              <w:jc w:val="right"/>
              <w:ind w:right="12"/>
              <w:spacing w:after="0"/>
              <w:rPr>
                <w:sz w:val="20"/>
                <w:szCs w:val="20"/>
                <w:color w:val="auto"/>
              </w:rPr>
            </w:pPr>
            <w:r>
              <w:rPr>
                <w:rFonts w:ascii="Arial" w:cs="Arial" w:eastAsia="Arial" w:hAnsi="Arial"/>
                <w:sz w:val="18"/>
                <w:szCs w:val="18"/>
                <w:color w:val="auto"/>
              </w:rPr>
              <w:t>35</w:t>
            </w:r>
          </w:p>
        </w:tc>
      </w:tr>
      <w:tr>
        <w:trPr>
          <w:trHeight w:val="419"/>
        </w:trPr>
        <w:tc>
          <w:tcPr>
            <w:tcW w:w="4440" w:type="dxa"/>
            <w:vAlign w:val="bottom"/>
          </w:tcPr>
          <w:p>
            <w:pPr>
              <w:ind w:left="860"/>
              <w:spacing w:after="0"/>
              <w:rPr>
                <w:sz w:val="20"/>
                <w:szCs w:val="20"/>
                <w:color w:val="auto"/>
              </w:rPr>
            </w:pPr>
            <w:r>
              <w:rPr>
                <w:rFonts w:ascii="Arial" w:cs="Arial" w:eastAsia="Arial" w:hAnsi="Arial"/>
                <w:sz w:val="18"/>
                <w:szCs w:val="18"/>
                <w:color w:val="auto"/>
              </w:rPr>
              <w:t>$1.82 Series, 640,000 shares outstanding</w:t>
            </w:r>
          </w:p>
        </w:tc>
        <w:tc>
          <w:tcPr>
            <w:tcW w:w="84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92"/>
              <w:spacing w:after="0"/>
              <w:rPr>
                <w:sz w:val="20"/>
                <w:szCs w:val="20"/>
                <w:color w:val="auto"/>
              </w:rPr>
            </w:pPr>
            <w:r>
              <w:rPr>
                <w:rFonts w:ascii="Arial" w:cs="Arial" w:eastAsia="Arial" w:hAnsi="Arial"/>
                <w:sz w:val="18"/>
                <w:szCs w:val="18"/>
                <w:color w:val="auto"/>
              </w:rPr>
              <w:t>26.00</w:t>
            </w:r>
          </w:p>
        </w:tc>
        <w:tc>
          <w:tcPr>
            <w:tcW w:w="280" w:type="dxa"/>
            <w:vAlign w:val="bottom"/>
          </w:tcPr>
          <w:p>
            <w:pPr>
              <w:spacing w:after="0"/>
              <w:rPr>
                <w:sz w:val="24"/>
                <w:szCs w:val="24"/>
                <w:color w:val="auto"/>
              </w:rPr>
            </w:pPr>
          </w:p>
        </w:tc>
        <w:tc>
          <w:tcPr>
            <w:tcW w:w="540" w:type="dxa"/>
            <w:vAlign w:val="bottom"/>
          </w:tcPr>
          <w:p>
            <w:pPr>
              <w:jc w:val="right"/>
              <w:ind w:right="12"/>
              <w:spacing w:after="0"/>
              <w:rPr>
                <w:sz w:val="20"/>
                <w:szCs w:val="20"/>
                <w:color w:val="auto"/>
              </w:rPr>
            </w:pPr>
            <w:r>
              <w:rPr>
                <w:rFonts w:ascii="Arial" w:cs="Arial" w:eastAsia="Arial" w:hAnsi="Arial"/>
                <w:sz w:val="18"/>
                <w:szCs w:val="18"/>
                <w:color w:val="auto"/>
              </w:rPr>
              <w:t>16</w:t>
            </w:r>
          </w:p>
        </w:tc>
        <w:tc>
          <w:tcPr>
            <w:tcW w:w="240" w:type="dxa"/>
            <w:vAlign w:val="bottom"/>
          </w:tcPr>
          <w:p>
            <w:pPr>
              <w:spacing w:after="0"/>
              <w:rPr>
                <w:sz w:val="24"/>
                <w:szCs w:val="24"/>
                <w:color w:val="auto"/>
              </w:rPr>
            </w:pPr>
          </w:p>
        </w:tc>
        <w:tc>
          <w:tcPr>
            <w:tcW w:w="500" w:type="dxa"/>
            <w:vAlign w:val="bottom"/>
          </w:tcPr>
          <w:p>
            <w:pPr>
              <w:jc w:val="right"/>
              <w:ind w:right="12"/>
              <w:spacing w:after="0"/>
              <w:rPr>
                <w:sz w:val="20"/>
                <w:szCs w:val="20"/>
                <w:color w:val="auto"/>
              </w:rPr>
            </w:pPr>
            <w:r>
              <w:rPr>
                <w:rFonts w:ascii="Arial" w:cs="Arial" w:eastAsia="Arial" w:hAnsi="Arial"/>
                <w:sz w:val="18"/>
                <w:szCs w:val="18"/>
                <w:color w:val="auto"/>
              </w:rPr>
              <w:t>16</w:t>
            </w:r>
          </w:p>
        </w:tc>
      </w:tr>
    </w:tbl>
    <w:p>
      <w:pPr>
        <w:sectPr>
          <w:pgSz w:w="11900" w:h="16868" w:orient="portrait"/>
          <w:cols w:equalWidth="0" w:num="1">
            <w:col w:w="11400"/>
          </w:cols>
          <w:pgMar w:left="240" w:top="118" w:right="259" w:bottom="0" w:gutter="0" w:footer="0" w:header="0"/>
        </w:sectPr>
      </w:pPr>
    </w:p>
    <w:bookmarkStart w:id="41" w:name="page42"/>
    <w:bookmarkEnd w:id="41"/>
    <w:p>
      <w:pPr>
        <w:ind w:left="2820"/>
        <w:spacing w:after="0"/>
        <w:tabs>
          <w:tab w:leader="none" w:pos="8000" w:val="left"/>
          <w:tab w:leader="none" w:pos="8440" w:val="left"/>
          <w:tab w:leader="none" w:pos="8800" w:val="left"/>
          <w:tab w:leader="none" w:pos="918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5182870</wp:posOffset>
            </wp:positionH>
            <wp:positionV relativeFrom="page">
              <wp:posOffset>140335</wp:posOffset>
            </wp:positionV>
            <wp:extent cx="986155" cy="25717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986155" cy="257175"/>
                    </a:xfrm>
                    <a:prstGeom prst="rect">
                      <a:avLst/>
                    </a:prstGeom>
                    <a:noFill/>
                  </pic:spPr>
                </pic:pic>
              </a:graphicData>
            </a:graphic>
          </wp:anchor>
        </w:drawing>
        <w:t>Total</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79</w:t>
        <w:tab/>
        <w:t>$</w:t>
      </w:r>
      <w:r>
        <w:rPr>
          <w:sz w:val="20"/>
          <w:szCs w:val="20"/>
          <w:color w:val="auto"/>
        </w:rPr>
        <w:tab/>
      </w:r>
      <w:r>
        <w:rPr>
          <w:rFonts w:ascii="Arial" w:cs="Arial" w:eastAsia="Arial" w:hAnsi="Arial"/>
          <w:sz w:val="16"/>
          <w:szCs w:val="16"/>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5030470</wp:posOffset>
            </wp:positionH>
            <wp:positionV relativeFrom="paragraph">
              <wp:posOffset>88265</wp:posOffset>
            </wp:positionV>
            <wp:extent cx="986155" cy="25717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986155" cy="2571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2040"/>
        <w:spacing w:after="0"/>
        <w:rPr>
          <w:sz w:val="20"/>
          <w:szCs w:val="20"/>
          <w:color w:val="auto"/>
        </w:rPr>
      </w:pPr>
      <w:r>
        <w:rPr>
          <w:rFonts w:ascii="Arial" w:cs="Arial" w:eastAsia="Arial" w:hAnsi="Arial"/>
          <w:sz w:val="18"/>
          <w:szCs w:val="18"/>
          <w:color w:val="auto"/>
        </w:rPr>
        <w:t>Subject to mandatory redemption:</w:t>
      </w:r>
    </w:p>
    <w:p>
      <w:pPr>
        <w:spacing w:after="0" w:line="225" w:lineRule="exact"/>
        <w:rPr>
          <w:sz w:val="20"/>
          <w:szCs w:val="20"/>
          <w:color w:val="auto"/>
        </w:rPr>
      </w:pPr>
    </w:p>
    <w:p>
      <w:pPr>
        <w:ind w:left="2540"/>
        <w:spacing w:after="0"/>
        <w:rPr>
          <w:sz w:val="20"/>
          <w:szCs w:val="20"/>
          <w:color w:val="auto"/>
        </w:rPr>
      </w:pPr>
      <w:r>
        <w:rPr>
          <w:rFonts w:ascii="Arial" w:cs="Arial" w:eastAsia="Arial" w:hAnsi="Arial"/>
          <w:sz w:val="18"/>
          <w:szCs w:val="18"/>
          <w:color w:val="auto"/>
        </w:rPr>
        <w:t>Without par value: $1.7625 Series, 750,000 and 850,000</w:t>
      </w:r>
    </w:p>
    <w:p>
      <w:pPr>
        <w:spacing w:after="0" w:line="225" w:lineRule="exact"/>
        <w:rPr>
          <w:sz w:val="20"/>
          <w:szCs w:val="20"/>
          <w:color w:val="auto"/>
        </w:rPr>
      </w:pPr>
    </w:p>
    <w:p>
      <w:pPr>
        <w:ind w:left="2540"/>
        <w:spacing w:after="0"/>
        <w:rPr>
          <w:sz w:val="20"/>
          <w:szCs w:val="20"/>
          <w:color w:val="auto"/>
        </w:rPr>
      </w:pPr>
      <w:r>
        <w:rPr>
          <w:rFonts w:ascii="Arial" w:cs="Arial" w:eastAsia="Arial" w:hAnsi="Arial"/>
          <w:sz w:val="18"/>
          <w:szCs w:val="18"/>
          <w:color w:val="auto"/>
        </w:rPr>
        <w:t>shares outstanding at December 31, 2005</w:t>
      </w:r>
    </w:p>
    <w:p>
      <w:pPr>
        <w:spacing w:after="0" w:line="225" w:lineRule="exact"/>
        <w:rPr>
          <w:sz w:val="20"/>
          <w:szCs w:val="20"/>
          <w:color w:val="auto"/>
        </w:rPr>
      </w:pPr>
    </w:p>
    <w:p>
      <w:pPr>
        <w:ind w:left="2540"/>
        <w:spacing w:after="0"/>
        <w:tabs>
          <w:tab w:leader="none" w:pos="7040" w:val="left"/>
          <w:tab w:leader="none" w:pos="7320" w:val="left"/>
          <w:tab w:leader="none" w:pos="8000" w:val="left"/>
          <w:tab w:leader="none" w:pos="8360" w:val="left"/>
          <w:tab w:leader="none" w:pos="8800" w:val="left"/>
          <w:tab w:leader="none" w:pos="9100" w:val="left"/>
        </w:tabs>
        <w:rPr>
          <w:sz w:val="20"/>
          <w:szCs w:val="20"/>
          <w:color w:val="auto"/>
        </w:rPr>
      </w:pPr>
      <w:r>
        <w:rPr>
          <w:rFonts w:ascii="Arial" w:cs="Arial" w:eastAsia="Arial" w:hAnsi="Arial"/>
          <w:sz w:val="18"/>
          <w:szCs w:val="18"/>
          <w:color w:val="auto"/>
        </w:rPr>
        <w:t>and December 31, 2004, respectively</w:t>
      </w:r>
      <w:r>
        <w:rPr>
          <w:sz w:val="20"/>
          <w:szCs w:val="20"/>
          <w:color w:val="auto"/>
        </w:rPr>
        <w:tab/>
      </w:r>
      <w:r>
        <w:rPr>
          <w:rFonts w:ascii="Arial" w:cs="Arial" w:eastAsia="Arial" w:hAnsi="Arial"/>
          <w:sz w:val="18"/>
          <w:szCs w:val="18"/>
          <w:color w:val="auto"/>
        </w:rPr>
        <w:t>$</w:t>
        <w:tab/>
        <w:t>25.00</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19*</w:t>
        <w:tab/>
        <w:t>$</w:t>
      </w:r>
      <w:r>
        <w:rPr>
          <w:sz w:val="20"/>
          <w:szCs w:val="20"/>
          <w:color w:val="auto"/>
        </w:rPr>
        <w:tab/>
      </w: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1240155</wp:posOffset>
            </wp:positionH>
            <wp:positionV relativeFrom="paragraph">
              <wp:posOffset>88265</wp:posOffset>
            </wp:positionV>
            <wp:extent cx="4776470" cy="25717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4776470" cy="2571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500" w:firstLine="8"/>
        <w:spacing w:after="0" w:line="268" w:lineRule="auto"/>
        <w:tabs>
          <w:tab w:leader="none" w:pos="132" w:val="left"/>
        </w:tabs>
        <w:numPr>
          <w:ilvl w:val="0"/>
          <w:numId w:val="9"/>
        </w:numPr>
        <w:rPr>
          <w:rFonts w:ascii="Arial" w:cs="Arial" w:eastAsia="Arial" w:hAnsi="Arial"/>
          <w:sz w:val="18"/>
          <w:szCs w:val="18"/>
          <w:color w:val="auto"/>
        </w:rPr>
      </w:pPr>
      <w:r>
        <w:rPr>
          <w:rFonts w:ascii="Arial" w:cs="Arial" w:eastAsia="Arial" w:hAnsi="Arial"/>
          <w:sz w:val="18"/>
          <w:szCs w:val="18"/>
          <w:color w:val="auto"/>
        </w:rPr>
        <w:t>At December 31, 2005 and 2004, $16 million and $19 million, respectively, were included in Deferred Credits and Other Liabilities, and $3 million and 2 million, respectively, were included in Other Current Liabilities on the Consolidated Balance Sheets.</w:t>
      </w:r>
    </w:p>
    <w:p>
      <w:pPr>
        <w:spacing w:after="0" w:line="173" w:lineRule="exact"/>
        <w:rPr>
          <w:sz w:val="20"/>
          <w:szCs w:val="20"/>
          <w:color w:val="auto"/>
        </w:rPr>
      </w:pPr>
    </w:p>
    <w:p>
      <w:pPr>
        <w:spacing w:after="0" w:line="234" w:lineRule="auto"/>
        <w:rPr>
          <w:sz w:val="20"/>
          <w:szCs w:val="20"/>
          <w:color w:val="auto"/>
        </w:rPr>
      </w:pPr>
      <w:r>
        <w:rPr>
          <w:rFonts w:ascii="Arial" w:cs="Arial" w:eastAsia="Arial" w:hAnsi="Arial"/>
          <w:sz w:val="22"/>
          <w:szCs w:val="22"/>
          <w:color w:val="auto"/>
        </w:rPr>
        <w:t>All series of SDG&amp;E's preferred stock have cumulative preferences as to dividends. The $20 par value preferred stock has two votes per share on matters being voted upon by shareholders of SDG&amp;E and a liquidation value at par. The no-par-value preferred stock is nonvoting and has a liquidation value of $25 per share plus any unpaid dividends. SDG&amp;E is authorized to issue 10,000,000 shares of no-par-value preferred stock (both subject to and not subject to mandatory redemption). All series are callable. The $1.7625 Series has a sinking fund requirement to redeem 50,000 shares at $25 per share in each of 2006 and 2007; all remaining shares must be redeemed in 2008. On each of January 15, 2005 and January 15, 2006, SDG&amp;E redeemed 100,000 shares.</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9. ELECTRIC INDUSTRY REGULATION</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Background</w:t>
      </w:r>
    </w:p>
    <w:p>
      <w:pPr>
        <w:spacing w:after="0" w:line="212" w:lineRule="exact"/>
        <w:rPr>
          <w:sz w:val="20"/>
          <w:szCs w:val="20"/>
          <w:color w:val="auto"/>
        </w:rPr>
      </w:pPr>
    </w:p>
    <w:p>
      <w:pPr>
        <w:ind w:right="80"/>
        <w:spacing w:after="0" w:line="248" w:lineRule="auto"/>
        <w:rPr>
          <w:sz w:val="20"/>
          <w:szCs w:val="20"/>
          <w:color w:val="auto"/>
        </w:rPr>
      </w:pPr>
      <w:r>
        <w:rPr>
          <w:rFonts w:ascii="Arial" w:cs="Arial" w:eastAsia="Arial" w:hAnsi="Arial"/>
          <w:sz w:val="21"/>
          <w:szCs w:val="21"/>
          <w:color w:val="auto"/>
        </w:rPr>
        <w:t>One legislative response to the 2000 - 2001 power crisis resulted in the purchase by the 'DWR of a substantial portion of the power requirements of California's electricity users. In 2001, the DWR entered into long-term contracts with suppliers to provide power for the utility procurement customers of each of the California investor-owned utilities (IOUs). The CPUC has established the allocation of the power and its administrative responsibility, including collection of power contract costs from utility customers, among the IOUs. Beginning on January 1, 2003, the IOUs resumed responsibility for electric commodity procurement above their allocated share of the DWR's long-term contracts.</w:t>
      </w:r>
    </w:p>
    <w:p>
      <w:pPr>
        <w:spacing w:after="0" w:line="17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Department of Water Resources</w:t>
      </w:r>
    </w:p>
    <w:p>
      <w:pPr>
        <w:spacing w:after="0" w:line="212" w:lineRule="exact"/>
        <w:rPr>
          <w:sz w:val="20"/>
          <w:szCs w:val="20"/>
          <w:color w:val="auto"/>
        </w:rPr>
      </w:pPr>
    </w:p>
    <w:p>
      <w:pPr>
        <w:ind w:right="60"/>
        <w:spacing w:after="0" w:line="249" w:lineRule="auto"/>
        <w:rPr>
          <w:sz w:val="20"/>
          <w:szCs w:val="20"/>
          <w:color w:val="auto"/>
        </w:rPr>
      </w:pPr>
      <w:r>
        <w:rPr>
          <w:rFonts w:ascii="Arial" w:cs="Arial" w:eastAsia="Arial" w:hAnsi="Arial"/>
          <w:sz w:val="21"/>
          <w:szCs w:val="21"/>
          <w:color w:val="auto"/>
        </w:rPr>
        <w:t>The DWR operating agreement with SDG&amp;E, approved by the CPUC, provides that SDG&amp;E is acting as a limited agent on behalf of the DWR in undertaking energy sales and natural gas procurement functions under the DWR contracts allocated to SDG&amp;E's customers. Legal and financial responsibility associated with these activities continues to reside with the DWR. Therefore, commodity costs associated with long-term contracts allocated to SDG&amp;E from the DWR (and the revenues to recover those costs) are not included in the Statements of Consolidated Income.</w:t>
      </w:r>
    </w:p>
    <w:p>
      <w:pPr>
        <w:spacing w:after="0" w:line="179" w:lineRule="exact"/>
        <w:rPr>
          <w:sz w:val="20"/>
          <w:szCs w:val="20"/>
          <w:color w:val="auto"/>
        </w:rPr>
      </w:pPr>
    </w:p>
    <w:p>
      <w:pPr>
        <w:ind w:right="180"/>
        <w:spacing w:after="0" w:line="277" w:lineRule="auto"/>
        <w:rPr>
          <w:sz w:val="20"/>
          <w:szCs w:val="20"/>
          <w:color w:val="auto"/>
        </w:rPr>
      </w:pPr>
      <w:r>
        <w:rPr>
          <w:rFonts w:ascii="Arial" w:cs="Arial" w:eastAsia="Arial" w:hAnsi="Arial"/>
          <w:sz w:val="19"/>
          <w:szCs w:val="19"/>
          <w:color w:val="auto"/>
        </w:rPr>
        <w:t>In October 2003, the CPUC initiated a proceeding to consider a permanent methodology for allocating the DWR's revenue requirement beginning in 2004 through the remaining life of the DWR contracts (2013). On June 30, 2005, the CPUC changed its prior decision and assigned SDG&amp;E customers $422 million of the costs (instead of the $790 million pursuant to the prior decision). Such allocation does not affect SDG&amp;E's net income, but does affect its customers' commodity rates. In August 2005, Southern California Edison (Edison), The Utility Reform Network and the California Large Energy Consumers Association(collectively the Parties) filed a Petition for Modification, not disputing the allocation of the DWR decision, but rather the schedule for reallocation. On December 1, 2005, the CPUC approved a decision that denied the Parties' petition to modify.</w:t>
      </w:r>
    </w:p>
    <w:p>
      <w:pPr>
        <w:spacing w:after="0" w:line="153" w:lineRule="exact"/>
        <w:rPr>
          <w:sz w:val="20"/>
          <w:szCs w:val="20"/>
          <w:color w:val="auto"/>
        </w:rPr>
      </w:pPr>
    </w:p>
    <w:p>
      <w:pPr>
        <w:ind w:right="260"/>
        <w:spacing w:after="0" w:line="287" w:lineRule="auto"/>
        <w:rPr>
          <w:sz w:val="20"/>
          <w:szCs w:val="20"/>
          <w:color w:val="auto"/>
        </w:rPr>
      </w:pPr>
      <w:r>
        <w:rPr>
          <w:rFonts w:ascii="Arial" w:cs="Arial" w:eastAsia="Arial" w:hAnsi="Arial"/>
          <w:sz w:val="19"/>
          <w:szCs w:val="19"/>
          <w:color w:val="auto"/>
        </w:rPr>
        <w:t>In December 2005, the CPUC approved a draft decision reallocating one of the state's DWR power contracts (Williams Energy "Power D") from SDG&amp;E to Edison. The decision was modified to make the reallocation effective January 1, 2007, allowing SDG&amp;E an additional year to plan for and acquire the necessary replacement resources. In the same decision, the CPUC rejected Edison's request to reallocate administration of Sempra Generation's DWR contract to SDG&amp;E.</w:t>
      </w:r>
    </w:p>
    <w:p>
      <w:pPr>
        <w:spacing w:after="0" w:line="13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Power Procurement and Resource Planning</w:t>
      </w:r>
    </w:p>
    <w:p>
      <w:pPr>
        <w:spacing w:after="0" w:line="212" w:lineRule="exact"/>
        <w:rPr>
          <w:sz w:val="20"/>
          <w:szCs w:val="20"/>
          <w:color w:val="auto"/>
        </w:rPr>
      </w:pPr>
    </w:p>
    <w:p>
      <w:pPr>
        <w:ind w:right="20"/>
        <w:spacing w:after="0" w:line="236" w:lineRule="auto"/>
        <w:rPr>
          <w:sz w:val="20"/>
          <w:szCs w:val="20"/>
          <w:color w:val="auto"/>
        </w:rPr>
      </w:pPr>
      <w:r>
        <w:rPr>
          <w:rFonts w:ascii="Arial" w:cs="Arial" w:eastAsia="Arial" w:hAnsi="Arial"/>
          <w:sz w:val="22"/>
          <w:szCs w:val="22"/>
          <w:color w:val="auto"/>
        </w:rPr>
        <w:t>In 2001, the CPUC directed the IOUs to resume electric commodity procurement to cover their net short energy requirements by January 1, 2003 and also implemented legislation regarding procurement and renewables portfolio standards. In addition, the CPUC established a process for review and approval of the utilities' long-term resource and procurement plans, which is intended to identify forecasted needs for generation and transmission resources within a utility's service territory to support transmission grid reliability and to serve customers.</w:t>
      </w:r>
    </w:p>
    <w:p>
      <w:pPr>
        <w:sectPr>
          <w:pgSz w:w="11900" w:h="16838" w:orient="portrait"/>
          <w:cols w:equalWidth="0" w:num="1">
            <w:col w:w="11420"/>
          </w:cols>
          <w:pgMar w:left="240" w:top="712" w:right="239" w:bottom="218" w:gutter="0" w:footer="0" w:header="0"/>
        </w:sectPr>
      </w:pPr>
    </w:p>
    <w:bookmarkStart w:id="42" w:name="page43"/>
    <w:bookmarkEnd w:id="42"/>
    <w:p>
      <w:pPr>
        <w:ind w:right="20"/>
        <w:spacing w:after="0" w:line="246" w:lineRule="auto"/>
        <w:rPr>
          <w:sz w:val="20"/>
          <w:szCs w:val="20"/>
          <w:color w:val="auto"/>
        </w:rPr>
      </w:pPr>
      <w:r>
        <w:rPr>
          <w:rFonts w:ascii="Arial" w:cs="Arial" w:eastAsia="Arial" w:hAnsi="Arial"/>
          <w:sz w:val="21"/>
          <w:szCs w:val="21"/>
          <w:color w:val="auto"/>
        </w:rPr>
        <w:t>In June 2004, the CPUC approved a request by SDG&amp;E to enter into new electric resource contracts to meet its short-term and long-term grid reliability needs, including the ten-year 573-Megawatt (MW) Otay Mesa Power Purchase Agreement (OMPPA) with Calpine Corp. (Calpine). The OMPPA was to begin January 1, 2008. In June 2005, the CPUC granted limited rehearing of its approval of the OMPPA and on February 16, 2005, the CPUC re-affirmed its approval of the OMPPA. However, several conditions precedent required by the OMPPA have not yet been satisfied. In lieu of the OMPPA, SDG&amp;E and Calpine have entered into a non-binding letter of intent contemplating the negotiation of a definitive agreement for the sale of the Otay Mesa power plant to SDG&amp;E. Any final, definitive agreement would require the approval of the CPUC and the bankruptcy court having jurisdiction over the Calpine case.</w:t>
      </w:r>
    </w:p>
    <w:p>
      <w:pPr>
        <w:spacing w:after="0" w:line="181" w:lineRule="exact"/>
        <w:rPr>
          <w:sz w:val="20"/>
          <w:szCs w:val="20"/>
          <w:color w:val="auto"/>
        </w:rPr>
      </w:pPr>
    </w:p>
    <w:p>
      <w:pPr>
        <w:jc w:val="both"/>
        <w:ind w:right="100"/>
        <w:spacing w:after="0" w:line="258" w:lineRule="auto"/>
        <w:rPr>
          <w:sz w:val="20"/>
          <w:szCs w:val="20"/>
          <w:color w:val="auto"/>
        </w:rPr>
      </w:pPr>
      <w:r>
        <w:rPr>
          <w:rFonts w:ascii="Arial" w:cs="Arial" w:eastAsia="Arial" w:hAnsi="Arial"/>
          <w:sz w:val="21"/>
          <w:szCs w:val="21"/>
          <w:color w:val="auto"/>
        </w:rPr>
        <w:t>In July 2005, the CPUC also approved SDG&amp;E's request for the construction (CPCN application) of $209 million in transmission facilities needed, in part, to provide full dispatchability of the Otay Mesa generation project. SDG&amp;E has commenced construction of the OMPPA transmission upgrade project, spending $8 million through December 31, 2005.</w:t>
      </w:r>
    </w:p>
    <w:p>
      <w:pPr>
        <w:spacing w:after="0" w:line="167" w:lineRule="exact"/>
        <w:rPr>
          <w:sz w:val="20"/>
          <w:szCs w:val="20"/>
          <w:color w:val="auto"/>
        </w:rPr>
      </w:pPr>
    </w:p>
    <w:p>
      <w:pPr>
        <w:ind w:right="20"/>
        <w:spacing w:after="0" w:line="275" w:lineRule="auto"/>
        <w:rPr>
          <w:sz w:val="20"/>
          <w:szCs w:val="20"/>
          <w:color w:val="auto"/>
        </w:rPr>
      </w:pPr>
      <w:r>
        <w:rPr>
          <w:rFonts w:ascii="Arial" w:cs="Arial" w:eastAsia="Arial" w:hAnsi="Arial"/>
          <w:sz w:val="19"/>
          <w:szCs w:val="19"/>
          <w:color w:val="auto"/>
        </w:rPr>
        <w:t>The CPUC requires SDG&amp;E to achieve a 20% renewable energy portfolio by 2010. SDG&amp;E has entered into contracts with four developers for the purchase of energy from projects scheduled to begin operation between 2007 and 2016. SDG&amp;E has entered into a 20-year contract to develop a 900-MW solar project in the Imperial Valley area of California. The first phase would provide 300 MW of power beginning in 2008 - 2010. The second phase would provide an option for an additional 300 MW beginning in 2010 - 2012. The third phase would provide the right of first refusal for another 300 MW of power beginning after 2012. The first two phases received CPUC approval in December 2005. SDG&amp;E has also entered into a 20-year contract for development of a 205.5-MW wind project scheduled to begin in 2007 - 2008. The projects are expected to raise SDG&amp;E's overall renewable portfolio to 13.3 % in 2010. The projects are contingent upon successful completion of new transmission lines.</w:t>
      </w:r>
    </w:p>
    <w:p>
      <w:pPr>
        <w:spacing w:after="0" w:line="15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San Onofre Nuclear Generating Station (SONGS)</w:t>
      </w:r>
    </w:p>
    <w:p>
      <w:pPr>
        <w:spacing w:after="0" w:line="212" w:lineRule="exact"/>
        <w:rPr>
          <w:sz w:val="20"/>
          <w:szCs w:val="20"/>
          <w:color w:val="auto"/>
        </w:rPr>
      </w:pPr>
    </w:p>
    <w:p>
      <w:pPr>
        <w:ind w:right="20"/>
        <w:spacing w:after="0" w:line="252" w:lineRule="auto"/>
        <w:rPr>
          <w:sz w:val="20"/>
          <w:szCs w:val="20"/>
          <w:color w:val="auto"/>
        </w:rPr>
      </w:pPr>
      <w:r>
        <w:rPr>
          <w:rFonts w:ascii="Arial" w:cs="Arial" w:eastAsia="Arial" w:hAnsi="Arial"/>
          <w:sz w:val="21"/>
          <w:szCs w:val="21"/>
          <w:color w:val="auto"/>
        </w:rPr>
        <w:t>On May 5, 2005, the CPUC granted SDG&amp;E a rehearing to resolve what SDG&amp;E has contended was a computational error in the CPUC's setting of revenue for SDG&amp;E's share of the operating costs of SONGS. Any adjustment would be retroactive to January 1, 2004. If SDG&amp;E is fully successful, its revenue for the period in which the rehearing is concluded would be increased by $10 million for each of 2004 and 2005. Final resolution is expected in the first half of 2006.</w:t>
      </w:r>
    </w:p>
    <w:p>
      <w:pPr>
        <w:spacing w:after="0" w:line="174" w:lineRule="exact"/>
        <w:rPr>
          <w:sz w:val="20"/>
          <w:szCs w:val="20"/>
          <w:color w:val="auto"/>
        </w:rPr>
      </w:pPr>
    </w:p>
    <w:p>
      <w:pPr>
        <w:ind w:right="120"/>
        <w:spacing w:after="0" w:line="328" w:lineRule="auto"/>
        <w:rPr>
          <w:sz w:val="20"/>
          <w:szCs w:val="20"/>
          <w:color w:val="auto"/>
        </w:rPr>
      </w:pPr>
      <w:r>
        <w:rPr>
          <w:rFonts w:ascii="Arial" w:cs="Arial" w:eastAsia="Arial" w:hAnsi="Arial"/>
          <w:sz w:val="19"/>
          <w:szCs w:val="19"/>
          <w:color w:val="auto"/>
        </w:rPr>
        <w:t>With the end of the Incremental Cost Incentive Mechanism in 2003, SDG&amp;E's SONGS ratebase restarted at $0 on January 1, 2004 and, therefore, SDG&amp;E's earnings from SONGS are now generally limited to a return on new additions to ratebase.</w:t>
      </w:r>
    </w:p>
    <w:p>
      <w:pPr>
        <w:spacing w:after="0" w:line="105" w:lineRule="exact"/>
        <w:rPr>
          <w:sz w:val="20"/>
          <w:szCs w:val="20"/>
          <w:color w:val="auto"/>
        </w:rPr>
      </w:pPr>
    </w:p>
    <w:p>
      <w:pPr>
        <w:ind w:right="100"/>
        <w:spacing w:after="0" w:line="277" w:lineRule="auto"/>
        <w:rPr>
          <w:sz w:val="20"/>
          <w:szCs w:val="20"/>
          <w:color w:val="auto"/>
        </w:rPr>
      </w:pPr>
      <w:r>
        <w:rPr>
          <w:rFonts w:ascii="Arial" w:cs="Arial" w:eastAsia="Arial" w:hAnsi="Arial"/>
          <w:sz w:val="19"/>
          <w:szCs w:val="19"/>
          <w:color w:val="auto"/>
        </w:rPr>
        <w:t>In 2004 Edison, the operator of SONGS, applied for CPUC approval to replace the steam generators at SONGS, stating that the work needed to be done in 2009 and 2010 for Units 2 and 3, respectively, and would require an estimated capital expenditure of $680 million (in 2004 dollars). As provided for in the SONGS Operating Agreement, SDG&amp;E elected not to participate in the steam generator replacement project, which triggered a dispute under the operating agreement over the extent to which SDG&amp;E's ownership share and its related share of SONGS's output would be reduced from its existing 20% interest if SDG&amp;E does not participate in the project. In February 2005, an arbitrator issued a decision that would result in SDG&amp;E's ownership interest in SONGS and its related share of SONGS's output being reduced to zero if SDG&amp;E continues to decline to participate in the project.</w:t>
      </w:r>
    </w:p>
    <w:p>
      <w:pPr>
        <w:spacing w:after="0" w:line="153" w:lineRule="exact"/>
        <w:rPr>
          <w:sz w:val="20"/>
          <w:szCs w:val="20"/>
          <w:color w:val="auto"/>
        </w:rPr>
      </w:pPr>
    </w:p>
    <w:p>
      <w:pPr>
        <w:spacing w:after="0" w:line="271" w:lineRule="auto"/>
        <w:rPr>
          <w:sz w:val="20"/>
          <w:szCs w:val="20"/>
          <w:color w:val="auto"/>
        </w:rPr>
      </w:pPr>
      <w:r>
        <w:rPr>
          <w:rFonts w:ascii="Arial" w:cs="Arial" w:eastAsia="Arial" w:hAnsi="Arial"/>
          <w:sz w:val="19"/>
          <w:szCs w:val="19"/>
          <w:color w:val="auto"/>
        </w:rPr>
        <w:t>SDG&amp;E intervened in Edison's CPUC application and requested that the CPUC either deny Edison's application as premature, direct Edison to purchase the new steam generators but defer the replacement until it is warranted, or direct Edison to purchase SDG&amp;E's share in the facility and offer back a long-term power purchase agreement in an amount equal to SDG&amp;E's current share (430 MW). Hearings before the CPUC on Edison's application were completed in February 2005, and a final decision approving the steam generator project was issued on December 15, 2005. That decision sets cost recovery at a maximum cap of $782 million and requires a reasonableness review of all costs if total costs exceed $680 million. The decision also approves Edison's revised schedule, which provides for completion of the project for Unit 2 and Unit 3 by early 2010 and late 2010, respectively. To relinquish its ownership share and to address the arbitrator's decision, SDG&amp;E is required to file by April 14, 2006, an appl ication with the CPUC to determine the reasonableness of the transfer of all or part of SDG&amp;E's share of SONGS to Edison, with a decision expected in 2007. The CPUC could require SDG&amp;E to participate in the project and retain a share of SONGS or SDG&amp;E could elect to participate in the project and retain its current 20-percent ownership share of SONGS. If SDG&amp;E's ownership share of SONGS is reduced, SDG&amp;E would seek to recover its net investment in SONGS made since January 1, 2004 ($86 million at December 31, 2005, including materials and supplies of $31 million) and any future SONGS investments made prior to the time the ownership reduction becomes effective, and a return on its investment in SONGS ratebase (including that portion of the $31 million that is transferred to plant by that time).</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Spent Nuclear Fuel</w:t>
      </w:r>
    </w:p>
    <w:p>
      <w:pPr>
        <w:spacing w:after="0" w:line="212" w:lineRule="exact"/>
        <w:rPr>
          <w:sz w:val="20"/>
          <w:szCs w:val="20"/>
          <w:color w:val="auto"/>
        </w:rPr>
      </w:pPr>
    </w:p>
    <w:p>
      <w:pPr>
        <w:ind w:right="100"/>
        <w:spacing w:after="0" w:line="236" w:lineRule="auto"/>
        <w:rPr>
          <w:sz w:val="20"/>
          <w:szCs w:val="20"/>
          <w:color w:val="auto"/>
        </w:rPr>
      </w:pPr>
      <w:r>
        <w:rPr>
          <w:rFonts w:ascii="Arial" w:cs="Arial" w:eastAsia="Arial" w:hAnsi="Arial"/>
          <w:sz w:val="22"/>
          <w:szCs w:val="22"/>
          <w:color w:val="auto"/>
        </w:rPr>
        <w:t>SONGS owners have responsibility for the interim storage of spent nuclear fuel generated at SONGS until it is accepted by the Department of Energy (DOE) for final disposal. Spent nuclear fuel has been stored in the SONGS Units 1, 2 and 3 spent fuel pools and in the ISFSI. Movement of all spent fuel to the ISFSI was completed as of December 31, 2005, providing sufficient space for the Units 2 and 3 spent fuel pools to meet storage requirements through mid-2007 and mid-2008, respectively. The ISFSI has adequate storage capacity through 2022.</w:t>
      </w:r>
    </w:p>
    <w:p>
      <w:pPr>
        <w:spacing w:after="0" w:line="18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10. OTHER REGULATORY MATTERS</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Utility Ratemaking Incentive Awards</w:t>
      </w:r>
    </w:p>
    <w:p>
      <w:pPr>
        <w:sectPr>
          <w:pgSz w:w="11900" w:h="16838" w:orient="portrait"/>
          <w:cols w:equalWidth="0" w:num="1">
            <w:col w:w="11420"/>
          </w:cols>
          <w:pgMar w:left="240" w:top="118" w:right="239" w:bottom="161" w:gutter="0" w:footer="0" w:header="0"/>
        </w:sectPr>
      </w:pPr>
    </w:p>
    <w:bookmarkStart w:id="43" w:name="page44"/>
    <w:bookmarkEnd w:id="43"/>
    <w:p>
      <w:pPr>
        <w:spacing w:after="0" w:line="238" w:lineRule="auto"/>
        <w:rPr>
          <w:sz w:val="20"/>
          <w:szCs w:val="20"/>
          <w:color w:val="auto"/>
        </w:rPr>
      </w:pPr>
      <w:r>
        <w:rPr>
          <w:rFonts w:ascii="Arial" w:cs="Arial" w:eastAsia="Arial" w:hAnsi="Arial"/>
          <w:sz w:val="22"/>
          <w:szCs w:val="22"/>
          <w:color w:val="auto"/>
        </w:rPr>
        <w:t>Performance-Based Regulation (PBR) consists of three primary components. The first is a mechanism to adjust rates in years between general rate cases or cost of service cases. It annually adjusts base rates from those of the prior year to provide for inflation based on the most recent Consumer Price Index (CPI) forecast, subject to minimum and maximum percentage increases that change annually.</w:t>
      </w:r>
    </w:p>
    <w:p>
      <w:pPr>
        <w:spacing w:after="0" w:line="186" w:lineRule="exact"/>
        <w:rPr>
          <w:sz w:val="20"/>
          <w:szCs w:val="20"/>
          <w:color w:val="auto"/>
        </w:rPr>
      </w:pPr>
    </w:p>
    <w:p>
      <w:pPr>
        <w:ind w:right="560"/>
        <w:spacing w:after="0" w:line="274" w:lineRule="auto"/>
        <w:rPr>
          <w:sz w:val="20"/>
          <w:szCs w:val="20"/>
          <w:color w:val="auto"/>
        </w:rPr>
      </w:pPr>
      <w:r>
        <w:rPr>
          <w:rFonts w:ascii="Arial" w:cs="Arial" w:eastAsia="Arial" w:hAnsi="Arial"/>
          <w:sz w:val="21"/>
          <w:szCs w:val="21"/>
          <w:color w:val="auto"/>
        </w:rPr>
        <w:t>The second component is a mechanism whereby any earnings in excess of those authorized plus a narrow band above that are shared with customers in varying degrees depending upon the amount of the additional earnings.</w:t>
      </w:r>
    </w:p>
    <w:p>
      <w:pPr>
        <w:spacing w:after="0" w:line="151" w:lineRule="exact"/>
        <w:rPr>
          <w:sz w:val="20"/>
          <w:szCs w:val="20"/>
          <w:color w:val="auto"/>
        </w:rPr>
      </w:pPr>
    </w:p>
    <w:p>
      <w:pPr>
        <w:ind w:right="20"/>
        <w:spacing w:after="0" w:line="235" w:lineRule="auto"/>
        <w:rPr>
          <w:sz w:val="20"/>
          <w:szCs w:val="20"/>
          <w:color w:val="auto"/>
        </w:rPr>
      </w:pPr>
      <w:r>
        <w:rPr>
          <w:rFonts w:ascii="Arial" w:cs="Arial" w:eastAsia="Arial" w:hAnsi="Arial"/>
          <w:sz w:val="22"/>
          <w:szCs w:val="22"/>
          <w:color w:val="auto"/>
        </w:rPr>
        <w:t>The third component consists of a series of measures of utility performance. Generally, if performance is outside of a band around specified benchmarks, the utility is rewarded or penalized certain dollar amounts. The three areas that have been eligible for PBR rewards or penalties are operational incentives based on measurements of safety, reliability and customer service; demand-side management (DSM) rewards based on the effectiveness of the DSM programs; and natural gas procurement rewards or penalties. As noted below, the latest Cost of Service proceeding established formula-based performance measures for customer service, safety and reliability.</w:t>
      </w:r>
    </w:p>
    <w:p>
      <w:pPr>
        <w:spacing w:after="0" w:line="188" w:lineRule="exact"/>
        <w:rPr>
          <w:sz w:val="20"/>
          <w:szCs w:val="20"/>
          <w:color w:val="auto"/>
        </w:rPr>
      </w:pPr>
    </w:p>
    <w:p>
      <w:pPr>
        <w:jc w:val="both"/>
        <w:ind w:right="40"/>
        <w:spacing w:after="0"/>
        <w:rPr>
          <w:sz w:val="20"/>
          <w:szCs w:val="20"/>
          <w:color w:val="auto"/>
        </w:rPr>
      </w:pPr>
      <w:r>
        <w:rPr>
          <w:rFonts w:ascii="Arial" w:cs="Arial" w:eastAsia="Arial" w:hAnsi="Arial"/>
          <w:sz w:val="22"/>
          <w:szCs w:val="22"/>
          <w:color w:val="auto"/>
        </w:rPr>
        <w:t>PBR and DSM awards are not included in the company's earnings until CPUC approval of the award is received. During 2005, the incentive rewards approved and included in earnings consisted of $0.2 million related to SDG&amp;E's Year 11 (2003-2004) natural gas PBR.</w:t>
      </w:r>
    </w:p>
    <w:p>
      <w:pPr>
        <w:spacing w:after="0" w:line="186" w:lineRule="exact"/>
        <w:rPr>
          <w:sz w:val="20"/>
          <w:szCs w:val="20"/>
          <w:color w:val="auto"/>
        </w:rPr>
      </w:pPr>
    </w:p>
    <w:p>
      <w:pPr>
        <w:ind w:right="260"/>
        <w:spacing w:after="0" w:line="249" w:lineRule="auto"/>
        <w:rPr>
          <w:sz w:val="20"/>
          <w:szCs w:val="20"/>
          <w:color w:val="auto"/>
        </w:rPr>
      </w:pPr>
      <w:r>
        <w:rPr>
          <w:rFonts w:ascii="Arial" w:cs="Arial" w:eastAsia="Arial" w:hAnsi="Arial"/>
          <w:sz w:val="21"/>
          <w:szCs w:val="21"/>
          <w:color w:val="auto"/>
        </w:rPr>
        <w:t>In October, 2005, the CPUC approved the settlement agreement between the California Utilities and the CPUC's DRA, resolving all outstanding shareholder earnings claims associated with DSM, energy efficiency and low-income energy efficiency programs through various dates, depending on the program. The decision provides for $73 million in awards, including interest, franchise fees, uncollectible amounts and awards earned in prior years that had not yet then been requested. Approximately $37 million of the $73 million award was included in fourth quarter 2005 income.</w:t>
      </w:r>
    </w:p>
    <w:p>
      <w:pPr>
        <w:spacing w:after="0" w:line="179" w:lineRule="exact"/>
        <w:rPr>
          <w:sz w:val="20"/>
          <w:szCs w:val="20"/>
          <w:color w:val="auto"/>
        </w:rPr>
      </w:pPr>
    </w:p>
    <w:p>
      <w:pPr>
        <w:ind w:right="20"/>
        <w:spacing w:after="0" w:line="236" w:lineRule="auto"/>
        <w:rPr>
          <w:sz w:val="20"/>
          <w:szCs w:val="20"/>
          <w:color w:val="auto"/>
        </w:rPr>
      </w:pPr>
      <w:r>
        <w:rPr>
          <w:rFonts w:ascii="Arial" w:cs="Arial" w:eastAsia="Arial" w:hAnsi="Arial"/>
          <w:sz w:val="22"/>
          <w:szCs w:val="22"/>
          <w:color w:val="auto"/>
        </w:rPr>
        <w:t>In October 2005, the CPUC also approved $8.2 million in PBR incentive awards for SDG&amp;E's 2003 Distribution PBR performance report, relating to employee safety, customer service and electric reliability. This award is subject to refund in the event the current investigation of Edison's service quality incentive awards warrants a further investigation of PBR incentives for other utilities, including SDG&amp;E. The CPUC's Consumer Protection and Safety Division is conducting an ongoing investigation of Edison's PBR incentive data reporting.</w:t>
      </w:r>
    </w:p>
    <w:p>
      <w:pPr>
        <w:spacing w:after="0" w:line="188" w:lineRule="exact"/>
        <w:rPr>
          <w:sz w:val="20"/>
          <w:szCs w:val="20"/>
          <w:color w:val="auto"/>
        </w:rPr>
      </w:pPr>
    </w:p>
    <w:p>
      <w:pPr>
        <w:ind w:right="180"/>
        <w:spacing w:after="0" w:line="274" w:lineRule="auto"/>
        <w:rPr>
          <w:sz w:val="20"/>
          <w:szCs w:val="20"/>
          <w:color w:val="auto"/>
        </w:rPr>
      </w:pPr>
      <w:r>
        <w:rPr>
          <w:rFonts w:ascii="Arial" w:cs="Arial" w:eastAsia="Arial" w:hAnsi="Arial"/>
          <w:sz w:val="21"/>
          <w:szCs w:val="21"/>
          <w:color w:val="auto"/>
        </w:rPr>
        <w:t>The cumulative amount of these awards that is subject to refund based on the outcome of the Border Price Investigation discussed in "Legal Proceedings" in Note 11 below is $8.5 million, the majority of which has been included in income.</w:t>
      </w:r>
    </w:p>
    <w:p>
      <w:pPr>
        <w:spacing w:after="0" w:line="14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Cost of Service</w:t>
      </w:r>
    </w:p>
    <w:p>
      <w:pPr>
        <w:spacing w:after="0" w:line="212" w:lineRule="exact"/>
        <w:rPr>
          <w:sz w:val="20"/>
          <w:szCs w:val="20"/>
          <w:color w:val="auto"/>
        </w:rPr>
      </w:pPr>
    </w:p>
    <w:p>
      <w:pPr>
        <w:ind w:right="60"/>
        <w:spacing w:after="0" w:line="236" w:lineRule="auto"/>
        <w:rPr>
          <w:sz w:val="20"/>
          <w:szCs w:val="20"/>
          <w:color w:val="auto"/>
        </w:rPr>
      </w:pPr>
      <w:r>
        <w:rPr>
          <w:rFonts w:ascii="Arial" w:cs="Arial" w:eastAsia="Arial" w:hAnsi="Arial"/>
          <w:sz w:val="22"/>
          <w:szCs w:val="22"/>
          <w:color w:val="auto"/>
        </w:rPr>
        <w:t>The California Utilities' proposed settlement of Phase II of their cost of service proceedings, addressing attrition allowances and performance-based incentive mechanisms, was approved by the CPUC and related performance measures and incentives were adopted. The CPUC's decision establishes an indexing methodology for post-test-year ratemaking that includes inflation adjustments and earnings-sharing mechanisms. The decision is retroactive to January 1, 2005 and is applicable to years 2005-2007. It eliminates earnings sharing and incentive awards for 2004.</w:t>
      </w:r>
    </w:p>
    <w:p>
      <w:pPr>
        <w:spacing w:after="0" w:line="188" w:lineRule="exact"/>
        <w:rPr>
          <w:sz w:val="20"/>
          <w:szCs w:val="20"/>
          <w:color w:val="auto"/>
        </w:rPr>
      </w:pPr>
    </w:p>
    <w:p>
      <w:pPr>
        <w:ind w:right="20"/>
        <w:spacing w:after="0" w:line="272" w:lineRule="auto"/>
        <w:rPr>
          <w:sz w:val="20"/>
          <w:szCs w:val="20"/>
          <w:color w:val="auto"/>
        </w:rPr>
      </w:pPr>
      <w:r>
        <w:rPr>
          <w:rFonts w:ascii="Arial" w:cs="Arial" w:eastAsia="Arial" w:hAnsi="Arial"/>
          <w:sz w:val="19"/>
          <w:szCs w:val="19"/>
          <w:color w:val="auto"/>
        </w:rPr>
        <w:t>For 2005 - 2007, the California Utilities' authorized base-rate revenues will be annually increased by the increase in the CPI, subject to minimum and maximum percentage increases that vary with the particular utility and increase yearly. The annual minimum increases range from 3.2% to 3.8% and the annual maximum percentage increases range from 4.2% to 4.8%. Pursuant to the indexing mechanisms, SDG&amp;E increased its 2006 base margin revenue requirements by $33 million. The base margin adjustments included the recalibration of the 2005 base margin escalation to reflect actual index values before calculating the 2006 base margin revenue. For 2005-2007, any utility base-rate earnings that exceed the CPUC-authorized rate of return on ratebase plus 0.5 percentage point will be shared with customers, in proportions that vary with the amount of the excess, beginning with customers' receiving 75% of the excess, declining to 25% as the excess increases. The decision authorizes either utility to file for a suspension of the indexing and sharing mechanisms if its base-rate earnings for any year are at least 1.75 percentage points below its authorized rate of return and authorizes others to file for a suspension if either utility's base-rate earnings for any year are at least 1.75 percentage points above its authorized rate of return. The mechanisms would be automatically suspended for either utility if its base-rate earnings for 2005 or 2006 are at least 3 percentage points above or below its authorized rate of return.</w:t>
      </w:r>
    </w:p>
    <w:p>
      <w:pPr>
        <w:spacing w:after="0" w:line="162" w:lineRule="exact"/>
        <w:rPr>
          <w:sz w:val="20"/>
          <w:szCs w:val="20"/>
          <w:color w:val="auto"/>
        </w:rPr>
      </w:pPr>
    </w:p>
    <w:p>
      <w:pPr>
        <w:ind w:right="580"/>
        <w:spacing w:after="0" w:line="251" w:lineRule="auto"/>
        <w:rPr>
          <w:sz w:val="20"/>
          <w:szCs w:val="20"/>
          <w:color w:val="auto"/>
        </w:rPr>
      </w:pPr>
      <w:r>
        <w:rPr>
          <w:rFonts w:ascii="Arial" w:cs="Arial" w:eastAsia="Arial" w:hAnsi="Arial"/>
          <w:sz w:val="22"/>
          <w:szCs w:val="22"/>
          <w:color w:val="auto"/>
        </w:rPr>
        <w:t>The decision also establishes formula-based performance measures for customer service, safety and reliability. These provide symmetrical annual reward and penalty potentials aggregating approximately $14 million.</w:t>
      </w:r>
    </w:p>
    <w:p>
      <w:pPr>
        <w:spacing w:after="0" w:line="16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Cost of Capital</w:t>
      </w:r>
    </w:p>
    <w:p>
      <w:pPr>
        <w:spacing w:after="0" w:line="212" w:lineRule="exact"/>
        <w:rPr>
          <w:sz w:val="20"/>
          <w:szCs w:val="20"/>
          <w:color w:val="auto"/>
        </w:rPr>
      </w:pPr>
    </w:p>
    <w:p>
      <w:pPr>
        <w:spacing w:after="0" w:line="328" w:lineRule="auto"/>
        <w:rPr>
          <w:sz w:val="20"/>
          <w:szCs w:val="20"/>
          <w:color w:val="auto"/>
        </w:rPr>
      </w:pPr>
      <w:r>
        <w:rPr>
          <w:rFonts w:ascii="Arial" w:cs="Arial" w:eastAsia="Arial" w:hAnsi="Arial"/>
          <w:sz w:val="19"/>
          <w:szCs w:val="19"/>
          <w:color w:val="auto"/>
        </w:rPr>
        <w:t>On December 15, 2005, the CPUC approved a return on equity (ROE) of 10.7% for SDG&amp;E, an increase from its current ROE of 10.37%. SDG&amp;E's authorized capital structure remains unchanged at 45.25% debt, 5.75% preferred stock and 49% common equity.</w:t>
      </w:r>
    </w:p>
    <w:p>
      <w:pPr>
        <w:spacing w:after="0" w:line="9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CPUC Investigation of Compliance with Affiliate Rules</w:t>
      </w:r>
    </w:p>
    <w:p>
      <w:pPr>
        <w:spacing w:after="0" w:line="212" w:lineRule="exact"/>
        <w:rPr>
          <w:sz w:val="20"/>
          <w:szCs w:val="20"/>
          <w:color w:val="auto"/>
        </w:rPr>
      </w:pPr>
    </w:p>
    <w:p>
      <w:pPr>
        <w:ind w:right="200"/>
        <w:spacing w:after="0" w:line="297" w:lineRule="auto"/>
        <w:rPr>
          <w:sz w:val="20"/>
          <w:szCs w:val="20"/>
          <w:color w:val="auto"/>
        </w:rPr>
      </w:pPr>
      <w:r>
        <w:rPr>
          <w:rFonts w:ascii="Arial" w:cs="Arial" w:eastAsia="Arial" w:hAnsi="Arial"/>
          <w:sz w:val="19"/>
          <w:szCs w:val="19"/>
          <w:color w:val="auto"/>
        </w:rPr>
        <w:t>In November 2004, the CPUC initiated the independent audit (known as the GDS audit) to evaluate energy-related holding company systems and affiliate activities undertaken by Sempra Energy within the service territories of the California Utilities. A draft audit report covering years 1997 through 2003 was provided to the CPUC's Energy Division in December 2005. The Energy</w:t>
      </w:r>
    </w:p>
    <w:p>
      <w:pPr>
        <w:sectPr>
          <w:pgSz w:w="11900" w:h="16838" w:orient="portrait"/>
          <w:cols w:equalWidth="0" w:num="1">
            <w:col w:w="11420"/>
          </w:cols>
          <w:pgMar w:left="240" w:top="118" w:right="239" w:bottom="0" w:gutter="0" w:footer="0" w:header="0"/>
        </w:sectPr>
      </w:pPr>
    </w:p>
    <w:bookmarkStart w:id="44" w:name="page45"/>
    <w:bookmarkEnd w:id="44"/>
    <w:p>
      <w:pPr>
        <w:ind w:right="160"/>
        <w:spacing w:after="0" w:line="251" w:lineRule="auto"/>
        <w:rPr>
          <w:sz w:val="20"/>
          <w:szCs w:val="20"/>
          <w:color w:val="auto"/>
        </w:rPr>
      </w:pPr>
      <w:r>
        <w:rPr>
          <w:rFonts w:ascii="Arial" w:cs="Arial" w:eastAsia="Arial" w:hAnsi="Arial"/>
          <w:sz w:val="22"/>
          <w:szCs w:val="22"/>
          <w:color w:val="auto"/>
        </w:rPr>
        <w:t>Division is reviewing the draft audit report and plans to make the final audit report available in the first half of 2006. The scope of the audit is broader than the annual affiliate audit.</w:t>
      </w:r>
    </w:p>
    <w:p>
      <w:pPr>
        <w:spacing w:after="0" w:line="174" w:lineRule="exact"/>
        <w:rPr>
          <w:sz w:val="20"/>
          <w:szCs w:val="20"/>
          <w:color w:val="auto"/>
        </w:rPr>
      </w:pPr>
    </w:p>
    <w:p>
      <w:pPr>
        <w:spacing w:after="0" w:line="236" w:lineRule="auto"/>
        <w:rPr>
          <w:sz w:val="20"/>
          <w:szCs w:val="20"/>
          <w:color w:val="auto"/>
        </w:rPr>
      </w:pPr>
      <w:r>
        <w:rPr>
          <w:rFonts w:ascii="Arial" w:cs="Arial" w:eastAsia="Arial" w:hAnsi="Arial"/>
          <w:sz w:val="22"/>
          <w:szCs w:val="22"/>
          <w:color w:val="auto"/>
        </w:rPr>
        <w:t>In May 2005, the California Utilities filed with the CPUC the results of the annual independent audit of the California Utilities' 2004 transactions with other Sempra Energy affiliates. Although the company does not agree with a finding of the auditor that utility procurement information was improperly provided to an affiliated risk-management consulting firm employed by Sempra Energy, the California Utilities have adopted the auditor's recommendation to perform risk management functions themselves rather than utilizing Sempra Energy's Risk Management Department.</w:t>
      </w:r>
    </w:p>
    <w:p>
      <w:pPr>
        <w:spacing w:after="0" w:line="188" w:lineRule="exact"/>
        <w:rPr>
          <w:sz w:val="20"/>
          <w:szCs w:val="20"/>
          <w:color w:val="auto"/>
        </w:rPr>
      </w:pPr>
    </w:p>
    <w:p>
      <w:pPr>
        <w:ind w:right="180"/>
        <w:spacing w:after="0" w:line="251" w:lineRule="auto"/>
        <w:rPr>
          <w:sz w:val="20"/>
          <w:szCs w:val="20"/>
          <w:color w:val="auto"/>
        </w:rPr>
      </w:pPr>
      <w:r>
        <w:rPr>
          <w:rFonts w:ascii="Arial" w:cs="Arial" w:eastAsia="Arial" w:hAnsi="Arial"/>
          <w:sz w:val="22"/>
          <w:szCs w:val="22"/>
          <w:color w:val="auto"/>
        </w:rPr>
        <w:t>"CPUC Investigation of Energy-Utility Holding Companies" and "Natural Gas Market OIR" (below) also discuss issues related to affiliate relationships.</w:t>
      </w:r>
    </w:p>
    <w:p>
      <w:pPr>
        <w:spacing w:after="0" w:line="16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CPUC Investigation of Energy-Utility Holding Companies</w:t>
      </w:r>
    </w:p>
    <w:p>
      <w:pPr>
        <w:spacing w:after="0" w:line="212" w:lineRule="exact"/>
        <w:rPr>
          <w:sz w:val="20"/>
          <w:szCs w:val="20"/>
          <w:color w:val="auto"/>
        </w:rPr>
      </w:pPr>
    </w:p>
    <w:p>
      <w:pPr>
        <w:ind w:right="40"/>
        <w:spacing w:after="0" w:line="244" w:lineRule="auto"/>
        <w:rPr>
          <w:sz w:val="20"/>
          <w:szCs w:val="20"/>
          <w:color w:val="auto"/>
        </w:rPr>
      </w:pPr>
      <w:r>
        <w:rPr>
          <w:rFonts w:ascii="Arial" w:cs="Arial" w:eastAsia="Arial" w:hAnsi="Arial"/>
          <w:sz w:val="21"/>
          <w:szCs w:val="21"/>
          <w:color w:val="auto"/>
        </w:rPr>
        <w:t>On October 27, 2005, the CPUC initiated a proceeding to re-examine the relationships between the California IOUs and their respective parent holding companies and other non-utility affiliates. It contemplates a review of the capital budgets, capital allocation processes, and dividend and capital retention policies of the utilities and their non-utility affiliates to better understand the amount of capital to be allocated for investment in energy infrastructure to meet California's need for reliable energy. The CPUC has broadly determined that, in appropriate circumstances, it could require the holding company to provide cash to a utility subsidiary to cover its operating expenses and working capital to the extent it is not adequately funded through retail rates. The CPUC may propose additional rules or regulations to ensure that the utilities retain sufficient capital and the ability to access such capital to meet their customers' needs, and to address potential conflicts between the interests of utility ratepayers and those of non-utility affiliates to ensure that they do not undermine the utilities' ability to meet their public service obligations at the lowest possible cost. A preliminary schedule contemplates that any proposed rules and final rules would be issued for comment and final rules be adopted in the first half of 2006.</w:t>
      </w:r>
    </w:p>
    <w:p>
      <w:pPr>
        <w:spacing w:after="0" w:line="18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Natural Gas Industry Restructuring (GIR)</w:t>
      </w:r>
    </w:p>
    <w:p>
      <w:pPr>
        <w:spacing w:after="0" w:line="212" w:lineRule="exact"/>
        <w:rPr>
          <w:sz w:val="20"/>
          <w:szCs w:val="20"/>
          <w:color w:val="auto"/>
        </w:rPr>
      </w:pPr>
    </w:p>
    <w:p>
      <w:pPr>
        <w:ind w:right="320"/>
        <w:spacing w:after="0" w:line="279" w:lineRule="auto"/>
        <w:rPr>
          <w:sz w:val="20"/>
          <w:szCs w:val="20"/>
          <w:color w:val="auto"/>
        </w:rPr>
      </w:pPr>
      <w:r>
        <w:rPr>
          <w:rFonts w:ascii="Arial" w:cs="Arial" w:eastAsia="Arial" w:hAnsi="Arial"/>
          <w:sz w:val="19"/>
          <w:szCs w:val="19"/>
          <w:color w:val="auto"/>
        </w:rPr>
        <w:t>In December 2001, the CPUC issued a decision related to GIR, with implementation anticipated during 2002. On April 1, 2004, after many delays and changes, the CPUC issued a decision that adopts tariffs to implement the 2001 decision. However, that decision stayed implementation of the GIR tariffs until the CPUC issued a decision in Phase I of the Natural Gas Market Order Instituting Ratemaking (OIR) discussed below. At that time, the CPUC ordered the California Utilities to file a new proposal for system integration, firm access rights and off-system deliveries, as referenced below. The company is required to file a new Biennial Cost Allocation Proceeding (BCAP) application after the stay in the GIR implementation proceeding is lifted.</w:t>
      </w:r>
    </w:p>
    <w:p>
      <w:pPr>
        <w:spacing w:after="0" w:line="14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Natural Gas Market OIR</w:t>
      </w:r>
    </w:p>
    <w:p>
      <w:pPr>
        <w:spacing w:after="0" w:line="212" w:lineRule="exact"/>
        <w:rPr>
          <w:sz w:val="20"/>
          <w:szCs w:val="20"/>
          <w:color w:val="auto"/>
        </w:rPr>
      </w:pPr>
    </w:p>
    <w:p>
      <w:pPr>
        <w:spacing w:after="0" w:line="273" w:lineRule="auto"/>
        <w:rPr>
          <w:sz w:val="20"/>
          <w:szCs w:val="20"/>
          <w:color w:val="auto"/>
        </w:rPr>
      </w:pPr>
      <w:r>
        <w:rPr>
          <w:rFonts w:ascii="Arial" w:cs="Arial" w:eastAsia="Arial" w:hAnsi="Arial"/>
          <w:sz w:val="19"/>
          <w:szCs w:val="19"/>
          <w:color w:val="auto"/>
        </w:rPr>
        <w:t>The CPUC's Natural Gas Market OIR was instituted in January 2004 and is being addressed in two phases. The focus of the Natural Gas Market OIR is the period from 2006 to 2016. The California Utilities have made comprehensive filings in the OIR, outlining a proposed market structure that is intended to create access to new natural gas supply sources, such as liquefied natural gas, for California. In their filings, the California Utilities proposed a framework to provide firm tradable access rights for intrastate natural gas transportation; provide SoCalGas with continued balancing account protection for intrastate transmission and distribution revenues, thereby eliminating throughput risk; and integrate their transmission systems so as to have common rates and rules. The California Utilities also proposed that the capital expenditures necessary to access new sources of supply be included in ratebase and that the total amount of the expenditures would be $200 million to $300 million. A decision on Phase I w as issued in September 2004. The California Utilities were required to file separate applications to address system integration, firm access rights and off-system deliveries. The CPUC also determined that the ratemaking treatment and cost responsibility for any access-related infrastructure will be addressed in future applications to be filed when more is known about the particular project.</w:t>
      </w:r>
    </w:p>
    <w:p>
      <w:pPr>
        <w:spacing w:after="0" w:line="156" w:lineRule="exact"/>
        <w:rPr>
          <w:sz w:val="20"/>
          <w:szCs w:val="20"/>
          <w:color w:val="auto"/>
        </w:rPr>
      </w:pPr>
    </w:p>
    <w:p>
      <w:pPr>
        <w:ind w:right="60"/>
        <w:spacing w:after="0" w:line="246" w:lineRule="auto"/>
        <w:rPr>
          <w:sz w:val="20"/>
          <w:szCs w:val="20"/>
          <w:color w:val="auto"/>
        </w:rPr>
      </w:pPr>
      <w:r>
        <w:rPr>
          <w:rFonts w:ascii="Arial" w:cs="Arial" w:eastAsia="Arial" w:hAnsi="Arial"/>
          <w:sz w:val="21"/>
          <w:szCs w:val="21"/>
          <w:color w:val="auto"/>
        </w:rPr>
        <w:t>Evidentiary hearings on the system integration proposal were held in September 2005 to consider whether the transmission component of the natural gas transportation rates of the California Utilities should be equalized. System integration would allow customers in the California Utilities' service territories to access upstream supplies of natural gas on an equal basis. A decision on this phase is expected during the first quarter of 2006. Evidentiary hearings on infrastructure adequacy were held in August 2005 and addressed a variety of issues including the infrastructure adequacy of the California Utilities' transmission and storage facilities. Natural gas quality standards and interconnection requirements are being addressed in separate phases. In the second phase, to be addressed in mid-2006, the CPUC will consider establishing a system of firm access rights into the California Utilities' system and off-system deliveries.</w:t>
      </w:r>
    </w:p>
    <w:p>
      <w:pPr>
        <w:spacing w:after="0" w:line="181" w:lineRule="exact"/>
        <w:rPr>
          <w:sz w:val="20"/>
          <w:szCs w:val="20"/>
          <w:color w:val="auto"/>
        </w:rPr>
      </w:pPr>
    </w:p>
    <w:p>
      <w:pPr>
        <w:ind w:right="220"/>
        <w:spacing w:after="0" w:line="277" w:lineRule="auto"/>
        <w:rPr>
          <w:sz w:val="20"/>
          <w:szCs w:val="20"/>
          <w:color w:val="auto"/>
        </w:rPr>
      </w:pPr>
      <w:r>
        <w:rPr>
          <w:rFonts w:ascii="Arial" w:cs="Arial" w:eastAsia="Arial" w:hAnsi="Arial"/>
          <w:sz w:val="19"/>
          <w:szCs w:val="19"/>
          <w:color w:val="auto"/>
        </w:rPr>
        <w:t>The California Utilities proposed a methodology and framework to be used by the CPUC for granting pre-approval of new interstate transportation agreements. The Phase I decision approved the California Utilities' transportation capacity pre-approval procedures with some modifications. In 2005, SDG&amp;E was granted approval for capacity contracts with El Paso Natural Gas Company (El Paso), Transwestern Pipeline Company and Kern River Gas Transmission Company, enabling the company to meet its identified goal to operate within the CPUC's approved planning range by November 1, 2006. All interstate transportation capacity under the pre-approved contracts will be used to transport natural gas supplies on behalf of the California Utilities' core residential and small commercial customers, and all costs of the capacity will be recovered in the customers' procurement rates.</w:t>
      </w:r>
    </w:p>
    <w:p>
      <w:pPr>
        <w:spacing w:after="0" w:line="14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Recovery of Certain Disallowed Transmission Costs</w:t>
      </w:r>
    </w:p>
    <w:p>
      <w:pPr>
        <w:sectPr>
          <w:pgSz w:w="11900" w:h="16838" w:orient="portrait"/>
          <w:cols w:equalWidth="0" w:num="1">
            <w:col w:w="11420"/>
          </w:cols>
          <w:pgMar w:left="240" w:top="118" w:right="239" w:bottom="161" w:gutter="0" w:footer="0" w:header="0"/>
        </w:sectPr>
      </w:pPr>
    </w:p>
    <w:bookmarkStart w:id="45" w:name="page46"/>
    <w:bookmarkEnd w:id="45"/>
    <w:p>
      <w:pPr>
        <w:jc w:val="both"/>
        <w:ind w:right="140"/>
        <w:spacing w:after="0" w:line="238" w:lineRule="auto"/>
        <w:rPr>
          <w:sz w:val="20"/>
          <w:szCs w:val="20"/>
          <w:color w:val="auto"/>
        </w:rPr>
      </w:pPr>
      <w:r>
        <w:rPr>
          <w:rFonts w:ascii="Arial" w:cs="Arial" w:eastAsia="Arial" w:hAnsi="Arial"/>
          <w:sz w:val="22"/>
          <w:szCs w:val="22"/>
          <w:color w:val="auto"/>
        </w:rPr>
        <w:t>In September 2005, the FERC approved SDG&amp;E's May 2005 settlement with the California Independent System Operator (ISO), which provides for refunds of ISO charges on the Arizona Public Service Co. and the Imperial Irrigation District ownership shares of the Southwest Powerlink, and resolves such unreimbursed charges going forward. Therefore, SDG&amp;E recorded pre-tax income of $44 million in the third quarter of 2005.</w:t>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California Utilities' Structural Changes</w:t>
      </w:r>
    </w:p>
    <w:p>
      <w:pPr>
        <w:spacing w:after="0" w:line="212" w:lineRule="exact"/>
        <w:rPr>
          <w:sz w:val="20"/>
          <w:szCs w:val="20"/>
          <w:color w:val="auto"/>
        </w:rPr>
      </w:pPr>
    </w:p>
    <w:p>
      <w:pPr>
        <w:ind w:right="260"/>
        <w:spacing w:after="0" w:line="248" w:lineRule="auto"/>
        <w:rPr>
          <w:sz w:val="20"/>
          <w:szCs w:val="20"/>
          <w:color w:val="auto"/>
        </w:rPr>
      </w:pPr>
      <w:r>
        <w:rPr>
          <w:rFonts w:ascii="Arial" w:cs="Arial" w:eastAsia="Arial" w:hAnsi="Arial"/>
          <w:sz w:val="21"/>
          <w:szCs w:val="21"/>
          <w:color w:val="auto"/>
        </w:rPr>
        <w:t>On January 4, 2006, the company announced an agreement that, subject to court approval, would settle the Continental Forge antitrust litigation, an identical proceeding in Nevada and class action lawsuits alleging price misreporting and wash trading. The agreement included that the California Utilities will seek approval from the CPUC to integrate their natural gas transmission facilities and to develop both firm, tradable natural gas receipt point rights for access to their combined intrastate transmission system and firm storage capacity rights on SoCalGas' underground natural gas storage system. Additional discussion of the settlement is provided in Note 11 under "Legal Proceedings."</w:t>
      </w:r>
    </w:p>
    <w:p>
      <w:pPr>
        <w:spacing w:after="0" w:line="17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Gain on Sale Rulemaking</w:t>
      </w:r>
    </w:p>
    <w:p>
      <w:pPr>
        <w:spacing w:after="0" w:line="212" w:lineRule="exact"/>
        <w:rPr>
          <w:sz w:val="20"/>
          <w:szCs w:val="20"/>
          <w:color w:val="auto"/>
        </w:rPr>
      </w:pPr>
    </w:p>
    <w:p>
      <w:pPr>
        <w:spacing w:after="0" w:line="272" w:lineRule="auto"/>
        <w:rPr>
          <w:sz w:val="20"/>
          <w:szCs w:val="20"/>
          <w:color w:val="auto"/>
        </w:rPr>
      </w:pPr>
      <w:r>
        <w:rPr>
          <w:rFonts w:ascii="Arial" w:cs="Arial" w:eastAsia="Arial" w:hAnsi="Arial"/>
          <w:sz w:val="19"/>
          <w:szCs w:val="19"/>
          <w:color w:val="auto"/>
        </w:rPr>
        <w:t>A rulemaking was issued in September 2004 to standardize the treatment of gains on sales of property by the IOUs. This rulemaking may result in the adoption of a general ratemaking policy for allocation between utility shareholders and ratepayers of any gain or loss on sale of utility property. The CPUC will consider adopting a standard percentage allocation, probably between 5 percent and 50 percent to shareholders, rather than resolving such allocations on a case-by-case basis, as is now its practice. In unusual circumstances the CPUC would be able to depart from the standard allocation to be adopted. The CPUC intends to apply this standard percentage to sales of both depreciable and non-depreciable property. The rulemaking states that the new policy would replace the CPUC's current policy of allocating to shareholders all gain or loss to shareholders on sale to a municipality of a utility operating system. In November 2005, a proposed decision was issued that, if approved, would adopt a process for allocating gains on sale received by certain electric, natural gas, telecommunications and water utilities when they sell utility land, assets such as buildings, or other tangible or intangible assets formerly used to serve utility customers. In most cases, utility customers should receive 75% of the gain. The utilities' shareholders should receive the remaining 25% of the gain on sale. Opening and reply comments to the proposed decision were filed in January 2006. The final outcome of the rulemaking may be different than that proposed for comment in the order instituting the rulemaking.</w:t>
      </w:r>
    </w:p>
    <w:p>
      <w:pPr>
        <w:spacing w:after="0" w:line="15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Southern California Wildfires</w:t>
      </w:r>
    </w:p>
    <w:p>
      <w:pPr>
        <w:spacing w:after="0" w:line="212" w:lineRule="exact"/>
        <w:rPr>
          <w:sz w:val="20"/>
          <w:szCs w:val="20"/>
          <w:color w:val="auto"/>
        </w:rPr>
      </w:pPr>
    </w:p>
    <w:p>
      <w:pPr>
        <w:ind w:right="320"/>
        <w:spacing w:after="0" w:line="251" w:lineRule="auto"/>
        <w:rPr>
          <w:sz w:val="20"/>
          <w:szCs w:val="20"/>
          <w:color w:val="auto"/>
        </w:rPr>
      </w:pPr>
      <w:r>
        <w:rPr>
          <w:rFonts w:ascii="Arial" w:cs="Arial" w:eastAsia="Arial" w:hAnsi="Arial"/>
          <w:sz w:val="22"/>
          <w:szCs w:val="22"/>
          <w:color w:val="auto"/>
        </w:rPr>
        <w:t>In August 2005, the CPUC granted SDG&amp;E full recovery, via its catastrophic event memorandum account (CEMA), of incurred costs ($40.8 million) associated with the fires.</w:t>
      </w:r>
    </w:p>
    <w:p>
      <w:pPr>
        <w:spacing w:after="0" w:line="16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11. COMMITMENTS AND CONTINGENCIES</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Legal Proceedings</w:t>
      </w:r>
    </w:p>
    <w:p>
      <w:pPr>
        <w:spacing w:after="0" w:line="212" w:lineRule="exact"/>
        <w:rPr>
          <w:sz w:val="20"/>
          <w:szCs w:val="20"/>
          <w:color w:val="auto"/>
        </w:rPr>
      </w:pPr>
    </w:p>
    <w:p>
      <w:pPr>
        <w:ind w:right="380"/>
        <w:spacing w:after="0"/>
        <w:rPr>
          <w:sz w:val="20"/>
          <w:szCs w:val="20"/>
          <w:color w:val="auto"/>
        </w:rPr>
      </w:pPr>
      <w:r>
        <w:rPr>
          <w:rFonts w:ascii="Arial" w:cs="Arial" w:eastAsia="Arial" w:hAnsi="Arial"/>
          <w:sz w:val="22"/>
          <w:szCs w:val="22"/>
          <w:color w:val="auto"/>
        </w:rPr>
        <w:t>In January 2006, the company reached agreements, subject to court approval, to settle certain litigation arising out of the 2000 - 2001 California energy crisis. As a result of that settlement, the company increased its reserves at December 31, 2005, to $79 million, of which $76 million relates to the settled matters.</w:t>
      </w:r>
    </w:p>
    <w:p>
      <w:pPr>
        <w:spacing w:after="0" w:line="186" w:lineRule="exact"/>
        <w:rPr>
          <w:sz w:val="20"/>
          <w:szCs w:val="20"/>
          <w:color w:val="auto"/>
        </w:rPr>
      </w:pPr>
    </w:p>
    <w:p>
      <w:pPr>
        <w:ind w:right="300"/>
        <w:spacing w:after="0" w:line="252" w:lineRule="auto"/>
        <w:rPr>
          <w:sz w:val="20"/>
          <w:szCs w:val="20"/>
          <w:color w:val="auto"/>
        </w:rPr>
      </w:pPr>
      <w:r>
        <w:rPr>
          <w:rFonts w:ascii="Arial" w:cs="Arial" w:eastAsia="Arial" w:hAnsi="Arial"/>
          <w:sz w:val="21"/>
          <w:szCs w:val="21"/>
          <w:color w:val="auto"/>
        </w:rPr>
        <w:t>Other reserves of $3 million have been established for the litigation that is continuing at February 22, 2006. The uncertainties inherent in complex legal proceedings make it difficult to estimate with any degree of certainty the costs and effects of resolving these matters. Accordingly, costs ultimately incurred may differ materially from estimated costs and could materially adversely affect the company's business, cash flows, results of operations and financial condition.</w:t>
      </w:r>
    </w:p>
    <w:p>
      <w:pPr>
        <w:spacing w:after="0" w:line="269" w:lineRule="exact"/>
        <w:rPr>
          <w:sz w:val="20"/>
          <w:szCs w:val="20"/>
          <w:color w:val="auto"/>
        </w:rPr>
      </w:pPr>
    </w:p>
    <w:p>
      <w:pPr>
        <w:ind w:left="720"/>
        <w:spacing w:after="0"/>
        <w:rPr>
          <w:sz w:val="20"/>
          <w:szCs w:val="20"/>
          <w:color w:val="auto"/>
        </w:rPr>
      </w:pPr>
      <w:r>
        <w:rPr>
          <w:rFonts w:ascii="Arial" w:cs="Arial" w:eastAsia="Arial" w:hAnsi="Arial"/>
          <w:sz w:val="22"/>
          <w:szCs w:val="22"/>
          <w:color w:val="auto"/>
        </w:rPr>
        <w:t>Settlement Agreements</w:t>
      </w:r>
    </w:p>
    <w:p>
      <w:pPr>
        <w:spacing w:after="0" w:line="301" w:lineRule="exact"/>
        <w:rPr>
          <w:sz w:val="20"/>
          <w:szCs w:val="20"/>
          <w:color w:val="auto"/>
        </w:rPr>
      </w:pPr>
    </w:p>
    <w:p>
      <w:pPr>
        <w:ind w:right="40"/>
        <w:spacing w:after="0" w:line="273" w:lineRule="auto"/>
        <w:rPr>
          <w:sz w:val="20"/>
          <w:szCs w:val="20"/>
          <w:color w:val="auto"/>
        </w:rPr>
      </w:pPr>
      <w:r>
        <w:rPr>
          <w:rFonts w:ascii="Arial" w:cs="Arial" w:eastAsia="Arial" w:hAnsi="Arial"/>
          <w:sz w:val="19"/>
          <w:szCs w:val="19"/>
          <w:color w:val="auto"/>
        </w:rPr>
        <w:t>The litigation that is the subject of the settlement agreements is frequently referred to as the Continental Forge litigation, although the settlements also include other cases. The Continental Forge litigation, consisting of class-action and individual antitrust and unfair competition lawsuits consolidated in San Diego Superior Court, allege that Sempra Energy and the California Utilities, along with El Paso and several of its affiliates, unlawfully sought to control natural gas and electricity markets and claim damages of $23 billion after applicable trebling. Plaintiff class members include virtually all natural gas and electric consumers served by the California IOUs. The settlement of Continental Forge would also include the settlement of class action price reporting litigation, consisting of antitrust and unfair competition lawsuits coordinated in the San Diego Superior Court, alleging that Sempra Energy and its subsidiaries unlawfully misreported natural gas transactions to publishers of price indi ces and engaged in natural gas wash trading transactions. A second settlement agreement relates to class-action litigation brought by the Nevada Attorney General in Nevada Clark County District Court and involves virtually identical allegations to those in the Continental Forge litigation.</w:t>
      </w:r>
    </w:p>
    <w:p>
      <w:pPr>
        <w:spacing w:after="0" w:line="162" w:lineRule="exact"/>
        <w:rPr>
          <w:sz w:val="20"/>
          <w:szCs w:val="20"/>
          <w:color w:val="auto"/>
        </w:rPr>
      </w:pPr>
    </w:p>
    <w:p>
      <w:pPr>
        <w:ind w:right="20"/>
        <w:spacing w:after="0" w:line="277" w:lineRule="auto"/>
        <w:rPr>
          <w:sz w:val="20"/>
          <w:szCs w:val="20"/>
          <w:color w:val="auto"/>
        </w:rPr>
      </w:pPr>
      <w:r>
        <w:rPr>
          <w:rFonts w:ascii="Arial" w:cs="Arial" w:eastAsia="Arial" w:hAnsi="Arial"/>
          <w:sz w:val="19"/>
          <w:szCs w:val="19"/>
          <w:color w:val="auto"/>
        </w:rPr>
        <w:t>To settle the California and Nevada litigation, Sempra Energy would make cash payments in installments aggregating $377 million, of which $347 million relates to the Continental Forge and California class action price reporting litigation and $30 million relates to the Nevada antitrust litigation. Of the $377 million, $83 million would be paid within thirty days of final approval of the settlement by the San Diego County Superior Court and an additional $83 million would be paid on the first anniversary of that approval. Of the remaining amount, $27.3 million would be paid on the closing date of the settlement and $26.3 million would be paid on each successive anniversary of the closing date through the seventh anniversary of the closing date. At any time after the first anniversary of the closing date, Sempra Energy would have the option to prepay all or any portion of the remaining unpaid</w:t>
      </w:r>
    </w:p>
    <w:p>
      <w:pPr>
        <w:sectPr>
          <w:pgSz w:w="11900" w:h="16838" w:orient="portrait"/>
          <w:cols w:equalWidth="0" w:num="1">
            <w:col w:w="11420"/>
          </w:cols>
          <w:pgMar w:left="240" w:top="118" w:right="239" w:bottom="0" w:gutter="0" w:footer="0" w:header="0"/>
        </w:sectPr>
      </w:pPr>
    </w:p>
    <w:bookmarkStart w:id="46" w:name="page47"/>
    <w:bookmarkEnd w:id="46"/>
    <w:p>
      <w:pPr>
        <w:ind w:right="240"/>
        <w:spacing w:after="0" w:line="251" w:lineRule="auto"/>
        <w:rPr>
          <w:sz w:val="20"/>
          <w:szCs w:val="20"/>
          <w:color w:val="auto"/>
        </w:rPr>
      </w:pPr>
      <w:r>
        <w:rPr>
          <w:rFonts w:ascii="Arial" w:cs="Arial" w:eastAsia="Arial" w:hAnsi="Arial"/>
          <w:sz w:val="22"/>
          <w:szCs w:val="22"/>
          <w:color w:val="auto"/>
        </w:rPr>
        <w:t>settlement amounts at a discount rate of 7%, with any partial prepayment applied to and reducing each remaining paym ent on an equal and proportionate basis.</w:t>
      </w:r>
    </w:p>
    <w:p>
      <w:pPr>
        <w:spacing w:after="0" w:line="174" w:lineRule="exact"/>
        <w:rPr>
          <w:sz w:val="20"/>
          <w:szCs w:val="20"/>
          <w:color w:val="auto"/>
        </w:rPr>
      </w:pPr>
    </w:p>
    <w:p>
      <w:pPr>
        <w:ind w:right="160"/>
        <w:spacing w:after="0" w:line="245" w:lineRule="auto"/>
        <w:rPr>
          <w:sz w:val="20"/>
          <w:szCs w:val="20"/>
          <w:color w:val="auto"/>
        </w:rPr>
      </w:pPr>
      <w:r>
        <w:rPr>
          <w:rFonts w:ascii="Arial" w:cs="Arial" w:eastAsia="Arial" w:hAnsi="Arial"/>
          <w:sz w:val="21"/>
          <w:szCs w:val="21"/>
          <w:color w:val="auto"/>
        </w:rPr>
        <w:t>Additional consideration for the California settlement includes an agreement that Sempra LNG would sell to the California Utilities, subject to CPUC approval, re-gasified liquefied natural gas from its liquefied natural gas terminal being constructed in Baja California, Mexico at the California border index price minus $0.02. The volumes to be purchased and sold would be up to 500 million cubic feet per day that Sempra Energy subsidiaries currently have contractual rights to purchase and that is not delivered or sold to Mexican entities. The California Utilities also would seek approval from the CPUC to integrate their natural gas transmission facilities and to develop both firm, tradable natural gas receipt point rights for access to their combined intrastate transmission system and SoCalGas' underground natural gas storage system. In addition, as described below, Sempra Generation voluntarily would reduce the price that it charges for power and limit the places at which it would deliver power under its contract with the DWR.</w:t>
      </w:r>
    </w:p>
    <w:p>
      <w:pPr>
        <w:spacing w:after="0" w:line="185" w:lineRule="exact"/>
        <w:rPr>
          <w:sz w:val="20"/>
          <w:szCs w:val="20"/>
          <w:color w:val="auto"/>
        </w:rPr>
      </w:pPr>
    </w:p>
    <w:p>
      <w:pPr>
        <w:spacing w:after="0" w:line="272" w:lineRule="auto"/>
        <w:rPr>
          <w:sz w:val="20"/>
          <w:szCs w:val="20"/>
          <w:color w:val="auto"/>
        </w:rPr>
      </w:pPr>
      <w:r>
        <w:rPr>
          <w:rFonts w:ascii="Arial" w:cs="Arial" w:eastAsia="Arial" w:hAnsi="Arial"/>
          <w:sz w:val="19"/>
          <w:szCs w:val="19"/>
          <w:color w:val="auto"/>
        </w:rPr>
        <w:t>The California settlement is subject to the approval of the San Diego Superior Court, which has preliminarily approved the settlement, and authorized providing notice to the plaintiff class. The Los Angeles City Council has not yet voted to approve the City of Los Angeles's participation in the settlement and it may elect to continue pursuing its individual case against Sempra Energy and the California Utilities. If the City of Los Angeles decides not to participate, Sempra Energy may, at its option, either proceed with the settlement of the class action and other individual cases or terminate the entire agreement. The California Attorney General, the DWR, the California Energy Oversight Board, Edison, and Pacific Gas &amp; Electric Company unsuccessfully challenged the proposed notice to the class based on their concern that, among other things, the releases in the settlement agreement may be sufficiently broad to encompass other proceedings against Sempra Energy and its subsidiaries to which they are pa rties. The final approval hearing for the Continental Forge settlement is scheduled to occur on June 8, 2006. The Nevada settlement is subject to approval by the Nevada Clark County District Court, which has not yet approved notice to the class or scheduled a final approval hearing. Both the California and Nevada settlements must be approved for either settlement to take effect, but Sempra Energy is permitted to waive this condition. The settlements are not conditioned upon approval by the CPUC, the DWR, or any other governmental or regulatory agency to be effective.</w:t>
      </w:r>
    </w:p>
    <w:p>
      <w:pPr>
        <w:spacing w:after="0" w:line="200" w:lineRule="exact"/>
        <w:rPr>
          <w:sz w:val="20"/>
          <w:szCs w:val="20"/>
          <w:color w:val="auto"/>
        </w:rPr>
      </w:pPr>
    </w:p>
    <w:p>
      <w:pPr>
        <w:spacing w:after="0" w:line="205" w:lineRule="exact"/>
        <w:rPr>
          <w:sz w:val="20"/>
          <w:szCs w:val="20"/>
          <w:color w:val="auto"/>
        </w:rPr>
      </w:pPr>
    </w:p>
    <w:p>
      <w:pPr>
        <w:ind w:right="220"/>
        <w:spacing w:after="0" w:line="282" w:lineRule="auto"/>
        <w:rPr>
          <w:sz w:val="20"/>
          <w:szCs w:val="20"/>
          <w:color w:val="auto"/>
        </w:rPr>
      </w:pPr>
      <w:r>
        <w:rPr>
          <w:rFonts w:ascii="Arial" w:cs="Arial" w:eastAsia="Arial" w:hAnsi="Arial"/>
          <w:sz w:val="19"/>
          <w:szCs w:val="19"/>
          <w:color w:val="auto"/>
        </w:rPr>
        <w:t>Sempra Energy recorded an after-tax charge of $116 million for the quarter ended December 31, 2005 (all at the parent company) to provide additional reserves to reflect the costs of the settlements that exceed amounts previously reserved. The additional and previously reserved amounts for the California and Nevada settlements aggregate $585 million (including $76 million at SDG&amp;E and $155 million at SoCalGas) and fully provide for the present value of both the cash amounts to be paid in the settlements and the price discount to be provided on electricity expected to be delivered under the DWR contract.</w:t>
      </w:r>
    </w:p>
    <w:p>
      <w:pPr>
        <w:spacing w:after="0" w:line="242" w:lineRule="exact"/>
        <w:rPr>
          <w:sz w:val="20"/>
          <w:szCs w:val="20"/>
          <w:color w:val="auto"/>
        </w:rPr>
      </w:pPr>
    </w:p>
    <w:p>
      <w:pPr>
        <w:ind w:left="700"/>
        <w:spacing w:after="0"/>
        <w:rPr>
          <w:sz w:val="20"/>
          <w:szCs w:val="20"/>
          <w:color w:val="auto"/>
        </w:rPr>
      </w:pPr>
      <w:r>
        <w:rPr>
          <w:rFonts w:ascii="Arial" w:cs="Arial" w:eastAsia="Arial" w:hAnsi="Arial"/>
          <w:sz w:val="22"/>
          <w:szCs w:val="22"/>
          <w:color w:val="auto"/>
        </w:rPr>
        <w:t>Other Natural Gas Cases</w:t>
      </w:r>
    </w:p>
    <w:p>
      <w:pPr>
        <w:spacing w:after="0" w:line="301" w:lineRule="exact"/>
        <w:rPr>
          <w:sz w:val="20"/>
          <w:szCs w:val="20"/>
          <w:color w:val="auto"/>
        </w:rPr>
      </w:pPr>
    </w:p>
    <w:p>
      <w:pPr>
        <w:spacing w:after="0" w:line="273" w:lineRule="auto"/>
        <w:rPr>
          <w:sz w:val="20"/>
          <w:szCs w:val="20"/>
          <w:color w:val="auto"/>
        </w:rPr>
      </w:pPr>
      <w:r>
        <w:rPr>
          <w:rFonts w:ascii="Arial" w:cs="Arial" w:eastAsia="Arial" w:hAnsi="Arial"/>
          <w:sz w:val="19"/>
          <w:szCs w:val="19"/>
          <w:color w:val="auto"/>
        </w:rPr>
        <w:t>On November 21, 2005, the California Attorney General and the CPUC filed a lawsuit against Sempra Energy and the California Utilities in San Diego County Superior Court alleging that in 1998 Sempra Energy and the California Utilities had intentionally misled the CPUC in ultimately obtaining CPUC approval to use the utilities' California natural gas pipeline capacity to enable Sempra Energy's non-utility subsidiaries to deliver natural gas to a power plant in Mexico. It further alleges that, as a result of insufficient utility pipeline capacity to serve both the power plant and California customers, SDG&amp;E curtailed natural gas service to electric generators and large California commercial and industrial customers 17 times in 2000 - 2001, with service disruptions resulting in increased air pollution and higher electricity prices for California consumers from the use of oil as an alternate fuel source by electric generating plants. The lawsuit seeks statutory penalties of not less than $1 million, $2,50 0 for each of an unspecified number of instances of unfair business practices, and unspecified amounts of actual and punitive damages. It also seeks an injunction to require divestiture by Sempra Energy of non-utility subsidiaries to an extent to be determined by the court.</w:t>
      </w:r>
    </w:p>
    <w:p>
      <w:pPr>
        <w:spacing w:after="0" w:line="162" w:lineRule="exact"/>
        <w:rPr>
          <w:sz w:val="20"/>
          <w:szCs w:val="20"/>
          <w:color w:val="auto"/>
        </w:rPr>
      </w:pPr>
    </w:p>
    <w:p>
      <w:pPr>
        <w:ind w:right="100"/>
        <w:spacing w:after="0" w:line="236" w:lineRule="auto"/>
        <w:rPr>
          <w:sz w:val="20"/>
          <w:szCs w:val="20"/>
          <w:color w:val="auto"/>
        </w:rPr>
      </w:pPr>
      <w:r>
        <w:rPr>
          <w:rFonts w:ascii="Arial" w:cs="Arial" w:eastAsia="Arial" w:hAnsi="Arial"/>
          <w:sz w:val="22"/>
          <w:szCs w:val="22"/>
          <w:color w:val="auto"/>
        </w:rPr>
        <w:t>In April 2003, Sierra Pacific Resources and its utility subsidiary Nevada Power filed a lawsuit in U.S. District Court in Las Vegas against major natural gas suppliers, and included Sempra Energy, the California Utilities and Sempra Commodities, seeking recovery of damages alleged to aggregate in excess of $150 million (before trebling). The U.S. District Court dismissed the case in November 2004, determining that the FERC had exclusive jurisdiction to resolve the claims. In January 2005, plaintiffs filed an appeal with the Ninth Circuit Court of Appeals.</w:t>
      </w:r>
    </w:p>
    <w:p>
      <w:pPr>
        <w:spacing w:after="0" w:line="188" w:lineRule="exact"/>
        <w:rPr>
          <w:sz w:val="20"/>
          <w:szCs w:val="20"/>
          <w:color w:val="auto"/>
        </w:rPr>
      </w:pPr>
    </w:p>
    <w:p>
      <w:pPr>
        <w:ind w:right="40"/>
        <w:spacing w:after="0" w:line="271" w:lineRule="auto"/>
        <w:rPr>
          <w:sz w:val="20"/>
          <w:szCs w:val="20"/>
          <w:color w:val="auto"/>
        </w:rPr>
      </w:pPr>
      <w:r>
        <w:rPr>
          <w:rFonts w:ascii="Arial" w:cs="Arial" w:eastAsia="Arial" w:hAnsi="Arial"/>
          <w:sz w:val="19"/>
          <w:szCs w:val="19"/>
          <w:color w:val="auto"/>
        </w:rPr>
        <w:t>During 2004, 12 antitrust actions were filed against the company, alleging that energy prices were unlawfully manipulated by the reporting of artificially inflated natural gas prices to trade publications and by entering into wash trades. Several of those lawsuits seek class action certification. On April 8, 2005, one of those lawsuits, filed in the Nevada U.S. District Court, was dismissed, on the grounds that the claims asserted were preempted by federal law and the Filed Rate Doctrine. In June 2005, the three remaining lawsuits pending in the Nevada U.S. District Court were amended to name the California Utilities as defendants and to include conspiracy allegations similar to those made in the Continental Forge litigation. On December 27, 2005, the District Court dismissed these three actions, on the grounds that the claims asserted in these suits were preempted under federal law and the Filed Rate Doctrine. In addition, in June 2005, a class action lawsuit similar to the pending individual suits in the Nevada federal court was filed in the U.S. District Court for the Eastern District of California and has now been coordinated with the Nevada federal court proceeding. That action was stayed pending the court's determination of the motions to dismiss in the other federal cases. Sempra Energy will proceed to seek the dismissal of this action as well. With respect to the lawsuits coordinated before the San Diego Superior Court, on June 29, 2005, the court denied the defendants' motion to dismiss on preemption and Filed Rate Doctrine grounds. A separate motion to dismiss filed by Sempra Energy for improper joinder remains pending resolution by the court. On January 4, 2006, the parties agreed to settle the class action cases coordinated in the San Diego Superior Court as part of the overall Continental Forge settlement described above.</w:t>
      </w:r>
    </w:p>
    <w:p>
      <w:pPr>
        <w:sectPr>
          <w:pgSz w:w="11900" w:h="16838" w:orient="portrait"/>
          <w:cols w:equalWidth="0" w:num="1">
            <w:col w:w="11420"/>
          </w:cols>
          <w:pgMar w:left="240" w:top="118" w:right="239" w:bottom="61" w:gutter="0" w:footer="0" w:header="0"/>
        </w:sectPr>
      </w:pPr>
    </w:p>
    <w:bookmarkStart w:id="47" w:name="page48"/>
    <w:bookmarkEnd w:id="47"/>
    <w:p>
      <w:pPr>
        <w:ind w:left="760"/>
        <w:spacing w:after="0"/>
        <w:rPr>
          <w:sz w:val="20"/>
          <w:szCs w:val="20"/>
          <w:color w:val="auto"/>
        </w:rPr>
      </w:pPr>
      <w:r>
        <w:rPr>
          <w:rFonts w:ascii="Arial" w:cs="Arial" w:eastAsia="Arial" w:hAnsi="Arial"/>
          <w:sz w:val="22"/>
          <w:szCs w:val="22"/>
          <w:color w:val="auto"/>
        </w:rPr>
        <w:t>Electricity Cases</w:t>
      </w:r>
    </w:p>
    <w:p>
      <w:pPr>
        <w:spacing w:after="0" w:line="301" w:lineRule="exact"/>
        <w:rPr>
          <w:sz w:val="20"/>
          <w:szCs w:val="20"/>
          <w:color w:val="auto"/>
        </w:rPr>
      </w:pPr>
    </w:p>
    <w:p>
      <w:pPr>
        <w:ind w:right="20"/>
        <w:spacing w:after="0" w:line="272" w:lineRule="auto"/>
        <w:rPr>
          <w:sz w:val="20"/>
          <w:szCs w:val="20"/>
          <w:color w:val="auto"/>
        </w:rPr>
      </w:pPr>
      <w:r>
        <w:rPr>
          <w:rFonts w:ascii="Arial" w:cs="Arial" w:eastAsia="Arial" w:hAnsi="Arial"/>
          <w:sz w:val="19"/>
          <w:szCs w:val="19"/>
          <w:color w:val="auto"/>
        </w:rPr>
        <w:t>Various antitrust lawsuits, which seek class-action certification, allege that numerous entities, including Sempra Energy and certain subsidiaries, including SDG&amp;E, that participated in the wholesale electricity markets unlawfully manipulated those markets. Collectively, these lawsuits allege damages against all defendants in an aggregate amount in excess of $16 billion (before trebling). In January 2003, the federal court granted a motion to dismiss one of these lawsuits, filed by the Snohomish County, Washington Public Utility District against Sempra Energy and certain non-utility subsidiaries, among others, on the grounds that the claims contained in the complaint were subject to the Filed Rate Doctrine and were preempted by the Federal Power Act. In September 2004, the Ninth Circuit U.S. Court of Appeals affirmed the district court's ruling, finding that the FERC, not civil courts, has exclusive jurisdiction over the matter. Snohomish County appealed the Ninth Circuit decision to the U.S. Supreme Court, which, in June 2005, declined to review the decision. The company believes that this decision provides a precedent for the dismissal on the basis of federal preemption and the Filed Rate Doctrine of the other lawsuits against the Sempra Energy companies claiming manipulation of the electricity markets. On October 4, 2005, on the basis of federal preemption and Filed Rate grounds, the San Diego Superior Court dismissed with prejudice the initial consolidated cases that claimed that energy companies, such as the Sempra Energy companies, manipulated the wholesale electricity markets. In December 2005, plaintiffs filed an appeal in that case.</w:t>
      </w:r>
    </w:p>
    <w:p>
      <w:pPr>
        <w:spacing w:after="0" w:line="252" w:lineRule="exact"/>
        <w:rPr>
          <w:sz w:val="20"/>
          <w:szCs w:val="20"/>
          <w:color w:val="auto"/>
        </w:rPr>
      </w:pPr>
    </w:p>
    <w:p>
      <w:pPr>
        <w:ind w:left="680"/>
        <w:spacing w:after="0"/>
        <w:rPr>
          <w:sz w:val="20"/>
          <w:szCs w:val="20"/>
          <w:color w:val="auto"/>
        </w:rPr>
      </w:pPr>
      <w:r>
        <w:rPr>
          <w:rFonts w:ascii="Arial" w:cs="Arial" w:eastAsia="Arial" w:hAnsi="Arial"/>
          <w:sz w:val="22"/>
          <w:szCs w:val="22"/>
          <w:color w:val="auto"/>
        </w:rPr>
        <w:t>CPUC Border Price Investigation</w:t>
      </w:r>
    </w:p>
    <w:p>
      <w:pPr>
        <w:spacing w:after="0" w:line="301" w:lineRule="exact"/>
        <w:rPr>
          <w:sz w:val="20"/>
          <w:szCs w:val="20"/>
          <w:color w:val="auto"/>
        </w:rPr>
      </w:pPr>
    </w:p>
    <w:p>
      <w:pPr>
        <w:ind w:right="320"/>
        <w:spacing w:after="0"/>
        <w:rPr>
          <w:sz w:val="20"/>
          <w:szCs w:val="20"/>
          <w:color w:val="auto"/>
        </w:rPr>
      </w:pPr>
      <w:r>
        <w:rPr>
          <w:rFonts w:ascii="Arial" w:cs="Arial" w:eastAsia="Arial" w:hAnsi="Arial"/>
          <w:sz w:val="22"/>
          <w:szCs w:val="22"/>
          <w:color w:val="auto"/>
        </w:rPr>
        <w:t>In November 2002, the CPUC instituted an investigation into the Southern California natural gas market and the price of natural gas delivered to the California - Arizona border between March 2000 and May 2001. The Administrative Law Judge's (ALJ) proposed decision was rejected by the CPUC in December 2004.</w:t>
      </w:r>
    </w:p>
    <w:p>
      <w:pPr>
        <w:spacing w:after="0" w:line="186" w:lineRule="exact"/>
        <w:rPr>
          <w:sz w:val="20"/>
          <w:szCs w:val="20"/>
          <w:color w:val="auto"/>
        </w:rPr>
      </w:pPr>
    </w:p>
    <w:p>
      <w:pPr>
        <w:ind w:right="100"/>
        <w:spacing w:after="0" w:line="282" w:lineRule="auto"/>
        <w:rPr>
          <w:sz w:val="20"/>
          <w:szCs w:val="20"/>
          <w:color w:val="auto"/>
        </w:rPr>
      </w:pPr>
      <w:r>
        <w:rPr>
          <w:rFonts w:ascii="Arial" w:cs="Arial" w:eastAsia="Arial" w:hAnsi="Arial"/>
          <w:sz w:val="19"/>
          <w:szCs w:val="19"/>
          <w:color w:val="auto"/>
        </w:rPr>
        <w:t>The portion of this investigation relating to the California Utilities is still open. If the investigation were to determine that the conduct of either of the California Utilities contributed to the natural gas price spikes that occurred during the investigation period, the CPUC may modify the party's natural gas procurement incentive mechanism, reduce the amount of any shareholder award for the period involved, and/or order the party to issue a refund to ratepayers. At December 31, 2005, the cumulative amount of these shareholder awards, substantially all of which has been included in income, was $8.5 million.</w:t>
      </w:r>
    </w:p>
    <w:p>
      <w:pPr>
        <w:spacing w:after="0" w:line="148" w:lineRule="exact"/>
        <w:rPr>
          <w:sz w:val="20"/>
          <w:szCs w:val="20"/>
          <w:color w:val="auto"/>
        </w:rPr>
      </w:pPr>
    </w:p>
    <w:p>
      <w:pPr>
        <w:ind w:right="140"/>
        <w:spacing w:after="0"/>
        <w:rPr>
          <w:sz w:val="20"/>
          <w:szCs w:val="20"/>
          <w:color w:val="auto"/>
        </w:rPr>
      </w:pPr>
      <w:r>
        <w:rPr>
          <w:rFonts w:ascii="Arial" w:cs="Arial" w:eastAsia="Arial" w:hAnsi="Arial"/>
          <w:sz w:val="22"/>
          <w:szCs w:val="22"/>
          <w:color w:val="auto"/>
        </w:rPr>
        <w:t>The CPUC may hold additional hearings to consider whether other companies, including other California utilities, contributed to the natural gas price spikes, or issue an order terminating the investigation. Discovery is ongoing and initial testimony was filed in November 2005. Hearings are expected to begin in late July 2006.</w:t>
      </w:r>
    </w:p>
    <w:p>
      <w:pPr>
        <w:spacing w:after="0" w:line="281" w:lineRule="exact"/>
        <w:rPr>
          <w:sz w:val="20"/>
          <w:szCs w:val="20"/>
          <w:color w:val="auto"/>
        </w:rPr>
      </w:pPr>
    </w:p>
    <w:p>
      <w:pPr>
        <w:ind w:left="680"/>
        <w:spacing w:after="0"/>
        <w:rPr>
          <w:sz w:val="20"/>
          <w:szCs w:val="20"/>
          <w:color w:val="auto"/>
        </w:rPr>
      </w:pPr>
      <w:r>
        <w:rPr>
          <w:rFonts w:ascii="Arial" w:cs="Arial" w:eastAsia="Arial" w:hAnsi="Arial"/>
          <w:sz w:val="22"/>
          <w:szCs w:val="22"/>
          <w:color w:val="auto"/>
        </w:rPr>
        <w:t>FERC Refund Proceedings</w:t>
      </w:r>
    </w:p>
    <w:p>
      <w:pPr>
        <w:spacing w:after="0" w:line="301" w:lineRule="exact"/>
        <w:rPr>
          <w:sz w:val="20"/>
          <w:szCs w:val="20"/>
          <w:color w:val="auto"/>
        </w:rPr>
      </w:pPr>
    </w:p>
    <w:p>
      <w:pPr>
        <w:ind w:right="40"/>
        <w:spacing w:after="0" w:line="272" w:lineRule="auto"/>
        <w:rPr>
          <w:sz w:val="20"/>
          <w:szCs w:val="20"/>
          <w:color w:val="auto"/>
        </w:rPr>
      </w:pPr>
      <w:r>
        <w:rPr>
          <w:rFonts w:ascii="Arial" w:cs="Arial" w:eastAsia="Arial" w:hAnsi="Arial"/>
          <w:sz w:val="19"/>
          <w:szCs w:val="19"/>
          <w:color w:val="auto"/>
        </w:rPr>
        <w:t>The FERC is investigating prices charged to buyers in the California Power Exchange (PX) and ISO markets by various electric suppliers. In December 2002, a FERC ALJ issued preliminary findings indicating that the PX and ISO owe power suppliers $1.2 billion for the October 2, 2000 through June 20, 2001 period (the $3.0 billion that the California PX and ISO still owe energy companies less $1.8 billion that the energy companies charged California customers in excess of the preliminarily determined competitive market clearing prices). In March 2003, the FERC adopted its ALJ's findings, but changed the calculation of the refund by basing it on a different estimate of natural gas prices. The March 2003 order estimates that the replacement formula for estimating natural gas prices will increase the refund obligations from $1.8 billion to more than $3 billion for the same time period. Pending in the Ninth Circuit are various parties' appeals on aspects of the FERC's order. In April 2005, the Ninth Circuit heard oral argument on issues relating to the scope of the refund proceeding and whether the FERC had jurisdiction to order refunds from governmental entities. The Ninth Circuit determined in September 2005 that FERC did not have jurisdiction to order refunds from governmental entities. The California IOUs, including SDG&amp;E, have now filed claims with the various governmental entities to recoup monies paid over and above the just and reasonable rate for power in the 2000-2001 time frame. A decision on the remaining issues argued before the Court in April 2005 remains pending.</w:t>
      </w:r>
    </w:p>
    <w:p>
      <w:pPr>
        <w:spacing w:after="0" w:line="157" w:lineRule="exact"/>
        <w:rPr>
          <w:sz w:val="20"/>
          <w:szCs w:val="20"/>
          <w:color w:val="auto"/>
        </w:rPr>
      </w:pPr>
    </w:p>
    <w:p>
      <w:pPr>
        <w:ind w:right="320"/>
        <w:spacing w:after="0" w:line="328" w:lineRule="auto"/>
        <w:rPr>
          <w:sz w:val="20"/>
          <w:szCs w:val="20"/>
          <w:color w:val="auto"/>
        </w:rPr>
      </w:pPr>
      <w:r>
        <w:rPr>
          <w:rFonts w:ascii="Arial" w:cs="Arial" w:eastAsia="Arial" w:hAnsi="Arial"/>
          <w:sz w:val="19"/>
          <w:szCs w:val="19"/>
          <w:color w:val="auto"/>
        </w:rPr>
        <w:t>SDG&amp;E has been awarded $137 million through December 31, 2005, in settlement of certain claims against electricity suppliers related to the 2000-01 California energy crisis. The net proceeds of these settlements are applied to reduce electric rates.</w:t>
      </w:r>
    </w:p>
    <w:p>
      <w:pPr>
        <w:spacing w:after="0" w:line="20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FERC Manipulation Investigation</w:t>
      </w:r>
    </w:p>
    <w:p>
      <w:pPr>
        <w:spacing w:after="0" w:line="301" w:lineRule="exact"/>
        <w:rPr>
          <w:sz w:val="20"/>
          <w:szCs w:val="20"/>
          <w:color w:val="auto"/>
        </w:rPr>
      </w:pPr>
    </w:p>
    <w:p>
      <w:pPr>
        <w:ind w:right="100"/>
        <w:spacing w:after="0" w:line="236" w:lineRule="auto"/>
        <w:rPr>
          <w:sz w:val="20"/>
          <w:szCs w:val="20"/>
          <w:color w:val="auto"/>
        </w:rPr>
      </w:pPr>
      <w:r>
        <w:rPr>
          <w:rFonts w:ascii="Arial" w:cs="Arial" w:eastAsia="Arial" w:hAnsi="Arial"/>
          <w:sz w:val="22"/>
          <w:szCs w:val="22"/>
          <w:color w:val="auto"/>
        </w:rPr>
        <w:t>The FERC is separately investigating whether there was manipulation of short-term energy markets in the western United States that would constitute violations of applicable tariffs and warrant disgorgement of associated profits. In this proceeding, the FERC's authority is not confined to the periods relevant to the refund proceeding. In May 2002, the FERC ordered all energy companies engaged in electric energy trading activities to state whether they had engaged in various specific trading activities in violation of the PX and ISO tariffs.</w:t>
      </w:r>
    </w:p>
    <w:p>
      <w:pPr>
        <w:spacing w:after="0" w:line="188" w:lineRule="exact"/>
        <w:rPr>
          <w:sz w:val="20"/>
          <w:szCs w:val="20"/>
          <w:color w:val="auto"/>
        </w:rPr>
      </w:pPr>
    </w:p>
    <w:p>
      <w:pPr>
        <w:spacing w:after="0" w:line="248" w:lineRule="auto"/>
        <w:rPr>
          <w:sz w:val="20"/>
          <w:szCs w:val="20"/>
          <w:color w:val="auto"/>
        </w:rPr>
      </w:pPr>
      <w:r>
        <w:rPr>
          <w:rFonts w:ascii="Arial" w:cs="Arial" w:eastAsia="Arial" w:hAnsi="Arial"/>
          <w:sz w:val="21"/>
          <w:szCs w:val="21"/>
          <w:color w:val="auto"/>
        </w:rPr>
        <w:t>On June 25, 2003, the FERC issued several orders requiring various entities to show cause why they should not be found to have violated California ISO and PX tariffs. The FERC directed 43 entities, including SDG&amp;E, to show cause why they should not disgorge profits from certain transactions between January 1, 2000 and June 20, 2001 that are asserted to have constituted gaming and/or anomalous market behavior under the California ISO and/or PX tariffs. SDG&amp;E and the FERC resolved the matter through a settlement, which documents the ISO's finding that SDG&amp;E did not engage in market activities in violation of the ISO or PX tariffs, and in which SDG&amp;E agreed to pay $27,792 into a FERC-established fund.</w:t>
      </w:r>
    </w:p>
    <w:p>
      <w:pPr>
        <w:sectPr>
          <w:pgSz w:w="11900" w:h="16838" w:orient="portrait"/>
          <w:cols w:equalWidth="0" w:num="1">
            <w:col w:w="11420"/>
          </w:cols>
          <w:pgMar w:left="240" w:top="145" w:right="239" w:bottom="0" w:gutter="0" w:footer="0" w:header="0"/>
        </w:sectPr>
      </w:pPr>
    </w:p>
    <w:bookmarkStart w:id="48" w:name="page49"/>
    <w:bookmarkEnd w:id="48"/>
    <w:p>
      <w:pPr>
        <w:spacing w:after="0"/>
        <w:rPr>
          <w:sz w:val="20"/>
          <w:szCs w:val="20"/>
          <w:color w:val="auto"/>
        </w:rPr>
      </w:pPr>
      <w:r>
        <w:rPr>
          <w:rFonts w:ascii="Arial" w:cs="Arial" w:eastAsia="Arial" w:hAnsi="Arial"/>
          <w:sz w:val="22"/>
          <w:szCs w:val="22"/>
          <w:b w:val="1"/>
          <w:bCs w:val="1"/>
          <w:color w:val="auto"/>
        </w:rPr>
        <w:t>Natural Gas Contracts</w:t>
      </w:r>
    </w:p>
    <w:p>
      <w:pPr>
        <w:spacing w:after="0" w:line="213" w:lineRule="exact"/>
        <w:rPr>
          <w:sz w:val="20"/>
          <w:szCs w:val="20"/>
          <w:color w:val="auto"/>
        </w:rPr>
      </w:pPr>
    </w:p>
    <w:p>
      <w:pPr>
        <w:ind w:right="260"/>
        <w:spacing w:after="0"/>
        <w:rPr>
          <w:sz w:val="20"/>
          <w:szCs w:val="20"/>
          <w:color w:val="auto"/>
        </w:rPr>
      </w:pPr>
      <w:r>
        <w:rPr>
          <w:rFonts w:ascii="Arial" w:cs="Arial" w:eastAsia="Arial" w:hAnsi="Arial"/>
          <w:sz w:val="22"/>
          <w:szCs w:val="22"/>
          <w:color w:val="auto"/>
        </w:rPr>
        <w:t>SDG&amp;E buys natural gas under short-term contracts. Purchases are from various Southwest U.S. and Canadian suppliers and are primarily based on monthly spot-market prices. The company transports natural gas under long-term firm pipeline capacity agreements that provide for annual reservation charges, which are recovered in rates.</w:t>
      </w:r>
    </w:p>
    <w:p>
      <w:pPr>
        <w:spacing w:after="0" w:line="186" w:lineRule="exact"/>
        <w:rPr>
          <w:sz w:val="20"/>
          <w:szCs w:val="20"/>
          <w:color w:val="auto"/>
        </w:rPr>
      </w:pPr>
    </w:p>
    <w:p>
      <w:pPr>
        <w:ind w:right="320"/>
        <w:spacing w:after="0" w:line="234" w:lineRule="auto"/>
        <w:rPr>
          <w:sz w:val="20"/>
          <w:szCs w:val="20"/>
          <w:color w:val="auto"/>
        </w:rPr>
      </w:pPr>
      <w:r>
        <w:rPr>
          <w:rFonts w:ascii="Arial" w:cs="Arial" w:eastAsia="Arial" w:hAnsi="Arial"/>
          <w:sz w:val="22"/>
          <w:szCs w:val="22"/>
          <w:color w:val="auto"/>
        </w:rPr>
        <w:t>SDG&amp;E has long-term natural gas transportation contracts with various interstate pipelines that expire on various dates between 2006 and 2023. SDG&amp;E currently purchases natural gas on a spot basis to fill its long-term pipeline capacity, and purchases additional spot market supplies delivered directly to California for its remaining requirements. SDG&amp;E continues its ongoing assessment of its long-term pipeline capacity portfolio, including the release of a portion of this capacity to third parties. In accordance with regulatory directives, SDG&amp;E reconfigured its pipeline capacity portfolio in November 2005 to secure firm transportation rights from a diverse mix of U.S. and Canadian supply sources for its projected core customer natural gas requirements.</w:t>
      </w:r>
    </w:p>
    <w:p>
      <w:pPr>
        <w:spacing w:after="0" w:line="191" w:lineRule="exact"/>
        <w:rPr>
          <w:sz w:val="20"/>
          <w:szCs w:val="20"/>
          <w:color w:val="auto"/>
        </w:rPr>
      </w:pPr>
    </w:p>
    <w:p>
      <w:pPr>
        <w:ind w:right="300"/>
        <w:spacing w:after="0" w:line="238" w:lineRule="auto"/>
        <w:rPr>
          <w:sz w:val="20"/>
          <w:szCs w:val="20"/>
          <w:color w:val="auto"/>
        </w:rPr>
      </w:pPr>
      <w:r>
        <w:rPr>
          <w:rFonts w:ascii="Arial" w:cs="Arial" w:eastAsia="Arial" w:hAnsi="Arial"/>
          <w:sz w:val="22"/>
          <w:szCs w:val="22"/>
          <w:color w:val="auto"/>
        </w:rPr>
        <w:t>All of SDG&amp;E's natural gas is delivered through SoCalGas' pipelines under a short-term transportation agreement. In addition, under a separate agreement expiring in March 2006, SoCalGas provides SDG&amp;E six billion cubic feet of storage capacity. In February 2006, SDG&amp;E entered into two agreements with SoCalGas to extend the storage capacity to 2008. The agreements are pending to the CPUC's approval.</w:t>
      </w:r>
    </w:p>
    <w:p>
      <w:pPr>
        <w:spacing w:after="0" w:line="185" w:lineRule="exact"/>
        <w:rPr>
          <w:sz w:val="20"/>
          <w:szCs w:val="20"/>
          <w:color w:val="auto"/>
        </w:rPr>
      </w:pPr>
    </w:p>
    <w:p>
      <w:pPr>
        <w:spacing w:after="0"/>
        <w:rPr>
          <w:sz w:val="20"/>
          <w:szCs w:val="20"/>
          <w:color w:val="auto"/>
        </w:rPr>
      </w:pPr>
      <w:r>
        <w:rPr>
          <w:rFonts w:ascii="Arial" w:cs="Arial" w:eastAsia="Arial" w:hAnsi="Arial"/>
          <w:sz w:val="19"/>
          <w:szCs w:val="19"/>
          <w:color w:val="auto"/>
        </w:rPr>
        <w:t>At December 31, 2005, the future minimum payments under existing natural gas storage and transportation contracts were:</w:t>
      </w:r>
    </w:p>
    <w:p>
      <w:pPr>
        <w:spacing w:after="0" w:line="294" w:lineRule="exact"/>
        <w:rPr>
          <w:sz w:val="20"/>
          <w:szCs w:val="20"/>
          <w:color w:val="auto"/>
        </w:rPr>
      </w:pPr>
    </w:p>
    <w:tbl>
      <w:tblPr>
        <w:tblLayout w:type="fixed"/>
        <w:tblInd w:w="1980" w:type="dxa"/>
        <w:tblCellMar>
          <w:top w:w="0" w:type="dxa"/>
          <w:left w:w="0" w:type="dxa"/>
          <w:bottom w:w="0" w:type="dxa"/>
          <w:right w:w="0" w:type="dxa"/>
        </w:tblCellMar>
      </w:tblPr>
      <w:tr>
        <w:trPr>
          <w:trHeight w:val="230"/>
        </w:trPr>
        <w:tc>
          <w:tcPr>
            <w:tcW w:w="6660" w:type="dxa"/>
            <w:vAlign w:val="bottom"/>
          </w:tcPr>
          <w:p>
            <w:pPr>
              <w:spacing w:after="0"/>
              <w:rPr>
                <w:sz w:val="20"/>
                <w:szCs w:val="20"/>
                <w:color w:val="auto"/>
              </w:rPr>
            </w:pPr>
            <w:r>
              <w:rPr>
                <w:rFonts w:ascii="Arial" w:cs="Arial" w:eastAsia="Arial" w:hAnsi="Arial"/>
                <w:sz w:val="18"/>
                <w:szCs w:val="18"/>
                <w:color w:val="auto"/>
              </w:rPr>
              <w:t>(Dollars in millions)</w:t>
            </w:r>
          </w:p>
        </w:tc>
        <w:tc>
          <w:tcPr>
            <w:tcW w:w="2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1"/>
        </w:trPr>
        <w:tc>
          <w:tcPr>
            <w:tcW w:w="6660" w:type="dxa"/>
            <w:vAlign w:val="bottom"/>
            <w:shd w:val="clear" w:color="auto" w:fill="000000"/>
          </w:tcPr>
          <w:p>
            <w:pPr>
              <w:spacing w:after="0"/>
              <w:rPr>
                <w:sz w:val="21"/>
                <w:szCs w:val="21"/>
                <w:color w:val="auto"/>
              </w:rPr>
            </w:pPr>
          </w:p>
        </w:tc>
        <w:tc>
          <w:tcPr>
            <w:tcW w:w="280" w:type="dxa"/>
            <w:vAlign w:val="bottom"/>
            <w:shd w:val="clear" w:color="auto" w:fill="000000"/>
          </w:tcPr>
          <w:p>
            <w:pPr>
              <w:spacing w:after="0"/>
              <w:rPr>
                <w:sz w:val="21"/>
                <w:szCs w:val="21"/>
                <w:color w:val="auto"/>
              </w:rPr>
            </w:pPr>
          </w:p>
        </w:tc>
        <w:tc>
          <w:tcPr>
            <w:tcW w:w="540" w:type="dxa"/>
            <w:vAlign w:val="bottom"/>
            <w:shd w:val="clear" w:color="auto" w:fill="000000"/>
          </w:tcPr>
          <w:p>
            <w:pPr>
              <w:spacing w:after="0"/>
              <w:rPr>
                <w:sz w:val="21"/>
                <w:szCs w:val="21"/>
                <w:color w:val="auto"/>
              </w:rPr>
            </w:pPr>
          </w:p>
        </w:tc>
        <w:tc>
          <w:tcPr>
            <w:tcW w:w="0" w:type="dxa"/>
            <w:vAlign w:val="bottom"/>
          </w:tcPr>
          <w:p>
            <w:pPr>
              <w:spacing w:after="0"/>
              <w:rPr>
                <w:sz w:val="1"/>
                <w:szCs w:val="1"/>
                <w:color w:val="auto"/>
              </w:rPr>
            </w:pPr>
          </w:p>
        </w:tc>
      </w:tr>
      <w:tr>
        <w:trPr>
          <w:trHeight w:val="228"/>
        </w:trPr>
        <w:tc>
          <w:tcPr>
            <w:tcW w:w="6660" w:type="dxa"/>
            <w:vAlign w:val="bottom"/>
          </w:tcPr>
          <w:p>
            <w:pPr>
              <w:spacing w:after="0"/>
              <w:rPr>
                <w:sz w:val="20"/>
                <w:szCs w:val="20"/>
                <w:color w:val="auto"/>
              </w:rPr>
            </w:pPr>
            <w:r>
              <w:rPr>
                <w:rFonts w:ascii="Arial" w:cs="Arial" w:eastAsia="Arial" w:hAnsi="Arial"/>
                <w:sz w:val="18"/>
                <w:szCs w:val="18"/>
                <w:color w:val="auto"/>
              </w:rPr>
              <w:t>2006</w:t>
            </w:r>
          </w:p>
        </w:tc>
        <w:tc>
          <w:tcPr>
            <w:tcW w:w="280" w:type="dxa"/>
            <w:vAlign w:val="bottom"/>
          </w:tcPr>
          <w:p>
            <w:pPr>
              <w:jc w:val="right"/>
              <w:ind w:right="92"/>
              <w:spacing w:after="0"/>
              <w:rPr>
                <w:sz w:val="20"/>
                <w:szCs w:val="20"/>
                <w:color w:val="auto"/>
              </w:rPr>
            </w:pPr>
            <w:r>
              <w:rPr>
                <w:rFonts w:ascii="Arial" w:cs="Arial" w:eastAsia="Arial" w:hAnsi="Arial"/>
                <w:sz w:val="18"/>
                <w:szCs w:val="18"/>
                <w:color w:val="auto"/>
                <w:w w:val="79"/>
              </w:rPr>
              <w:t>$</w:t>
            </w:r>
          </w:p>
        </w:tc>
        <w:tc>
          <w:tcPr>
            <w:tcW w:w="540" w:type="dxa"/>
            <w:vAlign w:val="bottom"/>
          </w:tcPr>
          <w:p>
            <w:pPr>
              <w:jc w:val="right"/>
              <w:ind w:right="12"/>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70"/>
        </w:trPr>
        <w:tc>
          <w:tcPr>
            <w:tcW w:w="6660" w:type="dxa"/>
            <w:vAlign w:val="bottom"/>
          </w:tcPr>
          <w:p>
            <w:pPr>
              <w:spacing w:after="0"/>
              <w:rPr>
                <w:sz w:val="20"/>
                <w:szCs w:val="20"/>
                <w:color w:val="auto"/>
              </w:rPr>
            </w:pPr>
            <w:r>
              <w:rPr>
                <w:rFonts w:ascii="Arial" w:cs="Arial" w:eastAsia="Arial" w:hAnsi="Arial"/>
                <w:sz w:val="18"/>
                <w:szCs w:val="18"/>
                <w:color w:val="auto"/>
              </w:rPr>
              <w:t>2007</w:t>
            </w:r>
          </w:p>
        </w:tc>
        <w:tc>
          <w:tcPr>
            <w:tcW w:w="280" w:type="dxa"/>
            <w:vAlign w:val="bottom"/>
          </w:tcPr>
          <w:p>
            <w:pPr>
              <w:spacing w:after="0"/>
              <w:rPr>
                <w:sz w:val="23"/>
                <w:szCs w:val="23"/>
                <w:color w:val="auto"/>
              </w:rPr>
            </w:pPr>
          </w:p>
        </w:tc>
        <w:tc>
          <w:tcPr>
            <w:tcW w:w="540" w:type="dxa"/>
            <w:vAlign w:val="bottom"/>
          </w:tcPr>
          <w:p>
            <w:pPr>
              <w:jc w:val="right"/>
              <w:ind w:right="12"/>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70"/>
        </w:trPr>
        <w:tc>
          <w:tcPr>
            <w:tcW w:w="6660" w:type="dxa"/>
            <w:vAlign w:val="bottom"/>
          </w:tcPr>
          <w:p>
            <w:pPr>
              <w:spacing w:after="0"/>
              <w:rPr>
                <w:sz w:val="20"/>
                <w:szCs w:val="20"/>
                <w:color w:val="auto"/>
              </w:rPr>
            </w:pPr>
            <w:r>
              <w:rPr>
                <w:rFonts w:ascii="Arial" w:cs="Arial" w:eastAsia="Arial" w:hAnsi="Arial"/>
                <w:sz w:val="18"/>
                <w:szCs w:val="18"/>
                <w:color w:val="auto"/>
              </w:rPr>
              <w:t>2008</w:t>
            </w:r>
          </w:p>
        </w:tc>
        <w:tc>
          <w:tcPr>
            <w:tcW w:w="280" w:type="dxa"/>
            <w:vAlign w:val="bottom"/>
          </w:tcPr>
          <w:p>
            <w:pPr>
              <w:spacing w:after="0"/>
              <w:rPr>
                <w:sz w:val="23"/>
                <w:szCs w:val="23"/>
                <w:color w:val="auto"/>
              </w:rPr>
            </w:pPr>
          </w:p>
        </w:tc>
        <w:tc>
          <w:tcPr>
            <w:tcW w:w="540" w:type="dxa"/>
            <w:vAlign w:val="bottom"/>
          </w:tcPr>
          <w:p>
            <w:pPr>
              <w:jc w:val="right"/>
              <w:ind w:right="12"/>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70"/>
        </w:trPr>
        <w:tc>
          <w:tcPr>
            <w:tcW w:w="6660" w:type="dxa"/>
            <w:vAlign w:val="bottom"/>
          </w:tcPr>
          <w:p>
            <w:pPr>
              <w:spacing w:after="0"/>
              <w:rPr>
                <w:sz w:val="20"/>
                <w:szCs w:val="20"/>
                <w:color w:val="auto"/>
              </w:rPr>
            </w:pPr>
            <w:r>
              <w:rPr>
                <w:rFonts w:ascii="Arial" w:cs="Arial" w:eastAsia="Arial" w:hAnsi="Arial"/>
                <w:sz w:val="18"/>
                <w:szCs w:val="18"/>
                <w:color w:val="auto"/>
              </w:rPr>
              <w:t>2009</w:t>
            </w:r>
          </w:p>
        </w:tc>
        <w:tc>
          <w:tcPr>
            <w:tcW w:w="280" w:type="dxa"/>
            <w:vAlign w:val="bottom"/>
          </w:tcPr>
          <w:p>
            <w:pPr>
              <w:spacing w:after="0"/>
              <w:rPr>
                <w:sz w:val="23"/>
                <w:szCs w:val="23"/>
                <w:color w:val="auto"/>
              </w:rPr>
            </w:pPr>
          </w:p>
        </w:tc>
        <w:tc>
          <w:tcPr>
            <w:tcW w:w="540" w:type="dxa"/>
            <w:vAlign w:val="bottom"/>
          </w:tcPr>
          <w:p>
            <w:pPr>
              <w:jc w:val="right"/>
              <w:ind w:right="12"/>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70"/>
        </w:trPr>
        <w:tc>
          <w:tcPr>
            <w:tcW w:w="6660" w:type="dxa"/>
            <w:vAlign w:val="bottom"/>
          </w:tcPr>
          <w:p>
            <w:pPr>
              <w:spacing w:after="0"/>
              <w:rPr>
                <w:sz w:val="20"/>
                <w:szCs w:val="20"/>
                <w:color w:val="auto"/>
              </w:rPr>
            </w:pPr>
            <w:r>
              <w:rPr>
                <w:rFonts w:ascii="Arial" w:cs="Arial" w:eastAsia="Arial" w:hAnsi="Arial"/>
                <w:sz w:val="18"/>
                <w:szCs w:val="18"/>
                <w:color w:val="auto"/>
              </w:rPr>
              <w:t>2010</w:t>
            </w:r>
          </w:p>
        </w:tc>
        <w:tc>
          <w:tcPr>
            <w:tcW w:w="280" w:type="dxa"/>
            <w:vAlign w:val="bottom"/>
          </w:tcPr>
          <w:p>
            <w:pPr>
              <w:spacing w:after="0"/>
              <w:rPr>
                <w:sz w:val="23"/>
                <w:szCs w:val="23"/>
                <w:color w:val="auto"/>
              </w:rPr>
            </w:pPr>
          </w:p>
        </w:tc>
        <w:tc>
          <w:tcPr>
            <w:tcW w:w="540" w:type="dxa"/>
            <w:vAlign w:val="bottom"/>
          </w:tcPr>
          <w:p>
            <w:pPr>
              <w:jc w:val="right"/>
              <w:ind w:right="12"/>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70"/>
        </w:trPr>
        <w:tc>
          <w:tcPr>
            <w:tcW w:w="6660" w:type="dxa"/>
            <w:vAlign w:val="bottom"/>
          </w:tcPr>
          <w:p>
            <w:pPr>
              <w:spacing w:after="0"/>
              <w:rPr>
                <w:sz w:val="20"/>
                <w:szCs w:val="20"/>
                <w:color w:val="auto"/>
              </w:rPr>
            </w:pPr>
            <w:r>
              <w:rPr>
                <w:rFonts w:ascii="Arial" w:cs="Arial" w:eastAsia="Arial" w:hAnsi="Arial"/>
                <w:sz w:val="18"/>
                <w:szCs w:val="18"/>
                <w:color w:val="auto"/>
              </w:rPr>
              <w:t>Thereafter</w:t>
            </w:r>
          </w:p>
        </w:tc>
        <w:tc>
          <w:tcPr>
            <w:tcW w:w="280" w:type="dxa"/>
            <w:vAlign w:val="bottom"/>
          </w:tcPr>
          <w:p>
            <w:pPr>
              <w:spacing w:after="0"/>
              <w:rPr>
                <w:sz w:val="23"/>
                <w:szCs w:val="23"/>
                <w:color w:val="auto"/>
              </w:rPr>
            </w:pPr>
          </w:p>
        </w:tc>
        <w:tc>
          <w:tcPr>
            <w:tcW w:w="540" w:type="dxa"/>
            <w:vAlign w:val="bottom"/>
          </w:tcPr>
          <w:p>
            <w:pPr>
              <w:jc w:val="right"/>
              <w:ind w:right="12"/>
              <w:spacing w:after="0"/>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43"/>
        </w:trPr>
        <w:tc>
          <w:tcPr>
            <w:tcW w:w="6660" w:type="dxa"/>
            <w:vAlign w:val="bottom"/>
            <w:vMerge w:val="restart"/>
          </w:tcPr>
          <w:p>
            <w:pPr>
              <w:spacing w:after="0"/>
              <w:rPr>
                <w:sz w:val="20"/>
                <w:szCs w:val="20"/>
                <w:color w:val="auto"/>
              </w:rPr>
            </w:pPr>
            <w:r>
              <w:rPr>
                <w:rFonts w:ascii="Arial" w:cs="Arial" w:eastAsia="Arial" w:hAnsi="Arial"/>
                <w:sz w:val="18"/>
                <w:szCs w:val="18"/>
                <w:color w:val="auto"/>
              </w:rPr>
              <w:t>Total minimum payments</w:t>
            </w:r>
          </w:p>
        </w:tc>
        <w:tc>
          <w:tcPr>
            <w:tcW w:w="280" w:type="dxa"/>
            <w:vAlign w:val="bottom"/>
          </w:tcPr>
          <w:p>
            <w:pPr>
              <w:spacing w:after="0"/>
              <w:rPr>
                <w:sz w:val="3"/>
                <w:szCs w:val="3"/>
                <w:color w:val="auto"/>
              </w:rPr>
            </w:pPr>
          </w:p>
        </w:tc>
        <w:tc>
          <w:tcPr>
            <w:tcW w:w="5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6660" w:type="dxa"/>
            <w:vAlign w:val="bottom"/>
            <w:vMerge w:val="continue"/>
          </w:tcPr>
          <w:p>
            <w:pPr>
              <w:spacing w:after="0"/>
              <w:rPr>
                <w:sz w:val="21"/>
                <w:szCs w:val="21"/>
                <w:color w:val="auto"/>
              </w:rPr>
            </w:pPr>
          </w:p>
        </w:tc>
        <w:tc>
          <w:tcPr>
            <w:tcW w:w="280" w:type="dxa"/>
            <w:vAlign w:val="bottom"/>
            <w:shd w:val="clear" w:color="auto" w:fill="000000"/>
          </w:tcPr>
          <w:p>
            <w:pPr>
              <w:spacing w:after="0"/>
              <w:rPr>
                <w:sz w:val="21"/>
                <w:szCs w:val="21"/>
                <w:color w:val="auto"/>
              </w:rPr>
            </w:pPr>
          </w:p>
        </w:tc>
        <w:tc>
          <w:tcPr>
            <w:tcW w:w="540" w:type="dxa"/>
            <w:vAlign w:val="bottom"/>
            <w:shd w:val="clear" w:color="auto" w:fill="000000"/>
          </w:tcPr>
          <w:p>
            <w:pPr>
              <w:spacing w:after="0"/>
              <w:rPr>
                <w:sz w:val="21"/>
                <w:szCs w:val="21"/>
                <w:color w:val="auto"/>
              </w:rPr>
            </w:pPr>
          </w:p>
        </w:tc>
        <w:tc>
          <w:tcPr>
            <w:tcW w:w="0" w:type="dxa"/>
            <w:vAlign w:val="bottom"/>
          </w:tcPr>
          <w:p>
            <w:pPr>
              <w:spacing w:after="0"/>
              <w:rPr>
                <w:sz w:val="1"/>
                <w:szCs w:val="1"/>
                <w:color w:val="auto"/>
              </w:rPr>
            </w:pPr>
          </w:p>
        </w:tc>
      </w:tr>
      <w:tr>
        <w:trPr>
          <w:trHeight w:val="228"/>
        </w:trPr>
        <w:tc>
          <w:tcPr>
            <w:tcW w:w="6660" w:type="dxa"/>
            <w:vAlign w:val="bottom"/>
            <w:vMerge w:val="continue"/>
          </w:tcPr>
          <w:p>
            <w:pPr>
              <w:spacing w:after="0"/>
              <w:rPr>
                <w:sz w:val="19"/>
                <w:szCs w:val="19"/>
                <w:color w:val="auto"/>
              </w:rPr>
            </w:pPr>
          </w:p>
        </w:tc>
        <w:tc>
          <w:tcPr>
            <w:tcW w:w="280" w:type="dxa"/>
            <w:vAlign w:val="bottom"/>
          </w:tcPr>
          <w:p>
            <w:pPr>
              <w:jc w:val="right"/>
              <w:ind w:right="92"/>
              <w:spacing w:after="0"/>
              <w:rPr>
                <w:sz w:val="20"/>
                <w:szCs w:val="20"/>
                <w:color w:val="auto"/>
              </w:rPr>
            </w:pPr>
            <w:r>
              <w:rPr>
                <w:rFonts w:ascii="Arial" w:cs="Arial" w:eastAsia="Arial" w:hAnsi="Arial"/>
                <w:sz w:val="18"/>
                <w:szCs w:val="18"/>
                <w:color w:val="auto"/>
                <w:w w:val="79"/>
              </w:rPr>
              <w:t>$</w:t>
            </w:r>
          </w:p>
        </w:tc>
        <w:tc>
          <w:tcPr>
            <w:tcW w:w="540" w:type="dxa"/>
            <w:vAlign w:val="bottom"/>
          </w:tcPr>
          <w:p>
            <w:pPr>
              <w:jc w:val="right"/>
              <w:ind w:right="12"/>
              <w:spacing w:after="0"/>
              <w:rPr>
                <w:sz w:val="20"/>
                <w:szCs w:val="20"/>
                <w:color w:val="auto"/>
              </w:rPr>
            </w:pPr>
            <w:r>
              <w:rPr>
                <w:rFonts w:ascii="Arial" w:cs="Arial" w:eastAsia="Arial" w:hAnsi="Arial"/>
                <w:sz w:val="18"/>
                <w:szCs w:val="18"/>
                <w:color w:val="auto"/>
              </w:rPr>
              <w:t>182</w:t>
            </w:r>
          </w:p>
        </w:tc>
        <w:tc>
          <w:tcPr>
            <w:tcW w:w="0" w:type="dxa"/>
            <w:vAlign w:val="bottom"/>
          </w:tcPr>
          <w:p>
            <w:pPr>
              <w:spacing w:after="0"/>
              <w:rPr>
                <w:sz w:val="1"/>
                <w:szCs w:val="1"/>
                <w:color w:val="auto"/>
              </w:rPr>
            </w:pPr>
          </w:p>
        </w:tc>
      </w:tr>
      <w:tr>
        <w:trPr>
          <w:trHeight w:val="43"/>
        </w:trPr>
        <w:tc>
          <w:tcPr>
            <w:tcW w:w="6660" w:type="dxa"/>
            <w:vAlign w:val="bottom"/>
          </w:tcPr>
          <w:p>
            <w:pPr>
              <w:spacing w:after="0"/>
              <w:rPr>
                <w:sz w:val="3"/>
                <w:szCs w:val="3"/>
                <w:color w:val="auto"/>
              </w:rPr>
            </w:pPr>
          </w:p>
        </w:tc>
        <w:tc>
          <w:tcPr>
            <w:tcW w:w="280" w:type="dxa"/>
            <w:vAlign w:val="bottom"/>
          </w:tcPr>
          <w:p>
            <w:pPr>
              <w:spacing w:after="0"/>
              <w:rPr>
                <w:sz w:val="3"/>
                <w:szCs w:val="3"/>
                <w:color w:val="auto"/>
              </w:rPr>
            </w:pPr>
          </w:p>
        </w:tc>
        <w:tc>
          <w:tcPr>
            <w:tcW w:w="5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6660" w:type="dxa"/>
            <w:vAlign w:val="bottom"/>
            <w:shd w:val="clear" w:color="auto" w:fill="000000"/>
          </w:tcPr>
          <w:p>
            <w:pPr>
              <w:spacing w:after="0"/>
              <w:rPr>
                <w:sz w:val="21"/>
                <w:szCs w:val="21"/>
                <w:color w:val="auto"/>
              </w:rPr>
            </w:pPr>
          </w:p>
        </w:tc>
        <w:tc>
          <w:tcPr>
            <w:tcW w:w="280" w:type="dxa"/>
            <w:vAlign w:val="bottom"/>
            <w:shd w:val="clear" w:color="auto" w:fill="000000"/>
          </w:tcPr>
          <w:p>
            <w:pPr>
              <w:spacing w:after="0"/>
              <w:rPr>
                <w:sz w:val="21"/>
                <w:szCs w:val="21"/>
                <w:color w:val="auto"/>
              </w:rPr>
            </w:pPr>
          </w:p>
        </w:tc>
        <w:tc>
          <w:tcPr>
            <w:tcW w:w="540" w:type="dxa"/>
            <w:vAlign w:val="bottom"/>
            <w:shd w:val="clear" w:color="auto" w:fill="000000"/>
          </w:tcPr>
          <w:p>
            <w:pPr>
              <w:spacing w:after="0"/>
              <w:rPr>
                <w:sz w:val="21"/>
                <w:szCs w:val="21"/>
                <w:color w:val="auto"/>
              </w:rPr>
            </w:pPr>
          </w:p>
        </w:tc>
        <w:tc>
          <w:tcPr>
            <w:tcW w:w="0" w:type="dxa"/>
            <w:vAlign w:val="bottom"/>
          </w:tcPr>
          <w:p>
            <w:pPr>
              <w:spacing w:after="0"/>
              <w:rPr>
                <w:sz w:val="1"/>
                <w:szCs w:val="1"/>
                <w:color w:val="auto"/>
              </w:rPr>
            </w:pPr>
          </w:p>
        </w:tc>
      </w:tr>
    </w:tbl>
    <w:p>
      <w:pPr>
        <w:spacing w:after="0" w:line="195" w:lineRule="exact"/>
        <w:rPr>
          <w:sz w:val="20"/>
          <w:szCs w:val="20"/>
          <w:color w:val="auto"/>
        </w:rPr>
      </w:pPr>
    </w:p>
    <w:p>
      <w:pPr>
        <w:ind w:right="1120"/>
        <w:spacing w:after="0" w:line="435" w:lineRule="auto"/>
        <w:rPr>
          <w:sz w:val="20"/>
          <w:szCs w:val="20"/>
          <w:color w:val="auto"/>
        </w:rPr>
      </w:pPr>
      <w:r>
        <w:rPr>
          <w:rFonts w:ascii="Arial" w:cs="Arial" w:eastAsia="Arial" w:hAnsi="Arial"/>
          <w:sz w:val="22"/>
          <w:szCs w:val="22"/>
          <w:color w:val="auto"/>
        </w:rPr>
        <w:t xml:space="preserve">Total payments under natural gas contracts were $455 million in 2005, $347 million in 2004 and $274 million in 2003. </w:t>
      </w:r>
      <w:r>
        <w:rPr>
          <w:rFonts w:ascii="Arial" w:cs="Arial" w:eastAsia="Arial" w:hAnsi="Arial"/>
          <w:sz w:val="22"/>
          <w:szCs w:val="22"/>
          <w:b w:val="1"/>
          <w:bCs w:val="1"/>
          <w:color w:val="auto"/>
        </w:rPr>
        <w:t>Purchased-Power Contracts</w:t>
      </w:r>
    </w:p>
    <w:p>
      <w:pPr>
        <w:spacing w:after="0" w:line="1" w:lineRule="exact"/>
        <w:rPr>
          <w:sz w:val="20"/>
          <w:szCs w:val="20"/>
          <w:color w:val="auto"/>
        </w:rPr>
      </w:pPr>
    </w:p>
    <w:p>
      <w:pPr>
        <w:ind w:right="120"/>
        <w:spacing w:after="0" w:line="238" w:lineRule="auto"/>
        <w:rPr>
          <w:sz w:val="20"/>
          <w:szCs w:val="20"/>
          <w:color w:val="auto"/>
        </w:rPr>
      </w:pPr>
      <w:r>
        <w:rPr>
          <w:rFonts w:ascii="Arial" w:cs="Arial" w:eastAsia="Arial" w:hAnsi="Arial"/>
          <w:sz w:val="22"/>
          <w:szCs w:val="22"/>
          <w:color w:val="auto"/>
        </w:rPr>
        <w:t>For 2006, SDG&amp;E expects to receive 43 percent of its customer power requirements from DWR allocations. Of the remaining requirements, SONGS is expected to account for 17 percent, long-term contracts for 19 percent (of which 7 percent is provided by renewable contracts expiring on various dates through 2025), Palomar for 12 percent and spot market purchases for 9 percent. The long-term contracts expire on various dates through 2032.</w:t>
      </w:r>
    </w:p>
    <w:p>
      <w:pPr>
        <w:spacing w:after="0" w:line="185" w:lineRule="exact"/>
        <w:rPr>
          <w:sz w:val="20"/>
          <w:szCs w:val="20"/>
          <w:color w:val="auto"/>
        </w:rPr>
      </w:pPr>
    </w:p>
    <w:p>
      <w:pPr>
        <w:spacing w:after="0"/>
        <w:rPr>
          <w:sz w:val="20"/>
          <w:szCs w:val="20"/>
          <w:color w:val="auto"/>
        </w:rPr>
      </w:pPr>
      <w:r>
        <w:rPr>
          <w:rFonts w:ascii="Arial" w:cs="Arial" w:eastAsia="Arial" w:hAnsi="Arial"/>
          <w:sz w:val="19"/>
          <w:szCs w:val="19"/>
          <w:color w:val="auto"/>
        </w:rPr>
        <w:t>At December 31, 2005, the estimated future minimum payments under the long-term contracts (not including the DWR allocations)</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were:</w:t>
      </w:r>
    </w:p>
    <w:p>
      <w:pPr>
        <w:spacing w:after="0" w:line="242" w:lineRule="exact"/>
        <w:rPr>
          <w:sz w:val="20"/>
          <w:szCs w:val="20"/>
          <w:color w:val="auto"/>
        </w:rPr>
      </w:pPr>
    </w:p>
    <w:tbl>
      <w:tblPr>
        <w:tblLayout w:type="fixed"/>
        <w:tblInd w:w="1980" w:type="dxa"/>
        <w:tblCellMar>
          <w:top w:w="0" w:type="dxa"/>
          <w:left w:w="0" w:type="dxa"/>
          <w:bottom w:w="0" w:type="dxa"/>
          <w:right w:w="0" w:type="dxa"/>
        </w:tblCellMar>
      </w:tblPr>
      <w:tr>
        <w:trPr>
          <w:trHeight w:val="230"/>
        </w:trPr>
        <w:tc>
          <w:tcPr>
            <w:tcW w:w="6660" w:type="dxa"/>
            <w:vAlign w:val="bottom"/>
          </w:tcPr>
          <w:p>
            <w:pPr>
              <w:spacing w:after="0"/>
              <w:rPr>
                <w:sz w:val="20"/>
                <w:szCs w:val="20"/>
                <w:color w:val="auto"/>
              </w:rPr>
            </w:pPr>
            <w:r>
              <w:rPr>
                <w:rFonts w:ascii="Arial" w:cs="Arial" w:eastAsia="Arial" w:hAnsi="Arial"/>
                <w:sz w:val="18"/>
                <w:szCs w:val="18"/>
                <w:color w:val="auto"/>
              </w:rPr>
              <w:t>(Dollars in millions)</w:t>
            </w:r>
          </w:p>
        </w:tc>
        <w:tc>
          <w:tcPr>
            <w:tcW w:w="2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1"/>
        </w:trPr>
        <w:tc>
          <w:tcPr>
            <w:tcW w:w="6660" w:type="dxa"/>
            <w:vAlign w:val="bottom"/>
            <w:shd w:val="clear" w:color="auto" w:fill="000000"/>
          </w:tcPr>
          <w:p>
            <w:pPr>
              <w:spacing w:after="0"/>
              <w:rPr>
                <w:sz w:val="21"/>
                <w:szCs w:val="21"/>
                <w:color w:val="auto"/>
              </w:rPr>
            </w:pPr>
          </w:p>
        </w:tc>
        <w:tc>
          <w:tcPr>
            <w:tcW w:w="200" w:type="dxa"/>
            <w:vAlign w:val="bottom"/>
            <w:shd w:val="clear" w:color="auto" w:fill="000000"/>
          </w:tcPr>
          <w:p>
            <w:pPr>
              <w:spacing w:after="0"/>
              <w:rPr>
                <w:sz w:val="21"/>
                <w:szCs w:val="21"/>
                <w:color w:val="auto"/>
              </w:rPr>
            </w:pPr>
          </w:p>
        </w:tc>
        <w:tc>
          <w:tcPr>
            <w:tcW w:w="620" w:type="dxa"/>
            <w:vAlign w:val="bottom"/>
            <w:shd w:val="clear" w:color="auto" w:fill="000000"/>
          </w:tcPr>
          <w:p>
            <w:pPr>
              <w:spacing w:after="0"/>
              <w:rPr>
                <w:sz w:val="21"/>
                <w:szCs w:val="21"/>
                <w:color w:val="auto"/>
              </w:rPr>
            </w:pPr>
          </w:p>
        </w:tc>
        <w:tc>
          <w:tcPr>
            <w:tcW w:w="0" w:type="dxa"/>
            <w:vAlign w:val="bottom"/>
          </w:tcPr>
          <w:p>
            <w:pPr>
              <w:spacing w:after="0"/>
              <w:rPr>
                <w:sz w:val="1"/>
                <w:szCs w:val="1"/>
                <w:color w:val="auto"/>
              </w:rPr>
            </w:pPr>
          </w:p>
        </w:tc>
      </w:tr>
      <w:tr>
        <w:trPr>
          <w:trHeight w:val="228"/>
        </w:trPr>
        <w:tc>
          <w:tcPr>
            <w:tcW w:w="6660" w:type="dxa"/>
            <w:vAlign w:val="bottom"/>
          </w:tcPr>
          <w:p>
            <w:pPr>
              <w:spacing w:after="0"/>
              <w:rPr>
                <w:sz w:val="20"/>
                <w:szCs w:val="20"/>
                <w:color w:val="auto"/>
              </w:rPr>
            </w:pPr>
            <w:r>
              <w:rPr>
                <w:rFonts w:ascii="Arial" w:cs="Arial" w:eastAsia="Arial" w:hAnsi="Arial"/>
                <w:sz w:val="18"/>
                <w:szCs w:val="18"/>
                <w:color w:val="auto"/>
              </w:rPr>
              <w:t>2006</w:t>
            </w:r>
          </w:p>
        </w:tc>
        <w:tc>
          <w:tcPr>
            <w:tcW w:w="200" w:type="dxa"/>
            <w:vAlign w:val="bottom"/>
          </w:tcPr>
          <w:p>
            <w:pPr>
              <w:jc w:val="right"/>
              <w:ind w:right="12"/>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ind w:right="12"/>
              <w:spacing w:after="0"/>
              <w:rPr>
                <w:sz w:val="20"/>
                <w:szCs w:val="20"/>
                <w:color w:val="auto"/>
              </w:rPr>
            </w:pPr>
            <w:r>
              <w:rPr>
                <w:rFonts w:ascii="Arial" w:cs="Arial" w:eastAsia="Arial" w:hAnsi="Arial"/>
                <w:sz w:val="18"/>
                <w:szCs w:val="18"/>
                <w:color w:val="auto"/>
              </w:rPr>
              <w:t>247</w:t>
            </w:r>
          </w:p>
        </w:tc>
        <w:tc>
          <w:tcPr>
            <w:tcW w:w="0" w:type="dxa"/>
            <w:vAlign w:val="bottom"/>
          </w:tcPr>
          <w:p>
            <w:pPr>
              <w:spacing w:after="0"/>
              <w:rPr>
                <w:sz w:val="1"/>
                <w:szCs w:val="1"/>
                <w:color w:val="auto"/>
              </w:rPr>
            </w:pPr>
          </w:p>
        </w:tc>
      </w:tr>
      <w:tr>
        <w:trPr>
          <w:trHeight w:val="270"/>
        </w:trPr>
        <w:tc>
          <w:tcPr>
            <w:tcW w:w="6660" w:type="dxa"/>
            <w:vAlign w:val="bottom"/>
          </w:tcPr>
          <w:p>
            <w:pPr>
              <w:spacing w:after="0"/>
              <w:rPr>
                <w:sz w:val="20"/>
                <w:szCs w:val="20"/>
                <w:color w:val="auto"/>
              </w:rPr>
            </w:pPr>
            <w:r>
              <w:rPr>
                <w:rFonts w:ascii="Arial" w:cs="Arial" w:eastAsia="Arial" w:hAnsi="Arial"/>
                <w:sz w:val="18"/>
                <w:szCs w:val="18"/>
                <w:color w:val="auto"/>
              </w:rPr>
              <w:t>2007</w:t>
            </w:r>
          </w:p>
        </w:tc>
        <w:tc>
          <w:tcPr>
            <w:tcW w:w="200" w:type="dxa"/>
            <w:vAlign w:val="bottom"/>
          </w:tcPr>
          <w:p>
            <w:pPr>
              <w:spacing w:after="0"/>
              <w:rPr>
                <w:sz w:val="23"/>
                <w:szCs w:val="23"/>
                <w:color w:val="auto"/>
              </w:rPr>
            </w:pPr>
          </w:p>
        </w:tc>
        <w:tc>
          <w:tcPr>
            <w:tcW w:w="620" w:type="dxa"/>
            <w:vAlign w:val="bottom"/>
          </w:tcPr>
          <w:p>
            <w:pPr>
              <w:jc w:val="right"/>
              <w:ind w:right="12"/>
              <w:spacing w:after="0"/>
              <w:rPr>
                <w:sz w:val="20"/>
                <w:szCs w:val="20"/>
                <w:color w:val="auto"/>
              </w:rPr>
            </w:pPr>
            <w:r>
              <w:rPr>
                <w:rFonts w:ascii="Arial" w:cs="Arial" w:eastAsia="Arial" w:hAnsi="Arial"/>
                <w:sz w:val="18"/>
                <w:szCs w:val="18"/>
                <w:color w:val="auto"/>
              </w:rPr>
              <w:t>248</w:t>
            </w:r>
          </w:p>
        </w:tc>
        <w:tc>
          <w:tcPr>
            <w:tcW w:w="0" w:type="dxa"/>
            <w:vAlign w:val="bottom"/>
          </w:tcPr>
          <w:p>
            <w:pPr>
              <w:spacing w:after="0"/>
              <w:rPr>
                <w:sz w:val="1"/>
                <w:szCs w:val="1"/>
                <w:color w:val="auto"/>
              </w:rPr>
            </w:pPr>
          </w:p>
        </w:tc>
      </w:tr>
      <w:tr>
        <w:trPr>
          <w:trHeight w:val="270"/>
        </w:trPr>
        <w:tc>
          <w:tcPr>
            <w:tcW w:w="6660" w:type="dxa"/>
            <w:vAlign w:val="bottom"/>
          </w:tcPr>
          <w:p>
            <w:pPr>
              <w:spacing w:after="0"/>
              <w:rPr>
                <w:sz w:val="20"/>
                <w:szCs w:val="20"/>
                <w:color w:val="auto"/>
              </w:rPr>
            </w:pPr>
            <w:r>
              <w:rPr>
                <w:rFonts w:ascii="Arial" w:cs="Arial" w:eastAsia="Arial" w:hAnsi="Arial"/>
                <w:sz w:val="18"/>
                <w:szCs w:val="18"/>
                <w:color w:val="auto"/>
              </w:rPr>
              <w:t>2008</w:t>
            </w:r>
          </w:p>
        </w:tc>
        <w:tc>
          <w:tcPr>
            <w:tcW w:w="200" w:type="dxa"/>
            <w:vAlign w:val="bottom"/>
          </w:tcPr>
          <w:p>
            <w:pPr>
              <w:spacing w:after="0"/>
              <w:rPr>
                <w:sz w:val="23"/>
                <w:szCs w:val="23"/>
                <w:color w:val="auto"/>
              </w:rPr>
            </w:pPr>
          </w:p>
        </w:tc>
        <w:tc>
          <w:tcPr>
            <w:tcW w:w="620" w:type="dxa"/>
            <w:vAlign w:val="bottom"/>
          </w:tcPr>
          <w:p>
            <w:pPr>
              <w:jc w:val="right"/>
              <w:ind w:right="12"/>
              <w:spacing w:after="0"/>
              <w:rPr>
                <w:sz w:val="20"/>
                <w:szCs w:val="20"/>
                <w:color w:val="auto"/>
              </w:rPr>
            </w:pPr>
            <w:r>
              <w:rPr>
                <w:rFonts w:ascii="Arial" w:cs="Arial" w:eastAsia="Arial" w:hAnsi="Arial"/>
                <w:sz w:val="18"/>
                <w:szCs w:val="18"/>
                <w:color w:val="auto"/>
              </w:rPr>
              <w:t>288</w:t>
            </w:r>
          </w:p>
        </w:tc>
        <w:tc>
          <w:tcPr>
            <w:tcW w:w="0" w:type="dxa"/>
            <w:vAlign w:val="bottom"/>
          </w:tcPr>
          <w:p>
            <w:pPr>
              <w:spacing w:after="0"/>
              <w:rPr>
                <w:sz w:val="1"/>
                <w:szCs w:val="1"/>
                <w:color w:val="auto"/>
              </w:rPr>
            </w:pPr>
          </w:p>
        </w:tc>
      </w:tr>
      <w:tr>
        <w:trPr>
          <w:trHeight w:val="270"/>
        </w:trPr>
        <w:tc>
          <w:tcPr>
            <w:tcW w:w="6660" w:type="dxa"/>
            <w:vAlign w:val="bottom"/>
          </w:tcPr>
          <w:p>
            <w:pPr>
              <w:spacing w:after="0"/>
              <w:rPr>
                <w:sz w:val="20"/>
                <w:szCs w:val="20"/>
                <w:color w:val="auto"/>
              </w:rPr>
            </w:pPr>
            <w:r>
              <w:rPr>
                <w:rFonts w:ascii="Arial" w:cs="Arial" w:eastAsia="Arial" w:hAnsi="Arial"/>
                <w:sz w:val="18"/>
                <w:szCs w:val="18"/>
                <w:color w:val="auto"/>
              </w:rPr>
              <w:t>2009</w:t>
            </w:r>
          </w:p>
        </w:tc>
        <w:tc>
          <w:tcPr>
            <w:tcW w:w="200" w:type="dxa"/>
            <w:vAlign w:val="bottom"/>
          </w:tcPr>
          <w:p>
            <w:pPr>
              <w:spacing w:after="0"/>
              <w:rPr>
                <w:sz w:val="23"/>
                <w:szCs w:val="23"/>
                <w:color w:val="auto"/>
              </w:rPr>
            </w:pPr>
          </w:p>
        </w:tc>
        <w:tc>
          <w:tcPr>
            <w:tcW w:w="620" w:type="dxa"/>
            <w:vAlign w:val="bottom"/>
          </w:tcPr>
          <w:p>
            <w:pPr>
              <w:jc w:val="right"/>
              <w:ind w:right="12"/>
              <w:spacing w:after="0"/>
              <w:rPr>
                <w:sz w:val="20"/>
                <w:szCs w:val="20"/>
                <w:color w:val="auto"/>
              </w:rPr>
            </w:pPr>
            <w:r>
              <w:rPr>
                <w:rFonts w:ascii="Arial" w:cs="Arial" w:eastAsia="Arial" w:hAnsi="Arial"/>
                <w:sz w:val="18"/>
                <w:szCs w:val="18"/>
                <w:color w:val="auto"/>
              </w:rPr>
              <w:t>283</w:t>
            </w:r>
          </w:p>
        </w:tc>
        <w:tc>
          <w:tcPr>
            <w:tcW w:w="0" w:type="dxa"/>
            <w:vAlign w:val="bottom"/>
          </w:tcPr>
          <w:p>
            <w:pPr>
              <w:spacing w:after="0"/>
              <w:rPr>
                <w:sz w:val="1"/>
                <w:szCs w:val="1"/>
                <w:color w:val="auto"/>
              </w:rPr>
            </w:pPr>
          </w:p>
        </w:tc>
      </w:tr>
      <w:tr>
        <w:trPr>
          <w:trHeight w:val="270"/>
        </w:trPr>
        <w:tc>
          <w:tcPr>
            <w:tcW w:w="6660" w:type="dxa"/>
            <w:vAlign w:val="bottom"/>
          </w:tcPr>
          <w:p>
            <w:pPr>
              <w:spacing w:after="0"/>
              <w:rPr>
                <w:sz w:val="20"/>
                <w:szCs w:val="20"/>
                <w:color w:val="auto"/>
              </w:rPr>
            </w:pPr>
            <w:r>
              <w:rPr>
                <w:rFonts w:ascii="Arial" w:cs="Arial" w:eastAsia="Arial" w:hAnsi="Arial"/>
                <w:sz w:val="18"/>
                <w:szCs w:val="18"/>
                <w:color w:val="auto"/>
              </w:rPr>
              <w:t>2010</w:t>
            </w:r>
          </w:p>
        </w:tc>
        <w:tc>
          <w:tcPr>
            <w:tcW w:w="200" w:type="dxa"/>
            <w:vAlign w:val="bottom"/>
          </w:tcPr>
          <w:p>
            <w:pPr>
              <w:spacing w:after="0"/>
              <w:rPr>
                <w:sz w:val="23"/>
                <w:szCs w:val="23"/>
                <w:color w:val="auto"/>
              </w:rPr>
            </w:pPr>
          </w:p>
        </w:tc>
        <w:tc>
          <w:tcPr>
            <w:tcW w:w="620" w:type="dxa"/>
            <w:vAlign w:val="bottom"/>
          </w:tcPr>
          <w:p>
            <w:pPr>
              <w:jc w:val="right"/>
              <w:ind w:right="12"/>
              <w:spacing w:after="0"/>
              <w:rPr>
                <w:sz w:val="20"/>
                <w:szCs w:val="20"/>
                <w:color w:val="auto"/>
              </w:rPr>
            </w:pPr>
            <w:r>
              <w:rPr>
                <w:rFonts w:ascii="Arial" w:cs="Arial" w:eastAsia="Arial" w:hAnsi="Arial"/>
                <w:sz w:val="18"/>
                <w:szCs w:val="18"/>
                <w:color w:val="auto"/>
              </w:rPr>
              <w:t>282</w:t>
            </w:r>
          </w:p>
        </w:tc>
        <w:tc>
          <w:tcPr>
            <w:tcW w:w="0" w:type="dxa"/>
            <w:vAlign w:val="bottom"/>
          </w:tcPr>
          <w:p>
            <w:pPr>
              <w:spacing w:after="0"/>
              <w:rPr>
                <w:sz w:val="1"/>
                <w:szCs w:val="1"/>
                <w:color w:val="auto"/>
              </w:rPr>
            </w:pPr>
          </w:p>
        </w:tc>
      </w:tr>
      <w:tr>
        <w:trPr>
          <w:trHeight w:val="270"/>
        </w:trPr>
        <w:tc>
          <w:tcPr>
            <w:tcW w:w="6660" w:type="dxa"/>
            <w:vAlign w:val="bottom"/>
          </w:tcPr>
          <w:p>
            <w:pPr>
              <w:spacing w:after="0"/>
              <w:rPr>
                <w:sz w:val="20"/>
                <w:szCs w:val="20"/>
                <w:color w:val="auto"/>
              </w:rPr>
            </w:pPr>
            <w:r>
              <w:rPr>
                <w:rFonts w:ascii="Arial" w:cs="Arial" w:eastAsia="Arial" w:hAnsi="Arial"/>
                <w:sz w:val="18"/>
                <w:szCs w:val="18"/>
                <w:color w:val="auto"/>
              </w:rPr>
              <w:t>Thereafter</w:t>
            </w:r>
          </w:p>
        </w:tc>
        <w:tc>
          <w:tcPr>
            <w:tcW w:w="200" w:type="dxa"/>
            <w:vAlign w:val="bottom"/>
          </w:tcPr>
          <w:p>
            <w:pPr>
              <w:spacing w:after="0"/>
              <w:rPr>
                <w:sz w:val="23"/>
                <w:szCs w:val="23"/>
                <w:color w:val="auto"/>
              </w:rPr>
            </w:pPr>
          </w:p>
        </w:tc>
        <w:tc>
          <w:tcPr>
            <w:tcW w:w="620" w:type="dxa"/>
            <w:vAlign w:val="bottom"/>
          </w:tcPr>
          <w:p>
            <w:pPr>
              <w:jc w:val="right"/>
              <w:ind w:right="12"/>
              <w:spacing w:after="0"/>
              <w:rPr>
                <w:sz w:val="20"/>
                <w:szCs w:val="20"/>
                <w:color w:val="auto"/>
              </w:rPr>
            </w:pPr>
            <w:r>
              <w:rPr>
                <w:rFonts w:ascii="Arial" w:cs="Arial" w:eastAsia="Arial" w:hAnsi="Arial"/>
                <w:sz w:val="18"/>
                <w:szCs w:val="18"/>
                <w:color w:val="auto"/>
              </w:rPr>
              <w:t>2,627</w:t>
            </w:r>
          </w:p>
        </w:tc>
        <w:tc>
          <w:tcPr>
            <w:tcW w:w="0" w:type="dxa"/>
            <w:vAlign w:val="bottom"/>
          </w:tcPr>
          <w:p>
            <w:pPr>
              <w:spacing w:after="0"/>
              <w:rPr>
                <w:sz w:val="1"/>
                <w:szCs w:val="1"/>
                <w:color w:val="auto"/>
              </w:rPr>
            </w:pPr>
          </w:p>
        </w:tc>
      </w:tr>
      <w:tr>
        <w:trPr>
          <w:trHeight w:val="43"/>
        </w:trPr>
        <w:tc>
          <w:tcPr>
            <w:tcW w:w="6660" w:type="dxa"/>
            <w:vAlign w:val="bottom"/>
            <w:vMerge w:val="restart"/>
          </w:tcPr>
          <w:p>
            <w:pPr>
              <w:spacing w:after="0"/>
              <w:rPr>
                <w:sz w:val="20"/>
                <w:szCs w:val="20"/>
                <w:color w:val="auto"/>
              </w:rPr>
            </w:pPr>
            <w:r>
              <w:rPr>
                <w:rFonts w:ascii="Arial" w:cs="Arial" w:eastAsia="Arial" w:hAnsi="Arial"/>
                <w:sz w:val="18"/>
                <w:szCs w:val="18"/>
                <w:color w:val="auto"/>
              </w:rPr>
              <w:t>Total minimum payments</w:t>
            </w:r>
          </w:p>
        </w:tc>
        <w:tc>
          <w:tcPr>
            <w:tcW w:w="200" w:type="dxa"/>
            <w:vAlign w:val="bottom"/>
          </w:tcPr>
          <w:p>
            <w:pPr>
              <w:spacing w:after="0"/>
              <w:rPr>
                <w:sz w:val="3"/>
                <w:szCs w:val="3"/>
                <w:color w:val="auto"/>
              </w:rPr>
            </w:pPr>
          </w:p>
        </w:tc>
        <w:tc>
          <w:tcPr>
            <w:tcW w:w="6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6660" w:type="dxa"/>
            <w:vAlign w:val="bottom"/>
            <w:vMerge w:val="continue"/>
          </w:tcPr>
          <w:p>
            <w:pPr>
              <w:spacing w:after="0"/>
              <w:rPr>
                <w:sz w:val="21"/>
                <w:szCs w:val="21"/>
                <w:color w:val="auto"/>
              </w:rPr>
            </w:pPr>
          </w:p>
        </w:tc>
        <w:tc>
          <w:tcPr>
            <w:tcW w:w="200" w:type="dxa"/>
            <w:vAlign w:val="bottom"/>
            <w:shd w:val="clear" w:color="auto" w:fill="000000"/>
          </w:tcPr>
          <w:p>
            <w:pPr>
              <w:spacing w:after="0"/>
              <w:rPr>
                <w:sz w:val="21"/>
                <w:szCs w:val="21"/>
                <w:color w:val="auto"/>
              </w:rPr>
            </w:pPr>
          </w:p>
        </w:tc>
        <w:tc>
          <w:tcPr>
            <w:tcW w:w="620" w:type="dxa"/>
            <w:vAlign w:val="bottom"/>
            <w:shd w:val="clear" w:color="auto" w:fill="000000"/>
          </w:tcPr>
          <w:p>
            <w:pPr>
              <w:spacing w:after="0"/>
              <w:rPr>
                <w:sz w:val="21"/>
                <w:szCs w:val="21"/>
                <w:color w:val="auto"/>
              </w:rPr>
            </w:pPr>
          </w:p>
        </w:tc>
        <w:tc>
          <w:tcPr>
            <w:tcW w:w="0" w:type="dxa"/>
            <w:vAlign w:val="bottom"/>
          </w:tcPr>
          <w:p>
            <w:pPr>
              <w:spacing w:after="0"/>
              <w:rPr>
                <w:sz w:val="1"/>
                <w:szCs w:val="1"/>
                <w:color w:val="auto"/>
              </w:rPr>
            </w:pPr>
          </w:p>
        </w:tc>
      </w:tr>
      <w:tr>
        <w:trPr>
          <w:trHeight w:val="228"/>
        </w:trPr>
        <w:tc>
          <w:tcPr>
            <w:tcW w:w="6660" w:type="dxa"/>
            <w:vAlign w:val="bottom"/>
            <w:vMerge w:val="continue"/>
          </w:tcPr>
          <w:p>
            <w:pPr>
              <w:spacing w:after="0"/>
              <w:rPr>
                <w:sz w:val="19"/>
                <w:szCs w:val="19"/>
                <w:color w:val="auto"/>
              </w:rPr>
            </w:pPr>
          </w:p>
        </w:tc>
        <w:tc>
          <w:tcPr>
            <w:tcW w:w="200" w:type="dxa"/>
            <w:vAlign w:val="bottom"/>
          </w:tcPr>
          <w:p>
            <w:pPr>
              <w:jc w:val="right"/>
              <w:ind w:right="12"/>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ind w:right="12"/>
              <w:spacing w:after="0"/>
              <w:rPr>
                <w:sz w:val="20"/>
                <w:szCs w:val="20"/>
                <w:color w:val="auto"/>
              </w:rPr>
            </w:pPr>
            <w:r>
              <w:rPr>
                <w:rFonts w:ascii="Arial" w:cs="Arial" w:eastAsia="Arial" w:hAnsi="Arial"/>
                <w:sz w:val="18"/>
                <w:szCs w:val="18"/>
                <w:color w:val="auto"/>
              </w:rPr>
              <w:t>3,975</w:t>
            </w:r>
          </w:p>
        </w:tc>
        <w:tc>
          <w:tcPr>
            <w:tcW w:w="0" w:type="dxa"/>
            <w:vAlign w:val="bottom"/>
          </w:tcPr>
          <w:p>
            <w:pPr>
              <w:spacing w:after="0"/>
              <w:rPr>
                <w:sz w:val="1"/>
                <w:szCs w:val="1"/>
                <w:color w:val="auto"/>
              </w:rPr>
            </w:pPr>
          </w:p>
        </w:tc>
      </w:tr>
      <w:tr>
        <w:trPr>
          <w:trHeight w:val="43"/>
        </w:trPr>
        <w:tc>
          <w:tcPr>
            <w:tcW w:w="6660" w:type="dxa"/>
            <w:vAlign w:val="bottom"/>
          </w:tcPr>
          <w:p>
            <w:pPr>
              <w:spacing w:after="0"/>
              <w:rPr>
                <w:sz w:val="3"/>
                <w:szCs w:val="3"/>
                <w:color w:val="auto"/>
              </w:rPr>
            </w:pPr>
          </w:p>
        </w:tc>
        <w:tc>
          <w:tcPr>
            <w:tcW w:w="200" w:type="dxa"/>
            <w:vAlign w:val="bottom"/>
          </w:tcPr>
          <w:p>
            <w:pPr>
              <w:spacing w:after="0"/>
              <w:rPr>
                <w:sz w:val="3"/>
                <w:szCs w:val="3"/>
                <w:color w:val="auto"/>
              </w:rPr>
            </w:pPr>
          </w:p>
        </w:tc>
        <w:tc>
          <w:tcPr>
            <w:tcW w:w="6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6660" w:type="dxa"/>
            <w:vAlign w:val="bottom"/>
            <w:shd w:val="clear" w:color="auto" w:fill="000000"/>
          </w:tcPr>
          <w:p>
            <w:pPr>
              <w:spacing w:after="0"/>
              <w:rPr>
                <w:sz w:val="21"/>
                <w:szCs w:val="21"/>
                <w:color w:val="auto"/>
              </w:rPr>
            </w:pPr>
          </w:p>
        </w:tc>
        <w:tc>
          <w:tcPr>
            <w:tcW w:w="200" w:type="dxa"/>
            <w:vAlign w:val="bottom"/>
            <w:shd w:val="clear" w:color="auto" w:fill="000000"/>
          </w:tcPr>
          <w:p>
            <w:pPr>
              <w:spacing w:after="0"/>
              <w:rPr>
                <w:sz w:val="21"/>
                <w:szCs w:val="21"/>
                <w:color w:val="auto"/>
              </w:rPr>
            </w:pPr>
          </w:p>
        </w:tc>
        <w:tc>
          <w:tcPr>
            <w:tcW w:w="620" w:type="dxa"/>
            <w:vAlign w:val="bottom"/>
            <w:shd w:val="clear" w:color="auto" w:fill="000000"/>
          </w:tcPr>
          <w:p>
            <w:pPr>
              <w:spacing w:after="0"/>
              <w:rPr>
                <w:sz w:val="21"/>
                <w:szCs w:val="21"/>
                <w:color w:val="auto"/>
              </w:rPr>
            </w:pPr>
          </w:p>
        </w:tc>
        <w:tc>
          <w:tcPr>
            <w:tcW w:w="0" w:type="dxa"/>
            <w:vAlign w:val="bottom"/>
          </w:tcPr>
          <w:p>
            <w:pPr>
              <w:spacing w:after="0"/>
              <w:rPr>
                <w:sz w:val="1"/>
                <w:szCs w:val="1"/>
                <w:color w:val="auto"/>
              </w:rPr>
            </w:pPr>
          </w:p>
        </w:tc>
      </w:tr>
    </w:tbl>
    <w:p>
      <w:pPr>
        <w:spacing w:after="0" w:line="195" w:lineRule="exact"/>
        <w:rPr>
          <w:sz w:val="20"/>
          <w:szCs w:val="20"/>
          <w:color w:val="auto"/>
        </w:rPr>
      </w:pPr>
    </w:p>
    <w:p>
      <w:pPr>
        <w:jc w:val="both"/>
        <w:ind w:right="60"/>
        <w:spacing w:after="0" w:line="258" w:lineRule="auto"/>
        <w:rPr>
          <w:sz w:val="20"/>
          <w:szCs w:val="20"/>
          <w:color w:val="auto"/>
        </w:rPr>
      </w:pPr>
      <w:r>
        <w:rPr>
          <w:rFonts w:ascii="Arial" w:cs="Arial" w:eastAsia="Arial" w:hAnsi="Arial"/>
          <w:sz w:val="21"/>
          <w:szCs w:val="21"/>
          <w:color w:val="auto"/>
        </w:rPr>
        <w:t>The payments represent capacity charges and minimum energy purchases. SDG&amp;E is required to pay additional amounts for actual purchases of energy that exceed the minimum energy commitments. Excluding DWR-allocated contracts, total payments under the contracts were $363 million in 2005, $329 million in 2004 and $396 million in 2003.</w:t>
      </w:r>
    </w:p>
    <w:p>
      <w:pPr>
        <w:spacing w:after="0" w:line="16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Leases</w:t>
      </w:r>
    </w:p>
    <w:p>
      <w:pPr>
        <w:spacing w:after="0" w:line="212" w:lineRule="exact"/>
        <w:rPr>
          <w:sz w:val="20"/>
          <w:szCs w:val="20"/>
          <w:color w:val="auto"/>
        </w:rPr>
      </w:pPr>
    </w:p>
    <w:p>
      <w:pPr>
        <w:ind w:right="320"/>
        <w:spacing w:after="0" w:line="238" w:lineRule="auto"/>
        <w:rPr>
          <w:sz w:val="20"/>
          <w:szCs w:val="20"/>
          <w:color w:val="auto"/>
        </w:rPr>
      </w:pPr>
      <w:r>
        <w:rPr>
          <w:rFonts w:ascii="Arial" w:cs="Arial" w:eastAsia="Arial" w:hAnsi="Arial"/>
          <w:sz w:val="22"/>
          <w:szCs w:val="22"/>
          <w:color w:val="auto"/>
        </w:rPr>
        <w:t>SDG&amp;E has operating leases on real and personal property expiring at various dates from 2006 to 2045. Certain leases on office facilities contain escalation clauses requiring annual increases in rent ranging from 2 percent to 5 percent. The rentals payable under these leases are determined on both fixed and percentage bases, and most leases contain extension options which are exercisable by the company.</w:t>
      </w:r>
    </w:p>
    <w:p>
      <w:pPr>
        <w:sectPr>
          <w:pgSz w:w="11900" w:h="16838" w:orient="portrait"/>
          <w:cols w:equalWidth="0" w:num="1">
            <w:col w:w="11400"/>
          </w:cols>
          <w:pgMar w:left="240" w:top="112" w:right="259" w:bottom="0" w:gutter="0" w:footer="0" w:header="0"/>
        </w:sectPr>
      </w:pPr>
    </w:p>
    <w:bookmarkStart w:id="49" w:name="page50"/>
    <w:bookmarkEnd w:id="49"/>
    <w:p>
      <w:pPr>
        <w:spacing w:after="0"/>
        <w:rPr>
          <w:sz w:val="20"/>
          <w:szCs w:val="20"/>
          <w:color w:val="auto"/>
        </w:rPr>
      </w:pPr>
      <w:r>
        <w:rPr>
          <w:rFonts w:ascii="Arial" w:cs="Arial" w:eastAsia="Arial" w:hAnsi="Arial"/>
          <w:sz w:val="19"/>
          <w:szCs w:val="19"/>
          <w:color w:val="auto"/>
        </w:rPr>
        <w:t>At December 31, 2005, the minimum rental commitments payable in future years under all noncancellable leases were as follows:</w:t>
      </w:r>
    </w:p>
    <w:p>
      <w:pPr>
        <w:spacing w:after="0" w:line="295" w:lineRule="exact"/>
        <w:rPr>
          <w:sz w:val="20"/>
          <w:szCs w:val="20"/>
          <w:color w:val="auto"/>
        </w:rPr>
      </w:pPr>
    </w:p>
    <w:tbl>
      <w:tblPr>
        <w:tblLayout w:type="fixed"/>
        <w:tblInd w:w="1980" w:type="dxa"/>
        <w:tblCellMar>
          <w:top w:w="0" w:type="dxa"/>
          <w:left w:w="0" w:type="dxa"/>
          <w:bottom w:w="0" w:type="dxa"/>
          <w:right w:w="0" w:type="dxa"/>
        </w:tblCellMar>
      </w:tblPr>
      <w:tr>
        <w:trPr>
          <w:trHeight w:val="230"/>
        </w:trPr>
        <w:tc>
          <w:tcPr>
            <w:tcW w:w="6660" w:type="dxa"/>
            <w:vAlign w:val="bottom"/>
          </w:tcPr>
          <w:p>
            <w:pPr>
              <w:spacing w:after="0"/>
              <w:rPr>
                <w:sz w:val="20"/>
                <w:szCs w:val="20"/>
                <w:color w:val="auto"/>
              </w:rPr>
            </w:pPr>
            <w:r>
              <w:rPr>
                <w:rFonts w:ascii="Arial" w:cs="Arial" w:eastAsia="Arial" w:hAnsi="Arial"/>
                <w:sz w:val="18"/>
                <w:szCs w:val="18"/>
                <w:color w:val="auto"/>
              </w:rPr>
              <w:t>(Dollars in millions)</w:t>
            </w:r>
          </w:p>
        </w:tc>
        <w:tc>
          <w:tcPr>
            <w:tcW w:w="3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1"/>
        </w:trPr>
        <w:tc>
          <w:tcPr>
            <w:tcW w:w="6660" w:type="dxa"/>
            <w:vAlign w:val="bottom"/>
            <w:shd w:val="clear" w:color="auto" w:fill="000000"/>
          </w:tcPr>
          <w:p>
            <w:pPr>
              <w:spacing w:after="0"/>
              <w:rPr>
                <w:sz w:val="21"/>
                <w:szCs w:val="21"/>
                <w:color w:val="auto"/>
              </w:rPr>
            </w:pPr>
          </w:p>
        </w:tc>
        <w:tc>
          <w:tcPr>
            <w:tcW w:w="320" w:type="dxa"/>
            <w:vAlign w:val="bottom"/>
            <w:shd w:val="clear" w:color="auto" w:fill="000000"/>
          </w:tcPr>
          <w:p>
            <w:pPr>
              <w:spacing w:after="0"/>
              <w:rPr>
                <w:sz w:val="21"/>
                <w:szCs w:val="21"/>
                <w:color w:val="auto"/>
              </w:rPr>
            </w:pPr>
          </w:p>
        </w:tc>
        <w:tc>
          <w:tcPr>
            <w:tcW w:w="500" w:type="dxa"/>
            <w:vAlign w:val="bottom"/>
            <w:shd w:val="clear" w:color="auto" w:fill="000000"/>
          </w:tcPr>
          <w:p>
            <w:pPr>
              <w:spacing w:after="0"/>
              <w:rPr>
                <w:sz w:val="21"/>
                <w:szCs w:val="21"/>
                <w:color w:val="auto"/>
              </w:rPr>
            </w:pPr>
          </w:p>
        </w:tc>
        <w:tc>
          <w:tcPr>
            <w:tcW w:w="0" w:type="dxa"/>
            <w:vAlign w:val="bottom"/>
          </w:tcPr>
          <w:p>
            <w:pPr>
              <w:spacing w:after="0"/>
              <w:rPr>
                <w:sz w:val="1"/>
                <w:szCs w:val="1"/>
                <w:color w:val="auto"/>
              </w:rPr>
            </w:pPr>
          </w:p>
        </w:tc>
      </w:tr>
      <w:tr>
        <w:trPr>
          <w:trHeight w:val="228"/>
        </w:trPr>
        <w:tc>
          <w:tcPr>
            <w:tcW w:w="6660" w:type="dxa"/>
            <w:vAlign w:val="bottom"/>
          </w:tcPr>
          <w:p>
            <w:pPr>
              <w:spacing w:after="0"/>
              <w:rPr>
                <w:sz w:val="20"/>
                <w:szCs w:val="20"/>
                <w:color w:val="auto"/>
              </w:rPr>
            </w:pPr>
            <w:r>
              <w:rPr>
                <w:rFonts w:ascii="Arial" w:cs="Arial" w:eastAsia="Arial" w:hAnsi="Arial"/>
                <w:sz w:val="18"/>
                <w:szCs w:val="18"/>
                <w:color w:val="auto"/>
              </w:rPr>
              <w:t>2006</w:t>
            </w:r>
          </w:p>
        </w:tc>
        <w:tc>
          <w:tcPr>
            <w:tcW w:w="320" w:type="dxa"/>
            <w:vAlign w:val="bottom"/>
          </w:tcPr>
          <w:p>
            <w:pPr>
              <w:jc w:val="right"/>
              <w:ind w:right="132"/>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ind w:right="12"/>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70"/>
        </w:trPr>
        <w:tc>
          <w:tcPr>
            <w:tcW w:w="6660" w:type="dxa"/>
            <w:vAlign w:val="bottom"/>
          </w:tcPr>
          <w:p>
            <w:pPr>
              <w:spacing w:after="0"/>
              <w:rPr>
                <w:sz w:val="20"/>
                <w:szCs w:val="20"/>
                <w:color w:val="auto"/>
              </w:rPr>
            </w:pPr>
            <w:r>
              <w:rPr>
                <w:rFonts w:ascii="Arial" w:cs="Arial" w:eastAsia="Arial" w:hAnsi="Arial"/>
                <w:sz w:val="18"/>
                <w:szCs w:val="18"/>
                <w:color w:val="auto"/>
              </w:rPr>
              <w:t>2007</w:t>
            </w:r>
          </w:p>
        </w:tc>
        <w:tc>
          <w:tcPr>
            <w:tcW w:w="320" w:type="dxa"/>
            <w:vAlign w:val="bottom"/>
          </w:tcPr>
          <w:p>
            <w:pPr>
              <w:spacing w:after="0"/>
              <w:rPr>
                <w:sz w:val="23"/>
                <w:szCs w:val="23"/>
                <w:color w:val="auto"/>
              </w:rPr>
            </w:pPr>
          </w:p>
        </w:tc>
        <w:tc>
          <w:tcPr>
            <w:tcW w:w="500" w:type="dxa"/>
            <w:vAlign w:val="bottom"/>
          </w:tcPr>
          <w:p>
            <w:pPr>
              <w:jc w:val="right"/>
              <w:ind w:right="12"/>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70"/>
        </w:trPr>
        <w:tc>
          <w:tcPr>
            <w:tcW w:w="6660" w:type="dxa"/>
            <w:vAlign w:val="bottom"/>
          </w:tcPr>
          <w:p>
            <w:pPr>
              <w:spacing w:after="0"/>
              <w:rPr>
                <w:sz w:val="20"/>
                <w:szCs w:val="20"/>
                <w:color w:val="auto"/>
              </w:rPr>
            </w:pPr>
            <w:r>
              <w:rPr>
                <w:rFonts w:ascii="Arial" w:cs="Arial" w:eastAsia="Arial" w:hAnsi="Arial"/>
                <w:sz w:val="18"/>
                <w:szCs w:val="18"/>
                <w:color w:val="auto"/>
              </w:rPr>
              <w:t>2008</w:t>
            </w:r>
          </w:p>
        </w:tc>
        <w:tc>
          <w:tcPr>
            <w:tcW w:w="320" w:type="dxa"/>
            <w:vAlign w:val="bottom"/>
          </w:tcPr>
          <w:p>
            <w:pPr>
              <w:spacing w:after="0"/>
              <w:rPr>
                <w:sz w:val="23"/>
                <w:szCs w:val="23"/>
                <w:color w:val="auto"/>
              </w:rPr>
            </w:pPr>
          </w:p>
        </w:tc>
        <w:tc>
          <w:tcPr>
            <w:tcW w:w="500" w:type="dxa"/>
            <w:vAlign w:val="bottom"/>
          </w:tcPr>
          <w:p>
            <w:pPr>
              <w:jc w:val="right"/>
              <w:ind w:right="12"/>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70"/>
        </w:trPr>
        <w:tc>
          <w:tcPr>
            <w:tcW w:w="6660" w:type="dxa"/>
            <w:vAlign w:val="bottom"/>
          </w:tcPr>
          <w:p>
            <w:pPr>
              <w:spacing w:after="0"/>
              <w:rPr>
                <w:sz w:val="20"/>
                <w:szCs w:val="20"/>
                <w:color w:val="auto"/>
              </w:rPr>
            </w:pPr>
            <w:r>
              <w:rPr>
                <w:rFonts w:ascii="Arial" w:cs="Arial" w:eastAsia="Arial" w:hAnsi="Arial"/>
                <w:sz w:val="18"/>
                <w:szCs w:val="18"/>
                <w:color w:val="auto"/>
              </w:rPr>
              <w:t>2009</w:t>
            </w:r>
          </w:p>
        </w:tc>
        <w:tc>
          <w:tcPr>
            <w:tcW w:w="320" w:type="dxa"/>
            <w:vAlign w:val="bottom"/>
          </w:tcPr>
          <w:p>
            <w:pPr>
              <w:spacing w:after="0"/>
              <w:rPr>
                <w:sz w:val="23"/>
                <w:szCs w:val="23"/>
                <w:color w:val="auto"/>
              </w:rPr>
            </w:pPr>
          </w:p>
        </w:tc>
        <w:tc>
          <w:tcPr>
            <w:tcW w:w="500" w:type="dxa"/>
            <w:vAlign w:val="bottom"/>
          </w:tcPr>
          <w:p>
            <w:pPr>
              <w:jc w:val="right"/>
              <w:ind w:right="12"/>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70"/>
        </w:trPr>
        <w:tc>
          <w:tcPr>
            <w:tcW w:w="6660" w:type="dxa"/>
            <w:vAlign w:val="bottom"/>
          </w:tcPr>
          <w:p>
            <w:pPr>
              <w:spacing w:after="0"/>
              <w:rPr>
                <w:sz w:val="20"/>
                <w:szCs w:val="20"/>
                <w:color w:val="auto"/>
              </w:rPr>
            </w:pPr>
            <w:r>
              <w:rPr>
                <w:rFonts w:ascii="Arial" w:cs="Arial" w:eastAsia="Arial" w:hAnsi="Arial"/>
                <w:sz w:val="18"/>
                <w:szCs w:val="18"/>
                <w:color w:val="auto"/>
              </w:rPr>
              <w:t>2010</w:t>
            </w:r>
          </w:p>
        </w:tc>
        <w:tc>
          <w:tcPr>
            <w:tcW w:w="320" w:type="dxa"/>
            <w:vAlign w:val="bottom"/>
          </w:tcPr>
          <w:p>
            <w:pPr>
              <w:spacing w:after="0"/>
              <w:rPr>
                <w:sz w:val="23"/>
                <w:szCs w:val="23"/>
                <w:color w:val="auto"/>
              </w:rPr>
            </w:pPr>
          </w:p>
        </w:tc>
        <w:tc>
          <w:tcPr>
            <w:tcW w:w="500" w:type="dxa"/>
            <w:vAlign w:val="bottom"/>
          </w:tcPr>
          <w:p>
            <w:pPr>
              <w:jc w:val="right"/>
              <w:ind w:right="12"/>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70"/>
        </w:trPr>
        <w:tc>
          <w:tcPr>
            <w:tcW w:w="6660" w:type="dxa"/>
            <w:vAlign w:val="bottom"/>
          </w:tcPr>
          <w:p>
            <w:pPr>
              <w:spacing w:after="0"/>
              <w:rPr>
                <w:sz w:val="20"/>
                <w:szCs w:val="20"/>
                <w:color w:val="auto"/>
              </w:rPr>
            </w:pPr>
            <w:r>
              <w:rPr>
                <w:rFonts w:ascii="Arial" w:cs="Arial" w:eastAsia="Arial" w:hAnsi="Arial"/>
                <w:sz w:val="18"/>
                <w:szCs w:val="18"/>
                <w:color w:val="auto"/>
              </w:rPr>
              <w:t>Thereafter</w:t>
            </w:r>
          </w:p>
        </w:tc>
        <w:tc>
          <w:tcPr>
            <w:tcW w:w="320" w:type="dxa"/>
            <w:vAlign w:val="bottom"/>
          </w:tcPr>
          <w:p>
            <w:pPr>
              <w:spacing w:after="0"/>
              <w:rPr>
                <w:sz w:val="23"/>
                <w:szCs w:val="23"/>
                <w:color w:val="auto"/>
              </w:rPr>
            </w:pPr>
          </w:p>
        </w:tc>
        <w:tc>
          <w:tcPr>
            <w:tcW w:w="500" w:type="dxa"/>
            <w:vAlign w:val="bottom"/>
          </w:tcPr>
          <w:p>
            <w:pPr>
              <w:jc w:val="right"/>
              <w:ind w:right="12"/>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43"/>
        </w:trPr>
        <w:tc>
          <w:tcPr>
            <w:tcW w:w="6660" w:type="dxa"/>
            <w:vAlign w:val="bottom"/>
            <w:vMerge w:val="restart"/>
          </w:tcPr>
          <w:p>
            <w:pPr>
              <w:spacing w:after="0"/>
              <w:rPr>
                <w:sz w:val="20"/>
                <w:szCs w:val="20"/>
                <w:color w:val="auto"/>
              </w:rPr>
            </w:pPr>
            <w:r>
              <w:rPr>
                <w:rFonts w:ascii="Arial" w:cs="Arial" w:eastAsia="Arial" w:hAnsi="Arial"/>
                <w:sz w:val="18"/>
                <w:szCs w:val="18"/>
                <w:color w:val="auto"/>
              </w:rPr>
              <w:t>Total future rental commitments</w:t>
            </w:r>
          </w:p>
        </w:tc>
        <w:tc>
          <w:tcPr>
            <w:tcW w:w="320" w:type="dxa"/>
            <w:vAlign w:val="bottom"/>
          </w:tcPr>
          <w:p>
            <w:pPr>
              <w:spacing w:after="0"/>
              <w:rPr>
                <w:sz w:val="3"/>
                <w:szCs w:val="3"/>
                <w:color w:val="auto"/>
              </w:rPr>
            </w:pPr>
          </w:p>
        </w:tc>
        <w:tc>
          <w:tcPr>
            <w:tcW w:w="5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6660" w:type="dxa"/>
            <w:vAlign w:val="bottom"/>
            <w:vMerge w:val="continue"/>
          </w:tcPr>
          <w:p>
            <w:pPr>
              <w:spacing w:after="0"/>
              <w:rPr>
                <w:sz w:val="21"/>
                <w:szCs w:val="21"/>
                <w:color w:val="auto"/>
              </w:rPr>
            </w:pPr>
          </w:p>
        </w:tc>
        <w:tc>
          <w:tcPr>
            <w:tcW w:w="320" w:type="dxa"/>
            <w:vAlign w:val="bottom"/>
            <w:shd w:val="clear" w:color="auto" w:fill="000000"/>
          </w:tcPr>
          <w:p>
            <w:pPr>
              <w:spacing w:after="0"/>
              <w:rPr>
                <w:sz w:val="21"/>
                <w:szCs w:val="21"/>
                <w:color w:val="auto"/>
              </w:rPr>
            </w:pPr>
          </w:p>
        </w:tc>
        <w:tc>
          <w:tcPr>
            <w:tcW w:w="500" w:type="dxa"/>
            <w:vAlign w:val="bottom"/>
            <w:shd w:val="clear" w:color="auto" w:fill="000000"/>
          </w:tcPr>
          <w:p>
            <w:pPr>
              <w:spacing w:after="0"/>
              <w:rPr>
                <w:sz w:val="21"/>
                <w:szCs w:val="21"/>
                <w:color w:val="auto"/>
              </w:rPr>
            </w:pPr>
          </w:p>
        </w:tc>
        <w:tc>
          <w:tcPr>
            <w:tcW w:w="0" w:type="dxa"/>
            <w:vAlign w:val="bottom"/>
          </w:tcPr>
          <w:p>
            <w:pPr>
              <w:spacing w:after="0"/>
              <w:rPr>
                <w:sz w:val="1"/>
                <w:szCs w:val="1"/>
                <w:color w:val="auto"/>
              </w:rPr>
            </w:pPr>
          </w:p>
        </w:tc>
      </w:tr>
      <w:tr>
        <w:trPr>
          <w:trHeight w:val="228"/>
        </w:trPr>
        <w:tc>
          <w:tcPr>
            <w:tcW w:w="6660" w:type="dxa"/>
            <w:vAlign w:val="bottom"/>
            <w:vMerge w:val="continue"/>
          </w:tcPr>
          <w:p>
            <w:pPr>
              <w:spacing w:after="0"/>
              <w:rPr>
                <w:sz w:val="19"/>
                <w:szCs w:val="19"/>
                <w:color w:val="auto"/>
              </w:rPr>
            </w:pPr>
          </w:p>
        </w:tc>
        <w:tc>
          <w:tcPr>
            <w:tcW w:w="320" w:type="dxa"/>
            <w:vAlign w:val="bottom"/>
          </w:tcPr>
          <w:p>
            <w:pPr>
              <w:jc w:val="right"/>
              <w:ind w:right="132"/>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ind w:right="12"/>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43"/>
        </w:trPr>
        <w:tc>
          <w:tcPr>
            <w:tcW w:w="6660" w:type="dxa"/>
            <w:vAlign w:val="bottom"/>
          </w:tcPr>
          <w:p>
            <w:pPr>
              <w:spacing w:after="0"/>
              <w:rPr>
                <w:sz w:val="3"/>
                <w:szCs w:val="3"/>
                <w:color w:val="auto"/>
              </w:rPr>
            </w:pPr>
          </w:p>
        </w:tc>
        <w:tc>
          <w:tcPr>
            <w:tcW w:w="320" w:type="dxa"/>
            <w:vAlign w:val="bottom"/>
          </w:tcPr>
          <w:p>
            <w:pPr>
              <w:spacing w:after="0"/>
              <w:rPr>
                <w:sz w:val="3"/>
                <w:szCs w:val="3"/>
                <w:color w:val="auto"/>
              </w:rPr>
            </w:pPr>
          </w:p>
        </w:tc>
        <w:tc>
          <w:tcPr>
            <w:tcW w:w="5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6660" w:type="dxa"/>
            <w:vAlign w:val="bottom"/>
            <w:shd w:val="clear" w:color="auto" w:fill="000000"/>
          </w:tcPr>
          <w:p>
            <w:pPr>
              <w:spacing w:after="0"/>
              <w:rPr>
                <w:sz w:val="21"/>
                <w:szCs w:val="21"/>
                <w:color w:val="auto"/>
              </w:rPr>
            </w:pPr>
          </w:p>
        </w:tc>
        <w:tc>
          <w:tcPr>
            <w:tcW w:w="320" w:type="dxa"/>
            <w:vAlign w:val="bottom"/>
            <w:shd w:val="clear" w:color="auto" w:fill="000000"/>
          </w:tcPr>
          <w:p>
            <w:pPr>
              <w:spacing w:after="0"/>
              <w:rPr>
                <w:sz w:val="21"/>
                <w:szCs w:val="21"/>
                <w:color w:val="auto"/>
              </w:rPr>
            </w:pPr>
          </w:p>
        </w:tc>
        <w:tc>
          <w:tcPr>
            <w:tcW w:w="500" w:type="dxa"/>
            <w:vAlign w:val="bottom"/>
            <w:shd w:val="clear" w:color="auto" w:fill="000000"/>
          </w:tcPr>
          <w:p>
            <w:pPr>
              <w:spacing w:after="0"/>
              <w:rPr>
                <w:sz w:val="21"/>
                <w:szCs w:val="21"/>
                <w:color w:val="auto"/>
              </w:rPr>
            </w:pPr>
          </w:p>
        </w:tc>
        <w:tc>
          <w:tcPr>
            <w:tcW w:w="0" w:type="dxa"/>
            <w:vAlign w:val="bottom"/>
          </w:tcPr>
          <w:p>
            <w:pPr>
              <w:spacing w:after="0"/>
              <w:rPr>
                <w:sz w:val="1"/>
                <w:szCs w:val="1"/>
                <w:color w:val="auto"/>
              </w:rPr>
            </w:pPr>
          </w:p>
        </w:tc>
      </w:tr>
    </w:tbl>
    <w:p>
      <w:pPr>
        <w:spacing w:after="0" w:line="154" w:lineRule="exact"/>
        <w:rPr>
          <w:sz w:val="20"/>
          <w:szCs w:val="20"/>
          <w:color w:val="auto"/>
        </w:rPr>
      </w:pPr>
    </w:p>
    <w:p>
      <w:pPr>
        <w:ind w:right="2100"/>
        <w:spacing w:after="0" w:line="435" w:lineRule="auto"/>
        <w:rPr>
          <w:sz w:val="20"/>
          <w:szCs w:val="20"/>
          <w:color w:val="auto"/>
        </w:rPr>
      </w:pPr>
      <w:r>
        <w:rPr>
          <w:rFonts w:ascii="Arial" w:cs="Arial" w:eastAsia="Arial" w:hAnsi="Arial"/>
          <w:sz w:val="22"/>
          <w:szCs w:val="22"/>
          <w:color w:val="auto"/>
        </w:rPr>
        <w:t xml:space="preserve">Rent expense for operating leases totaled $22 million in 2005, $20 million in 2004 and $20 million in 2003. </w:t>
      </w:r>
      <w:r>
        <w:rPr>
          <w:rFonts w:ascii="Arial" w:cs="Arial" w:eastAsia="Arial" w:hAnsi="Arial"/>
          <w:sz w:val="22"/>
          <w:szCs w:val="22"/>
          <w:b w:val="1"/>
          <w:bCs w:val="1"/>
          <w:color w:val="auto"/>
        </w:rPr>
        <w:t>Construction Projects</w:t>
      </w:r>
    </w:p>
    <w:p>
      <w:pPr>
        <w:spacing w:after="0" w:line="1" w:lineRule="exact"/>
        <w:rPr>
          <w:sz w:val="20"/>
          <w:szCs w:val="20"/>
          <w:color w:val="auto"/>
        </w:rPr>
      </w:pPr>
    </w:p>
    <w:p>
      <w:pPr>
        <w:spacing w:after="0" w:line="238" w:lineRule="auto"/>
        <w:rPr>
          <w:sz w:val="20"/>
          <w:szCs w:val="20"/>
          <w:color w:val="auto"/>
        </w:rPr>
      </w:pPr>
      <w:r>
        <w:rPr>
          <w:rFonts w:ascii="Arial" w:cs="Arial" w:eastAsia="Arial" w:hAnsi="Arial"/>
          <w:sz w:val="22"/>
          <w:szCs w:val="22"/>
          <w:color w:val="auto"/>
        </w:rPr>
        <w:t xml:space="preserve">In addition to the recurrent expenditures for plant improvements, the company will spend $500 million in 2006 to purchase the 550-MW Palomar power plant, which is currently being constructed by Sempra Generation, and other costs associated with the plant. The capitalized costs through December 31, 2005 are recorded as construction work in progress in </w:t>
      </w:r>
      <w:r>
        <w:rPr>
          <w:rFonts w:ascii="Arial" w:cs="Arial" w:eastAsia="Arial" w:hAnsi="Arial"/>
          <w:sz w:val="22"/>
          <w:szCs w:val="22"/>
          <w:u w:val="single" w:color="auto"/>
          <w:color w:val="auto"/>
        </w:rPr>
        <w:t>Utility</w:t>
      </w:r>
      <w:r>
        <w:rPr>
          <w:rFonts w:ascii="Arial" w:cs="Arial" w:eastAsia="Arial" w:hAnsi="Arial"/>
          <w:sz w:val="22"/>
          <w:szCs w:val="22"/>
          <w:color w:val="auto"/>
        </w:rPr>
        <w:t xml:space="preserve"> Plant on the Consolidated Balance Sheets.</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Guarantees</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color w:val="auto"/>
        </w:rPr>
        <w:t>As of December 31, 2005, the company did not have any outstanding guarantees.</w:t>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Department Of Energy Nuclear Fuel Disposal</w:t>
      </w:r>
    </w:p>
    <w:p>
      <w:pPr>
        <w:spacing w:after="0" w:line="212" w:lineRule="exact"/>
        <w:rPr>
          <w:sz w:val="20"/>
          <w:szCs w:val="20"/>
          <w:color w:val="auto"/>
        </w:rPr>
      </w:pPr>
    </w:p>
    <w:p>
      <w:pPr>
        <w:ind w:right="40"/>
        <w:spacing w:after="0" w:line="238" w:lineRule="auto"/>
        <w:rPr>
          <w:sz w:val="20"/>
          <w:szCs w:val="20"/>
          <w:color w:val="auto"/>
        </w:rPr>
      </w:pPr>
      <w:r>
        <w:rPr>
          <w:rFonts w:ascii="Arial" w:cs="Arial" w:eastAsia="Arial" w:hAnsi="Arial"/>
          <w:sz w:val="22"/>
          <w:szCs w:val="22"/>
          <w:color w:val="auto"/>
        </w:rPr>
        <w:t>The Nuclear Waste Policy Act of 1982 made the DOE responsible for the disposal of spent nuclear fuel. However, it is uncertain when the DOE will begin accepting spent nuclear fuel from SONGS. This delay by the DOE will lead to increased costs for spent fuel storage. This cost will be recovered through SONGS revenue unless the company is able to recover the increased cost from the federal government.</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Electric Distribution System Conversion</w:t>
      </w:r>
    </w:p>
    <w:p>
      <w:pPr>
        <w:spacing w:after="0" w:line="212" w:lineRule="exact"/>
        <w:rPr>
          <w:sz w:val="20"/>
          <w:szCs w:val="20"/>
          <w:color w:val="auto"/>
        </w:rPr>
      </w:pPr>
    </w:p>
    <w:p>
      <w:pPr>
        <w:ind w:right="320"/>
        <w:spacing w:after="0" w:line="252" w:lineRule="auto"/>
        <w:rPr>
          <w:sz w:val="20"/>
          <w:szCs w:val="20"/>
          <w:color w:val="auto"/>
        </w:rPr>
      </w:pPr>
      <w:r>
        <w:rPr>
          <w:rFonts w:ascii="Arial" w:cs="Arial" w:eastAsia="Arial" w:hAnsi="Arial"/>
          <w:sz w:val="21"/>
          <w:szCs w:val="21"/>
          <w:color w:val="auto"/>
        </w:rPr>
        <w:t>Under a CPUC-mandated program, the cost of which is included in utility rates, and through franchise agreements with various cities, SDG&amp;E is committed, in varying amounts, to converting overhead distribution facilities to underground. As of December 31, 2005, the aggregate unexpended amount of this commitment was $67 million. Capital expenditures for underground conversions were $32 million in 2005, $23 million in 2004 and $28 million in 2003.</w:t>
      </w:r>
    </w:p>
    <w:p>
      <w:pPr>
        <w:spacing w:after="0" w:line="16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Environmental Issues</w:t>
      </w:r>
    </w:p>
    <w:p>
      <w:pPr>
        <w:spacing w:after="0" w:line="212" w:lineRule="exact"/>
        <w:rPr>
          <w:sz w:val="20"/>
          <w:szCs w:val="20"/>
          <w:color w:val="auto"/>
        </w:rPr>
      </w:pPr>
    </w:p>
    <w:p>
      <w:pPr>
        <w:ind w:right="20"/>
        <w:spacing w:after="0" w:line="246" w:lineRule="auto"/>
        <w:rPr>
          <w:sz w:val="20"/>
          <w:szCs w:val="20"/>
          <w:color w:val="auto"/>
        </w:rPr>
      </w:pPr>
      <w:r>
        <w:rPr>
          <w:rFonts w:ascii="Arial" w:cs="Arial" w:eastAsia="Arial" w:hAnsi="Arial"/>
          <w:sz w:val="21"/>
          <w:szCs w:val="21"/>
          <w:color w:val="auto"/>
        </w:rPr>
        <w:t>The company's operations are subject to federal, state and local environmental laws and regulations governing hazardous wastes, air and water quality, land use, solid waste disposal and the protection of wildlife. Laws and regulations require that the company investigate and remediate the effects of the release or disposal of materials at sites associated with past and present operations, including sites at which the company has been identified as a Potentially Responsible Party (PRP) under the federal Superfund laws and comparable state laws. The company is required to obtain numerous governmental permits, licenses and other approvals to construct facilities and operate its businesses, and must spend significant sums on environmental monitoring, pollution control equipment and emissions fees. Costs incurred to operate the facilities in compliance with these laws and regulations generally have been recovered in customer rates.</w:t>
      </w:r>
    </w:p>
    <w:p>
      <w:pPr>
        <w:spacing w:after="0" w:line="208" w:lineRule="exact"/>
        <w:rPr>
          <w:sz w:val="20"/>
          <w:szCs w:val="20"/>
          <w:color w:val="auto"/>
        </w:rPr>
      </w:pPr>
    </w:p>
    <w:p>
      <w:pPr>
        <w:ind w:right="240"/>
        <w:spacing w:after="0" w:line="287" w:lineRule="auto"/>
        <w:rPr>
          <w:sz w:val="20"/>
          <w:szCs w:val="20"/>
          <w:color w:val="auto"/>
        </w:rPr>
      </w:pPr>
      <w:r>
        <w:rPr>
          <w:rFonts w:ascii="Arial" w:cs="Arial" w:eastAsia="Arial" w:hAnsi="Arial"/>
          <w:sz w:val="19"/>
          <w:szCs w:val="19"/>
          <w:color w:val="auto"/>
        </w:rPr>
        <w:t>Significant costs incurred to mitigate or prevent future environmental contamination or extend the life, increase the capacity or improve the safety or efficiency of property utilized in current operations are capitalized. The company's capital expenditures to comply with environmental laws and regulations were $9 million in 2005, $9 million in 2004 and $5 million in 2003. The cost of compliance with these regulations over the next five years is not expected to be significant.</w:t>
      </w:r>
    </w:p>
    <w:p>
      <w:pPr>
        <w:spacing w:after="0" w:line="143" w:lineRule="exact"/>
        <w:rPr>
          <w:sz w:val="20"/>
          <w:szCs w:val="20"/>
          <w:color w:val="auto"/>
        </w:rPr>
      </w:pPr>
    </w:p>
    <w:p>
      <w:pPr>
        <w:ind w:right="20"/>
        <w:spacing w:after="0" w:line="251" w:lineRule="auto"/>
        <w:rPr>
          <w:sz w:val="20"/>
          <w:szCs w:val="20"/>
          <w:color w:val="auto"/>
        </w:rPr>
      </w:pPr>
      <w:r>
        <w:rPr>
          <w:rFonts w:ascii="Arial" w:cs="Arial" w:eastAsia="Arial" w:hAnsi="Arial"/>
          <w:sz w:val="22"/>
          <w:szCs w:val="22"/>
          <w:color w:val="auto"/>
        </w:rPr>
        <w:t>Costs that relate to current operations or an existing condition caused by past operations are generally recorded as a regulatory asset due to the probability that these costs will be recovered in rates.</w:t>
      </w:r>
    </w:p>
    <w:p>
      <w:pPr>
        <w:spacing w:after="0" w:line="200" w:lineRule="exact"/>
        <w:rPr>
          <w:sz w:val="20"/>
          <w:szCs w:val="20"/>
          <w:color w:val="auto"/>
        </w:rPr>
      </w:pPr>
    </w:p>
    <w:p>
      <w:pPr>
        <w:ind w:right="80"/>
        <w:spacing w:after="0" w:line="282" w:lineRule="auto"/>
        <w:rPr>
          <w:sz w:val="20"/>
          <w:szCs w:val="20"/>
          <w:color w:val="auto"/>
        </w:rPr>
      </w:pPr>
      <w:r>
        <w:rPr>
          <w:rFonts w:ascii="Arial" w:cs="Arial" w:eastAsia="Arial" w:hAnsi="Arial"/>
          <w:sz w:val="19"/>
          <w:szCs w:val="19"/>
          <w:color w:val="auto"/>
        </w:rPr>
        <w:t>The environmental issues currently facing the company or resolved during the last three years include investigation and remediation of its manufactured-gas sites (two completed as of December 31, 2005 and site-closure letters received), cleanup of third-party waste-disposal sites used by the company, which has been identified as a PRP (investigations and remediations are continuing) and mitigation of damage to the marine environment caused by the cooling-water discharge from SONGS (the requirements for enhanced fish protection, a 150-acre artificial reef and restoration of 150 acres of coastal wetlands are in process).</w:t>
      </w:r>
    </w:p>
    <w:p>
      <w:pPr>
        <w:sectPr>
          <w:pgSz w:w="11900" w:h="16838" w:orient="portrait"/>
          <w:cols w:equalWidth="0" w:num="1">
            <w:col w:w="11420"/>
          </w:cols>
          <w:pgMar w:left="240" w:top="118" w:right="239" w:bottom="462" w:gutter="0" w:footer="0" w:header="0"/>
        </w:sectPr>
      </w:pPr>
    </w:p>
    <w:bookmarkStart w:id="50" w:name="page51"/>
    <w:bookmarkEnd w:id="50"/>
    <w:p>
      <w:pPr>
        <w:ind w:right="100"/>
        <w:spacing w:after="0" w:line="273" w:lineRule="auto"/>
        <w:rPr>
          <w:sz w:val="20"/>
          <w:szCs w:val="20"/>
          <w:color w:val="auto"/>
        </w:rPr>
      </w:pPr>
      <w:r>
        <w:rPr>
          <w:rFonts w:ascii="Arial" w:cs="Arial" w:eastAsia="Arial" w:hAnsi="Arial"/>
          <w:sz w:val="19"/>
          <w:szCs w:val="19"/>
          <w:color w:val="auto"/>
        </w:rPr>
        <w:t>Environmental liabilities are recorded when the company's liability is probable and the costs are reasonably estimable. In many cases, however, investigations are not yet at a stage where the company has been able to determine whether it is liable or, if the liability is probable, to reasonably estimate the amount or range of amounts of the cost or certain components thereof. Estimates of the company's liability are further subject to other uncertainties, such as the nature and extent of site contamination, evolving remediation standards and imprecise engineering evaluations. The accruals are reviewed periodically and, as investigations and remediation proceed, adjustments are made as necessary. Not including the liability for SONGS marine mitigation, which SDG&amp;E is participating in jointly with Edison, at December 31, 2005, the company's accrued liability for environmental matters was $17.5 million, of which $6.3 million is related to manufactured-gas sites, $10.3 million to cleanup at SDG&amp;E's fo rmer fossil-fueled power plants, and $0.9 million to waste-disposal sites used by the company (which has been identified as a PRP). The majority of these accruals are expected to be paid ratably over the next two years.</w:t>
      </w:r>
    </w:p>
    <w:p>
      <w:pPr>
        <w:spacing w:after="0" w:line="15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Nuclear Insurance</w:t>
      </w:r>
    </w:p>
    <w:p>
      <w:pPr>
        <w:spacing w:after="0" w:line="212" w:lineRule="exact"/>
        <w:rPr>
          <w:sz w:val="20"/>
          <w:szCs w:val="20"/>
          <w:color w:val="auto"/>
        </w:rPr>
      </w:pPr>
    </w:p>
    <w:p>
      <w:pPr>
        <w:ind w:right="140"/>
        <w:spacing w:after="0" w:line="277" w:lineRule="auto"/>
        <w:rPr>
          <w:sz w:val="20"/>
          <w:szCs w:val="20"/>
          <w:color w:val="auto"/>
        </w:rPr>
      </w:pPr>
      <w:r>
        <w:rPr>
          <w:rFonts w:ascii="Arial" w:cs="Arial" w:eastAsia="Arial" w:hAnsi="Arial"/>
          <w:sz w:val="19"/>
          <w:szCs w:val="19"/>
          <w:color w:val="auto"/>
        </w:rPr>
        <w:t>SDG&amp;E and the other owners of SONGS have insurance to respond to nuclear liability claims related to SONGS. The insurance provides coverage of $300 million, the maximum amount available. In addition, the Price-Anderson Act provides for up to $10.5 billion of secondary financial protection. Should any of the licensed/commercial reactors in the United States experience a nuclear liability loss which exceeds the $300 million insurance limit, all utilities owning nuclear reactors could be assessed to provide the secondary financial protection. SDG&amp;E's total share would be up to $40 million, subject to an annual maximum assessment of $6 million, unless a default were to occur by any other SONGS owner. In the event the secondary financial protection limit were insufficient to cover the liability loss, SDG&amp;E could be subject to an additional assessment.</w:t>
      </w:r>
    </w:p>
    <w:p>
      <w:pPr>
        <w:spacing w:after="0" w:line="153" w:lineRule="exact"/>
        <w:rPr>
          <w:sz w:val="20"/>
          <w:szCs w:val="20"/>
          <w:color w:val="auto"/>
        </w:rPr>
      </w:pPr>
    </w:p>
    <w:p>
      <w:pPr>
        <w:spacing w:after="0" w:line="282" w:lineRule="auto"/>
        <w:rPr>
          <w:sz w:val="20"/>
          <w:szCs w:val="20"/>
          <w:color w:val="auto"/>
        </w:rPr>
      </w:pPr>
      <w:r>
        <w:rPr>
          <w:rFonts w:ascii="Arial" w:cs="Arial" w:eastAsia="Arial" w:hAnsi="Arial"/>
          <w:sz w:val="19"/>
          <w:szCs w:val="19"/>
          <w:color w:val="auto"/>
        </w:rPr>
        <w:t>SDG&amp;E and the other owners of SONGS have $2.75 billion of nuclear property, decontamination and debris removal insurance and up to $490 million for outage expenses and replacement power costs incurred because of accidental property damage. This coverage is limited to $3.5 million per week for the first 52 weeks and $2.8 million per week for up to 110 additional weeks, after a waiting period of 12 weeks. The insurance is provided through a mutual insurance company, through which insured members are subject to retrospective premium assessments (up to $8.65 million in SDG&amp;E's case).</w:t>
      </w:r>
    </w:p>
    <w:p>
      <w:pPr>
        <w:spacing w:after="0" w:line="148" w:lineRule="exact"/>
        <w:rPr>
          <w:sz w:val="20"/>
          <w:szCs w:val="20"/>
          <w:color w:val="auto"/>
        </w:rPr>
      </w:pPr>
    </w:p>
    <w:p>
      <w:pPr>
        <w:ind w:right="80"/>
        <w:spacing w:after="0" w:line="235" w:lineRule="auto"/>
        <w:rPr>
          <w:sz w:val="20"/>
          <w:szCs w:val="20"/>
          <w:color w:val="auto"/>
        </w:rPr>
      </w:pPr>
      <w:r>
        <w:rPr>
          <w:rFonts w:ascii="Arial" w:cs="Arial" w:eastAsia="Arial" w:hAnsi="Arial"/>
          <w:sz w:val="22"/>
          <w:szCs w:val="22"/>
          <w:color w:val="auto"/>
        </w:rPr>
        <w:t>The nuclear liability and property insurance programs subscribed to by members of the nuclear power generating industry include industry aggregate limits for non-certified acts (as defined by the Terrorism Risk Insurance Act) of terrorism-related SONGS losses, including replacement power costs. There are industry aggregate limits of $300 million for liability claims and $3.24 billion for property claims, including replacement power costs, for non-certified acts of terrorism. These limits are the maximum amount to be paid to members who sustain losses or damages from these non-certified terrorist acts. For certified acts of terrorism, the individual policy limits stated above apply.</w:t>
      </w:r>
    </w:p>
    <w:p>
      <w:pPr>
        <w:spacing w:after="0" w:line="18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Concentration Of Credit Risk</w:t>
      </w:r>
    </w:p>
    <w:p>
      <w:pPr>
        <w:spacing w:after="0" w:line="212" w:lineRule="exact"/>
        <w:rPr>
          <w:sz w:val="20"/>
          <w:szCs w:val="20"/>
          <w:color w:val="auto"/>
        </w:rPr>
      </w:pPr>
    </w:p>
    <w:p>
      <w:pPr>
        <w:ind w:right="140"/>
        <w:spacing w:after="0" w:line="236" w:lineRule="auto"/>
        <w:rPr>
          <w:sz w:val="20"/>
          <w:szCs w:val="20"/>
          <w:color w:val="auto"/>
        </w:rPr>
      </w:pPr>
      <w:r>
        <w:rPr>
          <w:rFonts w:ascii="Arial" w:cs="Arial" w:eastAsia="Arial" w:hAnsi="Arial"/>
          <w:sz w:val="22"/>
          <w:szCs w:val="22"/>
          <w:color w:val="auto"/>
        </w:rPr>
        <w:t>The company maintains credit policies and systems to manage overall credit risk. These policies include an evaluation of potential counterparties' financial condition and an assignment of credit limits. These credit limits are established based on risk and return considerations under terms customarily available in the industry. The company grants credit to customers and counterparties, substantially all of whom are located in its service territories, which cover all of San Diego County and an adjacent portion of Orange County.</w:t>
      </w:r>
    </w:p>
    <w:p>
      <w:pPr>
        <w:spacing w:after="0" w:line="18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12. QUARTERLY FINANCIAL DATA (UNAUDITED)</w:t>
      </w:r>
    </w:p>
    <w:p>
      <w:pPr>
        <w:spacing w:after="0" w:line="266" w:lineRule="exact"/>
        <w:rPr>
          <w:sz w:val="20"/>
          <w:szCs w:val="20"/>
          <w:color w:val="auto"/>
        </w:rPr>
      </w:pPr>
    </w:p>
    <w:tbl>
      <w:tblPr>
        <w:tblLayout w:type="fixed"/>
        <w:tblInd w:w="1220" w:type="dxa"/>
        <w:tblCellMar>
          <w:top w:w="0" w:type="dxa"/>
          <w:left w:w="0" w:type="dxa"/>
          <w:bottom w:w="0" w:type="dxa"/>
          <w:right w:w="0" w:type="dxa"/>
        </w:tblCellMar>
      </w:tblPr>
      <w:tr>
        <w:trPr>
          <w:trHeight w:val="222"/>
        </w:trPr>
        <w:tc>
          <w:tcPr>
            <w:tcW w:w="46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Quarters ended</w:t>
            </w:r>
          </w:p>
        </w:tc>
        <w:tc>
          <w:tcPr>
            <w:tcW w:w="4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80" w:type="dxa"/>
            <w:vAlign w:val="bottom"/>
          </w:tcPr>
          <w:p>
            <w:pPr>
              <w:spacing w:after="0"/>
              <w:rPr>
                <w:sz w:val="19"/>
                <w:szCs w:val="19"/>
                <w:color w:val="auto"/>
              </w:rPr>
            </w:pPr>
          </w:p>
        </w:tc>
      </w:tr>
      <w:tr>
        <w:trPr>
          <w:trHeight w:val="278"/>
        </w:trPr>
        <w:tc>
          <w:tcPr>
            <w:tcW w:w="4600" w:type="dxa"/>
            <w:vAlign w:val="bottom"/>
          </w:tcPr>
          <w:p>
            <w:pPr>
              <w:ind w:left="20"/>
              <w:spacing w:after="0"/>
              <w:rPr>
                <w:sz w:val="20"/>
                <w:szCs w:val="20"/>
                <w:color w:val="auto"/>
              </w:rPr>
            </w:pPr>
            <w:r>
              <w:rPr>
                <w:rFonts w:ascii="Arial" w:cs="Arial" w:eastAsia="Arial" w:hAnsi="Arial"/>
                <w:sz w:val="18"/>
                <w:szCs w:val="18"/>
                <w:color w:val="auto"/>
              </w:rPr>
              <w:t>(Dollars in millions)</w:t>
            </w:r>
          </w:p>
        </w:tc>
        <w:tc>
          <w:tcPr>
            <w:tcW w:w="1120" w:type="dxa"/>
            <w:vAlign w:val="bottom"/>
            <w:gridSpan w:val="2"/>
          </w:tcPr>
          <w:p>
            <w:pPr>
              <w:jc w:val="right"/>
              <w:ind w:right="112"/>
              <w:spacing w:after="0"/>
              <w:rPr>
                <w:sz w:val="20"/>
                <w:szCs w:val="20"/>
                <w:color w:val="auto"/>
              </w:rPr>
            </w:pPr>
            <w:r>
              <w:rPr>
                <w:rFonts w:ascii="Arial" w:cs="Arial" w:eastAsia="Arial" w:hAnsi="Arial"/>
                <w:sz w:val="18"/>
                <w:szCs w:val="18"/>
                <w:color w:val="auto"/>
              </w:rPr>
              <w:t>March 31</w:t>
            </w:r>
          </w:p>
        </w:tc>
        <w:tc>
          <w:tcPr>
            <w:tcW w:w="340" w:type="dxa"/>
            <w:vAlign w:val="bottom"/>
          </w:tcPr>
          <w:p>
            <w:pPr>
              <w:spacing w:after="0"/>
              <w:rPr>
                <w:sz w:val="24"/>
                <w:szCs w:val="24"/>
                <w:color w:val="auto"/>
              </w:rPr>
            </w:pPr>
          </w:p>
        </w:tc>
        <w:tc>
          <w:tcPr>
            <w:tcW w:w="680" w:type="dxa"/>
            <w:vAlign w:val="bottom"/>
          </w:tcPr>
          <w:p>
            <w:pPr>
              <w:jc w:val="right"/>
              <w:ind w:right="12"/>
              <w:spacing w:after="0"/>
              <w:rPr>
                <w:sz w:val="20"/>
                <w:szCs w:val="20"/>
                <w:color w:val="auto"/>
              </w:rPr>
            </w:pPr>
            <w:r>
              <w:rPr>
                <w:rFonts w:ascii="Arial" w:cs="Arial" w:eastAsia="Arial" w:hAnsi="Arial"/>
                <w:sz w:val="18"/>
                <w:szCs w:val="18"/>
                <w:color w:val="auto"/>
                <w:w w:val="87"/>
              </w:rPr>
              <w:t>June 30</w:t>
            </w:r>
          </w:p>
        </w:tc>
        <w:tc>
          <w:tcPr>
            <w:tcW w:w="1160" w:type="dxa"/>
            <w:vAlign w:val="bottom"/>
            <w:gridSpan w:val="2"/>
          </w:tcPr>
          <w:p>
            <w:pPr>
              <w:jc w:val="right"/>
              <w:ind w:right="32"/>
              <w:spacing w:after="0"/>
              <w:rPr>
                <w:sz w:val="20"/>
                <w:szCs w:val="20"/>
                <w:color w:val="auto"/>
              </w:rPr>
            </w:pPr>
            <w:r>
              <w:rPr>
                <w:rFonts w:ascii="Arial" w:cs="Arial" w:eastAsia="Arial" w:hAnsi="Arial"/>
                <w:sz w:val="18"/>
                <w:szCs w:val="18"/>
                <w:color w:val="auto"/>
                <w:w w:val="90"/>
              </w:rPr>
              <w:t>September 30</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w w:val="98"/>
              </w:rPr>
              <w:t>December 31</w:t>
            </w:r>
          </w:p>
        </w:tc>
      </w:tr>
      <w:tr>
        <w:trPr>
          <w:trHeight w:val="251"/>
        </w:trPr>
        <w:tc>
          <w:tcPr>
            <w:tcW w:w="4600" w:type="dxa"/>
            <w:vAlign w:val="bottom"/>
            <w:shd w:val="clear" w:color="auto" w:fill="000000"/>
          </w:tcPr>
          <w:p>
            <w:pPr>
              <w:spacing w:after="0"/>
              <w:rPr>
                <w:sz w:val="21"/>
                <w:szCs w:val="21"/>
                <w:color w:val="auto"/>
              </w:rPr>
            </w:pPr>
          </w:p>
        </w:tc>
        <w:tc>
          <w:tcPr>
            <w:tcW w:w="480" w:type="dxa"/>
            <w:vAlign w:val="bottom"/>
            <w:shd w:val="clear" w:color="auto" w:fill="000000"/>
          </w:tcPr>
          <w:p>
            <w:pPr>
              <w:spacing w:after="0"/>
              <w:rPr>
                <w:sz w:val="21"/>
                <w:szCs w:val="21"/>
                <w:color w:val="auto"/>
              </w:rPr>
            </w:pPr>
          </w:p>
        </w:tc>
        <w:tc>
          <w:tcPr>
            <w:tcW w:w="640" w:type="dxa"/>
            <w:vAlign w:val="bottom"/>
            <w:shd w:val="clear" w:color="auto" w:fill="000000"/>
          </w:tcPr>
          <w:p>
            <w:pPr>
              <w:spacing w:after="0"/>
              <w:rPr>
                <w:sz w:val="21"/>
                <w:szCs w:val="21"/>
                <w:color w:val="auto"/>
              </w:rPr>
            </w:pPr>
          </w:p>
        </w:tc>
        <w:tc>
          <w:tcPr>
            <w:tcW w:w="340" w:type="dxa"/>
            <w:vAlign w:val="bottom"/>
            <w:shd w:val="clear" w:color="auto" w:fill="000000"/>
          </w:tcPr>
          <w:p>
            <w:pPr>
              <w:spacing w:after="0"/>
              <w:rPr>
                <w:sz w:val="21"/>
                <w:szCs w:val="21"/>
                <w:color w:val="auto"/>
              </w:rPr>
            </w:pPr>
          </w:p>
        </w:tc>
        <w:tc>
          <w:tcPr>
            <w:tcW w:w="680" w:type="dxa"/>
            <w:vAlign w:val="bottom"/>
            <w:shd w:val="clear" w:color="auto" w:fill="000000"/>
          </w:tcPr>
          <w:p>
            <w:pPr>
              <w:spacing w:after="0"/>
              <w:rPr>
                <w:sz w:val="21"/>
                <w:szCs w:val="21"/>
                <w:color w:val="auto"/>
              </w:rPr>
            </w:pPr>
          </w:p>
        </w:tc>
        <w:tc>
          <w:tcPr>
            <w:tcW w:w="720" w:type="dxa"/>
            <w:vAlign w:val="bottom"/>
            <w:shd w:val="clear" w:color="auto" w:fill="000000"/>
          </w:tcPr>
          <w:p>
            <w:pPr>
              <w:spacing w:after="0"/>
              <w:rPr>
                <w:sz w:val="21"/>
                <w:szCs w:val="21"/>
                <w:color w:val="auto"/>
              </w:rPr>
            </w:pPr>
          </w:p>
        </w:tc>
        <w:tc>
          <w:tcPr>
            <w:tcW w:w="440" w:type="dxa"/>
            <w:vAlign w:val="bottom"/>
            <w:shd w:val="clear" w:color="auto" w:fill="000000"/>
          </w:tcPr>
          <w:p>
            <w:pPr>
              <w:spacing w:after="0"/>
              <w:rPr>
                <w:sz w:val="21"/>
                <w:szCs w:val="21"/>
                <w:color w:val="auto"/>
              </w:rPr>
            </w:pPr>
          </w:p>
        </w:tc>
        <w:tc>
          <w:tcPr>
            <w:tcW w:w="600" w:type="dxa"/>
            <w:vAlign w:val="bottom"/>
            <w:shd w:val="clear" w:color="auto" w:fill="000000"/>
          </w:tcPr>
          <w:p>
            <w:pPr>
              <w:spacing w:after="0"/>
              <w:rPr>
                <w:sz w:val="21"/>
                <w:szCs w:val="21"/>
                <w:color w:val="auto"/>
              </w:rPr>
            </w:pPr>
          </w:p>
        </w:tc>
        <w:tc>
          <w:tcPr>
            <w:tcW w:w="480" w:type="dxa"/>
            <w:vAlign w:val="bottom"/>
            <w:shd w:val="clear" w:color="auto" w:fill="000000"/>
          </w:tcPr>
          <w:p>
            <w:pPr>
              <w:spacing w:after="0"/>
              <w:rPr>
                <w:sz w:val="21"/>
                <w:szCs w:val="21"/>
                <w:color w:val="auto"/>
              </w:rPr>
            </w:pPr>
          </w:p>
        </w:tc>
      </w:tr>
      <w:tr>
        <w:trPr>
          <w:trHeight w:val="255"/>
        </w:trPr>
        <w:tc>
          <w:tcPr>
            <w:tcW w:w="4600" w:type="dxa"/>
            <w:vAlign w:val="bottom"/>
          </w:tcPr>
          <w:p>
            <w:pPr>
              <w:ind w:left="20"/>
              <w:spacing w:after="0"/>
              <w:rPr>
                <w:sz w:val="20"/>
                <w:szCs w:val="20"/>
                <w:color w:val="auto"/>
              </w:rPr>
            </w:pPr>
            <w:r>
              <w:rPr>
                <w:rFonts w:ascii="Arial" w:cs="Arial" w:eastAsia="Arial" w:hAnsi="Arial"/>
                <w:sz w:val="18"/>
                <w:szCs w:val="18"/>
                <w:color w:val="auto"/>
              </w:rPr>
              <w:t>2005</w:t>
            </w:r>
          </w:p>
        </w:tc>
        <w:tc>
          <w:tcPr>
            <w:tcW w:w="4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480" w:type="dxa"/>
            <w:vAlign w:val="bottom"/>
          </w:tcPr>
          <w:p>
            <w:pPr>
              <w:spacing w:after="0"/>
              <w:rPr>
                <w:sz w:val="22"/>
                <w:szCs w:val="22"/>
                <w:color w:val="auto"/>
              </w:rPr>
            </w:pPr>
          </w:p>
        </w:tc>
      </w:tr>
      <w:tr>
        <w:trPr>
          <w:trHeight w:val="270"/>
        </w:trPr>
        <w:tc>
          <w:tcPr>
            <w:tcW w:w="4600" w:type="dxa"/>
            <w:vAlign w:val="bottom"/>
          </w:tcPr>
          <w:p>
            <w:pPr>
              <w:ind w:left="20"/>
              <w:spacing w:after="0"/>
              <w:rPr>
                <w:sz w:val="20"/>
                <w:szCs w:val="20"/>
                <w:color w:val="auto"/>
              </w:rPr>
            </w:pPr>
            <w:r>
              <w:rPr>
                <w:rFonts w:ascii="Arial" w:cs="Arial" w:eastAsia="Arial" w:hAnsi="Arial"/>
                <w:sz w:val="18"/>
                <w:szCs w:val="18"/>
                <w:color w:val="auto"/>
              </w:rPr>
              <w:t>Operating revenues</w:t>
            </w:r>
          </w:p>
        </w:tc>
        <w:tc>
          <w:tcPr>
            <w:tcW w:w="48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640" w:type="dxa"/>
            <w:vAlign w:val="bottom"/>
          </w:tcPr>
          <w:p>
            <w:pPr>
              <w:jc w:val="right"/>
              <w:ind w:right="112"/>
              <w:spacing w:after="0"/>
              <w:rPr>
                <w:sz w:val="20"/>
                <w:szCs w:val="20"/>
                <w:color w:val="auto"/>
              </w:rPr>
            </w:pPr>
            <w:r>
              <w:rPr>
                <w:rFonts w:ascii="Arial" w:cs="Arial" w:eastAsia="Arial" w:hAnsi="Arial"/>
                <w:sz w:val="18"/>
                <w:szCs w:val="18"/>
                <w:color w:val="auto"/>
              </w:rPr>
              <w:t>621</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12"/>
              <w:spacing w:after="0"/>
              <w:rPr>
                <w:sz w:val="20"/>
                <w:szCs w:val="20"/>
                <w:color w:val="auto"/>
              </w:rPr>
            </w:pPr>
            <w:r>
              <w:rPr>
                <w:rFonts w:ascii="Arial" w:cs="Arial" w:eastAsia="Arial" w:hAnsi="Arial"/>
                <w:sz w:val="18"/>
                <w:szCs w:val="18"/>
                <w:color w:val="auto"/>
              </w:rPr>
              <w:t>539</w:t>
            </w:r>
          </w:p>
        </w:tc>
        <w:tc>
          <w:tcPr>
            <w:tcW w:w="720" w:type="dxa"/>
            <w:vAlign w:val="bottom"/>
          </w:tcPr>
          <w:p>
            <w:pPr>
              <w:jc w:val="right"/>
              <w:ind w:right="252"/>
              <w:spacing w:after="0"/>
              <w:rPr>
                <w:sz w:val="20"/>
                <w:szCs w:val="20"/>
                <w:color w:val="auto"/>
              </w:rPr>
            </w:pPr>
            <w:r>
              <w:rPr>
                <w:rFonts w:ascii="Arial" w:cs="Arial" w:eastAsia="Arial" w:hAnsi="Arial"/>
                <w:sz w:val="18"/>
                <w:szCs w:val="18"/>
                <w:color w:val="auto"/>
              </w:rPr>
              <w:t>$</w:t>
            </w:r>
          </w:p>
        </w:tc>
        <w:tc>
          <w:tcPr>
            <w:tcW w:w="440" w:type="dxa"/>
            <w:vAlign w:val="bottom"/>
          </w:tcPr>
          <w:p>
            <w:pPr>
              <w:jc w:val="right"/>
              <w:ind w:right="32"/>
              <w:spacing w:after="0"/>
              <w:rPr>
                <w:sz w:val="20"/>
                <w:szCs w:val="20"/>
                <w:color w:val="auto"/>
              </w:rPr>
            </w:pPr>
            <w:r>
              <w:rPr>
                <w:rFonts w:ascii="Arial" w:cs="Arial" w:eastAsia="Arial" w:hAnsi="Arial"/>
                <w:sz w:val="18"/>
                <w:szCs w:val="18"/>
                <w:color w:val="auto"/>
                <w:w w:val="99"/>
              </w:rPr>
              <w:t>601</w:t>
            </w:r>
          </w:p>
        </w:tc>
        <w:tc>
          <w:tcPr>
            <w:tcW w:w="60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751</w:t>
            </w:r>
          </w:p>
        </w:tc>
      </w:tr>
      <w:tr>
        <w:trPr>
          <w:trHeight w:val="278"/>
        </w:trPr>
        <w:tc>
          <w:tcPr>
            <w:tcW w:w="460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480" w:type="dxa"/>
            <w:vAlign w:val="bottom"/>
          </w:tcPr>
          <w:p>
            <w:pPr>
              <w:spacing w:after="0"/>
              <w:rPr>
                <w:sz w:val="24"/>
                <w:szCs w:val="24"/>
                <w:color w:val="auto"/>
              </w:rPr>
            </w:pPr>
          </w:p>
        </w:tc>
        <w:tc>
          <w:tcPr>
            <w:tcW w:w="640" w:type="dxa"/>
            <w:vAlign w:val="bottom"/>
          </w:tcPr>
          <w:p>
            <w:pPr>
              <w:jc w:val="right"/>
              <w:ind w:right="112"/>
              <w:spacing w:after="0"/>
              <w:rPr>
                <w:sz w:val="20"/>
                <w:szCs w:val="20"/>
                <w:color w:val="auto"/>
              </w:rPr>
            </w:pPr>
            <w:r>
              <w:rPr>
                <w:rFonts w:ascii="Arial" w:cs="Arial" w:eastAsia="Arial" w:hAnsi="Arial"/>
                <w:sz w:val="18"/>
                <w:szCs w:val="18"/>
                <w:color w:val="auto"/>
              </w:rPr>
              <w:t>553</w:t>
            </w:r>
          </w:p>
        </w:tc>
        <w:tc>
          <w:tcPr>
            <w:tcW w:w="340" w:type="dxa"/>
            <w:vAlign w:val="bottom"/>
          </w:tcPr>
          <w:p>
            <w:pPr>
              <w:spacing w:after="0"/>
              <w:rPr>
                <w:sz w:val="24"/>
                <w:szCs w:val="24"/>
                <w:color w:val="auto"/>
              </w:rPr>
            </w:pPr>
          </w:p>
        </w:tc>
        <w:tc>
          <w:tcPr>
            <w:tcW w:w="680" w:type="dxa"/>
            <w:vAlign w:val="bottom"/>
          </w:tcPr>
          <w:p>
            <w:pPr>
              <w:jc w:val="right"/>
              <w:ind w:right="12"/>
              <w:spacing w:after="0"/>
              <w:rPr>
                <w:sz w:val="20"/>
                <w:szCs w:val="20"/>
                <w:color w:val="auto"/>
              </w:rPr>
            </w:pPr>
            <w:r>
              <w:rPr>
                <w:rFonts w:ascii="Arial" w:cs="Arial" w:eastAsia="Arial" w:hAnsi="Arial"/>
                <w:sz w:val="18"/>
                <w:szCs w:val="18"/>
                <w:color w:val="auto"/>
              </w:rPr>
              <w:t>487</w:t>
            </w:r>
          </w:p>
        </w:tc>
        <w:tc>
          <w:tcPr>
            <w:tcW w:w="720" w:type="dxa"/>
            <w:vAlign w:val="bottom"/>
          </w:tcPr>
          <w:p>
            <w:pPr>
              <w:spacing w:after="0"/>
              <w:rPr>
                <w:sz w:val="24"/>
                <w:szCs w:val="24"/>
                <w:color w:val="auto"/>
              </w:rPr>
            </w:pPr>
          </w:p>
        </w:tc>
        <w:tc>
          <w:tcPr>
            <w:tcW w:w="440" w:type="dxa"/>
            <w:vAlign w:val="bottom"/>
          </w:tcPr>
          <w:p>
            <w:pPr>
              <w:jc w:val="right"/>
              <w:ind w:right="32"/>
              <w:spacing w:after="0"/>
              <w:rPr>
                <w:sz w:val="20"/>
                <w:szCs w:val="20"/>
                <w:color w:val="auto"/>
              </w:rPr>
            </w:pPr>
            <w:r>
              <w:rPr>
                <w:rFonts w:ascii="Arial" w:cs="Arial" w:eastAsia="Arial" w:hAnsi="Arial"/>
                <w:sz w:val="18"/>
                <w:szCs w:val="18"/>
                <w:color w:val="auto"/>
                <w:w w:val="99"/>
              </w:rPr>
              <w:t>497</w:t>
            </w:r>
          </w:p>
        </w:tc>
        <w:tc>
          <w:tcPr>
            <w:tcW w:w="60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692</w:t>
            </w:r>
          </w:p>
        </w:tc>
      </w:tr>
      <w:tr>
        <w:trPr>
          <w:trHeight w:val="251"/>
        </w:trPr>
        <w:tc>
          <w:tcPr>
            <w:tcW w:w="4600" w:type="dxa"/>
            <w:vAlign w:val="bottom"/>
          </w:tcPr>
          <w:p>
            <w:pPr>
              <w:spacing w:after="0"/>
              <w:rPr>
                <w:sz w:val="21"/>
                <w:szCs w:val="21"/>
                <w:color w:val="auto"/>
              </w:rPr>
            </w:pPr>
          </w:p>
        </w:tc>
        <w:tc>
          <w:tcPr>
            <w:tcW w:w="480" w:type="dxa"/>
            <w:vAlign w:val="bottom"/>
            <w:shd w:val="clear" w:color="auto" w:fill="000000"/>
          </w:tcPr>
          <w:p>
            <w:pPr>
              <w:spacing w:after="0"/>
              <w:rPr>
                <w:sz w:val="21"/>
                <w:szCs w:val="21"/>
                <w:color w:val="auto"/>
              </w:rPr>
            </w:pPr>
          </w:p>
        </w:tc>
        <w:tc>
          <w:tcPr>
            <w:tcW w:w="640" w:type="dxa"/>
            <w:vAlign w:val="bottom"/>
            <w:shd w:val="clear" w:color="auto" w:fill="000000"/>
          </w:tcPr>
          <w:p>
            <w:pPr>
              <w:spacing w:after="0"/>
              <w:rPr>
                <w:sz w:val="21"/>
                <w:szCs w:val="21"/>
                <w:color w:val="auto"/>
              </w:rPr>
            </w:pPr>
          </w:p>
        </w:tc>
        <w:tc>
          <w:tcPr>
            <w:tcW w:w="340" w:type="dxa"/>
            <w:vAlign w:val="bottom"/>
            <w:shd w:val="clear" w:color="auto" w:fill="000000"/>
          </w:tcPr>
          <w:p>
            <w:pPr>
              <w:spacing w:after="0"/>
              <w:rPr>
                <w:sz w:val="21"/>
                <w:szCs w:val="21"/>
                <w:color w:val="auto"/>
              </w:rPr>
            </w:pPr>
          </w:p>
        </w:tc>
        <w:tc>
          <w:tcPr>
            <w:tcW w:w="680" w:type="dxa"/>
            <w:vAlign w:val="bottom"/>
            <w:shd w:val="clear" w:color="auto" w:fill="000000"/>
          </w:tcPr>
          <w:p>
            <w:pPr>
              <w:spacing w:after="0"/>
              <w:rPr>
                <w:sz w:val="21"/>
                <w:szCs w:val="21"/>
                <w:color w:val="auto"/>
              </w:rPr>
            </w:pPr>
          </w:p>
        </w:tc>
        <w:tc>
          <w:tcPr>
            <w:tcW w:w="720" w:type="dxa"/>
            <w:vAlign w:val="bottom"/>
            <w:shd w:val="clear" w:color="auto" w:fill="000000"/>
          </w:tcPr>
          <w:p>
            <w:pPr>
              <w:spacing w:after="0"/>
              <w:rPr>
                <w:sz w:val="21"/>
                <w:szCs w:val="21"/>
                <w:color w:val="auto"/>
              </w:rPr>
            </w:pPr>
          </w:p>
        </w:tc>
        <w:tc>
          <w:tcPr>
            <w:tcW w:w="440" w:type="dxa"/>
            <w:vAlign w:val="bottom"/>
            <w:shd w:val="clear" w:color="auto" w:fill="000000"/>
          </w:tcPr>
          <w:p>
            <w:pPr>
              <w:spacing w:after="0"/>
              <w:rPr>
                <w:sz w:val="21"/>
                <w:szCs w:val="21"/>
                <w:color w:val="auto"/>
              </w:rPr>
            </w:pPr>
          </w:p>
        </w:tc>
        <w:tc>
          <w:tcPr>
            <w:tcW w:w="600" w:type="dxa"/>
            <w:vAlign w:val="bottom"/>
            <w:shd w:val="clear" w:color="auto" w:fill="000000"/>
          </w:tcPr>
          <w:p>
            <w:pPr>
              <w:spacing w:after="0"/>
              <w:rPr>
                <w:sz w:val="21"/>
                <w:szCs w:val="21"/>
                <w:color w:val="auto"/>
              </w:rPr>
            </w:pPr>
          </w:p>
        </w:tc>
        <w:tc>
          <w:tcPr>
            <w:tcW w:w="480" w:type="dxa"/>
            <w:vAlign w:val="bottom"/>
            <w:shd w:val="clear" w:color="auto" w:fill="000000"/>
          </w:tcPr>
          <w:p>
            <w:pPr>
              <w:spacing w:after="0"/>
              <w:rPr>
                <w:sz w:val="21"/>
                <w:szCs w:val="21"/>
                <w:color w:val="auto"/>
              </w:rPr>
            </w:pPr>
          </w:p>
        </w:tc>
      </w:tr>
      <w:tr>
        <w:trPr>
          <w:trHeight w:val="262"/>
        </w:trPr>
        <w:tc>
          <w:tcPr>
            <w:tcW w:w="4600" w:type="dxa"/>
            <w:vAlign w:val="bottom"/>
          </w:tcPr>
          <w:p>
            <w:pPr>
              <w:ind w:left="20"/>
              <w:spacing w:after="0"/>
              <w:rPr>
                <w:sz w:val="20"/>
                <w:szCs w:val="20"/>
                <w:color w:val="auto"/>
              </w:rPr>
            </w:pPr>
            <w:r>
              <w:rPr>
                <w:rFonts w:ascii="Arial" w:cs="Arial" w:eastAsia="Arial" w:hAnsi="Arial"/>
                <w:sz w:val="18"/>
                <w:szCs w:val="18"/>
                <w:color w:val="auto"/>
              </w:rPr>
              <w:t>Operating income</w:t>
            </w:r>
          </w:p>
        </w:tc>
        <w:tc>
          <w:tcPr>
            <w:tcW w:w="48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640" w:type="dxa"/>
            <w:vAlign w:val="bottom"/>
          </w:tcPr>
          <w:p>
            <w:pPr>
              <w:jc w:val="right"/>
              <w:ind w:right="112"/>
              <w:spacing w:after="0"/>
              <w:rPr>
                <w:sz w:val="20"/>
                <w:szCs w:val="20"/>
                <w:color w:val="auto"/>
              </w:rPr>
            </w:pPr>
            <w:r>
              <w:rPr>
                <w:rFonts w:ascii="Arial" w:cs="Arial" w:eastAsia="Arial" w:hAnsi="Arial"/>
                <w:sz w:val="18"/>
                <w:szCs w:val="18"/>
                <w:color w:val="auto"/>
              </w:rPr>
              <w:t>68</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12"/>
              <w:spacing w:after="0"/>
              <w:rPr>
                <w:sz w:val="20"/>
                <w:szCs w:val="20"/>
                <w:color w:val="auto"/>
              </w:rPr>
            </w:pPr>
            <w:r>
              <w:rPr>
                <w:rFonts w:ascii="Arial" w:cs="Arial" w:eastAsia="Arial" w:hAnsi="Arial"/>
                <w:sz w:val="18"/>
                <w:szCs w:val="18"/>
                <w:color w:val="auto"/>
              </w:rPr>
              <w:t>52</w:t>
            </w:r>
          </w:p>
        </w:tc>
        <w:tc>
          <w:tcPr>
            <w:tcW w:w="720" w:type="dxa"/>
            <w:vAlign w:val="bottom"/>
          </w:tcPr>
          <w:p>
            <w:pPr>
              <w:jc w:val="right"/>
              <w:ind w:right="252"/>
              <w:spacing w:after="0"/>
              <w:rPr>
                <w:sz w:val="20"/>
                <w:szCs w:val="20"/>
                <w:color w:val="auto"/>
              </w:rPr>
            </w:pPr>
            <w:r>
              <w:rPr>
                <w:rFonts w:ascii="Arial" w:cs="Arial" w:eastAsia="Arial" w:hAnsi="Arial"/>
                <w:sz w:val="18"/>
                <w:szCs w:val="18"/>
                <w:color w:val="auto"/>
              </w:rPr>
              <w:t>$</w:t>
            </w:r>
          </w:p>
        </w:tc>
        <w:tc>
          <w:tcPr>
            <w:tcW w:w="440" w:type="dxa"/>
            <w:vAlign w:val="bottom"/>
          </w:tcPr>
          <w:p>
            <w:pPr>
              <w:jc w:val="right"/>
              <w:ind w:right="32"/>
              <w:spacing w:after="0"/>
              <w:rPr>
                <w:sz w:val="20"/>
                <w:szCs w:val="20"/>
                <w:color w:val="auto"/>
              </w:rPr>
            </w:pPr>
            <w:r>
              <w:rPr>
                <w:rFonts w:ascii="Arial" w:cs="Arial" w:eastAsia="Arial" w:hAnsi="Arial"/>
                <w:sz w:val="18"/>
                <w:szCs w:val="18"/>
                <w:color w:val="auto"/>
                <w:w w:val="99"/>
              </w:rPr>
              <w:t>104</w:t>
            </w:r>
          </w:p>
        </w:tc>
        <w:tc>
          <w:tcPr>
            <w:tcW w:w="60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251"/>
        </w:trPr>
        <w:tc>
          <w:tcPr>
            <w:tcW w:w="4600" w:type="dxa"/>
            <w:vAlign w:val="bottom"/>
          </w:tcPr>
          <w:p>
            <w:pPr>
              <w:spacing w:after="0"/>
              <w:rPr>
                <w:sz w:val="21"/>
                <w:szCs w:val="21"/>
                <w:color w:val="auto"/>
              </w:rPr>
            </w:pPr>
          </w:p>
        </w:tc>
        <w:tc>
          <w:tcPr>
            <w:tcW w:w="480" w:type="dxa"/>
            <w:vAlign w:val="bottom"/>
            <w:shd w:val="clear" w:color="auto" w:fill="000000"/>
          </w:tcPr>
          <w:p>
            <w:pPr>
              <w:spacing w:after="0"/>
              <w:rPr>
                <w:sz w:val="21"/>
                <w:szCs w:val="21"/>
                <w:color w:val="auto"/>
              </w:rPr>
            </w:pPr>
          </w:p>
        </w:tc>
        <w:tc>
          <w:tcPr>
            <w:tcW w:w="640" w:type="dxa"/>
            <w:vAlign w:val="bottom"/>
            <w:shd w:val="clear" w:color="auto" w:fill="000000"/>
          </w:tcPr>
          <w:p>
            <w:pPr>
              <w:spacing w:after="0"/>
              <w:rPr>
                <w:sz w:val="21"/>
                <w:szCs w:val="21"/>
                <w:color w:val="auto"/>
              </w:rPr>
            </w:pPr>
          </w:p>
        </w:tc>
        <w:tc>
          <w:tcPr>
            <w:tcW w:w="340" w:type="dxa"/>
            <w:vAlign w:val="bottom"/>
            <w:shd w:val="clear" w:color="auto" w:fill="000000"/>
          </w:tcPr>
          <w:p>
            <w:pPr>
              <w:spacing w:after="0"/>
              <w:rPr>
                <w:sz w:val="21"/>
                <w:szCs w:val="21"/>
                <w:color w:val="auto"/>
              </w:rPr>
            </w:pPr>
          </w:p>
        </w:tc>
        <w:tc>
          <w:tcPr>
            <w:tcW w:w="680" w:type="dxa"/>
            <w:vAlign w:val="bottom"/>
            <w:shd w:val="clear" w:color="auto" w:fill="000000"/>
          </w:tcPr>
          <w:p>
            <w:pPr>
              <w:spacing w:after="0"/>
              <w:rPr>
                <w:sz w:val="21"/>
                <w:szCs w:val="21"/>
                <w:color w:val="auto"/>
              </w:rPr>
            </w:pPr>
          </w:p>
        </w:tc>
        <w:tc>
          <w:tcPr>
            <w:tcW w:w="720" w:type="dxa"/>
            <w:vAlign w:val="bottom"/>
            <w:shd w:val="clear" w:color="auto" w:fill="000000"/>
          </w:tcPr>
          <w:p>
            <w:pPr>
              <w:spacing w:after="0"/>
              <w:rPr>
                <w:sz w:val="21"/>
                <w:szCs w:val="21"/>
                <w:color w:val="auto"/>
              </w:rPr>
            </w:pPr>
          </w:p>
        </w:tc>
        <w:tc>
          <w:tcPr>
            <w:tcW w:w="440" w:type="dxa"/>
            <w:vAlign w:val="bottom"/>
            <w:shd w:val="clear" w:color="auto" w:fill="000000"/>
          </w:tcPr>
          <w:p>
            <w:pPr>
              <w:spacing w:after="0"/>
              <w:rPr>
                <w:sz w:val="21"/>
                <w:szCs w:val="21"/>
                <w:color w:val="auto"/>
              </w:rPr>
            </w:pPr>
          </w:p>
        </w:tc>
        <w:tc>
          <w:tcPr>
            <w:tcW w:w="600" w:type="dxa"/>
            <w:vAlign w:val="bottom"/>
            <w:shd w:val="clear" w:color="auto" w:fill="000000"/>
          </w:tcPr>
          <w:p>
            <w:pPr>
              <w:spacing w:after="0"/>
              <w:rPr>
                <w:sz w:val="21"/>
                <w:szCs w:val="21"/>
                <w:color w:val="auto"/>
              </w:rPr>
            </w:pPr>
          </w:p>
        </w:tc>
        <w:tc>
          <w:tcPr>
            <w:tcW w:w="480" w:type="dxa"/>
            <w:vAlign w:val="bottom"/>
            <w:shd w:val="clear" w:color="auto" w:fill="000000"/>
          </w:tcPr>
          <w:p>
            <w:pPr>
              <w:spacing w:after="0"/>
              <w:rPr>
                <w:sz w:val="21"/>
                <w:szCs w:val="21"/>
                <w:color w:val="auto"/>
              </w:rPr>
            </w:pPr>
          </w:p>
        </w:tc>
      </w:tr>
      <w:tr>
        <w:trPr>
          <w:trHeight w:val="525"/>
        </w:trPr>
        <w:tc>
          <w:tcPr>
            <w:tcW w:w="460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48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640" w:type="dxa"/>
            <w:vAlign w:val="bottom"/>
          </w:tcPr>
          <w:p>
            <w:pPr>
              <w:jc w:val="right"/>
              <w:ind w:right="112"/>
              <w:spacing w:after="0"/>
              <w:rPr>
                <w:sz w:val="20"/>
                <w:szCs w:val="20"/>
                <w:color w:val="auto"/>
              </w:rPr>
            </w:pPr>
            <w:r>
              <w:rPr>
                <w:rFonts w:ascii="Arial" w:cs="Arial" w:eastAsia="Arial" w:hAnsi="Arial"/>
                <w:sz w:val="18"/>
                <w:szCs w:val="18"/>
                <w:color w:val="auto"/>
              </w:rPr>
              <w:t>60</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12"/>
              <w:spacing w:after="0"/>
              <w:rPr>
                <w:sz w:val="20"/>
                <w:szCs w:val="20"/>
                <w:color w:val="auto"/>
              </w:rPr>
            </w:pPr>
            <w:r>
              <w:rPr>
                <w:rFonts w:ascii="Arial" w:cs="Arial" w:eastAsia="Arial" w:hAnsi="Arial"/>
                <w:sz w:val="18"/>
                <w:szCs w:val="18"/>
                <w:color w:val="auto"/>
              </w:rPr>
              <w:t>30</w:t>
            </w:r>
          </w:p>
        </w:tc>
        <w:tc>
          <w:tcPr>
            <w:tcW w:w="720" w:type="dxa"/>
            <w:vAlign w:val="bottom"/>
          </w:tcPr>
          <w:p>
            <w:pPr>
              <w:jc w:val="right"/>
              <w:ind w:right="252"/>
              <w:spacing w:after="0"/>
              <w:rPr>
                <w:sz w:val="20"/>
                <w:szCs w:val="20"/>
                <w:color w:val="auto"/>
              </w:rPr>
            </w:pPr>
            <w:r>
              <w:rPr>
                <w:rFonts w:ascii="Arial" w:cs="Arial" w:eastAsia="Arial" w:hAnsi="Arial"/>
                <w:sz w:val="18"/>
                <w:szCs w:val="18"/>
                <w:color w:val="auto"/>
              </w:rPr>
              <w:t>$</w:t>
            </w:r>
          </w:p>
        </w:tc>
        <w:tc>
          <w:tcPr>
            <w:tcW w:w="440" w:type="dxa"/>
            <w:vAlign w:val="bottom"/>
          </w:tcPr>
          <w:p>
            <w:pPr>
              <w:jc w:val="right"/>
              <w:ind w:right="32"/>
              <w:spacing w:after="0"/>
              <w:rPr>
                <w:sz w:val="20"/>
                <w:szCs w:val="20"/>
                <w:color w:val="auto"/>
              </w:rPr>
            </w:pPr>
            <w:r>
              <w:rPr>
                <w:rFonts w:ascii="Arial" w:cs="Arial" w:eastAsia="Arial" w:hAnsi="Arial"/>
                <w:sz w:val="18"/>
                <w:szCs w:val="18"/>
                <w:color w:val="auto"/>
                <w:w w:val="99"/>
              </w:rPr>
              <w:t>104</w:t>
            </w:r>
          </w:p>
        </w:tc>
        <w:tc>
          <w:tcPr>
            <w:tcW w:w="60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73</w:t>
            </w:r>
          </w:p>
        </w:tc>
      </w:tr>
      <w:tr>
        <w:trPr>
          <w:trHeight w:val="278"/>
        </w:trPr>
        <w:tc>
          <w:tcPr>
            <w:tcW w:w="4600" w:type="dxa"/>
            <w:vAlign w:val="bottom"/>
          </w:tcPr>
          <w:p>
            <w:pPr>
              <w:ind w:left="20"/>
              <w:spacing w:after="0"/>
              <w:rPr>
                <w:sz w:val="20"/>
                <w:szCs w:val="20"/>
                <w:color w:val="auto"/>
              </w:rPr>
            </w:pPr>
            <w:r>
              <w:rPr>
                <w:rFonts w:ascii="Arial" w:cs="Arial" w:eastAsia="Arial" w:hAnsi="Arial"/>
                <w:sz w:val="18"/>
                <w:szCs w:val="18"/>
                <w:color w:val="auto"/>
              </w:rPr>
              <w:t>Dividends on preferred stock</w:t>
            </w:r>
          </w:p>
        </w:tc>
        <w:tc>
          <w:tcPr>
            <w:tcW w:w="480" w:type="dxa"/>
            <w:vAlign w:val="bottom"/>
          </w:tcPr>
          <w:p>
            <w:pPr>
              <w:spacing w:after="0"/>
              <w:rPr>
                <w:sz w:val="24"/>
                <w:szCs w:val="24"/>
                <w:color w:val="auto"/>
              </w:rPr>
            </w:pPr>
          </w:p>
        </w:tc>
        <w:tc>
          <w:tcPr>
            <w:tcW w:w="640" w:type="dxa"/>
            <w:vAlign w:val="bottom"/>
          </w:tcPr>
          <w:p>
            <w:pPr>
              <w:jc w:val="right"/>
              <w:ind w:right="112"/>
              <w:spacing w:after="0"/>
              <w:rPr>
                <w:sz w:val="20"/>
                <w:szCs w:val="20"/>
                <w:color w:val="auto"/>
              </w:rPr>
            </w:pPr>
            <w:r>
              <w:rPr>
                <w:rFonts w:ascii="Arial" w:cs="Arial" w:eastAsia="Arial" w:hAnsi="Arial"/>
                <w:sz w:val="18"/>
                <w:szCs w:val="18"/>
                <w:color w:val="auto"/>
              </w:rPr>
              <w:t>1</w:t>
            </w:r>
          </w:p>
        </w:tc>
        <w:tc>
          <w:tcPr>
            <w:tcW w:w="340" w:type="dxa"/>
            <w:vAlign w:val="bottom"/>
          </w:tcPr>
          <w:p>
            <w:pPr>
              <w:spacing w:after="0"/>
              <w:rPr>
                <w:sz w:val="24"/>
                <w:szCs w:val="24"/>
                <w:color w:val="auto"/>
              </w:rPr>
            </w:pPr>
          </w:p>
        </w:tc>
        <w:tc>
          <w:tcPr>
            <w:tcW w:w="680" w:type="dxa"/>
            <w:vAlign w:val="bottom"/>
          </w:tcPr>
          <w:p>
            <w:pPr>
              <w:jc w:val="right"/>
              <w:ind w:right="12"/>
              <w:spacing w:after="0"/>
              <w:rPr>
                <w:sz w:val="20"/>
                <w:szCs w:val="20"/>
                <w:color w:val="auto"/>
              </w:rPr>
            </w:pPr>
            <w:r>
              <w:rPr>
                <w:rFonts w:ascii="Arial" w:cs="Arial" w:eastAsia="Arial" w:hAnsi="Arial"/>
                <w:sz w:val="18"/>
                <w:szCs w:val="18"/>
                <w:color w:val="auto"/>
              </w:rPr>
              <w:t>1</w:t>
            </w:r>
          </w:p>
        </w:tc>
        <w:tc>
          <w:tcPr>
            <w:tcW w:w="720" w:type="dxa"/>
            <w:vAlign w:val="bottom"/>
          </w:tcPr>
          <w:p>
            <w:pPr>
              <w:spacing w:after="0"/>
              <w:rPr>
                <w:sz w:val="24"/>
                <w:szCs w:val="24"/>
                <w:color w:val="auto"/>
              </w:rPr>
            </w:pPr>
          </w:p>
        </w:tc>
        <w:tc>
          <w:tcPr>
            <w:tcW w:w="440" w:type="dxa"/>
            <w:vAlign w:val="bottom"/>
          </w:tcPr>
          <w:p>
            <w:pPr>
              <w:jc w:val="right"/>
              <w:ind w:right="32"/>
              <w:spacing w:after="0"/>
              <w:rPr>
                <w:sz w:val="20"/>
                <w:szCs w:val="20"/>
                <w:color w:val="auto"/>
              </w:rPr>
            </w:pPr>
            <w:r>
              <w:rPr>
                <w:rFonts w:ascii="Arial" w:cs="Arial" w:eastAsia="Arial" w:hAnsi="Arial"/>
                <w:sz w:val="18"/>
                <w:szCs w:val="18"/>
                <w:color w:val="auto"/>
              </w:rPr>
              <w:t>2</w:t>
            </w:r>
          </w:p>
        </w:tc>
        <w:tc>
          <w:tcPr>
            <w:tcW w:w="60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51"/>
        </w:trPr>
        <w:tc>
          <w:tcPr>
            <w:tcW w:w="4600" w:type="dxa"/>
            <w:vAlign w:val="bottom"/>
          </w:tcPr>
          <w:p>
            <w:pPr>
              <w:spacing w:after="0"/>
              <w:rPr>
                <w:sz w:val="21"/>
                <w:szCs w:val="21"/>
                <w:color w:val="auto"/>
              </w:rPr>
            </w:pPr>
          </w:p>
        </w:tc>
        <w:tc>
          <w:tcPr>
            <w:tcW w:w="480" w:type="dxa"/>
            <w:vAlign w:val="bottom"/>
            <w:shd w:val="clear" w:color="auto" w:fill="000000"/>
          </w:tcPr>
          <w:p>
            <w:pPr>
              <w:spacing w:after="0"/>
              <w:rPr>
                <w:sz w:val="21"/>
                <w:szCs w:val="21"/>
                <w:color w:val="auto"/>
              </w:rPr>
            </w:pPr>
          </w:p>
        </w:tc>
        <w:tc>
          <w:tcPr>
            <w:tcW w:w="640" w:type="dxa"/>
            <w:vAlign w:val="bottom"/>
            <w:shd w:val="clear" w:color="auto" w:fill="000000"/>
          </w:tcPr>
          <w:p>
            <w:pPr>
              <w:spacing w:after="0"/>
              <w:rPr>
                <w:sz w:val="21"/>
                <w:szCs w:val="21"/>
                <w:color w:val="auto"/>
              </w:rPr>
            </w:pPr>
          </w:p>
        </w:tc>
        <w:tc>
          <w:tcPr>
            <w:tcW w:w="340" w:type="dxa"/>
            <w:vAlign w:val="bottom"/>
            <w:shd w:val="clear" w:color="auto" w:fill="000000"/>
          </w:tcPr>
          <w:p>
            <w:pPr>
              <w:spacing w:after="0"/>
              <w:rPr>
                <w:sz w:val="21"/>
                <w:szCs w:val="21"/>
                <w:color w:val="auto"/>
              </w:rPr>
            </w:pPr>
          </w:p>
        </w:tc>
        <w:tc>
          <w:tcPr>
            <w:tcW w:w="680" w:type="dxa"/>
            <w:vAlign w:val="bottom"/>
            <w:shd w:val="clear" w:color="auto" w:fill="000000"/>
          </w:tcPr>
          <w:p>
            <w:pPr>
              <w:spacing w:after="0"/>
              <w:rPr>
                <w:sz w:val="21"/>
                <w:szCs w:val="21"/>
                <w:color w:val="auto"/>
              </w:rPr>
            </w:pPr>
          </w:p>
        </w:tc>
        <w:tc>
          <w:tcPr>
            <w:tcW w:w="720" w:type="dxa"/>
            <w:vAlign w:val="bottom"/>
            <w:shd w:val="clear" w:color="auto" w:fill="000000"/>
          </w:tcPr>
          <w:p>
            <w:pPr>
              <w:spacing w:after="0"/>
              <w:rPr>
                <w:sz w:val="21"/>
                <w:szCs w:val="21"/>
                <w:color w:val="auto"/>
              </w:rPr>
            </w:pPr>
          </w:p>
        </w:tc>
        <w:tc>
          <w:tcPr>
            <w:tcW w:w="440" w:type="dxa"/>
            <w:vAlign w:val="bottom"/>
            <w:shd w:val="clear" w:color="auto" w:fill="000000"/>
          </w:tcPr>
          <w:p>
            <w:pPr>
              <w:spacing w:after="0"/>
              <w:rPr>
                <w:sz w:val="21"/>
                <w:szCs w:val="21"/>
                <w:color w:val="auto"/>
              </w:rPr>
            </w:pPr>
          </w:p>
        </w:tc>
        <w:tc>
          <w:tcPr>
            <w:tcW w:w="600" w:type="dxa"/>
            <w:vAlign w:val="bottom"/>
            <w:shd w:val="clear" w:color="auto" w:fill="000000"/>
          </w:tcPr>
          <w:p>
            <w:pPr>
              <w:spacing w:after="0"/>
              <w:rPr>
                <w:sz w:val="21"/>
                <w:szCs w:val="21"/>
                <w:color w:val="auto"/>
              </w:rPr>
            </w:pPr>
          </w:p>
        </w:tc>
        <w:tc>
          <w:tcPr>
            <w:tcW w:w="480" w:type="dxa"/>
            <w:vAlign w:val="bottom"/>
            <w:shd w:val="clear" w:color="auto" w:fill="000000"/>
          </w:tcPr>
          <w:p>
            <w:pPr>
              <w:spacing w:after="0"/>
              <w:rPr>
                <w:sz w:val="21"/>
                <w:szCs w:val="21"/>
                <w:color w:val="auto"/>
              </w:rPr>
            </w:pPr>
          </w:p>
        </w:tc>
      </w:tr>
      <w:tr>
        <w:trPr>
          <w:trHeight w:val="262"/>
        </w:trPr>
        <w:tc>
          <w:tcPr>
            <w:tcW w:w="4600" w:type="dxa"/>
            <w:vAlign w:val="bottom"/>
          </w:tcPr>
          <w:p>
            <w:pPr>
              <w:ind w:left="20"/>
              <w:spacing w:after="0"/>
              <w:rPr>
                <w:sz w:val="20"/>
                <w:szCs w:val="20"/>
                <w:color w:val="auto"/>
              </w:rPr>
            </w:pPr>
            <w:r>
              <w:rPr>
                <w:rFonts w:ascii="Arial" w:cs="Arial" w:eastAsia="Arial" w:hAnsi="Arial"/>
                <w:sz w:val="18"/>
                <w:szCs w:val="18"/>
                <w:color w:val="auto"/>
              </w:rPr>
              <w:t>Earnings applicable to common shares</w:t>
            </w:r>
          </w:p>
        </w:tc>
        <w:tc>
          <w:tcPr>
            <w:tcW w:w="48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640" w:type="dxa"/>
            <w:vAlign w:val="bottom"/>
          </w:tcPr>
          <w:p>
            <w:pPr>
              <w:jc w:val="right"/>
              <w:ind w:right="112"/>
              <w:spacing w:after="0"/>
              <w:rPr>
                <w:sz w:val="20"/>
                <w:szCs w:val="20"/>
                <w:color w:val="auto"/>
              </w:rPr>
            </w:pPr>
            <w:r>
              <w:rPr>
                <w:rFonts w:ascii="Arial" w:cs="Arial" w:eastAsia="Arial" w:hAnsi="Arial"/>
                <w:sz w:val="18"/>
                <w:szCs w:val="18"/>
                <w:color w:val="auto"/>
              </w:rPr>
              <w:t>59</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12"/>
              <w:spacing w:after="0"/>
              <w:rPr>
                <w:sz w:val="20"/>
                <w:szCs w:val="20"/>
                <w:color w:val="auto"/>
              </w:rPr>
            </w:pPr>
            <w:r>
              <w:rPr>
                <w:rFonts w:ascii="Arial" w:cs="Arial" w:eastAsia="Arial" w:hAnsi="Arial"/>
                <w:sz w:val="18"/>
                <w:szCs w:val="18"/>
                <w:color w:val="auto"/>
              </w:rPr>
              <w:t>29</w:t>
            </w:r>
          </w:p>
        </w:tc>
        <w:tc>
          <w:tcPr>
            <w:tcW w:w="720" w:type="dxa"/>
            <w:vAlign w:val="bottom"/>
          </w:tcPr>
          <w:p>
            <w:pPr>
              <w:jc w:val="right"/>
              <w:ind w:right="252"/>
              <w:spacing w:after="0"/>
              <w:rPr>
                <w:sz w:val="20"/>
                <w:szCs w:val="20"/>
                <w:color w:val="auto"/>
              </w:rPr>
            </w:pPr>
            <w:r>
              <w:rPr>
                <w:rFonts w:ascii="Arial" w:cs="Arial" w:eastAsia="Arial" w:hAnsi="Arial"/>
                <w:sz w:val="18"/>
                <w:szCs w:val="18"/>
                <w:color w:val="auto"/>
              </w:rPr>
              <w:t>$</w:t>
            </w:r>
          </w:p>
        </w:tc>
        <w:tc>
          <w:tcPr>
            <w:tcW w:w="440" w:type="dxa"/>
            <w:vAlign w:val="bottom"/>
          </w:tcPr>
          <w:p>
            <w:pPr>
              <w:jc w:val="right"/>
              <w:ind w:right="32"/>
              <w:spacing w:after="0"/>
              <w:rPr>
                <w:sz w:val="20"/>
                <w:szCs w:val="20"/>
                <w:color w:val="auto"/>
              </w:rPr>
            </w:pPr>
            <w:r>
              <w:rPr>
                <w:rFonts w:ascii="Arial" w:cs="Arial" w:eastAsia="Arial" w:hAnsi="Arial"/>
                <w:sz w:val="18"/>
                <w:szCs w:val="18"/>
                <w:color w:val="auto"/>
                <w:w w:val="99"/>
              </w:rPr>
              <w:t>102</w:t>
            </w:r>
          </w:p>
        </w:tc>
        <w:tc>
          <w:tcPr>
            <w:tcW w:w="60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72</w:t>
            </w:r>
          </w:p>
        </w:tc>
      </w:tr>
      <w:tr>
        <w:trPr>
          <w:trHeight w:val="251"/>
        </w:trPr>
        <w:tc>
          <w:tcPr>
            <w:tcW w:w="4600" w:type="dxa"/>
            <w:vAlign w:val="bottom"/>
            <w:shd w:val="clear" w:color="auto" w:fill="000000"/>
          </w:tcPr>
          <w:p>
            <w:pPr>
              <w:spacing w:after="0"/>
              <w:rPr>
                <w:sz w:val="21"/>
                <w:szCs w:val="21"/>
                <w:color w:val="auto"/>
              </w:rPr>
            </w:pPr>
          </w:p>
        </w:tc>
        <w:tc>
          <w:tcPr>
            <w:tcW w:w="480" w:type="dxa"/>
            <w:vAlign w:val="bottom"/>
            <w:shd w:val="clear" w:color="auto" w:fill="000000"/>
          </w:tcPr>
          <w:p>
            <w:pPr>
              <w:spacing w:after="0"/>
              <w:rPr>
                <w:sz w:val="21"/>
                <w:szCs w:val="21"/>
                <w:color w:val="auto"/>
              </w:rPr>
            </w:pPr>
          </w:p>
        </w:tc>
        <w:tc>
          <w:tcPr>
            <w:tcW w:w="640" w:type="dxa"/>
            <w:vAlign w:val="bottom"/>
            <w:shd w:val="clear" w:color="auto" w:fill="000000"/>
          </w:tcPr>
          <w:p>
            <w:pPr>
              <w:spacing w:after="0"/>
              <w:rPr>
                <w:sz w:val="21"/>
                <w:szCs w:val="21"/>
                <w:color w:val="auto"/>
              </w:rPr>
            </w:pPr>
          </w:p>
        </w:tc>
        <w:tc>
          <w:tcPr>
            <w:tcW w:w="340" w:type="dxa"/>
            <w:vAlign w:val="bottom"/>
            <w:shd w:val="clear" w:color="auto" w:fill="000000"/>
          </w:tcPr>
          <w:p>
            <w:pPr>
              <w:spacing w:after="0"/>
              <w:rPr>
                <w:sz w:val="21"/>
                <w:szCs w:val="21"/>
                <w:color w:val="auto"/>
              </w:rPr>
            </w:pPr>
          </w:p>
        </w:tc>
        <w:tc>
          <w:tcPr>
            <w:tcW w:w="680" w:type="dxa"/>
            <w:vAlign w:val="bottom"/>
            <w:shd w:val="clear" w:color="auto" w:fill="000000"/>
          </w:tcPr>
          <w:p>
            <w:pPr>
              <w:spacing w:after="0"/>
              <w:rPr>
                <w:sz w:val="21"/>
                <w:szCs w:val="21"/>
                <w:color w:val="auto"/>
              </w:rPr>
            </w:pPr>
          </w:p>
        </w:tc>
        <w:tc>
          <w:tcPr>
            <w:tcW w:w="720" w:type="dxa"/>
            <w:vAlign w:val="bottom"/>
            <w:shd w:val="clear" w:color="auto" w:fill="000000"/>
          </w:tcPr>
          <w:p>
            <w:pPr>
              <w:spacing w:after="0"/>
              <w:rPr>
                <w:sz w:val="21"/>
                <w:szCs w:val="21"/>
                <w:color w:val="auto"/>
              </w:rPr>
            </w:pPr>
          </w:p>
        </w:tc>
        <w:tc>
          <w:tcPr>
            <w:tcW w:w="440" w:type="dxa"/>
            <w:vAlign w:val="bottom"/>
            <w:shd w:val="clear" w:color="auto" w:fill="000000"/>
          </w:tcPr>
          <w:p>
            <w:pPr>
              <w:spacing w:after="0"/>
              <w:rPr>
                <w:sz w:val="21"/>
                <w:szCs w:val="21"/>
                <w:color w:val="auto"/>
              </w:rPr>
            </w:pPr>
          </w:p>
        </w:tc>
        <w:tc>
          <w:tcPr>
            <w:tcW w:w="600" w:type="dxa"/>
            <w:vAlign w:val="bottom"/>
            <w:shd w:val="clear" w:color="auto" w:fill="000000"/>
          </w:tcPr>
          <w:p>
            <w:pPr>
              <w:spacing w:after="0"/>
              <w:rPr>
                <w:sz w:val="21"/>
                <w:szCs w:val="21"/>
                <w:color w:val="auto"/>
              </w:rPr>
            </w:pPr>
          </w:p>
        </w:tc>
        <w:tc>
          <w:tcPr>
            <w:tcW w:w="480" w:type="dxa"/>
            <w:vAlign w:val="bottom"/>
            <w:shd w:val="clear" w:color="auto" w:fill="000000"/>
          </w:tcPr>
          <w:p>
            <w:pPr>
              <w:spacing w:after="0"/>
              <w:rPr>
                <w:sz w:val="21"/>
                <w:szCs w:val="21"/>
                <w:color w:val="auto"/>
              </w:rPr>
            </w:pPr>
          </w:p>
        </w:tc>
      </w:tr>
      <w:tr>
        <w:trPr>
          <w:trHeight w:val="255"/>
        </w:trPr>
        <w:tc>
          <w:tcPr>
            <w:tcW w:w="4600" w:type="dxa"/>
            <w:vAlign w:val="bottom"/>
          </w:tcPr>
          <w:p>
            <w:pPr>
              <w:ind w:left="20"/>
              <w:spacing w:after="0"/>
              <w:rPr>
                <w:sz w:val="20"/>
                <w:szCs w:val="20"/>
                <w:color w:val="auto"/>
              </w:rPr>
            </w:pPr>
            <w:r>
              <w:rPr>
                <w:rFonts w:ascii="Arial" w:cs="Arial" w:eastAsia="Arial" w:hAnsi="Arial"/>
                <w:sz w:val="18"/>
                <w:szCs w:val="18"/>
                <w:color w:val="auto"/>
              </w:rPr>
              <w:t>2004</w:t>
            </w:r>
          </w:p>
        </w:tc>
        <w:tc>
          <w:tcPr>
            <w:tcW w:w="4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480" w:type="dxa"/>
            <w:vAlign w:val="bottom"/>
          </w:tcPr>
          <w:p>
            <w:pPr>
              <w:spacing w:after="0"/>
              <w:rPr>
                <w:sz w:val="22"/>
                <w:szCs w:val="22"/>
                <w:color w:val="auto"/>
              </w:rPr>
            </w:pPr>
          </w:p>
        </w:tc>
      </w:tr>
      <w:tr>
        <w:trPr>
          <w:trHeight w:val="270"/>
        </w:trPr>
        <w:tc>
          <w:tcPr>
            <w:tcW w:w="4600" w:type="dxa"/>
            <w:vAlign w:val="bottom"/>
          </w:tcPr>
          <w:p>
            <w:pPr>
              <w:ind w:left="20"/>
              <w:spacing w:after="0"/>
              <w:rPr>
                <w:sz w:val="20"/>
                <w:szCs w:val="20"/>
                <w:color w:val="auto"/>
              </w:rPr>
            </w:pPr>
            <w:r>
              <w:rPr>
                <w:rFonts w:ascii="Arial" w:cs="Arial" w:eastAsia="Arial" w:hAnsi="Arial"/>
                <w:sz w:val="18"/>
                <w:szCs w:val="18"/>
                <w:color w:val="auto"/>
              </w:rPr>
              <w:t>Operating revenues</w:t>
            </w:r>
          </w:p>
        </w:tc>
        <w:tc>
          <w:tcPr>
            <w:tcW w:w="48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640" w:type="dxa"/>
            <w:vAlign w:val="bottom"/>
          </w:tcPr>
          <w:p>
            <w:pPr>
              <w:jc w:val="right"/>
              <w:ind w:right="112"/>
              <w:spacing w:after="0"/>
              <w:rPr>
                <w:sz w:val="20"/>
                <w:szCs w:val="20"/>
                <w:color w:val="auto"/>
              </w:rPr>
            </w:pPr>
            <w:r>
              <w:rPr>
                <w:rFonts w:ascii="Arial" w:cs="Arial" w:eastAsia="Arial" w:hAnsi="Arial"/>
                <w:sz w:val="18"/>
                <w:szCs w:val="18"/>
                <w:color w:val="auto"/>
              </w:rPr>
              <w:t>580</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12"/>
              <w:spacing w:after="0"/>
              <w:rPr>
                <w:sz w:val="20"/>
                <w:szCs w:val="20"/>
                <w:color w:val="auto"/>
              </w:rPr>
            </w:pPr>
            <w:r>
              <w:rPr>
                <w:rFonts w:ascii="Arial" w:cs="Arial" w:eastAsia="Arial" w:hAnsi="Arial"/>
                <w:sz w:val="18"/>
                <w:szCs w:val="18"/>
                <w:color w:val="auto"/>
              </w:rPr>
              <w:t>536</w:t>
            </w:r>
          </w:p>
        </w:tc>
        <w:tc>
          <w:tcPr>
            <w:tcW w:w="720" w:type="dxa"/>
            <w:vAlign w:val="bottom"/>
          </w:tcPr>
          <w:p>
            <w:pPr>
              <w:jc w:val="right"/>
              <w:ind w:right="252"/>
              <w:spacing w:after="0"/>
              <w:rPr>
                <w:sz w:val="20"/>
                <w:szCs w:val="20"/>
                <w:color w:val="auto"/>
              </w:rPr>
            </w:pPr>
            <w:r>
              <w:rPr>
                <w:rFonts w:ascii="Arial" w:cs="Arial" w:eastAsia="Arial" w:hAnsi="Arial"/>
                <w:sz w:val="18"/>
                <w:szCs w:val="18"/>
                <w:color w:val="auto"/>
              </w:rPr>
              <w:t>$</w:t>
            </w:r>
          </w:p>
        </w:tc>
        <w:tc>
          <w:tcPr>
            <w:tcW w:w="440" w:type="dxa"/>
            <w:vAlign w:val="bottom"/>
          </w:tcPr>
          <w:p>
            <w:pPr>
              <w:jc w:val="right"/>
              <w:ind w:right="32"/>
              <w:spacing w:after="0"/>
              <w:rPr>
                <w:sz w:val="20"/>
                <w:szCs w:val="20"/>
                <w:color w:val="auto"/>
              </w:rPr>
            </w:pPr>
            <w:r>
              <w:rPr>
                <w:rFonts w:ascii="Arial" w:cs="Arial" w:eastAsia="Arial" w:hAnsi="Arial"/>
                <w:sz w:val="18"/>
                <w:szCs w:val="18"/>
                <w:color w:val="auto"/>
                <w:w w:val="99"/>
              </w:rPr>
              <w:t>550</w:t>
            </w:r>
          </w:p>
        </w:tc>
        <w:tc>
          <w:tcPr>
            <w:tcW w:w="60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608</w:t>
            </w:r>
          </w:p>
        </w:tc>
      </w:tr>
      <w:tr>
        <w:trPr>
          <w:trHeight w:val="278"/>
        </w:trPr>
        <w:tc>
          <w:tcPr>
            <w:tcW w:w="460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480" w:type="dxa"/>
            <w:vAlign w:val="bottom"/>
          </w:tcPr>
          <w:p>
            <w:pPr>
              <w:spacing w:after="0"/>
              <w:rPr>
                <w:sz w:val="24"/>
                <w:szCs w:val="24"/>
                <w:color w:val="auto"/>
              </w:rPr>
            </w:pPr>
          </w:p>
        </w:tc>
        <w:tc>
          <w:tcPr>
            <w:tcW w:w="640" w:type="dxa"/>
            <w:vAlign w:val="bottom"/>
          </w:tcPr>
          <w:p>
            <w:pPr>
              <w:jc w:val="right"/>
              <w:ind w:right="112"/>
              <w:spacing w:after="0"/>
              <w:rPr>
                <w:sz w:val="20"/>
                <w:szCs w:val="20"/>
                <w:color w:val="auto"/>
              </w:rPr>
            </w:pPr>
            <w:r>
              <w:rPr>
                <w:rFonts w:ascii="Arial" w:cs="Arial" w:eastAsia="Arial" w:hAnsi="Arial"/>
                <w:sz w:val="18"/>
                <w:szCs w:val="18"/>
                <w:color w:val="auto"/>
              </w:rPr>
              <w:t>518</w:t>
            </w:r>
          </w:p>
        </w:tc>
        <w:tc>
          <w:tcPr>
            <w:tcW w:w="340" w:type="dxa"/>
            <w:vAlign w:val="bottom"/>
          </w:tcPr>
          <w:p>
            <w:pPr>
              <w:spacing w:after="0"/>
              <w:rPr>
                <w:sz w:val="24"/>
                <w:szCs w:val="24"/>
                <w:color w:val="auto"/>
              </w:rPr>
            </w:pPr>
          </w:p>
        </w:tc>
        <w:tc>
          <w:tcPr>
            <w:tcW w:w="680" w:type="dxa"/>
            <w:vAlign w:val="bottom"/>
          </w:tcPr>
          <w:p>
            <w:pPr>
              <w:jc w:val="right"/>
              <w:ind w:right="12"/>
              <w:spacing w:after="0"/>
              <w:rPr>
                <w:sz w:val="20"/>
                <w:szCs w:val="20"/>
                <w:color w:val="auto"/>
              </w:rPr>
            </w:pPr>
            <w:r>
              <w:rPr>
                <w:rFonts w:ascii="Arial" w:cs="Arial" w:eastAsia="Arial" w:hAnsi="Arial"/>
                <w:sz w:val="18"/>
                <w:szCs w:val="18"/>
                <w:color w:val="auto"/>
              </w:rPr>
              <w:t>488</w:t>
            </w:r>
          </w:p>
        </w:tc>
        <w:tc>
          <w:tcPr>
            <w:tcW w:w="720" w:type="dxa"/>
            <w:vAlign w:val="bottom"/>
          </w:tcPr>
          <w:p>
            <w:pPr>
              <w:spacing w:after="0"/>
              <w:rPr>
                <w:sz w:val="24"/>
                <w:szCs w:val="24"/>
                <w:color w:val="auto"/>
              </w:rPr>
            </w:pPr>
          </w:p>
        </w:tc>
        <w:tc>
          <w:tcPr>
            <w:tcW w:w="440" w:type="dxa"/>
            <w:vAlign w:val="bottom"/>
          </w:tcPr>
          <w:p>
            <w:pPr>
              <w:jc w:val="right"/>
              <w:ind w:right="32"/>
              <w:spacing w:after="0"/>
              <w:rPr>
                <w:sz w:val="20"/>
                <w:szCs w:val="20"/>
                <w:color w:val="auto"/>
              </w:rPr>
            </w:pPr>
            <w:r>
              <w:rPr>
                <w:rFonts w:ascii="Arial" w:cs="Arial" w:eastAsia="Arial" w:hAnsi="Arial"/>
                <w:sz w:val="18"/>
                <w:szCs w:val="18"/>
                <w:color w:val="auto"/>
                <w:w w:val="99"/>
              </w:rPr>
              <w:t>486</w:t>
            </w:r>
          </w:p>
        </w:tc>
        <w:tc>
          <w:tcPr>
            <w:tcW w:w="60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526</w:t>
            </w:r>
          </w:p>
        </w:tc>
      </w:tr>
      <w:tr>
        <w:trPr>
          <w:trHeight w:val="251"/>
        </w:trPr>
        <w:tc>
          <w:tcPr>
            <w:tcW w:w="4600" w:type="dxa"/>
            <w:vAlign w:val="bottom"/>
          </w:tcPr>
          <w:p>
            <w:pPr>
              <w:spacing w:after="0"/>
              <w:rPr>
                <w:sz w:val="21"/>
                <w:szCs w:val="21"/>
                <w:color w:val="auto"/>
              </w:rPr>
            </w:pPr>
          </w:p>
        </w:tc>
        <w:tc>
          <w:tcPr>
            <w:tcW w:w="480" w:type="dxa"/>
            <w:vAlign w:val="bottom"/>
            <w:shd w:val="clear" w:color="auto" w:fill="000000"/>
          </w:tcPr>
          <w:p>
            <w:pPr>
              <w:spacing w:after="0"/>
              <w:rPr>
                <w:sz w:val="21"/>
                <w:szCs w:val="21"/>
                <w:color w:val="auto"/>
              </w:rPr>
            </w:pPr>
          </w:p>
        </w:tc>
        <w:tc>
          <w:tcPr>
            <w:tcW w:w="640" w:type="dxa"/>
            <w:vAlign w:val="bottom"/>
            <w:shd w:val="clear" w:color="auto" w:fill="000000"/>
          </w:tcPr>
          <w:p>
            <w:pPr>
              <w:spacing w:after="0"/>
              <w:rPr>
                <w:sz w:val="21"/>
                <w:szCs w:val="21"/>
                <w:color w:val="auto"/>
              </w:rPr>
            </w:pPr>
          </w:p>
        </w:tc>
        <w:tc>
          <w:tcPr>
            <w:tcW w:w="340" w:type="dxa"/>
            <w:vAlign w:val="bottom"/>
            <w:shd w:val="clear" w:color="auto" w:fill="000000"/>
          </w:tcPr>
          <w:p>
            <w:pPr>
              <w:spacing w:after="0"/>
              <w:rPr>
                <w:sz w:val="21"/>
                <w:szCs w:val="21"/>
                <w:color w:val="auto"/>
              </w:rPr>
            </w:pPr>
          </w:p>
        </w:tc>
        <w:tc>
          <w:tcPr>
            <w:tcW w:w="680" w:type="dxa"/>
            <w:vAlign w:val="bottom"/>
            <w:shd w:val="clear" w:color="auto" w:fill="000000"/>
          </w:tcPr>
          <w:p>
            <w:pPr>
              <w:spacing w:after="0"/>
              <w:rPr>
                <w:sz w:val="21"/>
                <w:szCs w:val="21"/>
                <w:color w:val="auto"/>
              </w:rPr>
            </w:pPr>
          </w:p>
        </w:tc>
        <w:tc>
          <w:tcPr>
            <w:tcW w:w="720" w:type="dxa"/>
            <w:vAlign w:val="bottom"/>
            <w:shd w:val="clear" w:color="auto" w:fill="000000"/>
          </w:tcPr>
          <w:p>
            <w:pPr>
              <w:spacing w:after="0"/>
              <w:rPr>
                <w:sz w:val="21"/>
                <w:szCs w:val="21"/>
                <w:color w:val="auto"/>
              </w:rPr>
            </w:pPr>
          </w:p>
        </w:tc>
        <w:tc>
          <w:tcPr>
            <w:tcW w:w="440" w:type="dxa"/>
            <w:vAlign w:val="bottom"/>
            <w:shd w:val="clear" w:color="auto" w:fill="000000"/>
          </w:tcPr>
          <w:p>
            <w:pPr>
              <w:spacing w:after="0"/>
              <w:rPr>
                <w:sz w:val="21"/>
                <w:szCs w:val="21"/>
                <w:color w:val="auto"/>
              </w:rPr>
            </w:pPr>
          </w:p>
        </w:tc>
        <w:tc>
          <w:tcPr>
            <w:tcW w:w="600" w:type="dxa"/>
            <w:vAlign w:val="bottom"/>
            <w:shd w:val="clear" w:color="auto" w:fill="000000"/>
          </w:tcPr>
          <w:p>
            <w:pPr>
              <w:spacing w:after="0"/>
              <w:rPr>
                <w:sz w:val="21"/>
                <w:szCs w:val="21"/>
                <w:color w:val="auto"/>
              </w:rPr>
            </w:pPr>
          </w:p>
        </w:tc>
        <w:tc>
          <w:tcPr>
            <w:tcW w:w="480" w:type="dxa"/>
            <w:vAlign w:val="bottom"/>
            <w:shd w:val="clear" w:color="auto" w:fill="000000"/>
          </w:tcPr>
          <w:p>
            <w:pPr>
              <w:spacing w:after="0"/>
              <w:rPr>
                <w:sz w:val="21"/>
                <w:szCs w:val="21"/>
                <w:color w:val="auto"/>
              </w:rPr>
            </w:pPr>
          </w:p>
        </w:tc>
      </w:tr>
      <w:tr>
        <w:trPr>
          <w:trHeight w:val="262"/>
        </w:trPr>
        <w:tc>
          <w:tcPr>
            <w:tcW w:w="4600" w:type="dxa"/>
            <w:vAlign w:val="bottom"/>
          </w:tcPr>
          <w:p>
            <w:pPr>
              <w:ind w:left="20"/>
              <w:spacing w:after="0"/>
              <w:rPr>
                <w:sz w:val="20"/>
                <w:szCs w:val="20"/>
                <w:color w:val="auto"/>
              </w:rPr>
            </w:pPr>
            <w:r>
              <w:rPr>
                <w:rFonts w:ascii="Arial" w:cs="Arial" w:eastAsia="Arial" w:hAnsi="Arial"/>
                <w:sz w:val="18"/>
                <w:szCs w:val="18"/>
                <w:color w:val="auto"/>
              </w:rPr>
              <w:t>Operating income</w:t>
            </w:r>
          </w:p>
        </w:tc>
        <w:tc>
          <w:tcPr>
            <w:tcW w:w="48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640" w:type="dxa"/>
            <w:vAlign w:val="bottom"/>
          </w:tcPr>
          <w:p>
            <w:pPr>
              <w:jc w:val="right"/>
              <w:ind w:right="112"/>
              <w:spacing w:after="0"/>
              <w:rPr>
                <w:sz w:val="20"/>
                <w:szCs w:val="20"/>
                <w:color w:val="auto"/>
              </w:rPr>
            </w:pPr>
            <w:r>
              <w:rPr>
                <w:rFonts w:ascii="Arial" w:cs="Arial" w:eastAsia="Arial" w:hAnsi="Arial"/>
                <w:sz w:val="18"/>
                <w:szCs w:val="18"/>
                <w:color w:val="auto"/>
              </w:rPr>
              <w:t>62</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12"/>
              <w:spacing w:after="0"/>
              <w:rPr>
                <w:sz w:val="20"/>
                <w:szCs w:val="20"/>
                <w:color w:val="auto"/>
              </w:rPr>
            </w:pPr>
            <w:r>
              <w:rPr>
                <w:rFonts w:ascii="Arial" w:cs="Arial" w:eastAsia="Arial" w:hAnsi="Arial"/>
                <w:sz w:val="18"/>
                <w:szCs w:val="18"/>
                <w:color w:val="auto"/>
              </w:rPr>
              <w:t>48</w:t>
            </w:r>
          </w:p>
        </w:tc>
        <w:tc>
          <w:tcPr>
            <w:tcW w:w="720" w:type="dxa"/>
            <w:vAlign w:val="bottom"/>
          </w:tcPr>
          <w:p>
            <w:pPr>
              <w:jc w:val="right"/>
              <w:ind w:right="252"/>
              <w:spacing w:after="0"/>
              <w:rPr>
                <w:sz w:val="20"/>
                <w:szCs w:val="20"/>
                <w:color w:val="auto"/>
              </w:rPr>
            </w:pPr>
            <w:r>
              <w:rPr>
                <w:rFonts w:ascii="Arial" w:cs="Arial" w:eastAsia="Arial" w:hAnsi="Arial"/>
                <w:sz w:val="18"/>
                <w:szCs w:val="18"/>
                <w:color w:val="auto"/>
              </w:rPr>
              <w:t>$</w:t>
            </w:r>
          </w:p>
        </w:tc>
        <w:tc>
          <w:tcPr>
            <w:tcW w:w="440" w:type="dxa"/>
            <w:vAlign w:val="bottom"/>
          </w:tcPr>
          <w:p>
            <w:pPr>
              <w:jc w:val="right"/>
              <w:ind w:right="32"/>
              <w:spacing w:after="0"/>
              <w:rPr>
                <w:sz w:val="20"/>
                <w:szCs w:val="20"/>
                <w:color w:val="auto"/>
              </w:rPr>
            </w:pPr>
            <w:r>
              <w:rPr>
                <w:rFonts w:ascii="Arial" w:cs="Arial" w:eastAsia="Arial" w:hAnsi="Arial"/>
                <w:sz w:val="18"/>
                <w:szCs w:val="18"/>
                <w:color w:val="auto"/>
              </w:rPr>
              <w:t>64</w:t>
            </w:r>
          </w:p>
        </w:tc>
        <w:tc>
          <w:tcPr>
            <w:tcW w:w="60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82</w:t>
            </w:r>
          </w:p>
        </w:tc>
      </w:tr>
      <w:tr>
        <w:trPr>
          <w:trHeight w:val="251"/>
        </w:trPr>
        <w:tc>
          <w:tcPr>
            <w:tcW w:w="4600" w:type="dxa"/>
            <w:vAlign w:val="bottom"/>
          </w:tcPr>
          <w:p>
            <w:pPr>
              <w:spacing w:after="0"/>
              <w:rPr>
                <w:sz w:val="21"/>
                <w:szCs w:val="21"/>
                <w:color w:val="auto"/>
              </w:rPr>
            </w:pPr>
          </w:p>
        </w:tc>
        <w:tc>
          <w:tcPr>
            <w:tcW w:w="480" w:type="dxa"/>
            <w:vAlign w:val="bottom"/>
            <w:shd w:val="clear" w:color="auto" w:fill="000000"/>
          </w:tcPr>
          <w:p>
            <w:pPr>
              <w:spacing w:after="0"/>
              <w:rPr>
                <w:sz w:val="21"/>
                <w:szCs w:val="21"/>
                <w:color w:val="auto"/>
              </w:rPr>
            </w:pPr>
          </w:p>
        </w:tc>
        <w:tc>
          <w:tcPr>
            <w:tcW w:w="640" w:type="dxa"/>
            <w:vAlign w:val="bottom"/>
            <w:shd w:val="clear" w:color="auto" w:fill="000000"/>
          </w:tcPr>
          <w:p>
            <w:pPr>
              <w:spacing w:after="0"/>
              <w:rPr>
                <w:sz w:val="21"/>
                <w:szCs w:val="21"/>
                <w:color w:val="auto"/>
              </w:rPr>
            </w:pPr>
          </w:p>
        </w:tc>
        <w:tc>
          <w:tcPr>
            <w:tcW w:w="340" w:type="dxa"/>
            <w:vAlign w:val="bottom"/>
            <w:shd w:val="clear" w:color="auto" w:fill="000000"/>
          </w:tcPr>
          <w:p>
            <w:pPr>
              <w:spacing w:after="0"/>
              <w:rPr>
                <w:sz w:val="21"/>
                <w:szCs w:val="21"/>
                <w:color w:val="auto"/>
              </w:rPr>
            </w:pPr>
          </w:p>
        </w:tc>
        <w:tc>
          <w:tcPr>
            <w:tcW w:w="680" w:type="dxa"/>
            <w:vAlign w:val="bottom"/>
            <w:shd w:val="clear" w:color="auto" w:fill="000000"/>
          </w:tcPr>
          <w:p>
            <w:pPr>
              <w:spacing w:after="0"/>
              <w:rPr>
                <w:sz w:val="21"/>
                <w:szCs w:val="21"/>
                <w:color w:val="auto"/>
              </w:rPr>
            </w:pPr>
          </w:p>
        </w:tc>
        <w:tc>
          <w:tcPr>
            <w:tcW w:w="720" w:type="dxa"/>
            <w:vAlign w:val="bottom"/>
            <w:shd w:val="clear" w:color="auto" w:fill="000000"/>
          </w:tcPr>
          <w:p>
            <w:pPr>
              <w:spacing w:after="0"/>
              <w:rPr>
                <w:sz w:val="21"/>
                <w:szCs w:val="21"/>
                <w:color w:val="auto"/>
              </w:rPr>
            </w:pPr>
          </w:p>
        </w:tc>
        <w:tc>
          <w:tcPr>
            <w:tcW w:w="440" w:type="dxa"/>
            <w:vAlign w:val="bottom"/>
            <w:shd w:val="clear" w:color="auto" w:fill="000000"/>
          </w:tcPr>
          <w:p>
            <w:pPr>
              <w:spacing w:after="0"/>
              <w:rPr>
                <w:sz w:val="21"/>
                <w:szCs w:val="21"/>
                <w:color w:val="auto"/>
              </w:rPr>
            </w:pPr>
          </w:p>
        </w:tc>
        <w:tc>
          <w:tcPr>
            <w:tcW w:w="600" w:type="dxa"/>
            <w:vAlign w:val="bottom"/>
            <w:shd w:val="clear" w:color="auto" w:fill="000000"/>
          </w:tcPr>
          <w:p>
            <w:pPr>
              <w:spacing w:after="0"/>
              <w:rPr>
                <w:sz w:val="21"/>
                <w:szCs w:val="21"/>
                <w:color w:val="auto"/>
              </w:rPr>
            </w:pPr>
          </w:p>
        </w:tc>
        <w:tc>
          <w:tcPr>
            <w:tcW w:w="480" w:type="dxa"/>
            <w:vAlign w:val="bottom"/>
            <w:shd w:val="clear" w:color="auto" w:fill="000000"/>
          </w:tcPr>
          <w:p>
            <w:pPr>
              <w:spacing w:after="0"/>
              <w:rPr>
                <w:sz w:val="21"/>
                <w:szCs w:val="21"/>
                <w:color w:val="auto"/>
              </w:rPr>
            </w:pPr>
          </w:p>
        </w:tc>
      </w:tr>
    </w:tbl>
    <w:p>
      <w:pPr>
        <w:spacing w:after="0" w:line="200" w:lineRule="exact"/>
        <w:rPr>
          <w:sz w:val="20"/>
          <w:szCs w:val="20"/>
          <w:color w:val="auto"/>
        </w:rPr>
      </w:pPr>
    </w:p>
    <w:p>
      <w:pPr>
        <w:sectPr>
          <w:pgSz w:w="11900" w:h="16838" w:orient="portrait"/>
          <w:cols w:equalWidth="0" w:num="1">
            <w:col w:w="11420"/>
          </w:cols>
          <w:pgMar w:left="240" w:top="118" w:right="239" w:bottom="0" w:gutter="0" w:footer="0" w:header="0"/>
        </w:sectPr>
      </w:pPr>
    </w:p>
    <w:p>
      <w:pPr>
        <w:spacing w:after="0" w:line="102" w:lineRule="exact"/>
        <w:rPr>
          <w:sz w:val="20"/>
          <w:szCs w:val="20"/>
          <w:color w:val="auto"/>
        </w:rPr>
      </w:pPr>
    </w:p>
    <w:p>
      <w:pPr>
        <w:ind w:left="1240"/>
        <w:spacing w:after="0"/>
        <w:tabs>
          <w:tab w:leader="none" w:pos="6000" w:val="left"/>
          <w:tab w:leader="none" w:pos="6560" w:val="left"/>
          <w:tab w:leader="none" w:pos="7120" w:val="left"/>
          <w:tab w:leader="none" w:pos="7680" w:val="left"/>
          <w:tab w:leader="none" w:pos="8240" w:val="left"/>
          <w:tab w:leader="none" w:pos="8800" w:val="left"/>
          <w:tab w:leader="none" w:pos="9400" w:val="left"/>
          <w:tab w:leader="none" w:pos="10000" w:val="left"/>
        </w:tabs>
        <w:rPr>
          <w:sz w:val="20"/>
          <w:szCs w:val="20"/>
          <w:color w:val="auto"/>
        </w:rPr>
      </w:pPr>
      <w:r>
        <w:rPr>
          <w:rFonts w:ascii="Arial" w:cs="Arial" w:eastAsia="Arial" w:hAnsi="Arial"/>
          <w:sz w:val="18"/>
          <w:szCs w:val="18"/>
          <w:color w:val="auto"/>
        </w:rPr>
        <w:t>Net income</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51</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31</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62</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69</w:t>
      </w:r>
    </w:p>
    <w:p>
      <w:pPr>
        <w:sectPr>
          <w:pgSz w:w="11900" w:h="16838" w:orient="portrait"/>
          <w:cols w:equalWidth="0" w:num="1">
            <w:col w:w="11420"/>
          </w:cols>
          <w:pgMar w:left="240" w:top="118" w:right="239" w:bottom="0" w:gutter="0" w:footer="0" w:header="0"/>
          <w:type w:val="continuous"/>
        </w:sectPr>
      </w:pPr>
    </w:p>
    <w:bookmarkStart w:id="51" w:name="page52"/>
    <w:bookmarkEnd w:id="51"/>
    <w:tbl>
      <w:tblPr>
        <w:tblLayout w:type="fixed"/>
        <w:tblInd w:w="1220" w:type="dxa"/>
        <w:tblCellMar>
          <w:top w:w="0" w:type="dxa"/>
          <w:left w:w="0" w:type="dxa"/>
          <w:bottom w:w="0" w:type="dxa"/>
          <w:right w:w="0" w:type="dxa"/>
        </w:tblCellMar>
      </w:tblPr>
      <w:tr>
        <w:trPr>
          <w:trHeight w:val="224"/>
        </w:trPr>
        <w:tc>
          <w:tcPr>
            <w:tcW w:w="4600" w:type="dxa"/>
            <w:vAlign w:val="bottom"/>
          </w:tcPr>
          <w:p>
            <w:pPr>
              <w:ind w:left="20"/>
              <w:spacing w:after="0"/>
              <w:rPr>
                <w:sz w:val="20"/>
                <w:szCs w:val="20"/>
                <w:color w:val="auto"/>
              </w:rPr>
            </w:pPr>
            <w:r>
              <w:rPr>
                <w:rFonts w:ascii="Arial" w:cs="Arial" w:eastAsia="Arial" w:hAnsi="Arial"/>
                <w:sz w:val="18"/>
                <w:szCs w:val="18"/>
                <w:color w:val="auto"/>
              </w:rPr>
              <w:t>Dividends on preferred stock</w:t>
            </w:r>
          </w:p>
        </w:tc>
        <w:tc>
          <w:tcPr>
            <w:tcW w:w="520" w:type="dxa"/>
            <w:vAlign w:val="bottom"/>
          </w:tcPr>
          <w:p>
            <w:pPr>
              <w:spacing w:after="0"/>
              <w:rPr>
                <w:sz w:val="19"/>
                <w:szCs w:val="19"/>
                <w:color w:val="auto"/>
              </w:rPr>
            </w:pPr>
          </w:p>
        </w:tc>
        <w:tc>
          <w:tcPr>
            <w:tcW w:w="600" w:type="dxa"/>
            <w:vAlign w:val="bottom"/>
          </w:tcPr>
          <w:p>
            <w:pPr>
              <w:jc w:val="right"/>
              <w:ind w:right="112"/>
              <w:spacing w:after="0"/>
              <w:rPr>
                <w:sz w:val="20"/>
                <w:szCs w:val="20"/>
                <w:color w:val="auto"/>
              </w:rPr>
            </w:pPr>
            <w:r>
              <w:rPr>
                <w:rFonts w:ascii="Arial" w:cs="Arial" w:eastAsia="Arial" w:hAnsi="Arial"/>
                <w:sz w:val="18"/>
                <w:szCs w:val="18"/>
                <w:color w:val="auto"/>
              </w:rPr>
              <w:t>1</w:t>
            </w:r>
          </w:p>
        </w:tc>
        <w:tc>
          <w:tcPr>
            <w:tcW w:w="520" w:type="dxa"/>
            <w:vAlign w:val="bottom"/>
          </w:tcPr>
          <w:p>
            <w:pPr>
              <w:spacing w:after="0"/>
              <w:rPr>
                <w:sz w:val="19"/>
                <w:szCs w:val="19"/>
                <w:color w:val="auto"/>
              </w:rPr>
            </w:pPr>
          </w:p>
        </w:tc>
        <w:tc>
          <w:tcPr>
            <w:tcW w:w="600" w:type="dxa"/>
            <w:vAlign w:val="bottom"/>
          </w:tcPr>
          <w:p>
            <w:pPr>
              <w:jc w:val="right"/>
              <w:ind w:right="112"/>
              <w:spacing w:after="0"/>
              <w:rPr>
                <w:sz w:val="20"/>
                <w:szCs w:val="20"/>
                <w:color w:val="auto"/>
              </w:rPr>
            </w:pPr>
            <w:r>
              <w:rPr>
                <w:rFonts w:ascii="Arial" w:cs="Arial" w:eastAsia="Arial" w:hAnsi="Arial"/>
                <w:sz w:val="18"/>
                <w:szCs w:val="18"/>
                <w:color w:val="auto"/>
              </w:rPr>
              <w:t>1</w:t>
            </w:r>
          </w:p>
        </w:tc>
        <w:tc>
          <w:tcPr>
            <w:tcW w:w="520" w:type="dxa"/>
            <w:vAlign w:val="bottom"/>
          </w:tcPr>
          <w:p>
            <w:pPr>
              <w:spacing w:after="0"/>
              <w:rPr>
                <w:sz w:val="19"/>
                <w:szCs w:val="19"/>
                <w:color w:val="auto"/>
              </w:rPr>
            </w:pPr>
          </w:p>
        </w:tc>
        <w:tc>
          <w:tcPr>
            <w:tcW w:w="620" w:type="dxa"/>
            <w:vAlign w:val="bottom"/>
          </w:tcPr>
          <w:p>
            <w:pPr>
              <w:jc w:val="right"/>
              <w:ind w:right="112"/>
              <w:spacing w:after="0"/>
              <w:rPr>
                <w:sz w:val="20"/>
                <w:szCs w:val="20"/>
                <w:color w:val="auto"/>
              </w:rPr>
            </w:pPr>
            <w:r>
              <w:rPr>
                <w:rFonts w:ascii="Arial" w:cs="Arial" w:eastAsia="Arial" w:hAnsi="Arial"/>
                <w:sz w:val="18"/>
                <w:szCs w:val="18"/>
                <w:color w:val="auto"/>
              </w:rPr>
              <w:t>2</w:t>
            </w:r>
          </w:p>
        </w:tc>
        <w:tc>
          <w:tcPr>
            <w:tcW w:w="56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97"/>
        </w:trPr>
        <w:tc>
          <w:tcPr>
            <w:tcW w:w="4600" w:type="dxa"/>
            <w:vAlign w:val="bottom"/>
          </w:tcPr>
          <w:p>
            <w:pPr>
              <w:spacing w:after="0"/>
              <w:rPr>
                <w:sz w:val="8"/>
                <w:szCs w:val="8"/>
                <w:color w:val="auto"/>
              </w:rPr>
            </w:pPr>
          </w:p>
        </w:tc>
        <w:tc>
          <w:tcPr>
            <w:tcW w:w="520" w:type="dxa"/>
            <w:vAlign w:val="bottom"/>
          </w:tcPr>
          <w:p>
            <w:pPr>
              <w:spacing w:after="0"/>
              <w:rPr>
                <w:sz w:val="8"/>
                <w:szCs w:val="8"/>
                <w:color w:val="auto"/>
              </w:rPr>
            </w:pPr>
          </w:p>
        </w:tc>
        <w:tc>
          <w:tcPr>
            <w:tcW w:w="600" w:type="dxa"/>
            <w:vAlign w:val="bottom"/>
          </w:tcPr>
          <w:p>
            <w:pPr>
              <w:spacing w:after="0"/>
              <w:rPr>
                <w:sz w:val="8"/>
                <w:szCs w:val="8"/>
                <w:color w:val="auto"/>
              </w:rPr>
            </w:pPr>
          </w:p>
        </w:tc>
        <w:tc>
          <w:tcPr>
            <w:tcW w:w="520" w:type="dxa"/>
            <w:vAlign w:val="bottom"/>
          </w:tcPr>
          <w:p>
            <w:pPr>
              <w:spacing w:after="0"/>
              <w:rPr>
                <w:sz w:val="8"/>
                <w:szCs w:val="8"/>
                <w:color w:val="auto"/>
              </w:rPr>
            </w:pPr>
          </w:p>
        </w:tc>
        <w:tc>
          <w:tcPr>
            <w:tcW w:w="600" w:type="dxa"/>
            <w:vAlign w:val="bottom"/>
          </w:tcPr>
          <w:p>
            <w:pPr>
              <w:spacing w:after="0"/>
              <w:rPr>
                <w:sz w:val="8"/>
                <w:szCs w:val="8"/>
                <w:color w:val="auto"/>
              </w:rPr>
            </w:pPr>
          </w:p>
        </w:tc>
        <w:tc>
          <w:tcPr>
            <w:tcW w:w="52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440" w:type="dxa"/>
            <w:vAlign w:val="bottom"/>
          </w:tcPr>
          <w:p>
            <w:pPr>
              <w:spacing w:after="0"/>
              <w:rPr>
                <w:sz w:val="8"/>
                <w:szCs w:val="8"/>
                <w:color w:val="auto"/>
              </w:rPr>
            </w:pPr>
          </w:p>
        </w:tc>
      </w:tr>
      <w:tr>
        <w:trPr>
          <w:trHeight w:val="243"/>
        </w:trPr>
        <w:tc>
          <w:tcPr>
            <w:tcW w:w="4600" w:type="dxa"/>
            <w:vAlign w:val="bottom"/>
          </w:tcPr>
          <w:p>
            <w:pPr>
              <w:spacing w:after="0"/>
              <w:rPr>
                <w:sz w:val="21"/>
                <w:szCs w:val="21"/>
                <w:color w:val="auto"/>
              </w:rPr>
            </w:pPr>
          </w:p>
        </w:tc>
        <w:tc>
          <w:tcPr>
            <w:tcW w:w="520" w:type="dxa"/>
            <w:vAlign w:val="bottom"/>
            <w:shd w:val="clear" w:color="auto" w:fill="000000"/>
          </w:tcPr>
          <w:p>
            <w:pPr>
              <w:spacing w:after="0"/>
              <w:rPr>
                <w:sz w:val="21"/>
                <w:szCs w:val="21"/>
                <w:color w:val="auto"/>
              </w:rPr>
            </w:pPr>
          </w:p>
        </w:tc>
        <w:tc>
          <w:tcPr>
            <w:tcW w:w="600" w:type="dxa"/>
            <w:vAlign w:val="bottom"/>
            <w:shd w:val="clear" w:color="auto" w:fill="000000"/>
          </w:tcPr>
          <w:p>
            <w:pPr>
              <w:spacing w:after="0"/>
              <w:rPr>
                <w:sz w:val="21"/>
                <w:szCs w:val="21"/>
                <w:color w:val="auto"/>
              </w:rPr>
            </w:pPr>
          </w:p>
        </w:tc>
        <w:tc>
          <w:tcPr>
            <w:tcW w:w="520" w:type="dxa"/>
            <w:vAlign w:val="bottom"/>
            <w:shd w:val="clear" w:color="auto" w:fill="000000"/>
          </w:tcPr>
          <w:p>
            <w:pPr>
              <w:spacing w:after="0"/>
              <w:rPr>
                <w:sz w:val="21"/>
                <w:szCs w:val="21"/>
                <w:color w:val="auto"/>
              </w:rPr>
            </w:pPr>
          </w:p>
        </w:tc>
        <w:tc>
          <w:tcPr>
            <w:tcW w:w="600" w:type="dxa"/>
            <w:vAlign w:val="bottom"/>
            <w:shd w:val="clear" w:color="auto" w:fill="000000"/>
          </w:tcPr>
          <w:p>
            <w:pPr>
              <w:spacing w:after="0"/>
              <w:rPr>
                <w:sz w:val="21"/>
                <w:szCs w:val="21"/>
                <w:color w:val="auto"/>
              </w:rPr>
            </w:pPr>
          </w:p>
        </w:tc>
        <w:tc>
          <w:tcPr>
            <w:tcW w:w="520" w:type="dxa"/>
            <w:vAlign w:val="bottom"/>
            <w:shd w:val="clear" w:color="auto" w:fill="000000"/>
          </w:tcPr>
          <w:p>
            <w:pPr>
              <w:spacing w:after="0"/>
              <w:rPr>
                <w:sz w:val="21"/>
                <w:szCs w:val="21"/>
                <w:color w:val="auto"/>
              </w:rPr>
            </w:pPr>
          </w:p>
        </w:tc>
        <w:tc>
          <w:tcPr>
            <w:tcW w:w="620" w:type="dxa"/>
            <w:vAlign w:val="bottom"/>
            <w:shd w:val="clear" w:color="auto" w:fill="000000"/>
          </w:tcPr>
          <w:p>
            <w:pPr>
              <w:spacing w:after="0"/>
              <w:rPr>
                <w:sz w:val="21"/>
                <w:szCs w:val="21"/>
                <w:color w:val="auto"/>
              </w:rPr>
            </w:pPr>
          </w:p>
        </w:tc>
        <w:tc>
          <w:tcPr>
            <w:tcW w:w="560" w:type="dxa"/>
            <w:vAlign w:val="bottom"/>
            <w:shd w:val="clear" w:color="auto" w:fill="000000"/>
          </w:tcPr>
          <w:p>
            <w:pPr>
              <w:spacing w:after="0"/>
              <w:rPr>
                <w:sz w:val="21"/>
                <w:szCs w:val="21"/>
                <w:color w:val="auto"/>
              </w:rPr>
            </w:pPr>
          </w:p>
        </w:tc>
        <w:tc>
          <w:tcPr>
            <w:tcW w:w="440" w:type="dxa"/>
            <w:vAlign w:val="bottom"/>
            <w:shd w:val="clear" w:color="auto" w:fill="000000"/>
          </w:tcPr>
          <w:p>
            <w:pPr>
              <w:spacing w:after="0"/>
              <w:rPr>
                <w:sz w:val="21"/>
                <w:szCs w:val="21"/>
                <w:color w:val="auto"/>
              </w:rPr>
            </w:pPr>
          </w:p>
        </w:tc>
      </w:tr>
      <w:tr>
        <w:trPr>
          <w:trHeight w:val="262"/>
        </w:trPr>
        <w:tc>
          <w:tcPr>
            <w:tcW w:w="4600" w:type="dxa"/>
            <w:vAlign w:val="bottom"/>
          </w:tcPr>
          <w:p>
            <w:pPr>
              <w:ind w:left="20"/>
              <w:spacing w:after="0"/>
              <w:rPr>
                <w:sz w:val="20"/>
                <w:szCs w:val="20"/>
                <w:color w:val="auto"/>
              </w:rPr>
            </w:pPr>
            <w:r>
              <w:rPr>
                <w:rFonts w:ascii="Arial" w:cs="Arial" w:eastAsia="Arial" w:hAnsi="Arial"/>
                <w:sz w:val="18"/>
                <w:szCs w:val="18"/>
                <w:color w:val="auto"/>
              </w:rPr>
              <w:t>Earnings applicable to common shares</w:t>
            </w:r>
          </w:p>
        </w:tc>
        <w:tc>
          <w:tcPr>
            <w:tcW w:w="52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600" w:type="dxa"/>
            <w:vAlign w:val="bottom"/>
          </w:tcPr>
          <w:p>
            <w:pPr>
              <w:jc w:val="right"/>
              <w:ind w:right="112"/>
              <w:spacing w:after="0"/>
              <w:rPr>
                <w:sz w:val="20"/>
                <w:szCs w:val="20"/>
                <w:color w:val="auto"/>
              </w:rPr>
            </w:pPr>
            <w:r>
              <w:rPr>
                <w:rFonts w:ascii="Arial" w:cs="Arial" w:eastAsia="Arial" w:hAnsi="Arial"/>
                <w:sz w:val="18"/>
                <w:szCs w:val="18"/>
                <w:color w:val="auto"/>
              </w:rPr>
              <w:t>50</w:t>
            </w:r>
          </w:p>
        </w:tc>
        <w:tc>
          <w:tcPr>
            <w:tcW w:w="52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600" w:type="dxa"/>
            <w:vAlign w:val="bottom"/>
          </w:tcPr>
          <w:p>
            <w:pPr>
              <w:jc w:val="right"/>
              <w:ind w:right="112"/>
              <w:spacing w:after="0"/>
              <w:rPr>
                <w:sz w:val="20"/>
                <w:szCs w:val="20"/>
                <w:color w:val="auto"/>
              </w:rPr>
            </w:pPr>
            <w:r>
              <w:rPr>
                <w:rFonts w:ascii="Arial" w:cs="Arial" w:eastAsia="Arial" w:hAnsi="Arial"/>
                <w:sz w:val="18"/>
                <w:szCs w:val="18"/>
                <w:color w:val="auto"/>
              </w:rPr>
              <w:t>30</w:t>
            </w:r>
          </w:p>
        </w:tc>
        <w:tc>
          <w:tcPr>
            <w:tcW w:w="52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620" w:type="dxa"/>
            <w:vAlign w:val="bottom"/>
          </w:tcPr>
          <w:p>
            <w:pPr>
              <w:jc w:val="right"/>
              <w:ind w:right="112"/>
              <w:spacing w:after="0"/>
              <w:rPr>
                <w:sz w:val="20"/>
                <w:szCs w:val="20"/>
                <w:color w:val="auto"/>
              </w:rPr>
            </w:pPr>
            <w:r>
              <w:rPr>
                <w:rFonts w:ascii="Arial" w:cs="Arial" w:eastAsia="Arial" w:hAnsi="Arial"/>
                <w:sz w:val="18"/>
                <w:szCs w:val="18"/>
                <w:color w:val="auto"/>
              </w:rPr>
              <w:t>60</w:t>
            </w:r>
          </w:p>
        </w:tc>
        <w:tc>
          <w:tcPr>
            <w:tcW w:w="56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68</w:t>
            </w:r>
          </w:p>
        </w:tc>
      </w:tr>
      <w:tr>
        <w:trPr>
          <w:trHeight w:val="251"/>
        </w:trPr>
        <w:tc>
          <w:tcPr>
            <w:tcW w:w="4600" w:type="dxa"/>
            <w:vAlign w:val="bottom"/>
            <w:shd w:val="clear" w:color="auto" w:fill="000000"/>
          </w:tcPr>
          <w:p>
            <w:pPr>
              <w:spacing w:after="0"/>
              <w:rPr>
                <w:sz w:val="21"/>
                <w:szCs w:val="21"/>
                <w:color w:val="auto"/>
              </w:rPr>
            </w:pPr>
          </w:p>
        </w:tc>
        <w:tc>
          <w:tcPr>
            <w:tcW w:w="520" w:type="dxa"/>
            <w:vAlign w:val="bottom"/>
            <w:shd w:val="clear" w:color="auto" w:fill="000000"/>
          </w:tcPr>
          <w:p>
            <w:pPr>
              <w:spacing w:after="0"/>
              <w:rPr>
                <w:sz w:val="21"/>
                <w:szCs w:val="21"/>
                <w:color w:val="auto"/>
              </w:rPr>
            </w:pPr>
          </w:p>
        </w:tc>
        <w:tc>
          <w:tcPr>
            <w:tcW w:w="600" w:type="dxa"/>
            <w:vAlign w:val="bottom"/>
            <w:shd w:val="clear" w:color="auto" w:fill="000000"/>
          </w:tcPr>
          <w:p>
            <w:pPr>
              <w:spacing w:after="0"/>
              <w:rPr>
                <w:sz w:val="21"/>
                <w:szCs w:val="21"/>
                <w:color w:val="auto"/>
              </w:rPr>
            </w:pPr>
          </w:p>
        </w:tc>
        <w:tc>
          <w:tcPr>
            <w:tcW w:w="520" w:type="dxa"/>
            <w:vAlign w:val="bottom"/>
            <w:shd w:val="clear" w:color="auto" w:fill="000000"/>
          </w:tcPr>
          <w:p>
            <w:pPr>
              <w:spacing w:after="0"/>
              <w:rPr>
                <w:sz w:val="21"/>
                <w:szCs w:val="21"/>
                <w:color w:val="auto"/>
              </w:rPr>
            </w:pPr>
          </w:p>
        </w:tc>
        <w:tc>
          <w:tcPr>
            <w:tcW w:w="600" w:type="dxa"/>
            <w:vAlign w:val="bottom"/>
            <w:shd w:val="clear" w:color="auto" w:fill="000000"/>
          </w:tcPr>
          <w:p>
            <w:pPr>
              <w:spacing w:after="0"/>
              <w:rPr>
                <w:sz w:val="21"/>
                <w:szCs w:val="21"/>
                <w:color w:val="auto"/>
              </w:rPr>
            </w:pPr>
          </w:p>
        </w:tc>
        <w:tc>
          <w:tcPr>
            <w:tcW w:w="520" w:type="dxa"/>
            <w:vAlign w:val="bottom"/>
            <w:shd w:val="clear" w:color="auto" w:fill="000000"/>
          </w:tcPr>
          <w:p>
            <w:pPr>
              <w:spacing w:after="0"/>
              <w:rPr>
                <w:sz w:val="21"/>
                <w:szCs w:val="21"/>
                <w:color w:val="auto"/>
              </w:rPr>
            </w:pPr>
          </w:p>
        </w:tc>
        <w:tc>
          <w:tcPr>
            <w:tcW w:w="620" w:type="dxa"/>
            <w:vAlign w:val="bottom"/>
            <w:shd w:val="clear" w:color="auto" w:fill="000000"/>
          </w:tcPr>
          <w:p>
            <w:pPr>
              <w:spacing w:after="0"/>
              <w:rPr>
                <w:sz w:val="21"/>
                <w:szCs w:val="21"/>
                <w:color w:val="auto"/>
              </w:rPr>
            </w:pPr>
          </w:p>
        </w:tc>
        <w:tc>
          <w:tcPr>
            <w:tcW w:w="560" w:type="dxa"/>
            <w:vAlign w:val="bottom"/>
            <w:shd w:val="clear" w:color="auto" w:fill="000000"/>
          </w:tcPr>
          <w:p>
            <w:pPr>
              <w:spacing w:after="0"/>
              <w:rPr>
                <w:sz w:val="21"/>
                <w:szCs w:val="21"/>
                <w:color w:val="auto"/>
              </w:rPr>
            </w:pPr>
          </w:p>
        </w:tc>
        <w:tc>
          <w:tcPr>
            <w:tcW w:w="440" w:type="dxa"/>
            <w:vAlign w:val="bottom"/>
            <w:shd w:val="clear" w:color="auto" w:fill="000000"/>
          </w:tcPr>
          <w:p>
            <w:pPr>
              <w:spacing w:after="0"/>
              <w:rPr>
                <w:sz w:val="21"/>
                <w:szCs w:val="21"/>
                <w:color w:val="auto"/>
              </w:rPr>
            </w:pPr>
          </w:p>
        </w:tc>
      </w:tr>
    </w:tbl>
    <w:p>
      <w:pPr>
        <w:spacing w:after="0" w:line="195" w:lineRule="exact"/>
        <w:rPr>
          <w:sz w:val="20"/>
          <w:szCs w:val="20"/>
          <w:color w:val="auto"/>
        </w:rPr>
      </w:pPr>
    </w:p>
    <w:p>
      <w:pPr>
        <w:ind w:right="40"/>
        <w:spacing w:after="0" w:line="249" w:lineRule="auto"/>
        <w:rPr>
          <w:sz w:val="20"/>
          <w:szCs w:val="20"/>
          <w:color w:val="auto"/>
        </w:rPr>
      </w:pPr>
      <w:r>
        <w:rPr>
          <w:rFonts w:ascii="Arial" w:cs="Arial" w:eastAsia="Arial" w:hAnsi="Arial"/>
          <w:sz w:val="21"/>
          <w:szCs w:val="21"/>
          <w:color w:val="auto"/>
        </w:rPr>
        <w:t>Operating revenues for the fourth quarter of 2005 included $23 million before-tax from the 2005 Internal Revenue Service decision relating to the sale of the company's former South Bay power plant. Operating expenses for the third quarter of 2005 included $44 million before-tax California energy crisis litigation costs, offset by $38 million before-tax related to the 2005 recovery of line losses and grid management charges arising from the favorable settlement with the ISO. Net income for the third quarter of 2005 included the favorable resolution of prior years' income-tax issues.</w:t>
      </w:r>
    </w:p>
    <w:p>
      <w:pPr>
        <w:spacing w:after="0" w:line="179" w:lineRule="exact"/>
        <w:rPr>
          <w:sz w:val="20"/>
          <w:szCs w:val="20"/>
          <w:color w:val="auto"/>
        </w:rPr>
      </w:pPr>
    </w:p>
    <w:p>
      <w:pPr>
        <w:ind w:right="120"/>
        <w:spacing w:after="0" w:line="251" w:lineRule="auto"/>
        <w:rPr>
          <w:sz w:val="20"/>
          <w:szCs w:val="20"/>
          <w:color w:val="auto"/>
        </w:rPr>
      </w:pPr>
      <w:r>
        <w:rPr>
          <w:rFonts w:ascii="Arial" w:cs="Arial" w:eastAsia="Arial" w:hAnsi="Arial"/>
          <w:sz w:val="22"/>
          <w:szCs w:val="22"/>
          <w:color w:val="auto"/>
        </w:rPr>
        <w:t>Operating revenues and expenses in the fourth quarter of 2004 included a $34 million favorable impact of the final Cost of Service decision, offset by $19 million of litigation expense.</w:t>
      </w:r>
    </w:p>
    <w:p>
      <w:pPr>
        <w:spacing w:after="0" w:line="167" w:lineRule="exact"/>
        <w:rPr>
          <w:sz w:val="20"/>
          <w:szCs w:val="20"/>
          <w:color w:val="auto"/>
        </w:rPr>
      </w:pPr>
    </w:p>
    <w:p>
      <w:pPr>
        <w:ind w:right="620"/>
        <w:spacing w:after="0" w:line="256" w:lineRule="auto"/>
        <w:rPr>
          <w:sz w:val="20"/>
          <w:szCs w:val="20"/>
          <w:color w:val="auto"/>
        </w:rPr>
      </w:pPr>
      <w:r>
        <w:rPr>
          <w:rFonts w:ascii="Arial" w:cs="Arial" w:eastAsia="Arial" w:hAnsi="Arial"/>
          <w:sz w:val="22"/>
          <w:szCs w:val="22"/>
          <w:b w:val="1"/>
          <w:bCs w:val="1"/>
          <w:color w:val="auto"/>
        </w:rPr>
        <w:t>ITEM 9. CHANGES IN AND DISAGREEMENTS WITH ACCOUNTANTS ON ACCOUNTING AND FINANCIAL DISCLOSURES</w:t>
      </w:r>
    </w:p>
    <w:p>
      <w:pPr>
        <w:spacing w:after="0" w:line="169" w:lineRule="exact"/>
        <w:rPr>
          <w:sz w:val="20"/>
          <w:szCs w:val="20"/>
          <w:color w:val="auto"/>
        </w:rPr>
      </w:pPr>
    </w:p>
    <w:p>
      <w:pPr>
        <w:spacing w:after="0"/>
        <w:rPr>
          <w:sz w:val="20"/>
          <w:szCs w:val="20"/>
          <w:color w:val="auto"/>
        </w:rPr>
      </w:pPr>
      <w:r>
        <w:rPr>
          <w:rFonts w:ascii="Arial" w:cs="Arial" w:eastAsia="Arial" w:hAnsi="Arial"/>
          <w:sz w:val="22"/>
          <w:szCs w:val="22"/>
          <w:color w:val="auto"/>
        </w:rPr>
        <w:t>None.</w:t>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9A. CONTROLS AND PROCEDURES</w:t>
      </w:r>
    </w:p>
    <w:p>
      <w:pPr>
        <w:spacing w:after="0" w:line="212" w:lineRule="exact"/>
        <w:rPr>
          <w:sz w:val="20"/>
          <w:szCs w:val="20"/>
          <w:color w:val="auto"/>
        </w:rPr>
      </w:pPr>
    </w:p>
    <w:p>
      <w:pPr>
        <w:spacing w:after="0" w:line="245" w:lineRule="auto"/>
        <w:rPr>
          <w:sz w:val="20"/>
          <w:szCs w:val="20"/>
          <w:color w:val="auto"/>
        </w:rPr>
      </w:pPr>
      <w:r>
        <w:rPr>
          <w:rFonts w:ascii="Arial" w:cs="Arial" w:eastAsia="Arial" w:hAnsi="Arial"/>
          <w:sz w:val="21"/>
          <w:szCs w:val="21"/>
          <w:color w:val="auto"/>
        </w:rPr>
        <w:t>Company management is responsible for establishing and maintaining adequate internal control over financial reporting, as defined in Exchange Act Rules 13a-15(f). The company has designed and maintains disclosure controls and procedures to ensure that information required to be disclosed in the company's reports is recorded, processed, summarized and reported within the time periods specified in the rules and forms of the Securities and Exchange Commission and is accumulated and communicated to the company's management, including its Chief Executive Officer and Chief Financial Officer, as appropriate, to allow timely decisions regarding required disclosure. In designing and evaluating these controls and procedures, management recognizes that any system of controls and procedures, no matter how well designed and operated, can provide only reasonable assurance of achieving the desired objectives and necessarily applies judgment in evaluating the cost-benefit relationship of other possible controls and proce dures.</w:t>
      </w:r>
    </w:p>
    <w:p>
      <w:pPr>
        <w:spacing w:after="0" w:line="185" w:lineRule="exact"/>
        <w:rPr>
          <w:sz w:val="20"/>
          <w:szCs w:val="20"/>
          <w:color w:val="auto"/>
        </w:rPr>
      </w:pPr>
    </w:p>
    <w:p>
      <w:pPr>
        <w:ind w:right="140"/>
        <w:spacing w:after="0" w:line="277" w:lineRule="auto"/>
        <w:rPr>
          <w:sz w:val="20"/>
          <w:szCs w:val="20"/>
          <w:color w:val="auto"/>
        </w:rPr>
      </w:pPr>
      <w:r>
        <w:rPr>
          <w:rFonts w:ascii="Arial" w:cs="Arial" w:eastAsia="Arial" w:hAnsi="Arial"/>
          <w:sz w:val="19"/>
          <w:szCs w:val="19"/>
          <w:color w:val="auto"/>
        </w:rPr>
        <w:t>During the year ended December 31, 2005, management outsourced certain human resource, payroll, and employee benefit functions to a third-party service provider, and implemented a new software application that automates the calculation of the income tax provision. The changes strengthen the design and effectiveness of the internal controls and improve the efficiency of these systems. As part of the conversion processes, management performed substantial testing of related internal controls intended to provide reasonable assurances that the converted data and subsequent ongoing process meet the company's objective to provide reliable financial reporting. Management has determined that the design of the controls surrounding these new processes satisfies the control objectives and that the controls are operating effectively.</w:t>
      </w:r>
    </w:p>
    <w:p>
      <w:pPr>
        <w:spacing w:after="0" w:line="153" w:lineRule="exact"/>
        <w:rPr>
          <w:sz w:val="20"/>
          <w:szCs w:val="20"/>
          <w:color w:val="auto"/>
        </w:rPr>
      </w:pPr>
    </w:p>
    <w:p>
      <w:pPr>
        <w:ind w:right="560"/>
        <w:spacing w:after="0"/>
        <w:rPr>
          <w:sz w:val="20"/>
          <w:szCs w:val="20"/>
          <w:color w:val="auto"/>
        </w:rPr>
      </w:pPr>
      <w:r>
        <w:rPr>
          <w:rFonts w:ascii="Arial" w:cs="Arial" w:eastAsia="Arial" w:hAnsi="Arial"/>
          <w:sz w:val="22"/>
          <w:szCs w:val="22"/>
          <w:color w:val="auto"/>
        </w:rPr>
        <w:t>Except for these changes, there have been no changes in the company's internal controls over financial reporting during the company's most recent fiscal quarter that have materially affected, or are reasonably likely to materially affect, the company's internal controls over financial reporting.</w:t>
      </w:r>
    </w:p>
    <w:p>
      <w:pPr>
        <w:spacing w:after="0" w:line="186" w:lineRule="exact"/>
        <w:rPr>
          <w:sz w:val="20"/>
          <w:szCs w:val="20"/>
          <w:color w:val="auto"/>
        </w:rPr>
      </w:pPr>
    </w:p>
    <w:p>
      <w:pPr>
        <w:ind w:right="20"/>
        <w:spacing w:after="0" w:line="279" w:lineRule="auto"/>
        <w:rPr>
          <w:sz w:val="20"/>
          <w:szCs w:val="20"/>
          <w:color w:val="auto"/>
        </w:rPr>
      </w:pPr>
      <w:r>
        <w:rPr>
          <w:rFonts w:ascii="Arial" w:cs="Arial" w:eastAsia="Arial" w:hAnsi="Arial"/>
          <w:sz w:val="19"/>
          <w:szCs w:val="19"/>
          <w:color w:val="auto"/>
        </w:rPr>
        <w:t xml:space="preserve">The company evaluates the effectiveness of its internal control over financial reporting based on the framework in </w:t>
      </w:r>
      <w:r>
        <w:rPr>
          <w:rFonts w:ascii="Arial" w:cs="Arial" w:eastAsia="Arial" w:hAnsi="Arial"/>
          <w:sz w:val="19"/>
          <w:szCs w:val="19"/>
          <w:i w:val="1"/>
          <w:iCs w:val="1"/>
          <w:color w:val="auto"/>
        </w:rPr>
        <w:t xml:space="preserve">Internal Control--Integrated Framework </w:t>
      </w:r>
      <w:r>
        <w:rPr>
          <w:rFonts w:ascii="Arial" w:cs="Arial" w:eastAsia="Arial" w:hAnsi="Arial"/>
          <w:sz w:val="19"/>
          <w:szCs w:val="19"/>
          <w:color w:val="auto"/>
        </w:rPr>
        <w:t>issued by the Committee of Sponsoring Organizations of the Treadway Commission. Under the supervision</w:t>
      </w:r>
      <w:r>
        <w:rPr>
          <w:rFonts w:ascii="Arial" w:cs="Arial" w:eastAsia="Arial" w:hAnsi="Arial"/>
          <w:sz w:val="19"/>
          <w:szCs w:val="19"/>
          <w:i w:val="1"/>
          <w:iCs w:val="1"/>
          <w:color w:val="auto"/>
        </w:rPr>
        <w:t xml:space="preserve"> </w:t>
      </w:r>
      <w:r>
        <w:rPr>
          <w:rFonts w:ascii="Arial" w:cs="Arial" w:eastAsia="Arial" w:hAnsi="Arial"/>
          <w:sz w:val="19"/>
          <w:szCs w:val="19"/>
          <w:color w:val="auto"/>
        </w:rPr>
        <w:t>and with the participation of management, including the Chief Executive Officer and the Chief Financial Officer, the company evaluated the effectiveness of the design and operation of the company's disclosure controls and procedures as of December 31, 2005, the end of the period covered by this report. Based on that evaluation, the company's Chief Executive Officer and Chief Financial Officer concluded that the company's disclosure controls and procedures were effective at the reasonable assurance level.</w:t>
      </w:r>
    </w:p>
    <w:p>
      <w:pPr>
        <w:spacing w:after="0" w:line="200" w:lineRule="exact"/>
        <w:rPr>
          <w:sz w:val="20"/>
          <w:szCs w:val="20"/>
          <w:color w:val="auto"/>
        </w:rPr>
      </w:pPr>
    </w:p>
    <w:p>
      <w:pPr>
        <w:spacing w:after="0" w:line="377" w:lineRule="exact"/>
        <w:rPr>
          <w:sz w:val="20"/>
          <w:szCs w:val="20"/>
          <w:color w:val="auto"/>
        </w:rPr>
      </w:pPr>
    </w:p>
    <w:p>
      <w:pPr>
        <w:ind w:left="5280"/>
        <w:spacing w:after="0"/>
        <w:rPr>
          <w:sz w:val="20"/>
          <w:szCs w:val="20"/>
          <w:color w:val="auto"/>
        </w:rPr>
      </w:pPr>
      <w:r>
        <w:rPr>
          <w:rFonts w:ascii="Arial" w:cs="Arial" w:eastAsia="Arial" w:hAnsi="Arial"/>
          <w:sz w:val="22"/>
          <w:szCs w:val="22"/>
          <w:b w:val="1"/>
          <w:bCs w:val="1"/>
          <w:color w:val="auto"/>
        </w:rPr>
        <w:t>PART III</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10. DIRECTORS AND EXECUTIVE OFFICERS OF THE REGISTRANT</w:t>
      </w:r>
    </w:p>
    <w:p>
      <w:pPr>
        <w:spacing w:after="0" w:line="212" w:lineRule="exact"/>
        <w:rPr>
          <w:sz w:val="20"/>
          <w:szCs w:val="20"/>
          <w:color w:val="auto"/>
        </w:rPr>
      </w:pPr>
    </w:p>
    <w:p>
      <w:pPr>
        <w:ind w:right="40"/>
        <w:spacing w:after="0"/>
        <w:rPr>
          <w:sz w:val="20"/>
          <w:szCs w:val="20"/>
          <w:color w:val="auto"/>
        </w:rPr>
      </w:pPr>
      <w:r>
        <w:rPr>
          <w:rFonts w:ascii="Arial" w:cs="Arial" w:eastAsia="Arial" w:hAnsi="Arial"/>
          <w:sz w:val="22"/>
          <w:szCs w:val="22"/>
          <w:color w:val="auto"/>
        </w:rPr>
        <w:t>The information required on Identification of Directors is incorporated by reference from "Election of Directors" in the Information Statement prepared for the May 2006 annual meeting of shareholders. The information required on the companies' executive officers is set forth below.</w:t>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color w:val="auto"/>
        </w:rPr>
        <w:t>EXECUTIVE OFFICERS OF THE REGISTRANT</w:t>
      </w:r>
    </w:p>
    <w:p>
      <w:pPr>
        <w:spacing w:after="0" w:line="301" w:lineRule="exact"/>
        <w:rPr>
          <w:sz w:val="20"/>
          <w:szCs w:val="20"/>
          <w:color w:val="auto"/>
        </w:rPr>
      </w:pPr>
    </w:p>
    <w:tbl>
      <w:tblPr>
        <w:tblLayout w:type="fixed"/>
        <w:tblInd w:w="1420" w:type="dxa"/>
        <w:tblCellMar>
          <w:top w:w="0" w:type="dxa"/>
          <w:left w:w="0" w:type="dxa"/>
          <w:bottom w:w="0" w:type="dxa"/>
          <w:right w:w="0" w:type="dxa"/>
        </w:tblCellMar>
      </w:tblPr>
      <w:tr>
        <w:trPr>
          <w:trHeight w:val="275"/>
        </w:trPr>
        <w:tc>
          <w:tcPr>
            <w:tcW w:w="2020" w:type="dxa"/>
            <w:vAlign w:val="bottom"/>
          </w:tcPr>
          <w:p>
            <w:pPr>
              <w:ind w:left="80"/>
              <w:spacing w:after="0"/>
              <w:rPr>
                <w:sz w:val="20"/>
                <w:szCs w:val="20"/>
                <w:color w:val="auto"/>
              </w:rPr>
            </w:pPr>
            <w:r>
              <w:rPr>
                <w:rFonts w:ascii="Arial" w:cs="Arial" w:eastAsia="Arial" w:hAnsi="Arial"/>
                <w:sz w:val="22"/>
                <w:szCs w:val="22"/>
                <w:color w:val="auto"/>
              </w:rPr>
              <w:t>Name</w:t>
            </w:r>
          </w:p>
        </w:tc>
        <w:tc>
          <w:tcPr>
            <w:tcW w:w="1060" w:type="dxa"/>
            <w:vAlign w:val="bottom"/>
          </w:tcPr>
          <w:p>
            <w:pPr>
              <w:ind w:left="480"/>
              <w:spacing w:after="0"/>
              <w:rPr>
                <w:sz w:val="20"/>
                <w:szCs w:val="20"/>
                <w:color w:val="auto"/>
              </w:rPr>
            </w:pPr>
            <w:r>
              <w:rPr>
                <w:rFonts w:ascii="Arial" w:cs="Arial" w:eastAsia="Arial" w:hAnsi="Arial"/>
                <w:sz w:val="22"/>
                <w:szCs w:val="22"/>
                <w:color w:val="auto"/>
              </w:rPr>
              <w:t>Age*</w:t>
            </w:r>
          </w:p>
        </w:tc>
        <w:tc>
          <w:tcPr>
            <w:tcW w:w="5520" w:type="dxa"/>
            <w:vAlign w:val="bottom"/>
          </w:tcPr>
          <w:p>
            <w:pPr>
              <w:ind w:left="100"/>
              <w:spacing w:after="0"/>
              <w:rPr>
                <w:sz w:val="20"/>
                <w:szCs w:val="20"/>
                <w:color w:val="auto"/>
              </w:rPr>
            </w:pPr>
            <w:r>
              <w:rPr>
                <w:rFonts w:ascii="Arial" w:cs="Arial" w:eastAsia="Arial" w:hAnsi="Arial"/>
                <w:sz w:val="22"/>
                <w:szCs w:val="22"/>
                <w:color w:val="auto"/>
              </w:rPr>
              <w:t>Position*</w:t>
            </w:r>
          </w:p>
        </w:tc>
      </w:tr>
      <w:tr>
        <w:trPr>
          <w:trHeight w:val="85"/>
        </w:trPr>
        <w:tc>
          <w:tcPr>
            <w:tcW w:w="2020" w:type="dxa"/>
            <w:vAlign w:val="bottom"/>
          </w:tcPr>
          <w:p>
            <w:pPr>
              <w:spacing w:after="0"/>
              <w:rPr>
                <w:sz w:val="7"/>
                <w:szCs w:val="7"/>
                <w:color w:val="auto"/>
              </w:rPr>
            </w:pPr>
          </w:p>
        </w:tc>
        <w:tc>
          <w:tcPr>
            <w:tcW w:w="1060" w:type="dxa"/>
            <w:vAlign w:val="bottom"/>
          </w:tcPr>
          <w:p>
            <w:pPr>
              <w:spacing w:after="0"/>
              <w:rPr>
                <w:sz w:val="7"/>
                <w:szCs w:val="7"/>
                <w:color w:val="auto"/>
              </w:rPr>
            </w:pPr>
          </w:p>
        </w:tc>
        <w:tc>
          <w:tcPr>
            <w:tcW w:w="5520" w:type="dxa"/>
            <w:vAlign w:val="bottom"/>
          </w:tcPr>
          <w:p>
            <w:pPr>
              <w:spacing w:after="0"/>
              <w:rPr>
                <w:sz w:val="7"/>
                <w:szCs w:val="7"/>
                <w:color w:val="auto"/>
              </w:rPr>
            </w:pPr>
          </w:p>
        </w:tc>
      </w:tr>
      <w:tr>
        <w:trPr>
          <w:trHeight w:val="405"/>
        </w:trPr>
        <w:tc>
          <w:tcPr>
            <w:tcW w:w="2020" w:type="dxa"/>
            <w:vAlign w:val="bottom"/>
            <w:shd w:val="clear" w:color="auto" w:fill="000000"/>
          </w:tcPr>
          <w:p>
            <w:pPr>
              <w:spacing w:after="0"/>
              <w:rPr>
                <w:sz w:val="24"/>
                <w:szCs w:val="24"/>
                <w:color w:val="auto"/>
              </w:rPr>
            </w:pPr>
          </w:p>
        </w:tc>
        <w:tc>
          <w:tcPr>
            <w:tcW w:w="1060" w:type="dxa"/>
            <w:vAlign w:val="bottom"/>
            <w:shd w:val="clear" w:color="auto" w:fill="000000"/>
          </w:tcPr>
          <w:p>
            <w:pPr>
              <w:spacing w:after="0"/>
              <w:rPr>
                <w:sz w:val="24"/>
                <w:szCs w:val="24"/>
                <w:color w:val="auto"/>
              </w:rPr>
            </w:pPr>
          </w:p>
        </w:tc>
        <w:tc>
          <w:tcPr>
            <w:tcW w:w="5520" w:type="dxa"/>
            <w:vAlign w:val="bottom"/>
            <w:shd w:val="clear" w:color="auto" w:fill="000000"/>
          </w:tcPr>
          <w:p>
            <w:pPr>
              <w:spacing w:after="0"/>
              <w:rPr>
                <w:sz w:val="24"/>
                <w:szCs w:val="24"/>
                <w:color w:val="auto"/>
              </w:rPr>
            </w:pPr>
          </w:p>
        </w:tc>
      </w:tr>
      <w:tr>
        <w:trPr>
          <w:trHeight w:val="348"/>
        </w:trPr>
        <w:tc>
          <w:tcPr>
            <w:tcW w:w="2020" w:type="dxa"/>
            <w:vAlign w:val="bottom"/>
          </w:tcPr>
          <w:p>
            <w:pPr>
              <w:ind w:left="80"/>
              <w:spacing w:after="0"/>
              <w:rPr>
                <w:sz w:val="20"/>
                <w:szCs w:val="20"/>
                <w:color w:val="auto"/>
              </w:rPr>
            </w:pPr>
            <w:r>
              <w:rPr>
                <w:rFonts w:ascii="Arial" w:cs="Arial" w:eastAsia="Arial" w:hAnsi="Arial"/>
                <w:sz w:val="22"/>
                <w:szCs w:val="22"/>
                <w:color w:val="auto"/>
              </w:rPr>
              <w:t>Edwin A. Guiles</w:t>
            </w:r>
          </w:p>
        </w:tc>
        <w:tc>
          <w:tcPr>
            <w:tcW w:w="1060" w:type="dxa"/>
            <w:vAlign w:val="bottom"/>
          </w:tcPr>
          <w:p>
            <w:pPr>
              <w:ind w:left="480"/>
              <w:spacing w:after="0"/>
              <w:rPr>
                <w:sz w:val="20"/>
                <w:szCs w:val="20"/>
                <w:color w:val="auto"/>
              </w:rPr>
            </w:pPr>
            <w:r>
              <w:rPr>
                <w:rFonts w:ascii="Arial" w:cs="Arial" w:eastAsia="Arial" w:hAnsi="Arial"/>
                <w:sz w:val="22"/>
                <w:szCs w:val="22"/>
                <w:color w:val="auto"/>
              </w:rPr>
              <w:t>56</w:t>
            </w:r>
          </w:p>
        </w:tc>
        <w:tc>
          <w:tcPr>
            <w:tcW w:w="5520" w:type="dxa"/>
            <w:vAlign w:val="bottom"/>
          </w:tcPr>
          <w:p>
            <w:pPr>
              <w:ind w:left="100"/>
              <w:spacing w:after="0"/>
              <w:rPr>
                <w:sz w:val="20"/>
                <w:szCs w:val="20"/>
                <w:color w:val="auto"/>
              </w:rPr>
            </w:pPr>
            <w:r>
              <w:rPr>
                <w:rFonts w:ascii="Arial" w:cs="Arial" w:eastAsia="Arial" w:hAnsi="Arial"/>
                <w:sz w:val="22"/>
                <w:szCs w:val="22"/>
                <w:color w:val="auto"/>
              </w:rPr>
              <w:t>Chairman and Chief Executive Officer</w:t>
            </w:r>
          </w:p>
        </w:tc>
      </w:tr>
      <w:tr>
        <w:trPr>
          <w:trHeight w:val="432"/>
        </w:trPr>
        <w:tc>
          <w:tcPr>
            <w:tcW w:w="2020" w:type="dxa"/>
            <w:vAlign w:val="bottom"/>
          </w:tcPr>
          <w:p>
            <w:pPr>
              <w:ind w:left="80"/>
              <w:spacing w:after="0"/>
              <w:rPr>
                <w:sz w:val="20"/>
                <w:szCs w:val="20"/>
                <w:color w:val="auto"/>
              </w:rPr>
            </w:pPr>
            <w:r>
              <w:rPr>
                <w:rFonts w:ascii="Arial" w:cs="Arial" w:eastAsia="Arial" w:hAnsi="Arial"/>
                <w:sz w:val="22"/>
                <w:szCs w:val="22"/>
                <w:color w:val="auto"/>
              </w:rPr>
              <w:t>Debra L. Reed</w:t>
            </w:r>
          </w:p>
        </w:tc>
        <w:tc>
          <w:tcPr>
            <w:tcW w:w="1060" w:type="dxa"/>
            <w:vAlign w:val="bottom"/>
          </w:tcPr>
          <w:p>
            <w:pPr>
              <w:ind w:left="480"/>
              <w:spacing w:after="0"/>
              <w:rPr>
                <w:sz w:val="20"/>
                <w:szCs w:val="20"/>
                <w:color w:val="auto"/>
              </w:rPr>
            </w:pPr>
            <w:r>
              <w:rPr>
                <w:rFonts w:ascii="Arial" w:cs="Arial" w:eastAsia="Arial" w:hAnsi="Arial"/>
                <w:sz w:val="22"/>
                <w:szCs w:val="22"/>
                <w:color w:val="auto"/>
              </w:rPr>
              <w:t>49</w:t>
            </w:r>
          </w:p>
        </w:tc>
        <w:tc>
          <w:tcPr>
            <w:tcW w:w="5520" w:type="dxa"/>
            <w:vAlign w:val="bottom"/>
          </w:tcPr>
          <w:p>
            <w:pPr>
              <w:ind w:left="100"/>
              <w:spacing w:after="0"/>
              <w:rPr>
                <w:sz w:val="20"/>
                <w:szCs w:val="20"/>
                <w:color w:val="auto"/>
              </w:rPr>
            </w:pPr>
            <w:r>
              <w:rPr>
                <w:rFonts w:ascii="Arial" w:cs="Arial" w:eastAsia="Arial" w:hAnsi="Arial"/>
                <w:sz w:val="22"/>
                <w:szCs w:val="22"/>
                <w:color w:val="auto"/>
              </w:rPr>
              <w:t>President and Chief Operating Officer</w:t>
            </w:r>
          </w:p>
        </w:tc>
      </w:tr>
    </w:tbl>
    <w:p>
      <w:pPr>
        <w:sectPr>
          <w:pgSz w:w="11900" w:h="16838" w:orient="portrait"/>
          <w:cols w:equalWidth="0" w:num="1">
            <w:col w:w="11420"/>
          </w:cols>
          <w:pgMar w:left="240" w:top="76" w:right="239" w:bottom="0" w:gutter="0" w:footer="0" w:header="0"/>
        </w:sectPr>
      </w:pPr>
    </w:p>
    <w:bookmarkStart w:id="52" w:name="page53"/>
    <w:bookmarkEnd w:id="52"/>
    <w:p>
      <w:pPr>
        <w:spacing w:after="0" w:line="1" w:lineRule="exact"/>
        <w:rPr>
          <w:sz w:val="20"/>
          <w:szCs w:val="20"/>
          <w:color w:val="auto"/>
        </w:rPr>
      </w:pPr>
    </w:p>
    <w:tbl>
      <w:tblPr>
        <w:tblLayout w:type="fixed"/>
        <w:tblInd w:w="1500" w:type="dxa"/>
        <w:tblCellMar>
          <w:top w:w="0" w:type="dxa"/>
          <w:left w:w="0" w:type="dxa"/>
          <w:bottom w:w="0" w:type="dxa"/>
          <w:right w:w="0" w:type="dxa"/>
        </w:tblCellMar>
      </w:tblPr>
      <w:tr>
        <w:trPr>
          <w:trHeight w:val="253"/>
        </w:trPr>
        <w:tc>
          <w:tcPr>
            <w:tcW w:w="19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5180" w:type="dxa"/>
            <w:vAlign w:val="bottom"/>
          </w:tcPr>
          <w:p>
            <w:pPr>
              <w:ind w:left="220"/>
              <w:spacing w:after="0"/>
              <w:rPr>
                <w:sz w:val="20"/>
                <w:szCs w:val="20"/>
                <w:color w:val="auto"/>
              </w:rPr>
            </w:pPr>
            <w:r>
              <w:rPr>
                <w:rFonts w:ascii="Arial" w:cs="Arial" w:eastAsia="Arial" w:hAnsi="Arial"/>
                <w:sz w:val="22"/>
                <w:szCs w:val="22"/>
                <w:color w:val="auto"/>
              </w:rPr>
              <w:t>Senior Vice President, External Relations and</w:t>
            </w:r>
          </w:p>
        </w:tc>
      </w:tr>
      <w:tr>
        <w:trPr>
          <w:trHeight w:val="275"/>
        </w:trPr>
        <w:tc>
          <w:tcPr>
            <w:tcW w:w="1980" w:type="dxa"/>
            <w:vAlign w:val="bottom"/>
          </w:tcPr>
          <w:p>
            <w:pPr>
              <w:spacing w:after="0"/>
              <w:rPr>
                <w:sz w:val="20"/>
                <w:szCs w:val="20"/>
                <w:color w:val="auto"/>
              </w:rPr>
            </w:pPr>
            <w:r>
              <w:rPr>
                <w:rFonts w:ascii="Arial" w:cs="Arial" w:eastAsia="Arial" w:hAnsi="Arial"/>
                <w:sz w:val="22"/>
                <w:szCs w:val="22"/>
                <w:color w:val="auto"/>
              </w:rPr>
              <w:t>Steven D. Davis</w:t>
            </w:r>
          </w:p>
        </w:tc>
        <w:tc>
          <w:tcPr>
            <w:tcW w:w="900" w:type="dxa"/>
            <w:vAlign w:val="bottom"/>
          </w:tcPr>
          <w:p>
            <w:pPr>
              <w:jc w:val="right"/>
              <w:ind w:right="132"/>
              <w:spacing w:after="0"/>
              <w:rPr>
                <w:sz w:val="20"/>
                <w:szCs w:val="20"/>
                <w:color w:val="auto"/>
              </w:rPr>
            </w:pPr>
            <w:r>
              <w:rPr>
                <w:rFonts w:ascii="Arial" w:cs="Arial" w:eastAsia="Arial" w:hAnsi="Arial"/>
                <w:sz w:val="22"/>
                <w:szCs w:val="22"/>
                <w:color w:val="auto"/>
              </w:rPr>
              <w:t>50</w:t>
            </w:r>
          </w:p>
        </w:tc>
        <w:tc>
          <w:tcPr>
            <w:tcW w:w="5180" w:type="dxa"/>
            <w:vAlign w:val="bottom"/>
          </w:tcPr>
          <w:p>
            <w:pPr>
              <w:ind w:left="220"/>
              <w:spacing w:after="0"/>
              <w:rPr>
                <w:sz w:val="20"/>
                <w:szCs w:val="20"/>
                <w:color w:val="auto"/>
              </w:rPr>
            </w:pPr>
            <w:r>
              <w:rPr>
                <w:rFonts w:ascii="Arial" w:cs="Arial" w:eastAsia="Arial" w:hAnsi="Arial"/>
                <w:sz w:val="22"/>
                <w:szCs w:val="22"/>
                <w:color w:val="auto"/>
              </w:rPr>
              <w:t>Chief Financial Officer</w:t>
            </w:r>
          </w:p>
        </w:tc>
      </w:tr>
      <w:tr>
        <w:trPr>
          <w:trHeight w:val="432"/>
        </w:trPr>
        <w:tc>
          <w:tcPr>
            <w:tcW w:w="1980" w:type="dxa"/>
            <w:vAlign w:val="bottom"/>
          </w:tcPr>
          <w:p>
            <w:pPr>
              <w:spacing w:after="0"/>
              <w:rPr>
                <w:sz w:val="20"/>
                <w:szCs w:val="20"/>
                <w:color w:val="auto"/>
              </w:rPr>
            </w:pPr>
            <w:r>
              <w:rPr>
                <w:rFonts w:ascii="Arial" w:cs="Arial" w:eastAsia="Arial" w:hAnsi="Arial"/>
                <w:sz w:val="22"/>
                <w:szCs w:val="22"/>
                <w:color w:val="auto"/>
              </w:rPr>
              <w:t>William L. Reed</w:t>
            </w:r>
          </w:p>
        </w:tc>
        <w:tc>
          <w:tcPr>
            <w:tcW w:w="900" w:type="dxa"/>
            <w:vAlign w:val="bottom"/>
          </w:tcPr>
          <w:p>
            <w:pPr>
              <w:jc w:val="right"/>
              <w:ind w:right="132"/>
              <w:spacing w:after="0"/>
              <w:rPr>
                <w:sz w:val="20"/>
                <w:szCs w:val="20"/>
                <w:color w:val="auto"/>
              </w:rPr>
            </w:pPr>
            <w:r>
              <w:rPr>
                <w:rFonts w:ascii="Arial" w:cs="Arial" w:eastAsia="Arial" w:hAnsi="Arial"/>
                <w:sz w:val="22"/>
                <w:szCs w:val="22"/>
                <w:color w:val="auto"/>
              </w:rPr>
              <w:t>54</w:t>
            </w:r>
          </w:p>
        </w:tc>
        <w:tc>
          <w:tcPr>
            <w:tcW w:w="5180" w:type="dxa"/>
            <w:vAlign w:val="bottom"/>
          </w:tcPr>
          <w:p>
            <w:pPr>
              <w:ind w:left="220"/>
              <w:spacing w:after="0"/>
              <w:rPr>
                <w:sz w:val="20"/>
                <w:szCs w:val="20"/>
                <w:color w:val="auto"/>
              </w:rPr>
            </w:pPr>
            <w:r>
              <w:rPr>
                <w:rFonts w:ascii="Arial" w:cs="Arial" w:eastAsia="Arial" w:hAnsi="Arial"/>
                <w:sz w:val="22"/>
                <w:szCs w:val="22"/>
                <w:color w:val="auto"/>
                <w:w w:val="88"/>
              </w:rPr>
              <w:t>Senior Vice President, Regulatory and Strategic Planning</w:t>
            </w:r>
          </w:p>
        </w:tc>
      </w:tr>
      <w:tr>
        <w:trPr>
          <w:trHeight w:val="432"/>
        </w:trPr>
        <w:tc>
          <w:tcPr>
            <w:tcW w:w="1980" w:type="dxa"/>
            <w:vAlign w:val="bottom"/>
          </w:tcPr>
          <w:p>
            <w:pPr>
              <w:spacing w:after="0"/>
              <w:rPr>
                <w:sz w:val="20"/>
                <w:szCs w:val="20"/>
                <w:color w:val="auto"/>
              </w:rPr>
            </w:pPr>
            <w:r>
              <w:rPr>
                <w:rFonts w:ascii="Arial" w:cs="Arial" w:eastAsia="Arial" w:hAnsi="Arial"/>
                <w:sz w:val="22"/>
                <w:szCs w:val="22"/>
                <w:color w:val="auto"/>
              </w:rPr>
              <w:t>Anne S. Smith</w:t>
            </w:r>
          </w:p>
        </w:tc>
        <w:tc>
          <w:tcPr>
            <w:tcW w:w="900" w:type="dxa"/>
            <w:vAlign w:val="bottom"/>
          </w:tcPr>
          <w:p>
            <w:pPr>
              <w:jc w:val="right"/>
              <w:ind w:right="132"/>
              <w:spacing w:after="0"/>
              <w:rPr>
                <w:sz w:val="20"/>
                <w:szCs w:val="20"/>
                <w:color w:val="auto"/>
              </w:rPr>
            </w:pPr>
            <w:r>
              <w:rPr>
                <w:rFonts w:ascii="Arial" w:cs="Arial" w:eastAsia="Arial" w:hAnsi="Arial"/>
                <w:sz w:val="22"/>
                <w:szCs w:val="22"/>
                <w:color w:val="auto"/>
              </w:rPr>
              <w:t>52</w:t>
            </w:r>
          </w:p>
        </w:tc>
        <w:tc>
          <w:tcPr>
            <w:tcW w:w="5180" w:type="dxa"/>
            <w:vAlign w:val="bottom"/>
          </w:tcPr>
          <w:p>
            <w:pPr>
              <w:ind w:left="220"/>
              <w:spacing w:after="0"/>
              <w:rPr>
                <w:sz w:val="20"/>
                <w:szCs w:val="20"/>
                <w:color w:val="auto"/>
              </w:rPr>
            </w:pPr>
            <w:r>
              <w:rPr>
                <w:rFonts w:ascii="Arial" w:cs="Arial" w:eastAsia="Arial" w:hAnsi="Arial"/>
                <w:sz w:val="22"/>
                <w:szCs w:val="22"/>
                <w:color w:val="auto"/>
              </w:rPr>
              <w:t>Senior Vice President, Customer Service</w:t>
            </w:r>
          </w:p>
        </w:tc>
      </w:tr>
      <w:tr>
        <w:trPr>
          <w:trHeight w:val="432"/>
        </w:trPr>
        <w:tc>
          <w:tcPr>
            <w:tcW w:w="1980" w:type="dxa"/>
            <w:vAlign w:val="bottom"/>
          </w:tcPr>
          <w:p>
            <w:pPr>
              <w:spacing w:after="0"/>
              <w:rPr>
                <w:sz w:val="20"/>
                <w:szCs w:val="20"/>
                <w:color w:val="auto"/>
              </w:rPr>
            </w:pPr>
            <w:r>
              <w:rPr>
                <w:rFonts w:ascii="Arial" w:cs="Arial" w:eastAsia="Arial" w:hAnsi="Arial"/>
                <w:sz w:val="22"/>
                <w:szCs w:val="22"/>
                <w:color w:val="auto"/>
              </w:rPr>
              <w:t>Lee M. Stewart</w:t>
            </w:r>
          </w:p>
        </w:tc>
        <w:tc>
          <w:tcPr>
            <w:tcW w:w="900" w:type="dxa"/>
            <w:vAlign w:val="bottom"/>
          </w:tcPr>
          <w:p>
            <w:pPr>
              <w:jc w:val="right"/>
              <w:ind w:right="132"/>
              <w:spacing w:after="0"/>
              <w:rPr>
                <w:sz w:val="20"/>
                <w:szCs w:val="20"/>
                <w:color w:val="auto"/>
              </w:rPr>
            </w:pPr>
            <w:r>
              <w:rPr>
                <w:rFonts w:ascii="Arial" w:cs="Arial" w:eastAsia="Arial" w:hAnsi="Arial"/>
                <w:sz w:val="22"/>
                <w:szCs w:val="22"/>
                <w:color w:val="auto"/>
              </w:rPr>
              <w:t>60</w:t>
            </w:r>
          </w:p>
        </w:tc>
        <w:tc>
          <w:tcPr>
            <w:tcW w:w="5180" w:type="dxa"/>
            <w:vAlign w:val="bottom"/>
          </w:tcPr>
          <w:p>
            <w:pPr>
              <w:ind w:left="220"/>
              <w:spacing w:after="0"/>
              <w:rPr>
                <w:sz w:val="20"/>
                <w:szCs w:val="20"/>
                <w:color w:val="auto"/>
              </w:rPr>
            </w:pPr>
            <w:r>
              <w:rPr>
                <w:rFonts w:ascii="Arial" w:cs="Arial" w:eastAsia="Arial" w:hAnsi="Arial"/>
                <w:sz w:val="22"/>
                <w:szCs w:val="22"/>
                <w:color w:val="auto"/>
              </w:rPr>
              <w:t>Senior Vice President, Gas Operations</w:t>
            </w:r>
          </w:p>
        </w:tc>
      </w:tr>
      <w:tr>
        <w:trPr>
          <w:trHeight w:val="432"/>
        </w:trPr>
        <w:tc>
          <w:tcPr>
            <w:tcW w:w="1980" w:type="dxa"/>
            <w:vAlign w:val="bottom"/>
          </w:tcPr>
          <w:p>
            <w:pPr>
              <w:spacing w:after="0"/>
              <w:rPr>
                <w:sz w:val="20"/>
                <w:szCs w:val="20"/>
                <w:color w:val="auto"/>
              </w:rPr>
            </w:pPr>
            <w:r>
              <w:rPr>
                <w:rFonts w:ascii="Arial" w:cs="Arial" w:eastAsia="Arial" w:hAnsi="Arial"/>
                <w:sz w:val="22"/>
                <w:szCs w:val="22"/>
                <w:color w:val="auto"/>
              </w:rPr>
              <w:t>Robert M. Schlax</w:t>
            </w:r>
          </w:p>
        </w:tc>
        <w:tc>
          <w:tcPr>
            <w:tcW w:w="900" w:type="dxa"/>
            <w:vAlign w:val="bottom"/>
          </w:tcPr>
          <w:p>
            <w:pPr>
              <w:jc w:val="right"/>
              <w:ind w:right="132"/>
              <w:spacing w:after="0"/>
              <w:rPr>
                <w:sz w:val="20"/>
                <w:szCs w:val="20"/>
                <w:color w:val="auto"/>
              </w:rPr>
            </w:pPr>
            <w:r>
              <w:rPr>
                <w:rFonts w:ascii="Arial" w:cs="Arial" w:eastAsia="Arial" w:hAnsi="Arial"/>
                <w:sz w:val="22"/>
                <w:szCs w:val="22"/>
                <w:color w:val="auto"/>
              </w:rPr>
              <w:t>50</w:t>
            </w:r>
          </w:p>
        </w:tc>
        <w:tc>
          <w:tcPr>
            <w:tcW w:w="5180" w:type="dxa"/>
            <w:vAlign w:val="bottom"/>
          </w:tcPr>
          <w:p>
            <w:pPr>
              <w:ind w:left="220"/>
              <w:spacing w:after="0"/>
              <w:rPr>
                <w:sz w:val="20"/>
                <w:szCs w:val="20"/>
                <w:color w:val="auto"/>
              </w:rPr>
            </w:pPr>
            <w:r>
              <w:rPr>
                <w:rFonts w:ascii="Arial" w:cs="Arial" w:eastAsia="Arial" w:hAnsi="Arial"/>
                <w:sz w:val="22"/>
                <w:szCs w:val="22"/>
                <w:color w:val="auto"/>
                <w:w w:val="92"/>
              </w:rPr>
              <w:t>Vice President, Controller and Chief Accounting Officer</w:t>
            </w:r>
          </w:p>
        </w:tc>
      </w:tr>
    </w:tbl>
    <w:p>
      <w:pPr>
        <w:spacing w:after="0" w:line="279" w:lineRule="exact"/>
        <w:rPr>
          <w:sz w:val="20"/>
          <w:szCs w:val="20"/>
          <w:color w:val="auto"/>
        </w:rPr>
      </w:pPr>
    </w:p>
    <w:p>
      <w:pPr>
        <w:spacing w:after="0"/>
        <w:rPr>
          <w:sz w:val="20"/>
          <w:szCs w:val="20"/>
          <w:color w:val="auto"/>
        </w:rPr>
      </w:pPr>
      <w:r>
        <w:rPr>
          <w:rFonts w:ascii="Arial" w:cs="Arial" w:eastAsia="Arial" w:hAnsi="Arial"/>
          <w:sz w:val="22"/>
          <w:szCs w:val="22"/>
          <w:color w:val="auto"/>
        </w:rPr>
        <w:t>* As of February 22, 2006.</w:t>
      </w:r>
    </w:p>
    <w:p>
      <w:pPr>
        <w:spacing w:after="0" w:line="206" w:lineRule="exact"/>
        <w:rPr>
          <w:sz w:val="20"/>
          <w:szCs w:val="20"/>
          <w:color w:val="auto"/>
        </w:rPr>
      </w:pPr>
    </w:p>
    <w:p>
      <w:pPr>
        <w:spacing w:after="0" w:line="238" w:lineRule="auto"/>
        <w:rPr>
          <w:sz w:val="20"/>
          <w:szCs w:val="20"/>
          <w:color w:val="auto"/>
        </w:rPr>
      </w:pPr>
      <w:r>
        <w:rPr>
          <w:rFonts w:ascii="Arial" w:cs="Arial" w:eastAsia="Arial" w:hAnsi="Arial"/>
          <w:sz w:val="22"/>
          <w:szCs w:val="22"/>
          <w:color w:val="auto"/>
        </w:rPr>
        <w:t>Except for Mr. Schlax, each executive officer has been an officer or employee of Sempra Energy or one of its subsidiaries for more than five years. Prior to joining the company in 2005, Mr. Schlax was Chief Financial Officer, Treasurer and Vice President of Finance of Mercury Air Group, Inc. Except for Mr. Avery, each executive officer of San Diego Gas &amp; Electric Company holds the same position at Southern California Gas Company.</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11. EXECUTIVE COMPENSATION</w:t>
      </w:r>
    </w:p>
    <w:p>
      <w:pPr>
        <w:spacing w:after="0" w:line="212" w:lineRule="exact"/>
        <w:rPr>
          <w:sz w:val="20"/>
          <w:szCs w:val="20"/>
          <w:color w:val="auto"/>
        </w:rPr>
      </w:pPr>
    </w:p>
    <w:p>
      <w:pPr>
        <w:ind w:right="200"/>
        <w:spacing w:after="0" w:line="251" w:lineRule="auto"/>
        <w:rPr>
          <w:sz w:val="20"/>
          <w:szCs w:val="20"/>
          <w:color w:val="auto"/>
        </w:rPr>
      </w:pPr>
      <w:r>
        <w:rPr>
          <w:rFonts w:ascii="Arial" w:cs="Arial" w:eastAsia="Arial" w:hAnsi="Arial"/>
          <w:sz w:val="22"/>
          <w:szCs w:val="22"/>
          <w:color w:val="auto"/>
        </w:rPr>
        <w:t>The information required by Item 11 is incorporated by reference from "Election of Directors" and "Executive Compensation" in the Information Statement prepared for the May 2006 annual meeting of shareholders.</w:t>
      </w:r>
    </w:p>
    <w:p>
      <w:pPr>
        <w:spacing w:after="0" w:line="167" w:lineRule="exact"/>
        <w:rPr>
          <w:sz w:val="20"/>
          <w:szCs w:val="20"/>
          <w:color w:val="auto"/>
        </w:rPr>
      </w:pPr>
    </w:p>
    <w:p>
      <w:pPr>
        <w:ind w:right="260"/>
        <w:spacing w:after="0" w:line="256" w:lineRule="auto"/>
        <w:rPr>
          <w:sz w:val="20"/>
          <w:szCs w:val="20"/>
          <w:color w:val="auto"/>
        </w:rPr>
      </w:pPr>
      <w:r>
        <w:rPr>
          <w:rFonts w:ascii="Arial" w:cs="Arial" w:eastAsia="Arial" w:hAnsi="Arial"/>
          <w:sz w:val="22"/>
          <w:szCs w:val="22"/>
          <w:b w:val="1"/>
          <w:bCs w:val="1"/>
          <w:color w:val="auto"/>
        </w:rPr>
        <w:t>ITEM 12. SECURITY OWNERSHIP OF CERTAIN BENEFICIAL OWNERS AND MANAGEMENT AND RELATED STOCKHOLDER MATTERS</w:t>
      </w:r>
    </w:p>
    <w:p>
      <w:pPr>
        <w:spacing w:after="0" w:line="16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Security Ownership of Certain Beneficial Owners</w:t>
      </w:r>
    </w:p>
    <w:p>
      <w:pPr>
        <w:spacing w:after="0" w:line="212" w:lineRule="exact"/>
        <w:rPr>
          <w:sz w:val="20"/>
          <w:szCs w:val="20"/>
          <w:color w:val="auto"/>
        </w:rPr>
      </w:pPr>
    </w:p>
    <w:p>
      <w:pPr>
        <w:ind w:right="160"/>
        <w:spacing w:after="0" w:line="251" w:lineRule="auto"/>
        <w:rPr>
          <w:sz w:val="20"/>
          <w:szCs w:val="20"/>
          <w:color w:val="auto"/>
        </w:rPr>
      </w:pPr>
      <w:r>
        <w:rPr>
          <w:rFonts w:ascii="Arial" w:cs="Arial" w:eastAsia="Arial" w:hAnsi="Arial"/>
          <w:sz w:val="22"/>
          <w:szCs w:val="22"/>
          <w:color w:val="auto"/>
        </w:rPr>
        <w:t>The security ownership information required by Item 12 is incorporated by reference from "Share Ownership" in the Information Statement prepared for the May 2006 annual meeting of shareholders.</w:t>
      </w:r>
    </w:p>
    <w:p>
      <w:pPr>
        <w:spacing w:after="0" w:line="16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13. CERTAIN RELATIONSHIPS AND RELATED TRANSACTIONS</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color w:val="auto"/>
        </w:rPr>
        <w:t>None.</w:t>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14. PRINCIPAL ACCOUNTANT FEES AND SERVICES</w:t>
      </w:r>
    </w:p>
    <w:p>
      <w:pPr>
        <w:spacing w:after="0" w:line="212" w:lineRule="exact"/>
        <w:rPr>
          <w:sz w:val="20"/>
          <w:szCs w:val="20"/>
          <w:color w:val="auto"/>
        </w:rPr>
      </w:pPr>
    </w:p>
    <w:p>
      <w:pPr>
        <w:spacing w:after="0"/>
        <w:rPr>
          <w:sz w:val="20"/>
          <w:szCs w:val="20"/>
          <w:color w:val="auto"/>
        </w:rPr>
      </w:pPr>
      <w:r>
        <w:rPr>
          <w:rFonts w:ascii="Arial" w:cs="Arial" w:eastAsia="Arial" w:hAnsi="Arial"/>
          <w:sz w:val="19"/>
          <w:szCs w:val="19"/>
          <w:color w:val="auto"/>
        </w:rPr>
        <w:t>Information regarding principal accountant fees and services as required by Item 14 is incorporated by reference from "Proposal 3:</w:t>
      </w:r>
    </w:p>
    <w:p>
      <w:pPr>
        <w:spacing w:after="0" w:line="43" w:lineRule="exact"/>
        <w:rPr>
          <w:sz w:val="20"/>
          <w:szCs w:val="20"/>
          <w:color w:val="auto"/>
        </w:rPr>
      </w:pPr>
    </w:p>
    <w:p>
      <w:pPr>
        <w:spacing w:after="0"/>
        <w:rPr>
          <w:sz w:val="20"/>
          <w:szCs w:val="20"/>
          <w:color w:val="auto"/>
        </w:rPr>
      </w:pPr>
      <w:r>
        <w:rPr>
          <w:rFonts w:ascii="Arial" w:cs="Arial" w:eastAsia="Arial" w:hAnsi="Arial"/>
          <w:sz w:val="19"/>
          <w:szCs w:val="19"/>
          <w:color w:val="auto"/>
        </w:rPr>
        <w:t>Ratification of Independent Auditors" in the Information Statement prepared for the May 2006 annual meeting of shareholders.</w:t>
      </w:r>
    </w:p>
    <w:p>
      <w:pPr>
        <w:spacing w:after="0" w:line="217" w:lineRule="exact"/>
        <w:rPr>
          <w:sz w:val="20"/>
          <w:szCs w:val="20"/>
          <w:color w:val="auto"/>
        </w:rPr>
      </w:pPr>
    </w:p>
    <w:p>
      <w:pPr>
        <w:ind w:left="5280"/>
        <w:spacing w:after="0"/>
        <w:rPr>
          <w:sz w:val="20"/>
          <w:szCs w:val="20"/>
          <w:color w:val="auto"/>
        </w:rPr>
      </w:pPr>
      <w:r>
        <w:rPr>
          <w:rFonts w:ascii="Arial" w:cs="Arial" w:eastAsia="Arial" w:hAnsi="Arial"/>
          <w:sz w:val="22"/>
          <w:szCs w:val="22"/>
          <w:b w:val="1"/>
          <w:bCs w:val="1"/>
          <w:color w:val="auto"/>
        </w:rPr>
        <w:t>PART IV</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15. EXHIBITS, FINANCIAL STATEMENT SCHEDULES AND REPORTS ON</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FORM 8-K</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color w:val="auto"/>
        </w:rPr>
        <w:t>(a) The following documents are filed as part of this report:</w:t>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1.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ind w:left="5980"/>
        <w:spacing w:after="0"/>
        <w:rPr>
          <w:sz w:val="20"/>
          <w:szCs w:val="20"/>
          <w:color w:val="auto"/>
        </w:rPr>
      </w:pPr>
      <w:r>
        <w:rPr>
          <w:rFonts w:ascii="Arial" w:cs="Arial" w:eastAsia="Arial" w:hAnsi="Arial"/>
          <w:sz w:val="22"/>
          <w:szCs w:val="22"/>
          <w:b w:val="1"/>
          <w:bCs w:val="1"/>
          <w:color w:val="auto"/>
        </w:rPr>
        <w:t>Page in</w:t>
      </w:r>
    </w:p>
    <w:p>
      <w:pPr>
        <w:spacing w:after="0" w:line="14" w:lineRule="exact"/>
        <w:rPr>
          <w:sz w:val="20"/>
          <w:szCs w:val="20"/>
          <w:color w:val="auto"/>
        </w:rPr>
      </w:pPr>
    </w:p>
    <w:p>
      <w:pPr>
        <w:jc w:val="center"/>
        <w:ind w:left="5980"/>
        <w:spacing w:after="0"/>
        <w:rPr>
          <w:sz w:val="20"/>
          <w:szCs w:val="20"/>
          <w:color w:val="auto"/>
        </w:rPr>
      </w:pPr>
      <w:r>
        <w:rPr>
          <w:rFonts w:ascii="Arial" w:cs="Arial" w:eastAsia="Arial" w:hAnsi="Arial"/>
          <w:sz w:val="22"/>
          <w:szCs w:val="22"/>
          <w:b w:val="1"/>
          <w:bCs w:val="1"/>
          <w:color w:val="auto"/>
        </w:rPr>
        <w:t>This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4961890</wp:posOffset>
            </wp:positionH>
            <wp:positionV relativeFrom="paragraph">
              <wp:posOffset>55880</wp:posOffset>
            </wp:positionV>
            <wp:extent cx="1123315" cy="25717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123315" cy="2571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tbl>
      <w:tblPr>
        <w:tblLayout w:type="fixed"/>
        <w:tblInd w:w="1940" w:type="dxa"/>
        <w:tblCellMar>
          <w:top w:w="0" w:type="dxa"/>
          <w:left w:w="0" w:type="dxa"/>
          <w:bottom w:w="0" w:type="dxa"/>
          <w:right w:w="0" w:type="dxa"/>
        </w:tblCellMar>
      </w:tblPr>
      <w:tr>
        <w:trPr>
          <w:trHeight w:val="253"/>
        </w:trPr>
        <w:tc>
          <w:tcPr>
            <w:tcW w:w="5900" w:type="dxa"/>
            <w:vAlign w:val="bottom"/>
          </w:tcPr>
          <w:p>
            <w:pPr>
              <w:spacing w:after="0"/>
              <w:rPr>
                <w:sz w:val="20"/>
                <w:szCs w:val="20"/>
                <w:color w:val="auto"/>
              </w:rPr>
            </w:pPr>
            <w:r>
              <w:rPr>
                <w:rFonts w:ascii="Arial" w:cs="Arial" w:eastAsia="Arial" w:hAnsi="Arial"/>
                <w:sz w:val="22"/>
                <w:szCs w:val="22"/>
                <w:color w:val="auto"/>
              </w:rPr>
              <w:t>Management's Report on Internal Control over Financial</w:t>
            </w:r>
          </w:p>
        </w:tc>
        <w:tc>
          <w:tcPr>
            <w:tcW w:w="960" w:type="dxa"/>
            <w:vAlign w:val="bottom"/>
          </w:tcPr>
          <w:p>
            <w:pPr>
              <w:spacing w:after="0"/>
              <w:rPr>
                <w:sz w:val="21"/>
                <w:szCs w:val="21"/>
                <w:color w:val="auto"/>
              </w:rPr>
            </w:pPr>
          </w:p>
        </w:tc>
      </w:tr>
      <w:tr>
        <w:trPr>
          <w:trHeight w:val="275"/>
        </w:trPr>
        <w:tc>
          <w:tcPr>
            <w:tcW w:w="5900" w:type="dxa"/>
            <w:vAlign w:val="bottom"/>
          </w:tcPr>
          <w:p>
            <w:pPr>
              <w:spacing w:after="0"/>
              <w:rPr>
                <w:sz w:val="20"/>
                <w:szCs w:val="20"/>
                <w:color w:val="auto"/>
              </w:rPr>
            </w:pPr>
            <w:r>
              <w:rPr>
                <w:rFonts w:ascii="Arial" w:cs="Arial" w:eastAsia="Arial" w:hAnsi="Arial"/>
                <w:sz w:val="22"/>
                <w:szCs w:val="22"/>
                <w:color w:val="auto"/>
              </w:rPr>
              <w:t>Reporting</w:t>
            </w:r>
          </w:p>
        </w:tc>
        <w:tc>
          <w:tcPr>
            <w:tcW w:w="960" w:type="dxa"/>
            <w:vAlign w:val="bottom"/>
          </w:tcPr>
          <w:p>
            <w:pPr>
              <w:jc w:val="right"/>
              <w:spacing w:after="0"/>
              <w:rPr>
                <w:sz w:val="20"/>
                <w:szCs w:val="20"/>
                <w:color w:val="auto"/>
              </w:rPr>
            </w:pPr>
            <w:r>
              <w:rPr>
                <w:rFonts w:ascii="Arial" w:cs="Arial" w:eastAsia="Arial" w:hAnsi="Arial"/>
                <w:sz w:val="22"/>
                <w:szCs w:val="22"/>
                <w:color w:val="auto"/>
              </w:rPr>
              <w:t>30</w:t>
            </w:r>
          </w:p>
        </w:tc>
      </w:tr>
      <w:tr>
        <w:trPr>
          <w:trHeight w:val="837"/>
        </w:trPr>
        <w:tc>
          <w:tcPr>
            <w:tcW w:w="5900" w:type="dxa"/>
            <w:vAlign w:val="bottom"/>
          </w:tcPr>
          <w:p>
            <w:pPr>
              <w:spacing w:after="0"/>
              <w:rPr>
                <w:sz w:val="20"/>
                <w:szCs w:val="20"/>
                <w:color w:val="auto"/>
              </w:rPr>
            </w:pPr>
            <w:r>
              <w:rPr>
                <w:rFonts w:ascii="Arial" w:cs="Arial" w:eastAsia="Arial" w:hAnsi="Arial"/>
                <w:sz w:val="22"/>
                <w:szCs w:val="22"/>
                <w:color w:val="auto"/>
              </w:rPr>
              <w:t>Reports of Independent Registered Public Accounting Firm</w:t>
            </w:r>
          </w:p>
        </w:tc>
        <w:tc>
          <w:tcPr>
            <w:tcW w:w="960" w:type="dxa"/>
            <w:vAlign w:val="bottom"/>
          </w:tcPr>
          <w:p>
            <w:pPr>
              <w:jc w:val="right"/>
              <w:spacing w:after="0"/>
              <w:rPr>
                <w:sz w:val="20"/>
                <w:szCs w:val="20"/>
                <w:color w:val="auto"/>
              </w:rPr>
            </w:pPr>
            <w:r>
              <w:rPr>
                <w:rFonts w:ascii="Arial" w:cs="Arial" w:eastAsia="Arial" w:hAnsi="Arial"/>
                <w:sz w:val="22"/>
                <w:szCs w:val="22"/>
                <w:color w:val="auto"/>
              </w:rPr>
              <w:t>31</w:t>
            </w:r>
          </w:p>
        </w:tc>
      </w:tr>
    </w:tbl>
    <w:p>
      <w:pPr>
        <w:spacing w:after="0" w:line="200" w:lineRule="exact"/>
        <w:rPr>
          <w:sz w:val="20"/>
          <w:szCs w:val="20"/>
          <w:color w:val="auto"/>
        </w:rPr>
      </w:pPr>
    </w:p>
    <w:p>
      <w:pPr>
        <w:sectPr>
          <w:pgSz w:w="11900" w:h="16838" w:orient="portrait"/>
          <w:cols w:equalWidth="0" w:num="1">
            <w:col w:w="11340"/>
          </w:cols>
          <w:pgMar w:left="240" w:top="540" w:right="319" w:bottom="0" w:gutter="0" w:footer="0" w:header="0"/>
        </w:sectPr>
      </w:pPr>
    </w:p>
    <w:p>
      <w:pPr>
        <w:spacing w:after="0" w:line="363" w:lineRule="exact"/>
        <w:rPr>
          <w:sz w:val="20"/>
          <w:szCs w:val="20"/>
          <w:color w:val="auto"/>
        </w:rPr>
      </w:pPr>
    </w:p>
    <w:p>
      <w:pPr>
        <w:ind w:left="8600"/>
        <w:spacing w:after="0"/>
        <w:rPr>
          <w:sz w:val="20"/>
          <w:szCs w:val="20"/>
          <w:color w:val="auto"/>
        </w:rPr>
      </w:pPr>
      <w:r>
        <w:rPr>
          <w:rFonts w:ascii="Arial" w:cs="Arial" w:eastAsia="Arial" w:hAnsi="Arial"/>
          <w:sz w:val="17"/>
          <w:szCs w:val="17"/>
          <w:color w:val="auto"/>
        </w:rPr>
        <w:t>34</w:t>
      </w:r>
    </w:p>
    <w:p>
      <w:pPr>
        <w:sectPr>
          <w:pgSz w:w="11900" w:h="16838" w:orient="portrait"/>
          <w:cols w:equalWidth="0" w:num="1">
            <w:col w:w="11340"/>
          </w:cols>
          <w:pgMar w:left="240" w:top="540" w:right="319" w:bottom="0" w:gutter="0" w:footer="0" w:header="0"/>
          <w:type w:val="continuous"/>
        </w:sectPr>
      </w:pPr>
    </w:p>
    <w:bookmarkStart w:id="53" w:name="page54"/>
    <w:bookmarkEnd w:id="53"/>
    <w:p>
      <w:pPr>
        <w:ind w:left="1940" w:right="3700"/>
        <w:spacing w:after="0" w:line="251" w:lineRule="auto"/>
        <w:rPr>
          <w:sz w:val="20"/>
          <w:szCs w:val="20"/>
          <w:color w:val="auto"/>
        </w:rPr>
      </w:pPr>
      <w:r>
        <w:rPr>
          <w:rFonts w:ascii="Arial" w:cs="Arial" w:eastAsia="Arial" w:hAnsi="Arial"/>
          <w:sz w:val="22"/>
          <w:szCs w:val="22"/>
          <w:color w:val="auto"/>
        </w:rPr>
        <w:t>Statements of Consolidated Income for the years ended December 31, 2005, 2004 and 2003</w:t>
      </w:r>
    </w:p>
    <w:p>
      <w:pPr>
        <w:spacing w:after="0" w:line="200" w:lineRule="exact"/>
        <w:rPr>
          <w:sz w:val="20"/>
          <w:szCs w:val="20"/>
          <w:color w:val="auto"/>
        </w:rPr>
      </w:pPr>
    </w:p>
    <w:p>
      <w:pPr>
        <w:spacing w:after="0" w:line="352" w:lineRule="exact"/>
        <w:rPr>
          <w:sz w:val="20"/>
          <w:szCs w:val="20"/>
          <w:color w:val="auto"/>
        </w:rPr>
      </w:pPr>
    </w:p>
    <w:tbl>
      <w:tblPr>
        <w:tblLayout w:type="fixed"/>
        <w:tblInd w:w="1940" w:type="dxa"/>
        <w:tblCellMar>
          <w:top w:w="0" w:type="dxa"/>
          <w:left w:w="0" w:type="dxa"/>
          <w:bottom w:w="0" w:type="dxa"/>
          <w:right w:w="0" w:type="dxa"/>
        </w:tblCellMar>
      </w:tblPr>
      <w:tr>
        <w:trPr>
          <w:trHeight w:val="275"/>
        </w:trPr>
        <w:tc>
          <w:tcPr>
            <w:tcW w:w="6100" w:type="dxa"/>
            <w:vAlign w:val="bottom"/>
          </w:tcPr>
          <w:p>
            <w:pPr>
              <w:spacing w:after="0"/>
              <w:rPr>
                <w:sz w:val="20"/>
                <w:szCs w:val="20"/>
                <w:color w:val="auto"/>
              </w:rPr>
            </w:pPr>
            <w:r>
              <w:rPr>
                <w:rFonts w:ascii="Arial" w:cs="Arial" w:eastAsia="Arial" w:hAnsi="Arial"/>
                <w:sz w:val="22"/>
                <w:szCs w:val="22"/>
                <w:color w:val="auto"/>
                <w:w w:val="99"/>
              </w:rPr>
              <w:t>Consolidated Balance Sheets at December 31, 2005 and 2004</w:t>
            </w:r>
          </w:p>
        </w:tc>
        <w:tc>
          <w:tcPr>
            <w:tcW w:w="760" w:type="dxa"/>
            <w:vAlign w:val="bottom"/>
          </w:tcPr>
          <w:p>
            <w:pPr>
              <w:jc w:val="right"/>
              <w:spacing w:after="0"/>
              <w:rPr>
                <w:sz w:val="20"/>
                <w:szCs w:val="20"/>
                <w:color w:val="auto"/>
              </w:rPr>
            </w:pPr>
            <w:r>
              <w:rPr>
                <w:rFonts w:ascii="Arial" w:cs="Arial" w:eastAsia="Arial" w:hAnsi="Arial"/>
                <w:sz w:val="22"/>
                <w:szCs w:val="22"/>
                <w:color w:val="auto"/>
              </w:rPr>
              <w:t>35</w:t>
            </w:r>
          </w:p>
        </w:tc>
      </w:tr>
      <w:tr>
        <w:trPr>
          <w:trHeight w:val="806"/>
        </w:trPr>
        <w:tc>
          <w:tcPr>
            <w:tcW w:w="6100" w:type="dxa"/>
            <w:vAlign w:val="bottom"/>
          </w:tcPr>
          <w:p>
            <w:pPr>
              <w:spacing w:after="0"/>
              <w:rPr>
                <w:sz w:val="20"/>
                <w:szCs w:val="20"/>
                <w:color w:val="auto"/>
              </w:rPr>
            </w:pPr>
            <w:r>
              <w:rPr>
                <w:rFonts w:ascii="Arial" w:cs="Arial" w:eastAsia="Arial" w:hAnsi="Arial"/>
                <w:sz w:val="22"/>
                <w:szCs w:val="22"/>
                <w:color w:val="auto"/>
              </w:rPr>
              <w:t>Statements of Consolidated Cash Flows for the years ended</w:t>
            </w:r>
          </w:p>
        </w:tc>
        <w:tc>
          <w:tcPr>
            <w:tcW w:w="760" w:type="dxa"/>
            <w:vAlign w:val="bottom"/>
          </w:tcPr>
          <w:p>
            <w:pPr>
              <w:spacing w:after="0"/>
              <w:rPr>
                <w:sz w:val="24"/>
                <w:szCs w:val="24"/>
                <w:color w:val="auto"/>
              </w:rPr>
            </w:pPr>
          </w:p>
        </w:tc>
      </w:tr>
      <w:tr>
        <w:trPr>
          <w:trHeight w:val="275"/>
        </w:trPr>
        <w:tc>
          <w:tcPr>
            <w:tcW w:w="6100" w:type="dxa"/>
            <w:vAlign w:val="bottom"/>
          </w:tcPr>
          <w:p>
            <w:pPr>
              <w:spacing w:after="0"/>
              <w:rPr>
                <w:sz w:val="20"/>
                <w:szCs w:val="20"/>
                <w:color w:val="auto"/>
              </w:rPr>
            </w:pPr>
            <w:r>
              <w:rPr>
                <w:rFonts w:ascii="Arial" w:cs="Arial" w:eastAsia="Arial" w:hAnsi="Arial"/>
                <w:sz w:val="22"/>
                <w:szCs w:val="22"/>
                <w:color w:val="auto"/>
              </w:rPr>
              <w:t>December 31, 2005, 2004 and 2003</w:t>
            </w:r>
          </w:p>
        </w:tc>
        <w:tc>
          <w:tcPr>
            <w:tcW w:w="760" w:type="dxa"/>
            <w:vAlign w:val="bottom"/>
          </w:tcPr>
          <w:p>
            <w:pPr>
              <w:jc w:val="right"/>
              <w:spacing w:after="0"/>
              <w:rPr>
                <w:sz w:val="20"/>
                <w:szCs w:val="20"/>
                <w:color w:val="auto"/>
              </w:rPr>
            </w:pPr>
            <w:r>
              <w:rPr>
                <w:rFonts w:ascii="Arial" w:cs="Arial" w:eastAsia="Arial" w:hAnsi="Arial"/>
                <w:sz w:val="22"/>
                <w:szCs w:val="22"/>
                <w:color w:val="auto"/>
              </w:rPr>
              <w:t>37</w:t>
            </w:r>
          </w:p>
        </w:tc>
      </w:tr>
      <w:tr>
        <w:trPr>
          <w:trHeight w:val="806"/>
        </w:trPr>
        <w:tc>
          <w:tcPr>
            <w:tcW w:w="6100" w:type="dxa"/>
            <w:vAlign w:val="bottom"/>
          </w:tcPr>
          <w:p>
            <w:pPr>
              <w:spacing w:after="0"/>
              <w:rPr>
                <w:sz w:val="20"/>
                <w:szCs w:val="20"/>
                <w:color w:val="auto"/>
              </w:rPr>
            </w:pPr>
            <w:r>
              <w:rPr>
                <w:rFonts w:ascii="Arial" w:cs="Arial" w:eastAsia="Arial" w:hAnsi="Arial"/>
                <w:sz w:val="22"/>
                <w:szCs w:val="22"/>
                <w:color w:val="auto"/>
                <w:w w:val="96"/>
              </w:rPr>
              <w:t>Statements of Consolidated Changes in Shareholders' Equity for</w:t>
            </w:r>
          </w:p>
        </w:tc>
        <w:tc>
          <w:tcPr>
            <w:tcW w:w="760" w:type="dxa"/>
            <w:vAlign w:val="bottom"/>
          </w:tcPr>
          <w:p>
            <w:pPr>
              <w:spacing w:after="0"/>
              <w:rPr>
                <w:sz w:val="24"/>
                <w:szCs w:val="24"/>
                <w:color w:val="auto"/>
              </w:rPr>
            </w:pPr>
          </w:p>
        </w:tc>
      </w:tr>
      <w:tr>
        <w:trPr>
          <w:trHeight w:val="275"/>
        </w:trPr>
        <w:tc>
          <w:tcPr>
            <w:tcW w:w="6100" w:type="dxa"/>
            <w:vAlign w:val="bottom"/>
          </w:tcPr>
          <w:p>
            <w:pPr>
              <w:spacing w:after="0"/>
              <w:rPr>
                <w:sz w:val="20"/>
                <w:szCs w:val="20"/>
                <w:color w:val="auto"/>
              </w:rPr>
            </w:pPr>
            <w:r>
              <w:rPr>
                <w:rFonts w:ascii="Arial" w:cs="Arial" w:eastAsia="Arial" w:hAnsi="Arial"/>
                <w:sz w:val="22"/>
                <w:szCs w:val="22"/>
                <w:color w:val="auto"/>
              </w:rPr>
              <w:t>the years ended December 31, 2005, 2004 and 2003</w:t>
            </w:r>
          </w:p>
        </w:tc>
        <w:tc>
          <w:tcPr>
            <w:tcW w:w="760" w:type="dxa"/>
            <w:vAlign w:val="bottom"/>
          </w:tcPr>
          <w:p>
            <w:pPr>
              <w:jc w:val="right"/>
              <w:spacing w:after="0"/>
              <w:rPr>
                <w:sz w:val="20"/>
                <w:szCs w:val="20"/>
                <w:color w:val="auto"/>
              </w:rPr>
            </w:pPr>
            <w:r>
              <w:rPr>
                <w:rFonts w:ascii="Arial" w:cs="Arial" w:eastAsia="Arial" w:hAnsi="Arial"/>
                <w:sz w:val="22"/>
                <w:szCs w:val="22"/>
                <w:color w:val="auto"/>
              </w:rPr>
              <w:t>39</w:t>
            </w:r>
          </w:p>
        </w:tc>
      </w:tr>
      <w:tr>
        <w:trPr>
          <w:trHeight w:val="837"/>
        </w:trPr>
        <w:tc>
          <w:tcPr>
            <w:tcW w:w="6100" w:type="dxa"/>
            <w:vAlign w:val="bottom"/>
          </w:tcPr>
          <w:p>
            <w:pPr>
              <w:spacing w:after="0"/>
              <w:rPr>
                <w:sz w:val="20"/>
                <w:szCs w:val="20"/>
                <w:color w:val="auto"/>
              </w:rPr>
            </w:pPr>
            <w:r>
              <w:rPr>
                <w:rFonts w:ascii="Arial" w:cs="Arial" w:eastAsia="Arial" w:hAnsi="Arial"/>
                <w:sz w:val="22"/>
                <w:szCs w:val="22"/>
                <w:color w:val="auto"/>
              </w:rPr>
              <w:t>Notes to Consolidated Financial Statements</w:t>
            </w:r>
          </w:p>
        </w:tc>
        <w:tc>
          <w:tcPr>
            <w:tcW w:w="760" w:type="dxa"/>
            <w:vAlign w:val="bottom"/>
          </w:tcPr>
          <w:p>
            <w:pPr>
              <w:jc w:val="right"/>
              <w:spacing w:after="0"/>
              <w:rPr>
                <w:sz w:val="20"/>
                <w:szCs w:val="20"/>
                <w:color w:val="auto"/>
              </w:rPr>
            </w:pPr>
            <w:r>
              <w:rPr>
                <w:rFonts w:ascii="Arial" w:cs="Arial" w:eastAsia="Arial" w:hAnsi="Arial"/>
                <w:sz w:val="22"/>
                <w:szCs w:val="22"/>
                <w:color w:val="auto"/>
              </w:rPr>
              <w:t>40</w:t>
            </w:r>
          </w:p>
        </w:tc>
      </w:tr>
    </w:tbl>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2. Financial statement schedules</w:t>
      </w:r>
    </w:p>
    <w:p>
      <w:pPr>
        <w:spacing w:after="0" w:line="212" w:lineRule="exact"/>
        <w:rPr>
          <w:sz w:val="20"/>
          <w:szCs w:val="20"/>
          <w:color w:val="auto"/>
        </w:rPr>
      </w:pPr>
    </w:p>
    <w:p>
      <w:pPr>
        <w:spacing w:after="0" w:line="251" w:lineRule="auto"/>
        <w:rPr>
          <w:sz w:val="20"/>
          <w:szCs w:val="20"/>
          <w:color w:val="auto"/>
        </w:rPr>
      </w:pPr>
      <w:r>
        <w:rPr>
          <w:rFonts w:ascii="Arial" w:cs="Arial" w:eastAsia="Arial" w:hAnsi="Arial"/>
          <w:sz w:val="22"/>
          <w:szCs w:val="22"/>
          <w:color w:val="auto"/>
        </w:rPr>
        <w:t>Schedules for which provision is made in Regulation S-X are not required under the instructions contained therein, are inapplicable or the information is included in the Consolidated Financial Statements and notes thereto.</w:t>
      </w:r>
    </w:p>
    <w:p>
      <w:pPr>
        <w:spacing w:after="0" w:line="16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3. Exhibits</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color w:val="auto"/>
        </w:rPr>
        <w:t>See Exhibit Index on page 82 of this report.</w:t>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(b) Reports on Form 8-K</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color w:val="auto"/>
        </w:rPr>
        <w:t>The following reports on Form 8-K were filed after September 30, 2005:</w:t>
      </w:r>
    </w:p>
    <w:p>
      <w:pPr>
        <w:spacing w:after="0" w:line="206" w:lineRule="exact"/>
        <w:rPr>
          <w:sz w:val="20"/>
          <w:szCs w:val="20"/>
          <w:color w:val="auto"/>
        </w:rPr>
      </w:pPr>
    </w:p>
    <w:p>
      <w:pPr>
        <w:jc w:val="both"/>
        <w:ind w:right="160"/>
        <w:spacing w:after="0" w:line="328" w:lineRule="auto"/>
        <w:rPr>
          <w:sz w:val="20"/>
          <w:szCs w:val="20"/>
          <w:color w:val="auto"/>
        </w:rPr>
      </w:pPr>
      <w:r>
        <w:rPr>
          <w:rFonts w:ascii="Arial" w:cs="Arial" w:eastAsia="Arial" w:hAnsi="Arial"/>
          <w:sz w:val="19"/>
          <w:szCs w:val="19"/>
          <w:color w:val="auto"/>
        </w:rPr>
        <w:t>Current Report on Form 8-K filed November 2, 2005, including as exhibits Sempra Energy's press release of November 2, 2005, giving the financial results for the three months ended September 30, 2005, and related Income Statement Data by Business Unit.</w:t>
      </w:r>
    </w:p>
    <w:p>
      <w:pPr>
        <w:spacing w:after="0" w:line="105" w:lineRule="exact"/>
        <w:rPr>
          <w:sz w:val="20"/>
          <w:szCs w:val="20"/>
          <w:color w:val="auto"/>
        </w:rPr>
      </w:pPr>
    </w:p>
    <w:p>
      <w:pPr>
        <w:spacing w:after="0"/>
        <w:rPr>
          <w:sz w:val="20"/>
          <w:szCs w:val="20"/>
          <w:color w:val="auto"/>
        </w:rPr>
      </w:pPr>
      <w:r>
        <w:rPr>
          <w:rFonts w:ascii="Arial" w:cs="Arial" w:eastAsia="Arial" w:hAnsi="Arial"/>
          <w:sz w:val="19"/>
          <w:szCs w:val="19"/>
          <w:color w:val="auto"/>
        </w:rPr>
        <w:t>Current Report on Form 8-K filed November 17, 2005, discussing the status of the company's energy crisis era legal proceedings.</w:t>
      </w:r>
    </w:p>
    <w:p>
      <w:pPr>
        <w:spacing w:after="0" w:line="241" w:lineRule="exact"/>
        <w:rPr>
          <w:sz w:val="20"/>
          <w:szCs w:val="20"/>
          <w:color w:val="auto"/>
        </w:rPr>
      </w:pPr>
    </w:p>
    <w:p>
      <w:pPr>
        <w:spacing w:after="0"/>
        <w:rPr>
          <w:sz w:val="20"/>
          <w:szCs w:val="20"/>
          <w:color w:val="auto"/>
        </w:rPr>
      </w:pPr>
      <w:r>
        <w:rPr>
          <w:rFonts w:ascii="Arial" w:cs="Arial" w:eastAsia="Arial" w:hAnsi="Arial"/>
          <w:sz w:val="22"/>
          <w:szCs w:val="22"/>
          <w:color w:val="auto"/>
        </w:rPr>
        <w:t>Current Report on Form 8-K filed November 17, 2005, discussing the company's $250 million bond offering.</w:t>
      </w:r>
    </w:p>
    <w:p>
      <w:pPr>
        <w:spacing w:after="0" w:line="206" w:lineRule="exact"/>
        <w:rPr>
          <w:sz w:val="20"/>
          <w:szCs w:val="20"/>
          <w:color w:val="auto"/>
        </w:rPr>
      </w:pPr>
    </w:p>
    <w:p>
      <w:pPr>
        <w:ind w:right="860"/>
        <w:spacing w:after="0" w:line="251" w:lineRule="auto"/>
        <w:rPr>
          <w:sz w:val="20"/>
          <w:szCs w:val="20"/>
          <w:color w:val="auto"/>
        </w:rPr>
      </w:pPr>
      <w:r>
        <w:rPr>
          <w:rFonts w:ascii="Arial" w:cs="Arial" w:eastAsia="Arial" w:hAnsi="Arial"/>
          <w:sz w:val="22"/>
          <w:szCs w:val="22"/>
          <w:color w:val="auto"/>
        </w:rPr>
        <w:t>Current Report on Form 8-K filed November 23, 2005, discussing the status of an action filed by the Attorney General of California against the company.</w:t>
      </w:r>
    </w:p>
    <w:p>
      <w:pPr>
        <w:spacing w:after="0" w:line="173" w:lineRule="exact"/>
        <w:rPr>
          <w:sz w:val="20"/>
          <w:szCs w:val="20"/>
          <w:color w:val="auto"/>
        </w:rPr>
      </w:pPr>
    </w:p>
    <w:p>
      <w:pPr>
        <w:ind w:right="620"/>
        <w:spacing w:after="0" w:line="328" w:lineRule="auto"/>
        <w:rPr>
          <w:sz w:val="20"/>
          <w:szCs w:val="20"/>
          <w:color w:val="auto"/>
        </w:rPr>
      </w:pPr>
      <w:r>
        <w:rPr>
          <w:rFonts w:ascii="Arial" w:cs="Arial" w:eastAsia="Arial" w:hAnsi="Arial"/>
          <w:sz w:val="19"/>
          <w:szCs w:val="19"/>
          <w:color w:val="auto"/>
        </w:rPr>
        <w:t>Current Report on Form 8-K filed January 5, 2006, announcing the agreement to settle certain litigation and the effect of the settlements on the company's results of operations and financial condition for the year ended December 31, 2005.</w:t>
      </w:r>
    </w:p>
    <w:p>
      <w:pPr>
        <w:spacing w:after="0" w:line="105" w:lineRule="exact"/>
        <w:rPr>
          <w:sz w:val="20"/>
          <w:szCs w:val="20"/>
          <w:color w:val="auto"/>
        </w:rPr>
      </w:pPr>
    </w:p>
    <w:p>
      <w:pPr>
        <w:ind w:right="200"/>
        <w:spacing w:after="0" w:line="328" w:lineRule="auto"/>
        <w:rPr>
          <w:sz w:val="20"/>
          <w:szCs w:val="20"/>
          <w:color w:val="auto"/>
        </w:rPr>
      </w:pPr>
      <w:r>
        <w:rPr>
          <w:rFonts w:ascii="Arial" w:cs="Arial" w:eastAsia="Arial" w:hAnsi="Arial"/>
          <w:sz w:val="19"/>
          <w:szCs w:val="19"/>
          <w:color w:val="auto"/>
        </w:rPr>
        <w:t>Current Report on Form 8-K filed February 22, 2006, including as exhibits Sempra Energy's press release of February 22, 2006, giving the financial results for the three months ended December 31, 2005, and related Income Statement Data by Business Unit.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307975</wp:posOffset>
            </wp:positionV>
            <wp:extent cx="72720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right="3800"/>
        <w:spacing w:after="0" w:line="507" w:lineRule="auto"/>
        <w:rPr>
          <w:sz w:val="20"/>
          <w:szCs w:val="20"/>
          <w:color w:val="auto"/>
        </w:rPr>
      </w:pPr>
      <w:r>
        <w:rPr>
          <w:rFonts w:ascii="Arial" w:cs="Arial" w:eastAsia="Arial" w:hAnsi="Arial"/>
          <w:sz w:val="19"/>
          <w:szCs w:val="19"/>
          <w:b w:val="1"/>
          <w:bCs w:val="1"/>
          <w:color w:val="auto"/>
        </w:rPr>
        <w:t xml:space="preserve">CONSENT OF INDEPENDENT REGISTERED PUBLIC ACCOUNTING FIRM </w:t>
      </w:r>
      <w:r>
        <w:rPr>
          <w:rFonts w:ascii="Arial" w:cs="Arial" w:eastAsia="Arial" w:hAnsi="Arial"/>
          <w:sz w:val="19"/>
          <w:szCs w:val="19"/>
          <w:color w:val="auto"/>
        </w:rPr>
        <w:t>To the Board of Directors and Shareholders of San Diego Gas &amp; Electric Company:</w:t>
      </w:r>
    </w:p>
    <w:p>
      <w:pPr>
        <w:spacing w:after="0" w:line="1" w:lineRule="exact"/>
        <w:rPr>
          <w:sz w:val="20"/>
          <w:szCs w:val="20"/>
          <w:color w:val="auto"/>
        </w:rPr>
      </w:pPr>
    </w:p>
    <w:p>
      <w:pPr>
        <w:spacing w:after="0" w:line="247" w:lineRule="auto"/>
        <w:rPr>
          <w:sz w:val="20"/>
          <w:szCs w:val="20"/>
          <w:color w:val="auto"/>
        </w:rPr>
      </w:pPr>
      <w:r>
        <w:rPr>
          <w:rFonts w:ascii="Arial" w:cs="Arial" w:eastAsia="Arial" w:hAnsi="Arial"/>
          <w:sz w:val="21"/>
          <w:szCs w:val="21"/>
          <w:color w:val="auto"/>
        </w:rPr>
        <w:t xml:space="preserve">We consent to the incorporation by reference in Registration Statement Numbers 33-45599, 33-52834, 333-52150 and 33-49837 on Form S-3 of our reports dated February 21, 2006 relating to the financial statements of San Diego Gas and Electric Company (which report expresses an unqualified opinion and includes an explanatory paragraph relating to the Company's adoption of Financial Accounting Standards Board Interpretation No. 47, </w:t>
      </w:r>
      <w:r>
        <w:rPr>
          <w:rFonts w:ascii="Arial" w:cs="Arial" w:eastAsia="Arial" w:hAnsi="Arial"/>
          <w:sz w:val="21"/>
          <w:szCs w:val="21"/>
          <w:i w:val="1"/>
          <w:iCs w:val="1"/>
          <w:color w:val="auto"/>
        </w:rPr>
        <w:t>Accounting for Conditional Asset Retirement Obligations, an</w:t>
      </w:r>
      <w:r>
        <w:rPr>
          <w:rFonts w:ascii="Arial" w:cs="Arial" w:eastAsia="Arial" w:hAnsi="Arial"/>
          <w:sz w:val="21"/>
          <w:szCs w:val="21"/>
          <w:color w:val="auto"/>
        </w:rPr>
        <w:t xml:space="preserve"> </w:t>
      </w:r>
      <w:r>
        <w:rPr>
          <w:rFonts w:ascii="Arial" w:cs="Arial" w:eastAsia="Arial" w:hAnsi="Arial"/>
          <w:sz w:val="21"/>
          <w:szCs w:val="21"/>
          <w:i w:val="1"/>
          <w:iCs w:val="1"/>
          <w:color w:val="auto"/>
        </w:rPr>
        <w:t xml:space="preserve">interpretation of FASB Statement No. 143, </w:t>
      </w:r>
      <w:r>
        <w:rPr>
          <w:rFonts w:ascii="Arial" w:cs="Arial" w:eastAsia="Arial" w:hAnsi="Arial"/>
          <w:sz w:val="21"/>
          <w:szCs w:val="21"/>
          <w:color w:val="auto"/>
        </w:rPr>
        <w:t>effective December 31, 2005) and management's report on the effectiveness of internal</w:t>
      </w:r>
      <w:r>
        <w:rPr>
          <w:rFonts w:ascii="Arial" w:cs="Arial" w:eastAsia="Arial" w:hAnsi="Arial"/>
          <w:sz w:val="21"/>
          <w:szCs w:val="21"/>
          <w:i w:val="1"/>
          <w:iCs w:val="1"/>
          <w:color w:val="auto"/>
        </w:rPr>
        <w:t xml:space="preserve"> </w:t>
      </w:r>
      <w:r>
        <w:rPr>
          <w:rFonts w:ascii="Arial" w:cs="Arial" w:eastAsia="Arial" w:hAnsi="Arial"/>
          <w:sz w:val="21"/>
          <w:szCs w:val="21"/>
          <w:color w:val="auto"/>
        </w:rPr>
        <w:t>control over financial reporting, appearing in and incorporated by reference in this Annual Report on Form 10-K of San Diego Gas and Electric Company for the year ended December 31, 2005.</w:t>
      </w:r>
    </w:p>
    <w:p>
      <w:pPr>
        <w:spacing w:after="0" w:line="178" w:lineRule="exact"/>
        <w:rPr>
          <w:sz w:val="20"/>
          <w:szCs w:val="20"/>
          <w:color w:val="auto"/>
        </w:rPr>
      </w:pPr>
    </w:p>
    <w:p>
      <w:pPr>
        <w:spacing w:after="0"/>
        <w:rPr>
          <w:sz w:val="20"/>
          <w:szCs w:val="20"/>
          <w:color w:val="auto"/>
        </w:rPr>
      </w:pPr>
      <w:r>
        <w:rPr>
          <w:rFonts w:ascii="Arial" w:cs="Arial" w:eastAsia="Arial" w:hAnsi="Arial"/>
          <w:sz w:val="22"/>
          <w:szCs w:val="22"/>
          <w:color w:val="auto"/>
        </w:rPr>
        <w:t>/S/ DELOITTE &amp; TOUCHE LLP</w:t>
      </w:r>
    </w:p>
    <w:p>
      <w:pPr>
        <w:sectPr>
          <w:pgSz w:w="11900" w:h="16838" w:orient="portrait"/>
          <w:cols w:equalWidth="0" w:num="1">
            <w:col w:w="11360"/>
          </w:cols>
          <w:pgMar w:left="240" w:top="118" w:right="299" w:bottom="0" w:gutter="0" w:footer="0" w:header="0"/>
        </w:sectPr>
      </w:pPr>
    </w:p>
    <w:bookmarkStart w:id="54" w:name="page55"/>
    <w:bookmarkEnd w:id="54"/>
    <w:p>
      <w:pPr>
        <w:spacing w:after="0" w:line="62" w:lineRule="exact"/>
        <w:rPr>
          <w:sz w:val="20"/>
          <w:szCs w:val="20"/>
          <w:color w:val="auto"/>
        </w:rPr>
      </w:pPr>
    </w:p>
    <w:p>
      <w:pPr>
        <w:spacing w:after="0"/>
        <w:rPr>
          <w:sz w:val="20"/>
          <w:szCs w:val="20"/>
          <w:color w:val="auto"/>
        </w:rPr>
      </w:pPr>
      <w:r>
        <w:rPr>
          <w:rFonts w:ascii="Arial" w:cs="Arial" w:eastAsia="Arial" w:hAnsi="Arial"/>
          <w:sz w:val="22"/>
          <w:szCs w:val="22"/>
          <w:color w:val="auto"/>
        </w:rPr>
        <w:t>San Diego, California</w:t>
      </w:r>
    </w:p>
    <w:p>
      <w:pPr>
        <w:spacing w:after="0" w:line="9" w:lineRule="exact"/>
        <w:rPr>
          <w:sz w:val="20"/>
          <w:szCs w:val="20"/>
          <w:color w:val="auto"/>
        </w:rPr>
      </w:pPr>
    </w:p>
    <w:p>
      <w:pPr>
        <w:spacing w:after="0"/>
        <w:rPr>
          <w:sz w:val="20"/>
          <w:szCs w:val="20"/>
          <w:color w:val="auto"/>
        </w:rPr>
      </w:pPr>
      <w:r>
        <w:rPr>
          <w:rFonts w:ascii="Arial" w:cs="Arial" w:eastAsia="Arial" w:hAnsi="Arial"/>
          <w:sz w:val="22"/>
          <w:szCs w:val="22"/>
          <w:color w:val="auto"/>
        </w:rPr>
        <w:t>February 21, 2006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360680</wp:posOffset>
            </wp:positionV>
            <wp:extent cx="72720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3820"/>
        <w:spacing w:after="0"/>
        <w:rPr>
          <w:sz w:val="20"/>
          <w:szCs w:val="20"/>
          <w:color w:val="auto"/>
        </w:rPr>
      </w:pPr>
      <w:r>
        <w:rPr>
          <w:rFonts w:ascii="Arial" w:cs="Arial" w:eastAsia="Arial" w:hAnsi="Arial"/>
          <w:sz w:val="22"/>
          <w:szCs w:val="22"/>
          <w:b w:val="1"/>
          <w:bCs w:val="1"/>
          <w:color w:val="auto"/>
        </w:rPr>
        <w:t>SIGNATURES</w:t>
      </w:r>
    </w:p>
    <w:p>
      <w:pPr>
        <w:spacing w:after="0" w:line="200" w:lineRule="exact"/>
        <w:rPr>
          <w:sz w:val="20"/>
          <w:szCs w:val="20"/>
          <w:color w:val="auto"/>
        </w:rPr>
      </w:pPr>
    </w:p>
    <w:p>
      <w:pPr>
        <w:spacing w:after="0" w:line="390" w:lineRule="exact"/>
        <w:rPr>
          <w:sz w:val="20"/>
          <w:szCs w:val="20"/>
          <w:color w:val="auto"/>
        </w:rPr>
      </w:pPr>
    </w:p>
    <w:p>
      <w:pPr>
        <w:ind w:left="100" w:right="1519"/>
        <w:spacing w:after="0" w:line="274" w:lineRule="auto"/>
        <w:rPr>
          <w:sz w:val="20"/>
          <w:szCs w:val="20"/>
          <w:color w:val="auto"/>
        </w:rPr>
      </w:pPr>
      <w:r>
        <w:rPr>
          <w:rFonts w:ascii="Arial" w:cs="Arial" w:eastAsia="Arial" w:hAnsi="Arial"/>
          <w:sz w:val="21"/>
          <w:szCs w:val="21"/>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329" w:lineRule="exact"/>
        <w:rPr>
          <w:sz w:val="20"/>
          <w:szCs w:val="20"/>
          <w:color w:val="auto"/>
        </w:rPr>
      </w:pPr>
    </w:p>
    <w:p>
      <w:pPr>
        <w:ind w:left="4340"/>
        <w:spacing w:after="0"/>
        <w:rPr>
          <w:sz w:val="20"/>
          <w:szCs w:val="20"/>
          <w:color w:val="auto"/>
        </w:rPr>
      </w:pPr>
      <w:r>
        <w:rPr>
          <w:rFonts w:ascii="Arial" w:cs="Arial" w:eastAsia="Arial" w:hAnsi="Arial"/>
          <w:sz w:val="22"/>
          <w:szCs w:val="22"/>
          <w:color w:val="auto"/>
        </w:rPr>
        <w:t>SAN DIEGO GAS &amp; ELECTRIC COMPANY,</w:t>
      </w:r>
    </w:p>
    <w:p>
      <w:pPr>
        <w:spacing w:after="0" w:line="8" w:lineRule="exact"/>
        <w:rPr>
          <w:sz w:val="20"/>
          <w:szCs w:val="20"/>
          <w:color w:val="auto"/>
        </w:rPr>
      </w:pPr>
    </w:p>
    <w:p>
      <w:pPr>
        <w:ind w:left="4340"/>
        <w:spacing w:after="0"/>
        <w:rPr>
          <w:sz w:val="20"/>
          <w:szCs w:val="20"/>
          <w:color w:val="auto"/>
        </w:rPr>
      </w:pPr>
      <w:r>
        <w:rPr>
          <w:rFonts w:ascii="Arial" w:cs="Arial" w:eastAsia="Arial" w:hAnsi="Arial"/>
          <w:sz w:val="22"/>
          <w:szCs w:val="22"/>
          <w:color w:val="auto"/>
        </w:rPr>
        <w:t>(Registrant)</w:t>
      </w:r>
    </w:p>
    <w:p>
      <w:pPr>
        <w:spacing w:after="0" w:line="200" w:lineRule="exact"/>
        <w:rPr>
          <w:sz w:val="20"/>
          <w:szCs w:val="20"/>
          <w:color w:val="auto"/>
        </w:rPr>
      </w:pPr>
    </w:p>
    <w:p>
      <w:pPr>
        <w:spacing w:after="0" w:line="393" w:lineRule="exact"/>
        <w:rPr>
          <w:sz w:val="20"/>
          <w:szCs w:val="20"/>
          <w:color w:val="auto"/>
        </w:rPr>
      </w:pPr>
    </w:p>
    <w:p>
      <w:pPr>
        <w:ind w:left="4340"/>
        <w:spacing w:after="0"/>
        <w:rPr>
          <w:sz w:val="20"/>
          <w:szCs w:val="20"/>
          <w:color w:val="auto"/>
        </w:rPr>
      </w:pPr>
      <w:r>
        <w:rPr>
          <w:rFonts w:ascii="Arial" w:cs="Arial" w:eastAsia="Arial" w:hAnsi="Arial"/>
          <w:sz w:val="22"/>
          <w:szCs w:val="22"/>
          <w:color w:val="auto"/>
        </w:rPr>
        <w:t>By: /s/ Edwin A. Guiles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2698115</wp:posOffset>
            </wp:positionH>
            <wp:positionV relativeFrom="paragraph">
              <wp:posOffset>67310</wp:posOffset>
            </wp:positionV>
            <wp:extent cx="3027045" cy="25717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027045" cy="257175"/>
                    </a:xfrm>
                    <a:prstGeom prst="rect">
                      <a:avLst/>
                    </a:prstGeom>
                    <a:noFill/>
                  </pic:spPr>
                </pic:pic>
              </a:graphicData>
            </a:graphic>
          </wp:anchor>
        </w:drawing>
      </w:r>
    </w:p>
    <w:p>
      <w:pPr>
        <w:spacing w:after="0" w:line="200" w:lineRule="exact"/>
        <w:rPr>
          <w:sz w:val="20"/>
          <w:szCs w:val="20"/>
          <w:color w:val="auto"/>
        </w:rPr>
      </w:pPr>
    </w:p>
    <w:p>
      <w:pPr>
        <w:spacing w:after="0" w:line="364" w:lineRule="exact"/>
        <w:rPr>
          <w:sz w:val="20"/>
          <w:szCs w:val="20"/>
          <w:color w:val="auto"/>
        </w:rPr>
      </w:pPr>
    </w:p>
    <w:p>
      <w:pPr>
        <w:ind w:left="4340"/>
        <w:spacing w:after="0"/>
        <w:rPr>
          <w:sz w:val="20"/>
          <w:szCs w:val="20"/>
          <w:color w:val="auto"/>
        </w:rPr>
      </w:pPr>
      <w:r>
        <w:rPr>
          <w:rFonts w:ascii="Arial" w:cs="Arial" w:eastAsia="Arial" w:hAnsi="Arial"/>
          <w:sz w:val="22"/>
          <w:szCs w:val="22"/>
          <w:color w:val="auto"/>
        </w:rPr>
        <w:t>Edwin A. Guiles</w:t>
      </w:r>
    </w:p>
    <w:p>
      <w:pPr>
        <w:spacing w:after="0" w:line="8" w:lineRule="exact"/>
        <w:rPr>
          <w:sz w:val="20"/>
          <w:szCs w:val="20"/>
          <w:color w:val="auto"/>
        </w:rPr>
      </w:pPr>
    </w:p>
    <w:p>
      <w:pPr>
        <w:ind w:left="4340"/>
        <w:spacing w:after="0"/>
        <w:rPr>
          <w:sz w:val="20"/>
          <w:szCs w:val="20"/>
          <w:color w:val="auto"/>
        </w:rPr>
      </w:pPr>
      <w:r>
        <w:rPr>
          <w:rFonts w:ascii="Arial" w:cs="Arial" w:eastAsia="Arial" w:hAnsi="Arial"/>
          <w:sz w:val="22"/>
          <w:szCs w:val="22"/>
          <w:color w:val="auto"/>
        </w:rPr>
        <w:t>Chairman and Chief Executive Officer</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100" w:right="1519"/>
        <w:spacing w:after="0" w:line="328" w:lineRule="auto"/>
        <w:rPr>
          <w:sz w:val="20"/>
          <w:szCs w:val="20"/>
          <w:color w:val="auto"/>
        </w:rPr>
      </w:pPr>
      <w:r>
        <w:rPr>
          <w:rFonts w:ascii="Arial" w:cs="Arial" w:eastAsia="Arial" w:hAnsi="Arial"/>
          <w:sz w:val="19"/>
          <w:szCs w:val="19"/>
          <w:color w:val="auto"/>
        </w:rPr>
        <w:t>Pursuant to the requirements of the Securities Exchange Act of 1934, this report is signed below by the following persons on behalf of the Registrant in the capacities and on the dates indicated.</w:t>
      </w:r>
    </w:p>
    <w:p>
      <w:pPr>
        <w:spacing w:after="0" w:line="200" w:lineRule="exact"/>
        <w:rPr>
          <w:sz w:val="20"/>
          <w:szCs w:val="20"/>
          <w:color w:val="auto"/>
        </w:rPr>
      </w:pP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81"/>
        </w:trPr>
        <w:tc>
          <w:tcPr>
            <w:tcW w:w="3540" w:type="dxa"/>
            <w:vAlign w:val="bottom"/>
          </w:tcPr>
          <w:p>
            <w:pPr>
              <w:ind w:left="100"/>
              <w:spacing w:after="0"/>
              <w:rPr>
                <w:sz w:val="20"/>
                <w:szCs w:val="20"/>
                <w:color w:val="auto"/>
              </w:rPr>
            </w:pPr>
            <w:r>
              <w:rPr>
                <w:rFonts w:ascii="Arial" w:cs="Arial" w:eastAsia="Arial" w:hAnsi="Arial"/>
                <w:sz w:val="22"/>
                <w:szCs w:val="22"/>
                <w:b w:val="1"/>
                <w:bCs w:val="1"/>
                <w:color w:val="auto"/>
              </w:rPr>
              <w:t>Name/Title</w:t>
            </w:r>
          </w:p>
        </w:tc>
        <w:tc>
          <w:tcPr>
            <w:tcW w:w="3240" w:type="dxa"/>
            <w:vAlign w:val="bottom"/>
          </w:tcPr>
          <w:p>
            <w:pPr>
              <w:ind w:left="80"/>
              <w:spacing w:after="0"/>
              <w:rPr>
                <w:sz w:val="20"/>
                <w:szCs w:val="20"/>
                <w:color w:val="auto"/>
              </w:rPr>
            </w:pPr>
            <w:r>
              <w:rPr>
                <w:rFonts w:ascii="Arial" w:cs="Arial" w:eastAsia="Arial" w:hAnsi="Arial"/>
                <w:sz w:val="22"/>
                <w:szCs w:val="22"/>
                <w:b w:val="1"/>
                <w:bCs w:val="1"/>
                <w:color w:val="auto"/>
              </w:rPr>
              <w:t>Signature</w:t>
            </w:r>
          </w:p>
        </w:tc>
        <w:tc>
          <w:tcPr>
            <w:tcW w:w="2240" w:type="dxa"/>
            <w:vAlign w:val="bottom"/>
          </w:tcPr>
          <w:p>
            <w:pPr>
              <w:ind w:left="80"/>
              <w:spacing w:after="0"/>
              <w:rPr>
                <w:sz w:val="20"/>
                <w:szCs w:val="20"/>
                <w:color w:val="auto"/>
              </w:rPr>
            </w:pPr>
            <w:r>
              <w:rPr>
                <w:rFonts w:ascii="Arial" w:cs="Arial" w:eastAsia="Arial" w:hAnsi="Arial"/>
                <w:sz w:val="22"/>
                <w:szCs w:val="22"/>
                <w:b w:val="1"/>
                <w:bCs w:val="1"/>
                <w:color w:val="auto"/>
              </w:rPr>
              <w:t>Date</w:t>
            </w:r>
          </w:p>
        </w:tc>
        <w:tc>
          <w:tcPr>
            <w:tcW w:w="0" w:type="dxa"/>
            <w:vAlign w:val="bottom"/>
          </w:tcPr>
          <w:p>
            <w:pPr>
              <w:spacing w:after="0"/>
              <w:rPr>
                <w:sz w:val="1"/>
                <w:szCs w:val="1"/>
                <w:color w:val="auto"/>
              </w:rPr>
            </w:pPr>
          </w:p>
        </w:tc>
      </w:tr>
      <w:tr>
        <w:trPr>
          <w:trHeight w:val="85"/>
        </w:trPr>
        <w:tc>
          <w:tcPr>
            <w:tcW w:w="3540" w:type="dxa"/>
            <w:vAlign w:val="bottom"/>
          </w:tcPr>
          <w:p>
            <w:pPr>
              <w:spacing w:after="0"/>
              <w:rPr>
                <w:sz w:val="7"/>
                <w:szCs w:val="7"/>
                <w:color w:val="auto"/>
              </w:rPr>
            </w:pPr>
          </w:p>
        </w:tc>
        <w:tc>
          <w:tcPr>
            <w:tcW w:w="3240" w:type="dxa"/>
            <w:vAlign w:val="bottom"/>
          </w:tcPr>
          <w:p>
            <w:pPr>
              <w:spacing w:after="0"/>
              <w:rPr>
                <w:sz w:val="7"/>
                <w:szCs w:val="7"/>
                <w:color w:val="auto"/>
              </w:rPr>
            </w:pPr>
          </w:p>
        </w:tc>
        <w:tc>
          <w:tcPr>
            <w:tcW w:w="22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05"/>
        </w:trPr>
        <w:tc>
          <w:tcPr>
            <w:tcW w:w="3540" w:type="dxa"/>
            <w:vAlign w:val="bottom"/>
            <w:shd w:val="clear" w:color="auto" w:fill="000000"/>
          </w:tcPr>
          <w:p>
            <w:pPr>
              <w:spacing w:after="0"/>
              <w:rPr>
                <w:sz w:val="24"/>
                <w:szCs w:val="24"/>
                <w:color w:val="auto"/>
              </w:rPr>
            </w:pPr>
          </w:p>
        </w:tc>
        <w:tc>
          <w:tcPr>
            <w:tcW w:w="3240" w:type="dxa"/>
            <w:vAlign w:val="bottom"/>
            <w:shd w:val="clear" w:color="auto" w:fill="000000"/>
          </w:tcPr>
          <w:p>
            <w:pPr>
              <w:spacing w:after="0"/>
              <w:rPr>
                <w:sz w:val="24"/>
                <w:szCs w:val="24"/>
                <w:color w:val="auto"/>
              </w:rPr>
            </w:pPr>
          </w:p>
        </w:tc>
        <w:tc>
          <w:tcPr>
            <w:tcW w:w="2240" w:type="dxa"/>
            <w:vAlign w:val="bottom"/>
            <w:shd w:val="clear" w:color="auto" w:fill="000000"/>
          </w:tcPr>
          <w:p>
            <w:pPr>
              <w:spacing w:after="0"/>
              <w:rPr>
                <w:sz w:val="24"/>
                <w:szCs w:val="24"/>
                <w:color w:val="auto"/>
              </w:rPr>
            </w:pPr>
          </w:p>
        </w:tc>
        <w:tc>
          <w:tcPr>
            <w:tcW w:w="0" w:type="dxa"/>
            <w:vAlign w:val="bottom"/>
          </w:tcPr>
          <w:p>
            <w:pPr>
              <w:spacing w:after="0"/>
              <w:rPr>
                <w:sz w:val="1"/>
                <w:szCs w:val="1"/>
                <w:color w:val="auto"/>
              </w:rPr>
            </w:pPr>
          </w:p>
        </w:tc>
      </w:tr>
      <w:tr>
        <w:trPr>
          <w:trHeight w:val="316"/>
        </w:trPr>
        <w:tc>
          <w:tcPr>
            <w:tcW w:w="3540" w:type="dxa"/>
            <w:vAlign w:val="bottom"/>
          </w:tcPr>
          <w:p>
            <w:pPr>
              <w:ind w:left="100"/>
              <w:spacing w:after="0"/>
              <w:rPr>
                <w:sz w:val="20"/>
                <w:szCs w:val="20"/>
                <w:color w:val="auto"/>
              </w:rPr>
            </w:pPr>
            <w:r>
              <w:rPr>
                <w:rFonts w:ascii="Arial" w:cs="Arial" w:eastAsia="Arial" w:hAnsi="Arial"/>
                <w:sz w:val="22"/>
                <w:szCs w:val="22"/>
                <w:b w:val="1"/>
                <w:bCs w:val="1"/>
                <w:color w:val="auto"/>
              </w:rPr>
              <w:t>Principal Executive Officer:</w:t>
            </w:r>
          </w:p>
        </w:tc>
        <w:tc>
          <w:tcPr>
            <w:tcW w:w="324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540" w:type="dxa"/>
            <w:vAlign w:val="bottom"/>
          </w:tcPr>
          <w:p>
            <w:pPr>
              <w:ind w:left="100"/>
              <w:spacing w:after="0" w:line="243" w:lineRule="exact"/>
              <w:rPr>
                <w:sz w:val="20"/>
                <w:szCs w:val="20"/>
                <w:color w:val="auto"/>
              </w:rPr>
            </w:pPr>
            <w:r>
              <w:rPr>
                <w:rFonts w:ascii="Arial" w:cs="Arial" w:eastAsia="Arial" w:hAnsi="Arial"/>
                <w:sz w:val="22"/>
                <w:szCs w:val="22"/>
                <w:color w:val="auto"/>
              </w:rPr>
              <w:t>Edwin A. Guiles</w:t>
            </w:r>
          </w:p>
        </w:tc>
        <w:tc>
          <w:tcPr>
            <w:tcW w:w="3240" w:type="dxa"/>
            <w:vAlign w:val="bottom"/>
          </w:tcPr>
          <w:p>
            <w:pPr>
              <w:spacing w:after="0"/>
              <w:rPr>
                <w:sz w:val="21"/>
                <w:szCs w:val="21"/>
                <w:color w:val="auto"/>
              </w:rPr>
            </w:pPr>
          </w:p>
        </w:tc>
        <w:tc>
          <w:tcPr>
            <w:tcW w:w="2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540" w:type="dxa"/>
            <w:vAlign w:val="bottom"/>
          </w:tcPr>
          <w:p>
            <w:pPr>
              <w:ind w:left="100"/>
              <w:spacing w:after="0" w:line="243" w:lineRule="exact"/>
              <w:rPr>
                <w:sz w:val="20"/>
                <w:szCs w:val="20"/>
                <w:color w:val="auto"/>
              </w:rPr>
            </w:pPr>
            <w:r>
              <w:rPr>
                <w:rFonts w:ascii="Arial" w:cs="Arial" w:eastAsia="Arial" w:hAnsi="Arial"/>
                <w:sz w:val="22"/>
                <w:szCs w:val="22"/>
                <w:color w:val="auto"/>
              </w:rPr>
              <w:t>Chairman and Chief Executive</w:t>
            </w:r>
          </w:p>
        </w:tc>
        <w:tc>
          <w:tcPr>
            <w:tcW w:w="3240" w:type="dxa"/>
            <w:vAlign w:val="bottom"/>
          </w:tcPr>
          <w:p>
            <w:pPr>
              <w:ind w:left="80"/>
              <w:spacing w:after="0" w:line="243" w:lineRule="exact"/>
              <w:rPr>
                <w:sz w:val="20"/>
                <w:szCs w:val="20"/>
                <w:color w:val="auto"/>
              </w:rPr>
            </w:pPr>
            <w:r>
              <w:rPr>
                <w:rFonts w:ascii="Arial" w:cs="Arial" w:eastAsia="Arial" w:hAnsi="Arial"/>
                <w:sz w:val="22"/>
                <w:szCs w:val="22"/>
                <w:color w:val="auto"/>
              </w:rPr>
              <w:t>/s/ Edwin A. Guiles</w:t>
            </w:r>
          </w:p>
        </w:tc>
        <w:tc>
          <w:tcPr>
            <w:tcW w:w="2240" w:type="dxa"/>
            <w:vAlign w:val="bottom"/>
          </w:tcPr>
          <w:p>
            <w:pPr>
              <w:ind w:left="80"/>
              <w:spacing w:after="0" w:line="243" w:lineRule="exact"/>
              <w:rPr>
                <w:sz w:val="20"/>
                <w:szCs w:val="20"/>
                <w:color w:val="auto"/>
              </w:rPr>
            </w:pPr>
            <w:r>
              <w:rPr>
                <w:rFonts w:ascii="Arial" w:cs="Arial" w:eastAsia="Arial" w:hAnsi="Arial"/>
                <w:sz w:val="22"/>
                <w:szCs w:val="22"/>
                <w:color w:val="auto"/>
              </w:rPr>
              <w:t>February 13, 2006</w:t>
            </w:r>
          </w:p>
        </w:tc>
        <w:tc>
          <w:tcPr>
            <w:tcW w:w="0" w:type="dxa"/>
            <w:vAlign w:val="bottom"/>
          </w:tcPr>
          <w:p>
            <w:pPr>
              <w:spacing w:after="0"/>
              <w:rPr>
                <w:sz w:val="1"/>
                <w:szCs w:val="1"/>
                <w:color w:val="auto"/>
              </w:rPr>
            </w:pPr>
          </w:p>
        </w:tc>
      </w:tr>
      <w:tr>
        <w:trPr>
          <w:trHeight w:val="275"/>
        </w:trPr>
        <w:tc>
          <w:tcPr>
            <w:tcW w:w="3540" w:type="dxa"/>
            <w:vAlign w:val="bottom"/>
          </w:tcPr>
          <w:p>
            <w:pPr>
              <w:ind w:left="100"/>
              <w:spacing w:after="0"/>
              <w:rPr>
                <w:sz w:val="20"/>
                <w:szCs w:val="20"/>
                <w:color w:val="auto"/>
              </w:rPr>
            </w:pPr>
            <w:r>
              <w:rPr>
                <w:rFonts w:ascii="Arial" w:cs="Arial" w:eastAsia="Arial" w:hAnsi="Arial"/>
                <w:sz w:val="22"/>
                <w:szCs w:val="22"/>
                <w:color w:val="auto"/>
              </w:rPr>
              <w:t>Officer</w:t>
            </w:r>
          </w:p>
        </w:tc>
        <w:tc>
          <w:tcPr>
            <w:tcW w:w="3240" w:type="dxa"/>
            <w:vAlign w:val="bottom"/>
          </w:tcPr>
          <w:p>
            <w:pPr>
              <w:spacing w:after="0"/>
              <w:rPr>
                <w:sz w:val="23"/>
                <w:szCs w:val="23"/>
                <w:color w:val="auto"/>
              </w:rPr>
            </w:pPr>
          </w:p>
        </w:tc>
        <w:tc>
          <w:tcPr>
            <w:tcW w:w="22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85"/>
        </w:trPr>
        <w:tc>
          <w:tcPr>
            <w:tcW w:w="3540" w:type="dxa"/>
            <w:vAlign w:val="bottom"/>
            <w:vMerge w:val="restart"/>
          </w:tcPr>
          <w:p>
            <w:pPr>
              <w:ind w:left="100"/>
              <w:spacing w:after="0"/>
              <w:rPr>
                <w:sz w:val="20"/>
                <w:szCs w:val="20"/>
                <w:color w:val="auto"/>
              </w:rPr>
            </w:pPr>
            <w:r>
              <w:rPr>
                <w:rFonts w:ascii="Arial" w:cs="Arial" w:eastAsia="Arial" w:hAnsi="Arial"/>
                <w:sz w:val="22"/>
                <w:szCs w:val="22"/>
                <w:b w:val="1"/>
                <w:bCs w:val="1"/>
                <w:color w:val="auto"/>
              </w:rPr>
              <w:t>Principal Financial Officer:</w:t>
            </w:r>
          </w:p>
        </w:tc>
        <w:tc>
          <w:tcPr>
            <w:tcW w:w="3240" w:type="dxa"/>
            <w:vAlign w:val="bottom"/>
          </w:tcPr>
          <w:p>
            <w:pPr>
              <w:spacing w:after="0"/>
              <w:rPr>
                <w:sz w:val="7"/>
                <w:szCs w:val="7"/>
                <w:color w:val="auto"/>
              </w:rPr>
            </w:pPr>
          </w:p>
        </w:tc>
        <w:tc>
          <w:tcPr>
            <w:tcW w:w="22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05"/>
        </w:trPr>
        <w:tc>
          <w:tcPr>
            <w:tcW w:w="3540" w:type="dxa"/>
            <w:vAlign w:val="bottom"/>
            <w:vMerge w:val="continue"/>
          </w:tcPr>
          <w:p>
            <w:pPr>
              <w:spacing w:after="0"/>
              <w:rPr>
                <w:sz w:val="24"/>
                <w:szCs w:val="24"/>
                <w:color w:val="auto"/>
              </w:rPr>
            </w:pPr>
          </w:p>
        </w:tc>
        <w:tc>
          <w:tcPr>
            <w:tcW w:w="3240" w:type="dxa"/>
            <w:vAlign w:val="bottom"/>
            <w:shd w:val="clear" w:color="auto" w:fill="000000"/>
          </w:tcPr>
          <w:p>
            <w:pPr>
              <w:spacing w:after="0"/>
              <w:rPr>
                <w:sz w:val="24"/>
                <w:szCs w:val="24"/>
                <w:color w:val="auto"/>
              </w:rPr>
            </w:pPr>
          </w:p>
        </w:tc>
        <w:tc>
          <w:tcPr>
            <w:tcW w:w="2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1"/>
        </w:trPr>
        <w:tc>
          <w:tcPr>
            <w:tcW w:w="3540" w:type="dxa"/>
            <w:vAlign w:val="bottom"/>
            <w:vMerge w:val="continue"/>
          </w:tcPr>
          <w:p>
            <w:pPr>
              <w:spacing w:after="0"/>
              <w:rPr>
                <w:sz w:val="24"/>
                <w:szCs w:val="24"/>
                <w:color w:val="auto"/>
              </w:rPr>
            </w:pPr>
          </w:p>
        </w:tc>
        <w:tc>
          <w:tcPr>
            <w:tcW w:w="324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540" w:type="dxa"/>
            <w:vAlign w:val="bottom"/>
          </w:tcPr>
          <w:p>
            <w:pPr>
              <w:ind w:left="100"/>
              <w:spacing w:after="0" w:line="243" w:lineRule="exact"/>
              <w:rPr>
                <w:sz w:val="20"/>
                <w:szCs w:val="20"/>
                <w:color w:val="auto"/>
              </w:rPr>
            </w:pPr>
            <w:r>
              <w:rPr>
                <w:rFonts w:ascii="Arial" w:cs="Arial" w:eastAsia="Arial" w:hAnsi="Arial"/>
                <w:sz w:val="22"/>
                <w:szCs w:val="22"/>
                <w:color w:val="auto"/>
              </w:rPr>
              <w:t>Steven D. Davis</w:t>
            </w:r>
          </w:p>
        </w:tc>
        <w:tc>
          <w:tcPr>
            <w:tcW w:w="3240" w:type="dxa"/>
            <w:vAlign w:val="bottom"/>
          </w:tcPr>
          <w:p>
            <w:pPr>
              <w:spacing w:after="0"/>
              <w:rPr>
                <w:sz w:val="21"/>
                <w:szCs w:val="21"/>
                <w:color w:val="auto"/>
              </w:rPr>
            </w:pPr>
          </w:p>
        </w:tc>
        <w:tc>
          <w:tcPr>
            <w:tcW w:w="2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540" w:type="dxa"/>
            <w:vAlign w:val="bottom"/>
          </w:tcPr>
          <w:p>
            <w:pPr>
              <w:ind w:left="100"/>
              <w:spacing w:after="0" w:line="243" w:lineRule="exact"/>
              <w:rPr>
                <w:sz w:val="20"/>
                <w:szCs w:val="20"/>
                <w:color w:val="auto"/>
              </w:rPr>
            </w:pPr>
            <w:r>
              <w:rPr>
                <w:rFonts w:ascii="Arial" w:cs="Arial" w:eastAsia="Arial" w:hAnsi="Arial"/>
                <w:sz w:val="22"/>
                <w:szCs w:val="22"/>
                <w:color w:val="auto"/>
              </w:rPr>
              <w:t>Senior Vice President, External</w:t>
            </w:r>
          </w:p>
        </w:tc>
        <w:tc>
          <w:tcPr>
            <w:tcW w:w="3240" w:type="dxa"/>
            <w:vAlign w:val="bottom"/>
          </w:tcPr>
          <w:p>
            <w:pPr>
              <w:spacing w:after="0"/>
              <w:rPr>
                <w:sz w:val="21"/>
                <w:szCs w:val="21"/>
                <w:color w:val="auto"/>
              </w:rPr>
            </w:pPr>
          </w:p>
        </w:tc>
        <w:tc>
          <w:tcPr>
            <w:tcW w:w="2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540" w:type="dxa"/>
            <w:vAlign w:val="bottom"/>
          </w:tcPr>
          <w:p>
            <w:pPr>
              <w:ind w:left="100"/>
              <w:spacing w:after="0" w:line="243" w:lineRule="exact"/>
              <w:rPr>
                <w:sz w:val="20"/>
                <w:szCs w:val="20"/>
                <w:color w:val="auto"/>
              </w:rPr>
            </w:pPr>
            <w:r>
              <w:rPr>
                <w:rFonts w:ascii="Arial" w:cs="Arial" w:eastAsia="Arial" w:hAnsi="Arial"/>
                <w:sz w:val="22"/>
                <w:szCs w:val="22"/>
                <w:color w:val="auto"/>
              </w:rPr>
              <w:t>Relations</w:t>
            </w:r>
          </w:p>
        </w:tc>
        <w:tc>
          <w:tcPr>
            <w:tcW w:w="3240" w:type="dxa"/>
            <w:vAlign w:val="bottom"/>
          </w:tcPr>
          <w:p>
            <w:pPr>
              <w:ind w:left="80"/>
              <w:spacing w:after="0" w:line="243" w:lineRule="exact"/>
              <w:rPr>
                <w:sz w:val="20"/>
                <w:szCs w:val="20"/>
                <w:color w:val="auto"/>
              </w:rPr>
            </w:pPr>
            <w:r>
              <w:rPr>
                <w:rFonts w:ascii="Arial" w:cs="Arial" w:eastAsia="Arial" w:hAnsi="Arial"/>
                <w:sz w:val="22"/>
                <w:szCs w:val="22"/>
                <w:color w:val="auto"/>
              </w:rPr>
              <w:t>/s/ Steven D. Davis</w:t>
            </w:r>
          </w:p>
        </w:tc>
        <w:tc>
          <w:tcPr>
            <w:tcW w:w="2240" w:type="dxa"/>
            <w:vAlign w:val="bottom"/>
          </w:tcPr>
          <w:p>
            <w:pPr>
              <w:ind w:left="80"/>
              <w:spacing w:after="0" w:line="243" w:lineRule="exact"/>
              <w:rPr>
                <w:sz w:val="20"/>
                <w:szCs w:val="20"/>
                <w:color w:val="auto"/>
              </w:rPr>
            </w:pPr>
            <w:r>
              <w:rPr>
                <w:rFonts w:ascii="Arial" w:cs="Arial" w:eastAsia="Arial" w:hAnsi="Arial"/>
                <w:sz w:val="22"/>
                <w:szCs w:val="22"/>
                <w:color w:val="auto"/>
              </w:rPr>
              <w:t>February 13, 2006</w:t>
            </w:r>
          </w:p>
        </w:tc>
        <w:tc>
          <w:tcPr>
            <w:tcW w:w="0" w:type="dxa"/>
            <w:vAlign w:val="bottom"/>
          </w:tcPr>
          <w:p>
            <w:pPr>
              <w:spacing w:after="0"/>
              <w:rPr>
                <w:sz w:val="1"/>
                <w:szCs w:val="1"/>
                <w:color w:val="auto"/>
              </w:rPr>
            </w:pPr>
          </w:p>
        </w:tc>
      </w:tr>
      <w:tr>
        <w:trPr>
          <w:trHeight w:val="275"/>
        </w:trPr>
        <w:tc>
          <w:tcPr>
            <w:tcW w:w="3540" w:type="dxa"/>
            <w:vAlign w:val="bottom"/>
          </w:tcPr>
          <w:p>
            <w:pPr>
              <w:ind w:left="100"/>
              <w:spacing w:after="0"/>
              <w:rPr>
                <w:sz w:val="20"/>
                <w:szCs w:val="20"/>
                <w:color w:val="auto"/>
              </w:rPr>
            </w:pPr>
            <w:r>
              <w:rPr>
                <w:rFonts w:ascii="Arial" w:cs="Arial" w:eastAsia="Arial" w:hAnsi="Arial"/>
                <w:sz w:val="22"/>
                <w:szCs w:val="22"/>
                <w:color w:val="auto"/>
              </w:rPr>
              <w:t>and Chief Financial Officer</w:t>
            </w:r>
          </w:p>
        </w:tc>
        <w:tc>
          <w:tcPr>
            <w:tcW w:w="3240" w:type="dxa"/>
            <w:vAlign w:val="bottom"/>
          </w:tcPr>
          <w:p>
            <w:pPr>
              <w:spacing w:after="0"/>
              <w:rPr>
                <w:sz w:val="23"/>
                <w:szCs w:val="23"/>
                <w:color w:val="auto"/>
              </w:rPr>
            </w:pPr>
          </w:p>
        </w:tc>
        <w:tc>
          <w:tcPr>
            <w:tcW w:w="22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85"/>
        </w:trPr>
        <w:tc>
          <w:tcPr>
            <w:tcW w:w="3540" w:type="dxa"/>
            <w:vAlign w:val="bottom"/>
            <w:vMerge w:val="restart"/>
          </w:tcPr>
          <w:p>
            <w:pPr>
              <w:ind w:left="100"/>
              <w:spacing w:after="0"/>
              <w:rPr>
                <w:sz w:val="20"/>
                <w:szCs w:val="20"/>
                <w:color w:val="auto"/>
              </w:rPr>
            </w:pPr>
            <w:r>
              <w:rPr>
                <w:rFonts w:ascii="Arial" w:cs="Arial" w:eastAsia="Arial" w:hAnsi="Arial"/>
                <w:sz w:val="22"/>
                <w:szCs w:val="22"/>
                <w:b w:val="1"/>
                <w:bCs w:val="1"/>
                <w:color w:val="auto"/>
              </w:rPr>
              <w:t>Principal Accounting Officer:</w:t>
            </w:r>
          </w:p>
        </w:tc>
        <w:tc>
          <w:tcPr>
            <w:tcW w:w="3240" w:type="dxa"/>
            <w:vAlign w:val="bottom"/>
          </w:tcPr>
          <w:p>
            <w:pPr>
              <w:spacing w:after="0"/>
              <w:rPr>
                <w:sz w:val="7"/>
                <w:szCs w:val="7"/>
                <w:color w:val="auto"/>
              </w:rPr>
            </w:pPr>
          </w:p>
        </w:tc>
        <w:tc>
          <w:tcPr>
            <w:tcW w:w="22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05"/>
        </w:trPr>
        <w:tc>
          <w:tcPr>
            <w:tcW w:w="3540" w:type="dxa"/>
            <w:vAlign w:val="bottom"/>
            <w:vMerge w:val="continue"/>
          </w:tcPr>
          <w:p>
            <w:pPr>
              <w:spacing w:after="0"/>
              <w:rPr>
                <w:sz w:val="24"/>
                <w:szCs w:val="24"/>
                <w:color w:val="auto"/>
              </w:rPr>
            </w:pPr>
          </w:p>
        </w:tc>
        <w:tc>
          <w:tcPr>
            <w:tcW w:w="3240" w:type="dxa"/>
            <w:vAlign w:val="bottom"/>
            <w:shd w:val="clear" w:color="auto" w:fill="000000"/>
          </w:tcPr>
          <w:p>
            <w:pPr>
              <w:spacing w:after="0"/>
              <w:rPr>
                <w:sz w:val="24"/>
                <w:szCs w:val="24"/>
                <w:color w:val="auto"/>
              </w:rPr>
            </w:pPr>
          </w:p>
        </w:tc>
        <w:tc>
          <w:tcPr>
            <w:tcW w:w="2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1"/>
        </w:trPr>
        <w:tc>
          <w:tcPr>
            <w:tcW w:w="3540" w:type="dxa"/>
            <w:vAlign w:val="bottom"/>
            <w:vMerge w:val="continue"/>
          </w:tcPr>
          <w:p>
            <w:pPr>
              <w:spacing w:after="0"/>
              <w:rPr>
                <w:sz w:val="24"/>
                <w:szCs w:val="24"/>
                <w:color w:val="auto"/>
              </w:rPr>
            </w:pPr>
          </w:p>
        </w:tc>
        <w:tc>
          <w:tcPr>
            <w:tcW w:w="324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540" w:type="dxa"/>
            <w:vAlign w:val="bottom"/>
          </w:tcPr>
          <w:p>
            <w:pPr>
              <w:ind w:left="100"/>
              <w:spacing w:after="0" w:line="243" w:lineRule="exact"/>
              <w:rPr>
                <w:sz w:val="20"/>
                <w:szCs w:val="20"/>
                <w:color w:val="auto"/>
              </w:rPr>
            </w:pPr>
            <w:r>
              <w:rPr>
                <w:rFonts w:ascii="Arial" w:cs="Arial" w:eastAsia="Arial" w:hAnsi="Arial"/>
                <w:sz w:val="22"/>
                <w:szCs w:val="22"/>
                <w:color w:val="auto"/>
              </w:rPr>
              <w:t>Robert M. Schlax</w:t>
            </w:r>
          </w:p>
        </w:tc>
        <w:tc>
          <w:tcPr>
            <w:tcW w:w="3240" w:type="dxa"/>
            <w:vAlign w:val="bottom"/>
          </w:tcPr>
          <w:p>
            <w:pPr>
              <w:spacing w:after="0"/>
              <w:rPr>
                <w:sz w:val="21"/>
                <w:szCs w:val="21"/>
                <w:color w:val="auto"/>
              </w:rPr>
            </w:pPr>
          </w:p>
        </w:tc>
        <w:tc>
          <w:tcPr>
            <w:tcW w:w="2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540" w:type="dxa"/>
            <w:vAlign w:val="bottom"/>
          </w:tcPr>
          <w:p>
            <w:pPr>
              <w:ind w:left="100"/>
              <w:spacing w:after="0" w:line="243" w:lineRule="exact"/>
              <w:rPr>
                <w:sz w:val="20"/>
                <w:szCs w:val="20"/>
                <w:color w:val="auto"/>
              </w:rPr>
            </w:pPr>
            <w:r>
              <w:rPr>
                <w:rFonts w:ascii="Arial" w:cs="Arial" w:eastAsia="Arial" w:hAnsi="Arial"/>
                <w:sz w:val="22"/>
                <w:szCs w:val="22"/>
                <w:color w:val="auto"/>
              </w:rPr>
              <w:t>Vice President, Controller and</w:t>
            </w:r>
          </w:p>
        </w:tc>
        <w:tc>
          <w:tcPr>
            <w:tcW w:w="3240" w:type="dxa"/>
            <w:vAlign w:val="bottom"/>
          </w:tcPr>
          <w:p>
            <w:pPr>
              <w:spacing w:after="0"/>
              <w:rPr>
                <w:sz w:val="21"/>
                <w:szCs w:val="21"/>
                <w:color w:val="auto"/>
              </w:rPr>
            </w:pPr>
          </w:p>
        </w:tc>
        <w:tc>
          <w:tcPr>
            <w:tcW w:w="2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5"/>
        </w:trPr>
        <w:tc>
          <w:tcPr>
            <w:tcW w:w="3540" w:type="dxa"/>
            <w:vAlign w:val="bottom"/>
          </w:tcPr>
          <w:p>
            <w:pPr>
              <w:ind w:left="100"/>
              <w:spacing w:after="0"/>
              <w:rPr>
                <w:sz w:val="20"/>
                <w:szCs w:val="20"/>
                <w:color w:val="auto"/>
              </w:rPr>
            </w:pPr>
            <w:r>
              <w:rPr>
                <w:rFonts w:ascii="Arial" w:cs="Arial" w:eastAsia="Arial" w:hAnsi="Arial"/>
                <w:sz w:val="22"/>
                <w:szCs w:val="22"/>
                <w:color w:val="auto"/>
              </w:rPr>
              <w:t>Chief Accounting Officer</w:t>
            </w:r>
          </w:p>
        </w:tc>
        <w:tc>
          <w:tcPr>
            <w:tcW w:w="3240" w:type="dxa"/>
            <w:vAlign w:val="bottom"/>
          </w:tcPr>
          <w:p>
            <w:pPr>
              <w:ind w:left="80"/>
              <w:spacing w:after="0"/>
              <w:rPr>
                <w:sz w:val="20"/>
                <w:szCs w:val="20"/>
                <w:color w:val="auto"/>
              </w:rPr>
            </w:pPr>
            <w:r>
              <w:rPr>
                <w:rFonts w:ascii="Arial" w:cs="Arial" w:eastAsia="Arial" w:hAnsi="Arial"/>
                <w:sz w:val="22"/>
                <w:szCs w:val="22"/>
                <w:color w:val="auto"/>
              </w:rPr>
              <w:t>/s/ Robert M. Schlax</w:t>
            </w:r>
          </w:p>
        </w:tc>
        <w:tc>
          <w:tcPr>
            <w:tcW w:w="2240" w:type="dxa"/>
            <w:vAlign w:val="bottom"/>
          </w:tcPr>
          <w:p>
            <w:pPr>
              <w:ind w:left="80"/>
              <w:spacing w:after="0"/>
              <w:rPr>
                <w:sz w:val="20"/>
                <w:szCs w:val="20"/>
                <w:color w:val="auto"/>
              </w:rPr>
            </w:pPr>
            <w:r>
              <w:rPr>
                <w:rFonts w:ascii="Arial" w:cs="Arial" w:eastAsia="Arial" w:hAnsi="Arial"/>
                <w:sz w:val="22"/>
                <w:szCs w:val="22"/>
                <w:color w:val="auto"/>
              </w:rPr>
              <w:t>February 13, 2006</w:t>
            </w:r>
          </w:p>
        </w:tc>
        <w:tc>
          <w:tcPr>
            <w:tcW w:w="0" w:type="dxa"/>
            <w:vAlign w:val="bottom"/>
          </w:tcPr>
          <w:p>
            <w:pPr>
              <w:spacing w:after="0"/>
              <w:rPr>
                <w:sz w:val="1"/>
                <w:szCs w:val="1"/>
                <w:color w:val="auto"/>
              </w:rPr>
            </w:pPr>
          </w:p>
        </w:tc>
      </w:tr>
      <w:tr>
        <w:trPr>
          <w:trHeight w:val="85"/>
        </w:trPr>
        <w:tc>
          <w:tcPr>
            <w:tcW w:w="3540" w:type="dxa"/>
            <w:vAlign w:val="bottom"/>
            <w:vMerge w:val="restart"/>
          </w:tcPr>
          <w:p>
            <w:pPr>
              <w:ind w:left="100"/>
              <w:spacing w:after="0"/>
              <w:rPr>
                <w:sz w:val="20"/>
                <w:szCs w:val="20"/>
                <w:color w:val="auto"/>
              </w:rPr>
            </w:pPr>
            <w:r>
              <w:rPr>
                <w:rFonts w:ascii="Arial" w:cs="Arial" w:eastAsia="Arial" w:hAnsi="Arial"/>
                <w:sz w:val="22"/>
                <w:szCs w:val="22"/>
                <w:b w:val="1"/>
                <w:bCs w:val="1"/>
                <w:color w:val="auto"/>
              </w:rPr>
              <w:t>Directors:</w:t>
            </w:r>
          </w:p>
        </w:tc>
        <w:tc>
          <w:tcPr>
            <w:tcW w:w="3240" w:type="dxa"/>
            <w:vAlign w:val="bottom"/>
          </w:tcPr>
          <w:p>
            <w:pPr>
              <w:spacing w:after="0"/>
              <w:rPr>
                <w:sz w:val="7"/>
                <w:szCs w:val="7"/>
                <w:color w:val="auto"/>
              </w:rPr>
            </w:pPr>
          </w:p>
        </w:tc>
        <w:tc>
          <w:tcPr>
            <w:tcW w:w="22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05"/>
        </w:trPr>
        <w:tc>
          <w:tcPr>
            <w:tcW w:w="3540" w:type="dxa"/>
            <w:vAlign w:val="bottom"/>
            <w:vMerge w:val="continue"/>
          </w:tcPr>
          <w:p>
            <w:pPr>
              <w:spacing w:after="0"/>
              <w:rPr>
                <w:sz w:val="24"/>
                <w:szCs w:val="24"/>
                <w:color w:val="auto"/>
              </w:rPr>
            </w:pPr>
          </w:p>
        </w:tc>
        <w:tc>
          <w:tcPr>
            <w:tcW w:w="3240" w:type="dxa"/>
            <w:vAlign w:val="bottom"/>
            <w:shd w:val="clear" w:color="auto" w:fill="000000"/>
          </w:tcPr>
          <w:p>
            <w:pPr>
              <w:spacing w:after="0"/>
              <w:rPr>
                <w:sz w:val="24"/>
                <w:szCs w:val="24"/>
                <w:color w:val="auto"/>
              </w:rPr>
            </w:pPr>
          </w:p>
        </w:tc>
        <w:tc>
          <w:tcPr>
            <w:tcW w:w="2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80"/>
        </w:trPr>
        <w:tc>
          <w:tcPr>
            <w:tcW w:w="3540" w:type="dxa"/>
            <w:vAlign w:val="bottom"/>
            <w:vMerge w:val="continue"/>
          </w:tcPr>
          <w:p>
            <w:pPr>
              <w:spacing w:after="0"/>
              <w:rPr>
                <w:sz w:val="24"/>
                <w:szCs w:val="24"/>
                <w:color w:val="auto"/>
              </w:rPr>
            </w:pPr>
          </w:p>
        </w:tc>
        <w:tc>
          <w:tcPr>
            <w:tcW w:w="324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3540" w:type="dxa"/>
            <w:vAlign w:val="bottom"/>
          </w:tcPr>
          <w:p>
            <w:pPr>
              <w:ind w:left="100"/>
              <w:spacing w:after="0"/>
              <w:rPr>
                <w:sz w:val="20"/>
                <w:szCs w:val="20"/>
                <w:color w:val="auto"/>
              </w:rPr>
            </w:pPr>
            <w:r>
              <w:rPr>
                <w:rFonts w:ascii="Arial" w:cs="Arial" w:eastAsia="Arial" w:hAnsi="Arial"/>
                <w:sz w:val="22"/>
                <w:szCs w:val="22"/>
                <w:color w:val="auto"/>
              </w:rPr>
              <w:t>Edwin A. Guiles, Chairman</w:t>
            </w:r>
          </w:p>
        </w:tc>
        <w:tc>
          <w:tcPr>
            <w:tcW w:w="3240" w:type="dxa"/>
            <w:vAlign w:val="bottom"/>
          </w:tcPr>
          <w:p>
            <w:pPr>
              <w:ind w:left="80"/>
              <w:spacing w:after="0"/>
              <w:rPr>
                <w:sz w:val="20"/>
                <w:szCs w:val="20"/>
                <w:color w:val="auto"/>
              </w:rPr>
            </w:pPr>
            <w:r>
              <w:rPr>
                <w:rFonts w:ascii="Arial" w:cs="Arial" w:eastAsia="Arial" w:hAnsi="Arial"/>
                <w:sz w:val="22"/>
                <w:szCs w:val="22"/>
                <w:color w:val="auto"/>
              </w:rPr>
              <w:t>/s/ Edwin A. Guiles</w:t>
            </w:r>
          </w:p>
        </w:tc>
        <w:tc>
          <w:tcPr>
            <w:tcW w:w="2240" w:type="dxa"/>
            <w:vAlign w:val="bottom"/>
          </w:tcPr>
          <w:p>
            <w:pPr>
              <w:ind w:left="80"/>
              <w:spacing w:after="0"/>
              <w:rPr>
                <w:sz w:val="20"/>
                <w:szCs w:val="20"/>
                <w:color w:val="auto"/>
              </w:rPr>
            </w:pPr>
            <w:r>
              <w:rPr>
                <w:rFonts w:ascii="Arial" w:cs="Arial" w:eastAsia="Arial" w:hAnsi="Arial"/>
                <w:sz w:val="22"/>
                <w:szCs w:val="22"/>
                <w:color w:val="auto"/>
              </w:rPr>
              <w:t>February 13, 2006</w:t>
            </w:r>
          </w:p>
        </w:tc>
        <w:tc>
          <w:tcPr>
            <w:tcW w:w="0" w:type="dxa"/>
            <w:vAlign w:val="bottom"/>
          </w:tcPr>
          <w:p>
            <w:pPr>
              <w:spacing w:after="0"/>
              <w:rPr>
                <w:sz w:val="1"/>
                <w:szCs w:val="1"/>
                <w:color w:val="auto"/>
              </w:rPr>
            </w:pPr>
          </w:p>
        </w:tc>
      </w:tr>
      <w:tr>
        <w:trPr>
          <w:trHeight w:val="85"/>
        </w:trPr>
        <w:tc>
          <w:tcPr>
            <w:tcW w:w="3540" w:type="dxa"/>
            <w:vAlign w:val="bottom"/>
          </w:tcPr>
          <w:p>
            <w:pPr>
              <w:spacing w:after="0"/>
              <w:rPr>
                <w:sz w:val="7"/>
                <w:szCs w:val="7"/>
                <w:color w:val="auto"/>
              </w:rPr>
            </w:pPr>
          </w:p>
        </w:tc>
        <w:tc>
          <w:tcPr>
            <w:tcW w:w="3240" w:type="dxa"/>
            <w:vAlign w:val="bottom"/>
          </w:tcPr>
          <w:p>
            <w:pPr>
              <w:spacing w:after="0"/>
              <w:rPr>
                <w:sz w:val="7"/>
                <w:szCs w:val="7"/>
                <w:color w:val="auto"/>
              </w:rPr>
            </w:pPr>
          </w:p>
        </w:tc>
        <w:tc>
          <w:tcPr>
            <w:tcW w:w="22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2"/>
        </w:trPr>
        <w:tc>
          <w:tcPr>
            <w:tcW w:w="3540" w:type="dxa"/>
            <w:vAlign w:val="bottom"/>
          </w:tcPr>
          <w:p>
            <w:pPr>
              <w:spacing w:after="0"/>
              <w:rPr>
                <w:sz w:val="20"/>
                <w:szCs w:val="20"/>
                <w:color w:val="auto"/>
              </w:rPr>
            </w:pPr>
          </w:p>
        </w:tc>
        <w:tc>
          <w:tcPr>
            <w:tcW w:w="3240" w:type="dxa"/>
            <w:vAlign w:val="bottom"/>
            <w:shd w:val="clear" w:color="auto" w:fill="000000"/>
          </w:tcPr>
          <w:p>
            <w:pPr>
              <w:spacing w:after="0"/>
              <w:rPr>
                <w:sz w:val="20"/>
                <w:szCs w:val="20"/>
                <w:color w:val="auto"/>
              </w:rPr>
            </w:pPr>
          </w:p>
        </w:tc>
        <w:tc>
          <w:tcPr>
            <w:tcW w:w="22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ectPr>
          <w:pgSz w:w="11900" w:h="16900" w:orient="portrait"/>
          <w:cols w:equalWidth="0" w:num="1">
            <w:col w:w="10219"/>
          </w:cols>
          <w:pgMar w:left="240" w:top="118" w:right="1440" w:bottom="0" w:gutter="0" w:footer="0" w:header="0"/>
        </w:sectPr>
      </w:pPr>
    </w:p>
    <w:bookmarkStart w:id="55" w:name="page56"/>
    <w:bookmarkEnd w:id="55"/>
    <w:p>
      <w:pPr>
        <w:spacing w:after="0"/>
        <w:tabs>
          <w:tab w:leader="none" w:pos="3500" w:val="left"/>
          <w:tab w:leader="none" w:pos="6740" w:val="left"/>
        </w:tabs>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2395855</wp:posOffset>
            </wp:positionH>
            <wp:positionV relativeFrom="page">
              <wp:posOffset>88900</wp:posOffset>
            </wp:positionV>
            <wp:extent cx="2058035" cy="6032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2058035" cy="60325"/>
                    </a:xfrm>
                    <a:prstGeom prst="rect">
                      <a:avLst/>
                    </a:prstGeom>
                    <a:noFill/>
                  </pic:spPr>
                </pic:pic>
              </a:graphicData>
            </a:graphic>
          </wp:anchor>
        </w:drawing>
        <w:t>Debra L. Reed, Director</w:t>
      </w:r>
      <w:r>
        <w:rPr>
          <w:sz w:val="20"/>
          <w:szCs w:val="20"/>
          <w:color w:val="auto"/>
        </w:rPr>
        <w:tab/>
      </w:r>
      <w:r>
        <w:rPr>
          <w:rFonts w:ascii="Arial" w:cs="Arial" w:eastAsia="Arial" w:hAnsi="Arial"/>
          <w:sz w:val="22"/>
          <w:szCs w:val="22"/>
          <w:color w:val="auto"/>
        </w:rPr>
        <w:t>/s/ Debra L. Reed</w:t>
      </w:r>
      <w:r>
        <w:rPr>
          <w:sz w:val="20"/>
          <w:szCs w:val="20"/>
          <w:color w:val="auto"/>
        </w:rPr>
        <w:tab/>
      </w:r>
      <w:r>
        <w:rPr>
          <w:rFonts w:ascii="Arial" w:cs="Arial" w:eastAsia="Arial" w:hAnsi="Arial"/>
          <w:sz w:val="19"/>
          <w:szCs w:val="19"/>
          <w:color w:val="auto"/>
        </w:rPr>
        <w:t>February 13, 2006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2179955</wp:posOffset>
            </wp:positionH>
            <wp:positionV relativeFrom="paragraph">
              <wp:posOffset>67310</wp:posOffset>
            </wp:positionV>
            <wp:extent cx="2058035" cy="25717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2058035" cy="2571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tabs>
          <w:tab w:leader="none" w:pos="3500" w:val="left"/>
          <w:tab w:leader="none" w:pos="6740" w:val="left"/>
        </w:tabs>
        <w:rPr>
          <w:sz w:val="20"/>
          <w:szCs w:val="20"/>
          <w:color w:val="auto"/>
        </w:rPr>
      </w:pPr>
      <w:r>
        <w:rPr>
          <w:rFonts w:ascii="Arial" w:cs="Arial" w:eastAsia="Arial" w:hAnsi="Arial"/>
          <w:sz w:val="22"/>
          <w:szCs w:val="22"/>
          <w:color w:val="auto"/>
        </w:rPr>
        <w:t>Frank H. Ault, Director</w:t>
      </w:r>
      <w:r>
        <w:rPr>
          <w:sz w:val="20"/>
          <w:szCs w:val="20"/>
          <w:color w:val="auto"/>
        </w:rPr>
        <w:tab/>
      </w:r>
      <w:r>
        <w:rPr>
          <w:rFonts w:ascii="Arial" w:cs="Arial" w:eastAsia="Arial" w:hAnsi="Arial"/>
          <w:sz w:val="22"/>
          <w:szCs w:val="22"/>
          <w:color w:val="auto"/>
        </w:rPr>
        <w:t>/s/ Frank H. Ault</w:t>
      </w:r>
      <w:r>
        <w:rPr>
          <w:sz w:val="20"/>
          <w:szCs w:val="20"/>
          <w:color w:val="auto"/>
        </w:rPr>
        <w:tab/>
      </w:r>
      <w:r>
        <w:rPr>
          <w:rFonts w:ascii="Arial" w:cs="Arial" w:eastAsia="Arial" w:hAnsi="Arial"/>
          <w:sz w:val="19"/>
          <w:szCs w:val="19"/>
          <w:color w:val="auto"/>
        </w:rPr>
        <w:t>February 13, 2006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2179955</wp:posOffset>
            </wp:positionH>
            <wp:positionV relativeFrom="paragraph">
              <wp:posOffset>67310</wp:posOffset>
            </wp:positionV>
            <wp:extent cx="2058035" cy="25717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2058035" cy="257175"/>
                    </a:xfrm>
                    <a:prstGeom prst="rect">
                      <a:avLst/>
                    </a:prstGeom>
                    <a:noFill/>
                  </pic:spPr>
                </pic:pic>
              </a:graphicData>
            </a:graphic>
          </wp:anchor>
        </w:drawing>
        <w:drawing>
          <wp:anchor simplePos="0" relativeHeight="251657728" behindDoc="1" locked="0" layoutInCell="0" allowOverlap="1">
            <wp:simplePos x="0" y="0"/>
            <wp:positionH relativeFrom="column">
              <wp:posOffset>-70485</wp:posOffset>
            </wp:positionH>
            <wp:positionV relativeFrom="paragraph">
              <wp:posOffset>1692910</wp:posOffset>
            </wp:positionV>
            <wp:extent cx="72720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60"/>
        <w:spacing w:after="0"/>
        <w:rPr>
          <w:sz w:val="20"/>
          <w:szCs w:val="20"/>
          <w:color w:val="auto"/>
        </w:rPr>
      </w:pPr>
      <w:r>
        <w:rPr>
          <w:rFonts w:ascii="Arial" w:cs="Arial" w:eastAsia="Arial" w:hAnsi="Arial"/>
          <w:sz w:val="22"/>
          <w:szCs w:val="22"/>
          <w:b w:val="1"/>
          <w:bCs w:val="1"/>
          <w:color w:val="auto"/>
        </w:rPr>
        <w:t>EXHIBIT INDEX</w:t>
      </w:r>
    </w:p>
    <w:p>
      <w:pPr>
        <w:spacing w:after="0" w:line="212" w:lineRule="exact"/>
        <w:rPr>
          <w:sz w:val="20"/>
          <w:szCs w:val="20"/>
          <w:color w:val="auto"/>
        </w:rPr>
      </w:pPr>
    </w:p>
    <w:p>
      <w:pPr>
        <w:jc w:val="both"/>
        <w:ind w:left="980" w:right="160"/>
        <w:spacing w:after="0"/>
        <w:rPr>
          <w:sz w:val="20"/>
          <w:szCs w:val="20"/>
          <w:color w:val="auto"/>
        </w:rPr>
      </w:pPr>
      <w:r>
        <w:rPr>
          <w:rFonts w:ascii="Arial" w:cs="Arial" w:eastAsia="Arial" w:hAnsi="Arial"/>
          <w:sz w:val="22"/>
          <w:szCs w:val="22"/>
          <w:color w:val="auto"/>
        </w:rPr>
        <w:t>The Forms S-8, 8-K, 10-K and 10-Q referred to herein were filed under Commission File Number 1-3779 (SDG&amp;E), Commission File Number 1-11439 (Enova Corporation), Commission File Number 1-14201 (Sempra Energy) and/or Commission File Number 333-30761, (SDG&amp;E Funding LLC).</w:t>
      </w:r>
    </w:p>
    <w:p>
      <w:pPr>
        <w:spacing w:after="0" w:line="180" w:lineRule="exact"/>
        <w:rPr>
          <w:sz w:val="20"/>
          <w:szCs w:val="20"/>
          <w:color w:val="auto"/>
        </w:rPr>
      </w:pPr>
    </w:p>
    <w:p>
      <w:pPr>
        <w:ind w:left="980"/>
        <w:spacing w:after="0"/>
        <w:rPr>
          <w:sz w:val="20"/>
          <w:szCs w:val="20"/>
          <w:color w:val="auto"/>
        </w:rPr>
      </w:pPr>
      <w:r>
        <w:rPr>
          <w:rFonts w:ascii="Arial" w:cs="Arial" w:eastAsia="Arial" w:hAnsi="Arial"/>
          <w:sz w:val="22"/>
          <w:szCs w:val="22"/>
          <w:b w:val="1"/>
          <w:bCs w:val="1"/>
          <w:color w:val="auto"/>
        </w:rPr>
        <w:t>Exhibit 1 -- Underwriting Agreements</w:t>
      </w:r>
    </w:p>
    <w:p>
      <w:pPr>
        <w:spacing w:after="0" w:line="212" w:lineRule="exact"/>
        <w:rPr>
          <w:sz w:val="20"/>
          <w:szCs w:val="20"/>
          <w:color w:val="auto"/>
        </w:rPr>
      </w:pPr>
    </w:p>
    <w:p>
      <w:pPr>
        <w:ind w:left="980"/>
        <w:spacing w:after="0"/>
        <w:rPr>
          <w:sz w:val="20"/>
          <w:szCs w:val="20"/>
          <w:color w:val="auto"/>
        </w:rPr>
      </w:pPr>
      <w:r>
        <w:rPr>
          <w:rFonts w:ascii="Arial" w:cs="Arial" w:eastAsia="Arial" w:hAnsi="Arial"/>
          <w:sz w:val="22"/>
          <w:szCs w:val="22"/>
          <w:color w:val="auto"/>
        </w:rPr>
        <w:t>1.01 Underwriting Agreement dated December 4, 1997 (Incorporated by reference from</w:t>
      </w:r>
    </w:p>
    <w:p>
      <w:pPr>
        <w:spacing w:after="0" w:line="206" w:lineRule="exact"/>
        <w:rPr>
          <w:sz w:val="20"/>
          <w:szCs w:val="20"/>
          <w:color w:val="auto"/>
        </w:rPr>
      </w:pPr>
    </w:p>
    <w:p>
      <w:pPr>
        <w:ind w:left="980"/>
        <w:spacing w:after="0"/>
        <w:rPr>
          <w:sz w:val="20"/>
          <w:szCs w:val="20"/>
          <w:color w:val="auto"/>
        </w:rPr>
      </w:pPr>
      <w:r>
        <w:rPr>
          <w:rFonts w:ascii="Arial" w:cs="Arial" w:eastAsia="Arial" w:hAnsi="Arial"/>
          <w:sz w:val="22"/>
          <w:szCs w:val="22"/>
          <w:color w:val="auto"/>
        </w:rPr>
        <w:t>Form 8-K filed by SDG&amp;E Funding LLC on December 23, 1997 (Exhibit 1.1)).</w:t>
      </w:r>
    </w:p>
    <w:p>
      <w:pPr>
        <w:spacing w:after="0" w:line="200" w:lineRule="exact"/>
        <w:rPr>
          <w:sz w:val="20"/>
          <w:szCs w:val="20"/>
          <w:color w:val="auto"/>
        </w:rPr>
      </w:pPr>
    </w:p>
    <w:p>
      <w:pPr>
        <w:ind w:left="980"/>
        <w:spacing w:after="0"/>
        <w:rPr>
          <w:sz w:val="20"/>
          <w:szCs w:val="20"/>
          <w:color w:val="auto"/>
        </w:rPr>
      </w:pPr>
      <w:r>
        <w:rPr>
          <w:rFonts w:ascii="Arial" w:cs="Arial" w:eastAsia="Arial" w:hAnsi="Arial"/>
          <w:sz w:val="22"/>
          <w:szCs w:val="22"/>
          <w:b w:val="1"/>
          <w:bCs w:val="1"/>
          <w:color w:val="auto"/>
        </w:rPr>
        <w:t>Exhibit 3 -- Bylaws and Articles of Incorporation</w:t>
      </w:r>
    </w:p>
    <w:p>
      <w:pPr>
        <w:spacing w:after="0" w:line="206" w:lineRule="exact"/>
        <w:rPr>
          <w:sz w:val="20"/>
          <w:szCs w:val="20"/>
          <w:color w:val="auto"/>
        </w:rPr>
      </w:pPr>
    </w:p>
    <w:p>
      <w:pPr>
        <w:ind w:left="980"/>
        <w:spacing w:after="0"/>
        <w:rPr>
          <w:sz w:val="20"/>
          <w:szCs w:val="20"/>
          <w:color w:val="auto"/>
        </w:rPr>
      </w:pPr>
      <w:r>
        <w:rPr>
          <w:rFonts w:ascii="Arial" w:cs="Arial" w:eastAsia="Arial" w:hAnsi="Arial"/>
          <w:sz w:val="22"/>
          <w:szCs w:val="22"/>
          <w:b w:val="1"/>
          <w:bCs w:val="1"/>
          <w:color w:val="auto"/>
        </w:rPr>
        <w:t>Bylaws</w:t>
      </w:r>
    </w:p>
    <w:p>
      <w:pPr>
        <w:spacing w:after="0" w:line="212" w:lineRule="exact"/>
        <w:rPr>
          <w:sz w:val="20"/>
          <w:szCs w:val="20"/>
          <w:color w:val="auto"/>
        </w:rPr>
      </w:pPr>
    </w:p>
    <w:p>
      <w:pPr>
        <w:ind w:left="980"/>
        <w:spacing w:after="0"/>
        <w:rPr>
          <w:sz w:val="20"/>
          <w:szCs w:val="20"/>
          <w:color w:val="auto"/>
        </w:rPr>
      </w:pPr>
      <w:r>
        <w:rPr>
          <w:rFonts w:ascii="Arial" w:cs="Arial" w:eastAsia="Arial" w:hAnsi="Arial"/>
          <w:sz w:val="21"/>
          <w:szCs w:val="21"/>
          <w:color w:val="auto"/>
        </w:rPr>
        <w:t>3.01 Restated Bylaws of San Diego Gas &amp; Electric as of November 6, 2001. (2001 Form 10-K Exhibit 3.01)</w:t>
      </w:r>
    </w:p>
    <w:p>
      <w:pPr>
        <w:spacing w:after="0" w:line="212" w:lineRule="exact"/>
        <w:rPr>
          <w:sz w:val="20"/>
          <w:szCs w:val="20"/>
          <w:color w:val="auto"/>
        </w:rPr>
      </w:pPr>
    </w:p>
    <w:p>
      <w:pPr>
        <w:ind w:left="980"/>
        <w:spacing w:after="0"/>
        <w:rPr>
          <w:sz w:val="20"/>
          <w:szCs w:val="20"/>
          <w:color w:val="auto"/>
        </w:rPr>
      </w:pPr>
      <w:r>
        <w:rPr>
          <w:rFonts w:ascii="Arial" w:cs="Arial" w:eastAsia="Arial" w:hAnsi="Arial"/>
          <w:sz w:val="22"/>
          <w:szCs w:val="22"/>
          <w:b w:val="1"/>
          <w:bCs w:val="1"/>
          <w:color w:val="auto"/>
        </w:rPr>
        <w:t>Articles of Incorporation</w:t>
      </w:r>
    </w:p>
    <w:p>
      <w:pPr>
        <w:spacing w:after="0" w:line="212" w:lineRule="exact"/>
        <w:rPr>
          <w:sz w:val="20"/>
          <w:szCs w:val="20"/>
          <w:color w:val="auto"/>
        </w:rPr>
      </w:pPr>
    </w:p>
    <w:p>
      <w:pPr>
        <w:ind w:left="980" w:right="720"/>
        <w:spacing w:after="0" w:line="328" w:lineRule="auto"/>
        <w:rPr>
          <w:sz w:val="20"/>
          <w:szCs w:val="20"/>
          <w:color w:val="auto"/>
        </w:rPr>
      </w:pPr>
      <w:r>
        <w:rPr>
          <w:rFonts w:ascii="Arial" w:cs="Arial" w:eastAsia="Arial" w:hAnsi="Arial"/>
          <w:sz w:val="19"/>
          <w:szCs w:val="19"/>
          <w:color w:val="auto"/>
        </w:rPr>
        <w:t>3.02 Amended and Restated Articles of Incorporation of San Diego Gas &amp; Electric Company (Incorporated by reference from the SDG&amp;E Form 10-Q for the three months ended March 31, 1994 (Exhibit 3.1)).</w:t>
      </w:r>
    </w:p>
    <w:p>
      <w:pPr>
        <w:spacing w:after="0" w:line="99" w:lineRule="exact"/>
        <w:rPr>
          <w:sz w:val="20"/>
          <w:szCs w:val="20"/>
          <w:color w:val="auto"/>
        </w:rPr>
      </w:pPr>
    </w:p>
    <w:p>
      <w:pPr>
        <w:ind w:left="980" w:right="1980"/>
        <w:spacing w:after="0" w:line="507" w:lineRule="auto"/>
        <w:rPr>
          <w:sz w:val="20"/>
          <w:szCs w:val="20"/>
          <w:color w:val="auto"/>
        </w:rPr>
      </w:pPr>
      <w:r>
        <w:rPr>
          <w:rFonts w:ascii="Arial" w:cs="Arial" w:eastAsia="Arial" w:hAnsi="Arial"/>
          <w:sz w:val="19"/>
          <w:szCs w:val="19"/>
          <w:b w:val="1"/>
          <w:bCs w:val="1"/>
          <w:color w:val="auto"/>
        </w:rPr>
        <w:t xml:space="preserve">Exhibit 4 -- Instruments Defining the Rights of Security Holders, Including Indentures </w:t>
      </w:r>
      <w:r>
        <w:rPr>
          <w:rFonts w:ascii="Arial" w:cs="Arial" w:eastAsia="Arial" w:hAnsi="Arial"/>
          <w:sz w:val="19"/>
          <w:szCs w:val="19"/>
          <w:color w:val="auto"/>
        </w:rPr>
        <w:t>The company agrees to furnish a copy of each such instrument to the Commission upon request.</w:t>
      </w:r>
    </w:p>
    <w:p>
      <w:pPr>
        <w:spacing w:after="0" w:line="1" w:lineRule="exact"/>
        <w:rPr>
          <w:sz w:val="20"/>
          <w:szCs w:val="20"/>
          <w:color w:val="auto"/>
        </w:rPr>
      </w:pPr>
    </w:p>
    <w:p>
      <w:pPr>
        <w:ind w:left="980" w:right="60"/>
        <w:spacing w:after="0" w:line="251" w:lineRule="auto"/>
        <w:rPr>
          <w:sz w:val="20"/>
          <w:szCs w:val="20"/>
          <w:color w:val="auto"/>
        </w:rPr>
      </w:pPr>
      <w:r>
        <w:rPr>
          <w:rFonts w:ascii="Arial" w:cs="Arial" w:eastAsia="Arial" w:hAnsi="Arial"/>
          <w:sz w:val="22"/>
          <w:szCs w:val="22"/>
          <w:color w:val="auto"/>
        </w:rPr>
        <w:t>4.01 Mortgage and Deed of Trust dated July 1, 1940. (Incorporated by reference from SDG&amp;E Registration Statement No. 2-49810, Exhibit 2A.).</w:t>
      </w:r>
    </w:p>
    <w:p>
      <w:pPr>
        <w:spacing w:after="0" w:line="173" w:lineRule="exact"/>
        <w:rPr>
          <w:sz w:val="20"/>
          <w:szCs w:val="20"/>
          <w:color w:val="auto"/>
        </w:rPr>
      </w:pPr>
    </w:p>
    <w:p>
      <w:pPr>
        <w:ind w:left="980"/>
        <w:spacing w:after="0" w:line="251" w:lineRule="auto"/>
        <w:rPr>
          <w:sz w:val="20"/>
          <w:szCs w:val="20"/>
          <w:color w:val="auto"/>
        </w:rPr>
      </w:pPr>
      <w:r>
        <w:rPr>
          <w:rFonts w:ascii="Arial" w:cs="Arial" w:eastAsia="Arial" w:hAnsi="Arial"/>
          <w:sz w:val="22"/>
          <w:szCs w:val="22"/>
          <w:color w:val="auto"/>
        </w:rPr>
        <w:t>4.02 Second Supplemental Indenture dated as of March 1, 1948. (Incorporated by reference from SDG&amp;E Registration Statement No. 2-49810, Exhibit 2C).</w:t>
      </w:r>
    </w:p>
    <w:p>
      <w:pPr>
        <w:spacing w:after="0" w:line="173" w:lineRule="exact"/>
        <w:rPr>
          <w:sz w:val="20"/>
          <w:szCs w:val="20"/>
          <w:color w:val="auto"/>
        </w:rPr>
      </w:pPr>
    </w:p>
    <w:p>
      <w:pPr>
        <w:ind w:left="980" w:right="80"/>
        <w:spacing w:after="0" w:line="251" w:lineRule="auto"/>
        <w:rPr>
          <w:sz w:val="20"/>
          <w:szCs w:val="20"/>
          <w:color w:val="auto"/>
        </w:rPr>
      </w:pPr>
      <w:r>
        <w:rPr>
          <w:rFonts w:ascii="Arial" w:cs="Arial" w:eastAsia="Arial" w:hAnsi="Arial"/>
          <w:sz w:val="22"/>
          <w:szCs w:val="22"/>
          <w:color w:val="auto"/>
        </w:rPr>
        <w:t>4.03 Ninth Supplemental Indenture dated as of August 1, 1968. (Incorporated by reference from SDG&amp;E Registration Statement No. 2-68420, Exhibit 2D).</w:t>
      </w:r>
    </w:p>
    <w:p>
      <w:pPr>
        <w:spacing w:after="0" w:line="173" w:lineRule="exact"/>
        <w:rPr>
          <w:sz w:val="20"/>
          <w:szCs w:val="20"/>
          <w:color w:val="auto"/>
        </w:rPr>
      </w:pPr>
    </w:p>
    <w:p>
      <w:pPr>
        <w:ind w:left="980" w:right="940"/>
        <w:spacing w:after="0" w:line="251" w:lineRule="auto"/>
        <w:rPr>
          <w:sz w:val="20"/>
          <w:szCs w:val="20"/>
          <w:color w:val="auto"/>
        </w:rPr>
      </w:pPr>
      <w:r>
        <w:rPr>
          <w:rFonts w:ascii="Arial" w:cs="Arial" w:eastAsia="Arial" w:hAnsi="Arial"/>
          <w:sz w:val="22"/>
          <w:szCs w:val="22"/>
          <w:color w:val="auto"/>
        </w:rPr>
        <w:t>4.04 Tenth Supplemental Indenture dated as of December 1, 1968. (Incorporated by reference from SDG&amp;E Registration Statement No. 2-36042, Exhibit 2K).</w:t>
      </w:r>
    </w:p>
    <w:p>
      <w:pPr>
        <w:spacing w:after="0" w:line="173" w:lineRule="exact"/>
        <w:rPr>
          <w:sz w:val="20"/>
          <w:szCs w:val="20"/>
          <w:color w:val="auto"/>
        </w:rPr>
      </w:pPr>
    </w:p>
    <w:p>
      <w:pPr>
        <w:ind w:left="980" w:right="120"/>
        <w:spacing w:after="0" w:line="251" w:lineRule="auto"/>
        <w:rPr>
          <w:sz w:val="20"/>
          <w:szCs w:val="20"/>
          <w:color w:val="auto"/>
        </w:rPr>
      </w:pPr>
      <w:r>
        <w:rPr>
          <w:rFonts w:ascii="Arial" w:cs="Arial" w:eastAsia="Arial" w:hAnsi="Arial"/>
          <w:sz w:val="22"/>
          <w:szCs w:val="22"/>
          <w:color w:val="auto"/>
        </w:rPr>
        <w:t>4.05 Sixteenth Supplemental Indenture dated August 28, 1975. (Incorporated by reference from SDG&amp;E Registration Statement No. 2-68420, Exhibit 2E).</w:t>
      </w:r>
    </w:p>
    <w:p>
      <w:pPr>
        <w:spacing w:after="0" w:line="173" w:lineRule="exact"/>
        <w:rPr>
          <w:sz w:val="20"/>
          <w:szCs w:val="20"/>
          <w:color w:val="auto"/>
        </w:rPr>
      </w:pPr>
    </w:p>
    <w:p>
      <w:pPr>
        <w:ind w:left="980" w:right="1000"/>
        <w:spacing w:after="0" w:line="251" w:lineRule="auto"/>
        <w:rPr>
          <w:sz w:val="20"/>
          <w:szCs w:val="20"/>
          <w:color w:val="auto"/>
        </w:rPr>
      </w:pPr>
      <w:r>
        <w:rPr>
          <w:rFonts w:ascii="Arial" w:cs="Arial" w:eastAsia="Arial" w:hAnsi="Arial"/>
          <w:sz w:val="22"/>
          <w:szCs w:val="22"/>
          <w:color w:val="auto"/>
        </w:rPr>
        <w:t>4.06 Thirtieth Supplemental Indenture dated September 28, 1983. (Incorporated by reference from SDG&amp;E Registration Statement No. 33-34017, Exhibit 4.3).</w:t>
      </w:r>
    </w:p>
    <w:p>
      <w:pPr>
        <w:sectPr>
          <w:pgSz w:w="11900" w:h="16838" w:orient="portrait"/>
          <w:cols w:equalWidth="0" w:num="1">
            <w:col w:w="11280"/>
          </w:cols>
          <w:pgMar w:left="340" w:top="1144" w:right="279" w:bottom="0" w:gutter="0" w:footer="0" w:header="0"/>
        </w:sectPr>
      </w:pPr>
    </w:p>
    <w:bookmarkStart w:id="56" w:name="page57"/>
    <w:bookmarkEnd w:id="56"/>
    <w:p>
      <w:pPr>
        <w:spacing w:after="0" w:line="80" w:lineRule="exact"/>
        <w:rPr>
          <w:sz w:val="20"/>
          <w:szCs w:val="20"/>
          <w:color w:val="auto"/>
        </w:rPr>
      </w:pPr>
    </w:p>
    <w:p>
      <w:pPr>
        <w:spacing w:after="0"/>
        <w:rPr>
          <w:sz w:val="20"/>
          <w:szCs w:val="20"/>
          <w:color w:val="auto"/>
        </w:rPr>
      </w:pPr>
      <w:r>
        <w:rPr>
          <w:rFonts w:ascii="Arial" w:cs="Arial" w:eastAsia="Arial" w:hAnsi="Arial"/>
          <w:sz w:val="21"/>
          <w:szCs w:val="21"/>
          <w:color w:val="auto"/>
        </w:rPr>
        <w:t>4.07 Forty-Ninth Supplemental Indenture dated June 1, 2004. (2004 Sempra Energy Form 10-K, Exhibit 4.07).</w:t>
      </w:r>
    </w:p>
    <w:p>
      <w:pPr>
        <w:spacing w:after="0" w:line="218" w:lineRule="exact"/>
        <w:rPr>
          <w:sz w:val="20"/>
          <w:szCs w:val="20"/>
          <w:color w:val="auto"/>
        </w:rPr>
      </w:pPr>
    </w:p>
    <w:p>
      <w:pPr>
        <w:spacing w:after="0"/>
        <w:rPr>
          <w:sz w:val="20"/>
          <w:szCs w:val="20"/>
          <w:color w:val="auto"/>
        </w:rPr>
      </w:pPr>
      <w:r>
        <w:rPr>
          <w:rFonts w:ascii="Arial" w:cs="Arial" w:eastAsia="Arial" w:hAnsi="Arial"/>
          <w:sz w:val="22"/>
          <w:szCs w:val="22"/>
          <w:color w:val="auto"/>
        </w:rPr>
        <w:t>4.08 Fiftieth Supplemental Indenture Dated as of May 19, 2005. (8-K filed on May 19, 2005, Exhibit 4.1).</w:t>
      </w:r>
    </w:p>
    <w:p>
      <w:pPr>
        <w:spacing w:after="0" w:line="206" w:lineRule="exact"/>
        <w:rPr>
          <w:sz w:val="20"/>
          <w:szCs w:val="20"/>
          <w:color w:val="auto"/>
        </w:rPr>
      </w:pPr>
    </w:p>
    <w:p>
      <w:pPr>
        <w:spacing w:after="0"/>
        <w:rPr>
          <w:sz w:val="20"/>
          <w:szCs w:val="20"/>
          <w:color w:val="auto"/>
        </w:rPr>
      </w:pPr>
      <w:r>
        <w:rPr>
          <w:rFonts w:ascii="Arial" w:cs="Arial" w:eastAsia="Arial" w:hAnsi="Arial"/>
          <w:sz w:val="19"/>
          <w:szCs w:val="19"/>
          <w:color w:val="auto"/>
        </w:rPr>
        <w:t>4.09 Fifty-First Supplemental Indenture Dated as of November 17, 2005. (8-K filed on November 17, 2005, Exhibit</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4.1).</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Exhibit 10 -- Material Contracts</w:t>
      </w:r>
    </w:p>
    <w:p>
      <w:pPr>
        <w:spacing w:after="0" w:line="212" w:lineRule="exact"/>
        <w:rPr>
          <w:sz w:val="20"/>
          <w:szCs w:val="20"/>
          <w:color w:val="auto"/>
        </w:rPr>
      </w:pPr>
    </w:p>
    <w:p>
      <w:pPr>
        <w:ind w:right="620"/>
        <w:spacing w:after="0" w:line="251" w:lineRule="auto"/>
        <w:rPr>
          <w:sz w:val="20"/>
          <w:szCs w:val="20"/>
          <w:color w:val="auto"/>
        </w:rPr>
      </w:pPr>
      <w:r>
        <w:rPr>
          <w:rFonts w:ascii="Arial" w:cs="Arial" w:eastAsia="Arial" w:hAnsi="Arial"/>
          <w:sz w:val="22"/>
          <w:szCs w:val="22"/>
          <w:color w:val="auto"/>
        </w:rPr>
        <w:t>10.01 Form of Continental Forge and California Class Action Price Reporting Settlement Agreement dated as of January 4, 2006 (8-K filed on January 5, 2006, Exhibit 99.1)</w:t>
      </w:r>
    </w:p>
    <w:p>
      <w:pPr>
        <w:spacing w:after="0" w:line="173" w:lineRule="exact"/>
        <w:rPr>
          <w:sz w:val="20"/>
          <w:szCs w:val="20"/>
          <w:color w:val="auto"/>
        </w:rPr>
      </w:pPr>
    </w:p>
    <w:p>
      <w:pPr>
        <w:ind w:right="480"/>
        <w:spacing w:after="0" w:line="251" w:lineRule="auto"/>
        <w:rPr>
          <w:sz w:val="20"/>
          <w:szCs w:val="20"/>
          <w:color w:val="auto"/>
        </w:rPr>
      </w:pPr>
      <w:r>
        <w:rPr>
          <w:rFonts w:ascii="Arial" w:cs="Arial" w:eastAsia="Arial" w:hAnsi="Arial"/>
          <w:sz w:val="22"/>
          <w:szCs w:val="22"/>
          <w:color w:val="auto"/>
        </w:rPr>
        <w:t>10.02 Form of Nevada Antitrust Settlement Agreement dated as of January 4, 2006 (8-K filed on January 5, 2006, Exhibit 99.2)</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color w:val="auto"/>
        </w:rPr>
        <w:t>10.03 Text of Stipulation in Continental Forge Litigation (8-K filed on September 9, 2005, Exhibit 99.1)</w:t>
      </w:r>
    </w:p>
    <w:p>
      <w:pPr>
        <w:spacing w:after="0" w:line="206" w:lineRule="exact"/>
        <w:rPr>
          <w:sz w:val="20"/>
          <w:szCs w:val="20"/>
          <w:color w:val="auto"/>
        </w:rPr>
      </w:pPr>
    </w:p>
    <w:p>
      <w:pPr>
        <w:spacing w:after="0" w:line="251" w:lineRule="auto"/>
        <w:rPr>
          <w:sz w:val="20"/>
          <w:szCs w:val="20"/>
          <w:color w:val="auto"/>
        </w:rPr>
      </w:pPr>
      <w:r>
        <w:rPr>
          <w:rFonts w:ascii="Arial" w:cs="Arial" w:eastAsia="Arial" w:hAnsi="Arial"/>
          <w:sz w:val="22"/>
          <w:szCs w:val="22"/>
          <w:color w:val="auto"/>
        </w:rPr>
        <w:t>10.04 San Diego Gas &amp; Electric Underwriting Agreement dated November 14, 2005 (8-K filed on November 17, 2005, Exhibit 1.1)</w:t>
      </w:r>
    </w:p>
    <w:p>
      <w:pPr>
        <w:spacing w:after="0" w:line="173" w:lineRule="exact"/>
        <w:rPr>
          <w:sz w:val="20"/>
          <w:szCs w:val="20"/>
          <w:color w:val="auto"/>
        </w:rPr>
      </w:pPr>
    </w:p>
    <w:p>
      <w:pPr>
        <w:ind w:right="540"/>
        <w:spacing w:after="0" w:line="251" w:lineRule="auto"/>
        <w:rPr>
          <w:sz w:val="20"/>
          <w:szCs w:val="20"/>
          <w:color w:val="auto"/>
        </w:rPr>
      </w:pPr>
      <w:r>
        <w:rPr>
          <w:rFonts w:ascii="Arial" w:cs="Arial" w:eastAsia="Arial" w:hAnsi="Arial"/>
          <w:sz w:val="22"/>
          <w:szCs w:val="22"/>
          <w:color w:val="auto"/>
        </w:rPr>
        <w:t>10.05 San Diego Gas &amp; Electric Pricing Agreement dated November 14, 2005 (8-K filed on November 17, 2005, Exhibit 1.2)</w:t>
      </w:r>
    </w:p>
    <w:p>
      <w:pPr>
        <w:spacing w:after="0" w:line="173" w:lineRule="exact"/>
        <w:rPr>
          <w:sz w:val="20"/>
          <w:szCs w:val="20"/>
          <w:color w:val="auto"/>
        </w:rPr>
      </w:pPr>
    </w:p>
    <w:p>
      <w:pPr>
        <w:ind w:right="420"/>
        <w:spacing w:after="0" w:line="251" w:lineRule="auto"/>
        <w:rPr>
          <w:sz w:val="20"/>
          <w:szCs w:val="20"/>
          <w:color w:val="auto"/>
        </w:rPr>
      </w:pPr>
      <w:r>
        <w:rPr>
          <w:rFonts w:ascii="Arial" w:cs="Arial" w:eastAsia="Arial" w:hAnsi="Arial"/>
          <w:sz w:val="22"/>
          <w:szCs w:val="22"/>
          <w:color w:val="auto"/>
        </w:rPr>
        <w:t>10.06 Operating Agreement between San Diego Gas &amp; Electric and the California Department of Water Resources dated April 17, 2003 (2003 Sempra Energy Form 10-K, Exhibit 10.06).</w:t>
      </w:r>
    </w:p>
    <w:p>
      <w:pPr>
        <w:spacing w:after="0" w:line="173" w:lineRule="exact"/>
        <w:rPr>
          <w:sz w:val="20"/>
          <w:szCs w:val="20"/>
          <w:color w:val="auto"/>
        </w:rPr>
      </w:pPr>
    </w:p>
    <w:p>
      <w:pPr>
        <w:ind w:right="440"/>
        <w:spacing w:after="0" w:line="251" w:lineRule="auto"/>
        <w:rPr>
          <w:sz w:val="20"/>
          <w:szCs w:val="20"/>
          <w:color w:val="auto"/>
        </w:rPr>
      </w:pPr>
      <w:r>
        <w:rPr>
          <w:rFonts w:ascii="Arial" w:cs="Arial" w:eastAsia="Arial" w:hAnsi="Arial"/>
          <w:sz w:val="22"/>
          <w:szCs w:val="22"/>
          <w:color w:val="auto"/>
        </w:rPr>
        <w:t>10.07 Servicing Agreement between San Diego Gas &amp; Electric and the California Department of Water Resources dated December 19, 2002 (2003 Sempra Energy Form 10-K, Exhibit 10.07).</w:t>
      </w:r>
    </w:p>
    <w:p>
      <w:pPr>
        <w:spacing w:after="0" w:line="173" w:lineRule="exact"/>
        <w:rPr>
          <w:sz w:val="20"/>
          <w:szCs w:val="20"/>
          <w:color w:val="auto"/>
        </w:rPr>
      </w:pPr>
    </w:p>
    <w:p>
      <w:pPr>
        <w:ind w:right="360"/>
        <w:spacing w:after="0" w:line="251" w:lineRule="auto"/>
        <w:rPr>
          <w:sz w:val="20"/>
          <w:szCs w:val="20"/>
          <w:color w:val="auto"/>
        </w:rPr>
      </w:pPr>
      <w:r>
        <w:rPr>
          <w:rFonts w:ascii="Arial" w:cs="Arial" w:eastAsia="Arial" w:hAnsi="Arial"/>
          <w:sz w:val="22"/>
          <w:szCs w:val="22"/>
          <w:color w:val="auto"/>
        </w:rPr>
        <w:t>10.08 Transition Property Purchase and Sale Agreement dated December 16, 1997 (Incorporated by reference from Form 8-K filed by SDG&amp;E Funding LLC on December 23, 1997, Exhibit 10.1).</w:t>
      </w:r>
    </w:p>
    <w:p>
      <w:pPr>
        <w:spacing w:after="0" w:line="173" w:lineRule="exact"/>
        <w:rPr>
          <w:sz w:val="20"/>
          <w:szCs w:val="20"/>
          <w:color w:val="auto"/>
        </w:rPr>
      </w:pPr>
    </w:p>
    <w:p>
      <w:pPr>
        <w:ind w:right="200"/>
        <w:spacing w:after="0" w:line="251" w:lineRule="auto"/>
        <w:rPr>
          <w:sz w:val="20"/>
          <w:szCs w:val="20"/>
          <w:color w:val="auto"/>
        </w:rPr>
      </w:pPr>
      <w:r>
        <w:rPr>
          <w:rFonts w:ascii="Arial" w:cs="Arial" w:eastAsia="Arial" w:hAnsi="Arial"/>
          <w:sz w:val="22"/>
          <w:szCs w:val="22"/>
          <w:color w:val="auto"/>
        </w:rPr>
        <w:t>10.09 Transition Property Servicing Agreement dated December 16, 1997 (Incorporated by reference from Form 8-K filed by SDG&amp;E Funding LLC on December 23, 1997, Exhibit 10.2).</w:t>
      </w:r>
    </w:p>
    <w:p>
      <w:pPr>
        <w:spacing w:after="0" w:line="16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Compensation</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color w:val="auto"/>
        </w:rPr>
        <w:t>10.10 Form of Severance Pay Agreement (2004 Sempra Energy 10-K, Exhibit 10.10).</w:t>
      </w:r>
    </w:p>
    <w:p>
      <w:pPr>
        <w:spacing w:after="0" w:line="206" w:lineRule="exact"/>
        <w:rPr>
          <w:sz w:val="20"/>
          <w:szCs w:val="20"/>
          <w:color w:val="auto"/>
        </w:rPr>
      </w:pPr>
    </w:p>
    <w:p>
      <w:pPr>
        <w:spacing w:after="0"/>
        <w:rPr>
          <w:sz w:val="20"/>
          <w:szCs w:val="20"/>
          <w:color w:val="auto"/>
        </w:rPr>
      </w:pPr>
      <w:r>
        <w:rPr>
          <w:rFonts w:ascii="Arial" w:cs="Arial" w:eastAsia="Arial" w:hAnsi="Arial"/>
          <w:sz w:val="19"/>
          <w:szCs w:val="19"/>
          <w:color w:val="auto"/>
        </w:rPr>
        <w:t>10.11 Sempra Energy 2005 Deferred Compensation Plan (San Diego Gas &amp; Electric Form 8-K filed on December 07,</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2004, Exhibit 10.1).</w:t>
      </w:r>
    </w:p>
    <w:p>
      <w:pPr>
        <w:spacing w:after="0" w:line="188" w:lineRule="exact"/>
        <w:rPr>
          <w:sz w:val="20"/>
          <w:szCs w:val="20"/>
          <w:color w:val="auto"/>
        </w:rPr>
      </w:pPr>
    </w:p>
    <w:p>
      <w:pPr>
        <w:spacing w:after="0"/>
        <w:rPr>
          <w:sz w:val="20"/>
          <w:szCs w:val="20"/>
          <w:color w:val="auto"/>
        </w:rPr>
      </w:pPr>
      <w:r>
        <w:rPr>
          <w:rFonts w:ascii="Arial" w:cs="Arial" w:eastAsia="Arial" w:hAnsi="Arial"/>
          <w:sz w:val="19"/>
          <w:szCs w:val="19"/>
          <w:color w:val="auto"/>
        </w:rPr>
        <w:t>10.12 Sempra Energy Employee Stock Incentive Plan (September 30, 2004 Sempra Energy Form 10-Q, Exhibit 10.1).</w:t>
      </w:r>
    </w:p>
    <w:p>
      <w:pPr>
        <w:spacing w:after="0" w:line="241" w:lineRule="exact"/>
        <w:rPr>
          <w:sz w:val="20"/>
          <w:szCs w:val="20"/>
          <w:color w:val="auto"/>
        </w:rPr>
      </w:pPr>
    </w:p>
    <w:p>
      <w:pPr>
        <w:ind w:right="480"/>
        <w:spacing w:after="0" w:line="251" w:lineRule="auto"/>
        <w:rPr>
          <w:sz w:val="20"/>
          <w:szCs w:val="20"/>
          <w:color w:val="auto"/>
        </w:rPr>
      </w:pPr>
      <w:r>
        <w:rPr>
          <w:rFonts w:ascii="Arial" w:cs="Arial" w:eastAsia="Arial" w:hAnsi="Arial"/>
          <w:sz w:val="22"/>
          <w:szCs w:val="22"/>
          <w:color w:val="auto"/>
        </w:rPr>
        <w:t>10.13 Sempra Energy Amended and Restated Executive Life Insurance Plan (September 30, 2004 Sempra Energy Form 10-Q, Exhibit 10.2).</w:t>
      </w:r>
    </w:p>
    <w:p>
      <w:pPr>
        <w:spacing w:after="0" w:line="173" w:lineRule="exact"/>
        <w:rPr>
          <w:sz w:val="20"/>
          <w:szCs w:val="20"/>
          <w:color w:val="auto"/>
        </w:rPr>
      </w:pPr>
    </w:p>
    <w:p>
      <w:pPr>
        <w:spacing w:after="0"/>
        <w:rPr>
          <w:sz w:val="20"/>
          <w:szCs w:val="20"/>
          <w:color w:val="auto"/>
        </w:rPr>
      </w:pPr>
      <w:r>
        <w:rPr>
          <w:rFonts w:ascii="Arial" w:cs="Arial" w:eastAsia="Arial" w:hAnsi="Arial"/>
          <w:sz w:val="19"/>
          <w:szCs w:val="19"/>
          <w:color w:val="auto"/>
        </w:rPr>
        <w:t>10.14 Sempra Energy Excess Cash Balance Plan (September 30, 2004 Sempra Energy Form 10-Q, Exhibit 10.3).</w:t>
      </w:r>
    </w:p>
    <w:p>
      <w:pPr>
        <w:spacing w:after="0" w:line="241" w:lineRule="exact"/>
        <w:rPr>
          <w:sz w:val="20"/>
          <w:szCs w:val="20"/>
          <w:color w:val="auto"/>
        </w:rPr>
      </w:pPr>
    </w:p>
    <w:p>
      <w:pPr>
        <w:ind w:right="1040"/>
        <w:spacing w:after="0" w:line="251" w:lineRule="auto"/>
        <w:rPr>
          <w:sz w:val="20"/>
          <w:szCs w:val="20"/>
          <w:color w:val="auto"/>
        </w:rPr>
      </w:pPr>
      <w:r>
        <w:rPr>
          <w:rFonts w:ascii="Arial" w:cs="Arial" w:eastAsia="Arial" w:hAnsi="Arial"/>
          <w:sz w:val="22"/>
          <w:szCs w:val="22"/>
          <w:color w:val="auto"/>
        </w:rPr>
        <w:t>10.15 Form of Sempra Energy 1998 Long Term Incentive Plan Performance-Based Restricted Stock Award (September 30, 2004 Sempra Energy Form 10-Q, Exhibit 10.4).</w:t>
      </w:r>
    </w:p>
    <w:p>
      <w:pPr>
        <w:spacing w:after="0" w:line="173" w:lineRule="exact"/>
        <w:rPr>
          <w:sz w:val="20"/>
          <w:szCs w:val="20"/>
          <w:color w:val="auto"/>
        </w:rPr>
      </w:pPr>
    </w:p>
    <w:p>
      <w:pPr>
        <w:spacing w:after="0"/>
        <w:rPr>
          <w:sz w:val="20"/>
          <w:szCs w:val="20"/>
          <w:color w:val="auto"/>
        </w:rPr>
      </w:pPr>
      <w:r>
        <w:rPr>
          <w:rFonts w:ascii="Arial" w:cs="Arial" w:eastAsia="Arial" w:hAnsi="Arial"/>
          <w:sz w:val="19"/>
          <w:szCs w:val="19"/>
          <w:color w:val="auto"/>
        </w:rPr>
        <w:t>10.16 Form of Sempra Energy 1998 Long Term Incentive Plan Nonqualified Stock Option Agreement (September 30,</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2004 Sempra Energy Form 10-Q, Exhibit 10.5).</w:t>
      </w:r>
    </w:p>
    <w:p>
      <w:pPr>
        <w:spacing w:after="0" w:line="188" w:lineRule="exact"/>
        <w:rPr>
          <w:sz w:val="20"/>
          <w:szCs w:val="20"/>
          <w:color w:val="auto"/>
        </w:rPr>
      </w:pPr>
    </w:p>
    <w:p>
      <w:pPr>
        <w:ind w:right="540"/>
        <w:spacing w:after="0" w:line="251" w:lineRule="auto"/>
        <w:rPr>
          <w:sz w:val="20"/>
          <w:szCs w:val="20"/>
          <w:color w:val="auto"/>
        </w:rPr>
      </w:pPr>
      <w:r>
        <w:rPr>
          <w:rFonts w:ascii="Arial" w:cs="Arial" w:eastAsia="Arial" w:hAnsi="Arial"/>
          <w:sz w:val="22"/>
          <w:szCs w:val="22"/>
          <w:color w:val="auto"/>
        </w:rPr>
        <w:t>10.17 Form of Sempra Energy 1998 Non-Employee Directors' Stock Plan Nonqualified Stock Option Agreement (September 30, 2004 Sempra Energy Form 10-Q, Exhibit 10.6).</w:t>
      </w:r>
    </w:p>
    <w:p>
      <w:pPr>
        <w:spacing w:after="0" w:line="173" w:lineRule="exact"/>
        <w:rPr>
          <w:sz w:val="20"/>
          <w:szCs w:val="20"/>
          <w:color w:val="auto"/>
        </w:rPr>
      </w:pPr>
    </w:p>
    <w:p>
      <w:pPr>
        <w:ind w:right="520"/>
        <w:spacing w:after="0" w:line="251" w:lineRule="auto"/>
        <w:rPr>
          <w:sz w:val="20"/>
          <w:szCs w:val="20"/>
          <w:color w:val="auto"/>
        </w:rPr>
      </w:pPr>
      <w:r>
        <w:rPr>
          <w:rFonts w:ascii="Arial" w:cs="Arial" w:eastAsia="Arial" w:hAnsi="Arial"/>
          <w:sz w:val="22"/>
          <w:szCs w:val="22"/>
          <w:color w:val="auto"/>
        </w:rPr>
        <w:t>10.18 Sempra Energy Supplemental Executive Retirement Plan (September 30, 2004 Sempra Energy Form 10-Q, Exhibit 10.7).</w:t>
      </w:r>
    </w:p>
    <w:p>
      <w:pPr>
        <w:spacing w:after="0" w:line="173" w:lineRule="exact"/>
        <w:rPr>
          <w:sz w:val="20"/>
          <w:szCs w:val="20"/>
          <w:color w:val="auto"/>
        </w:rPr>
      </w:pPr>
    </w:p>
    <w:p>
      <w:pPr>
        <w:spacing w:after="0"/>
        <w:rPr>
          <w:sz w:val="20"/>
          <w:szCs w:val="20"/>
          <w:color w:val="auto"/>
        </w:rPr>
      </w:pPr>
      <w:r>
        <w:rPr>
          <w:rFonts w:ascii="Arial" w:cs="Arial" w:eastAsia="Arial" w:hAnsi="Arial"/>
          <w:sz w:val="19"/>
          <w:szCs w:val="19"/>
          <w:color w:val="auto"/>
        </w:rPr>
        <w:t>10.19 Neal Schmale Restricted Stock Award Agreement (September 30, 2004 Sempra Energy Form 10-Q, Exhibit</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10.8).</w:t>
      </w:r>
    </w:p>
    <w:p>
      <w:pPr>
        <w:spacing w:after="0" w:line="188" w:lineRule="exact"/>
        <w:rPr>
          <w:sz w:val="20"/>
          <w:szCs w:val="20"/>
          <w:color w:val="auto"/>
        </w:rPr>
      </w:pPr>
    </w:p>
    <w:p>
      <w:pPr>
        <w:ind w:right="620"/>
        <w:spacing w:after="0" w:line="251" w:lineRule="auto"/>
        <w:rPr>
          <w:sz w:val="20"/>
          <w:szCs w:val="20"/>
          <w:color w:val="auto"/>
        </w:rPr>
      </w:pPr>
      <w:r>
        <w:rPr>
          <w:rFonts w:ascii="Arial" w:cs="Arial" w:eastAsia="Arial" w:hAnsi="Arial"/>
          <w:sz w:val="22"/>
          <w:szCs w:val="22"/>
          <w:color w:val="auto"/>
        </w:rPr>
        <w:t>10.20 Severance Pay Agreement between Sempra Energy and Donald E. Felsinger (September 30, 2004 Sempra Energy Form 10-Q, Exhibit 10.9).</w:t>
      </w:r>
    </w:p>
    <w:p>
      <w:pPr>
        <w:spacing w:after="0" w:line="173" w:lineRule="exact"/>
        <w:rPr>
          <w:sz w:val="20"/>
          <w:szCs w:val="20"/>
          <w:color w:val="auto"/>
        </w:rPr>
      </w:pPr>
    </w:p>
    <w:p>
      <w:pPr>
        <w:ind w:right="480"/>
        <w:spacing w:after="0" w:line="251" w:lineRule="auto"/>
        <w:rPr>
          <w:sz w:val="20"/>
          <w:szCs w:val="20"/>
          <w:color w:val="auto"/>
        </w:rPr>
      </w:pPr>
      <w:r>
        <w:rPr>
          <w:rFonts w:ascii="Arial" w:cs="Arial" w:eastAsia="Arial" w:hAnsi="Arial"/>
          <w:sz w:val="22"/>
          <w:szCs w:val="22"/>
          <w:color w:val="auto"/>
        </w:rPr>
        <w:t>10.21 Severance Pay Agreement between Sempra Energy and Neal Schmale (September 30, 2004 Sempra Energy Form 10-Q, Exhibit 10.10).</w:t>
      </w:r>
    </w:p>
    <w:p>
      <w:pPr>
        <w:sectPr>
          <w:pgSz w:w="11900" w:h="16919" w:orient="portrait"/>
          <w:cols w:equalWidth="0" w:num="1">
            <w:col w:w="10340"/>
          </w:cols>
          <w:pgMar w:left="1320" w:top="118" w:right="239" w:bottom="0" w:gutter="0" w:footer="0" w:header="0"/>
        </w:sectPr>
      </w:pPr>
    </w:p>
    <w:bookmarkStart w:id="57" w:name="page58"/>
    <w:bookmarkEnd w:id="57"/>
    <w:p>
      <w:pPr>
        <w:ind w:right="60"/>
        <w:spacing w:after="0" w:line="251" w:lineRule="auto"/>
        <w:rPr>
          <w:sz w:val="20"/>
          <w:szCs w:val="20"/>
          <w:color w:val="auto"/>
        </w:rPr>
      </w:pPr>
      <w:r>
        <w:rPr>
          <w:rFonts w:ascii="Arial" w:cs="Arial" w:eastAsia="Arial" w:hAnsi="Arial"/>
          <w:sz w:val="22"/>
          <w:szCs w:val="22"/>
          <w:color w:val="auto"/>
        </w:rPr>
        <w:t>10.22 Sempra Energy Executive Personal Financial Planning Program Policy Document (September 30, 2004 Sempra Energy Form 10-Q, Exhibit 10.11).</w:t>
      </w:r>
    </w:p>
    <w:p>
      <w:pPr>
        <w:spacing w:after="0" w:line="174" w:lineRule="exact"/>
        <w:rPr>
          <w:sz w:val="20"/>
          <w:szCs w:val="20"/>
          <w:color w:val="auto"/>
        </w:rPr>
      </w:pPr>
    </w:p>
    <w:p>
      <w:pPr>
        <w:spacing w:after="0"/>
        <w:rPr>
          <w:sz w:val="20"/>
          <w:szCs w:val="20"/>
          <w:color w:val="auto"/>
        </w:rPr>
      </w:pPr>
      <w:r>
        <w:rPr>
          <w:rFonts w:ascii="Arial" w:cs="Arial" w:eastAsia="Arial" w:hAnsi="Arial"/>
          <w:sz w:val="22"/>
          <w:szCs w:val="22"/>
          <w:color w:val="auto"/>
        </w:rPr>
        <w:t>10.23 2003 Sempra Energy Executive Incentive Plan B (2003 Sempra Energy Form 10-K, Exhibit 10.10).</w:t>
      </w:r>
    </w:p>
    <w:p>
      <w:pPr>
        <w:spacing w:after="0" w:line="206" w:lineRule="exact"/>
        <w:rPr>
          <w:sz w:val="20"/>
          <w:szCs w:val="20"/>
          <w:color w:val="auto"/>
        </w:rPr>
      </w:pPr>
    </w:p>
    <w:p>
      <w:pPr>
        <w:spacing w:after="0"/>
        <w:rPr>
          <w:sz w:val="20"/>
          <w:szCs w:val="20"/>
          <w:color w:val="auto"/>
        </w:rPr>
      </w:pPr>
      <w:r>
        <w:rPr>
          <w:rFonts w:ascii="Arial" w:cs="Arial" w:eastAsia="Arial" w:hAnsi="Arial"/>
          <w:sz w:val="21"/>
          <w:szCs w:val="21"/>
          <w:color w:val="auto"/>
        </w:rPr>
        <w:t>10.24 Sempra Energy 2003 Executive Incentive Plan (June 30, 2003 Sempra Energy Form 10-Q Exhibit 10.1)</w:t>
      </w:r>
    </w:p>
    <w:p>
      <w:pPr>
        <w:spacing w:after="0" w:line="218" w:lineRule="exact"/>
        <w:rPr>
          <w:sz w:val="20"/>
          <w:szCs w:val="20"/>
          <w:color w:val="auto"/>
        </w:rPr>
      </w:pPr>
    </w:p>
    <w:p>
      <w:pPr>
        <w:spacing w:after="0"/>
        <w:rPr>
          <w:sz w:val="20"/>
          <w:szCs w:val="20"/>
          <w:color w:val="auto"/>
        </w:rPr>
      </w:pPr>
      <w:r>
        <w:rPr>
          <w:rFonts w:ascii="Arial" w:cs="Arial" w:eastAsia="Arial" w:hAnsi="Arial"/>
          <w:sz w:val="22"/>
          <w:szCs w:val="22"/>
          <w:color w:val="auto"/>
        </w:rPr>
        <w:t>10.25 Amended 1998 Long-Term Incentive Plan (June 30, 2003 Sempra Energy Form 10-Q Exhibit 10.2)</w:t>
      </w:r>
    </w:p>
    <w:p>
      <w:pPr>
        <w:spacing w:after="0" w:line="206" w:lineRule="exact"/>
        <w:rPr>
          <w:sz w:val="20"/>
          <w:szCs w:val="20"/>
          <w:color w:val="auto"/>
        </w:rPr>
      </w:pPr>
    </w:p>
    <w:p>
      <w:pPr>
        <w:spacing w:after="0"/>
        <w:rPr>
          <w:sz w:val="20"/>
          <w:szCs w:val="20"/>
          <w:color w:val="auto"/>
        </w:rPr>
      </w:pPr>
      <w:r>
        <w:rPr>
          <w:rFonts w:ascii="Arial" w:cs="Arial" w:eastAsia="Arial" w:hAnsi="Arial"/>
          <w:sz w:val="19"/>
          <w:szCs w:val="19"/>
          <w:color w:val="auto"/>
        </w:rPr>
        <w:t>10.26 Sempra Energy Executive Incentive Plan effective January 1, 2003 (2002 Sempra Energy Form 10-K, Exhibit</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10.09).</w:t>
      </w:r>
    </w:p>
    <w:p>
      <w:pPr>
        <w:spacing w:after="0" w:line="188" w:lineRule="exact"/>
        <w:rPr>
          <w:sz w:val="20"/>
          <w:szCs w:val="20"/>
          <w:color w:val="auto"/>
        </w:rPr>
      </w:pPr>
    </w:p>
    <w:p>
      <w:pPr>
        <w:spacing w:after="0"/>
        <w:rPr>
          <w:sz w:val="20"/>
          <w:szCs w:val="20"/>
          <w:color w:val="auto"/>
        </w:rPr>
      </w:pPr>
      <w:r>
        <w:rPr>
          <w:rFonts w:ascii="Arial" w:cs="Arial" w:eastAsia="Arial" w:hAnsi="Arial"/>
          <w:sz w:val="19"/>
          <w:szCs w:val="19"/>
          <w:color w:val="auto"/>
        </w:rPr>
        <w:t>10.27 Amended Sempra Energy Retirement Plan for Directors (2002 Sempra Energy Form 10-K, Exhibit 10.10).</w:t>
      </w:r>
    </w:p>
    <w:p>
      <w:pPr>
        <w:spacing w:after="0" w:line="241" w:lineRule="exact"/>
        <w:rPr>
          <w:sz w:val="20"/>
          <w:szCs w:val="20"/>
          <w:color w:val="auto"/>
        </w:rPr>
      </w:pPr>
    </w:p>
    <w:p>
      <w:pPr>
        <w:ind w:right="160"/>
        <w:spacing w:after="0" w:line="251" w:lineRule="auto"/>
        <w:rPr>
          <w:sz w:val="20"/>
          <w:szCs w:val="20"/>
          <w:color w:val="auto"/>
        </w:rPr>
      </w:pPr>
      <w:r>
        <w:rPr>
          <w:rFonts w:ascii="Arial" w:cs="Arial" w:eastAsia="Arial" w:hAnsi="Arial"/>
          <w:sz w:val="22"/>
          <w:szCs w:val="22"/>
          <w:color w:val="auto"/>
        </w:rPr>
        <w:t>10.28 Amended and Restated Sempra Energy Deferred Compensation and Excess Savings Plan (September 30, 2002 Sempra Energy Form 10-Q, Exhibit 10.3).</w:t>
      </w:r>
    </w:p>
    <w:p>
      <w:pPr>
        <w:spacing w:after="0" w:line="173" w:lineRule="exact"/>
        <w:rPr>
          <w:sz w:val="20"/>
          <w:szCs w:val="20"/>
          <w:color w:val="auto"/>
        </w:rPr>
      </w:pPr>
    </w:p>
    <w:p>
      <w:pPr>
        <w:spacing w:after="0"/>
        <w:rPr>
          <w:sz w:val="20"/>
          <w:szCs w:val="20"/>
          <w:color w:val="auto"/>
        </w:rPr>
      </w:pPr>
      <w:r>
        <w:rPr>
          <w:rFonts w:ascii="Arial" w:cs="Arial" w:eastAsia="Arial" w:hAnsi="Arial"/>
          <w:sz w:val="19"/>
          <w:szCs w:val="19"/>
          <w:color w:val="auto"/>
        </w:rPr>
        <w:t>10.29 Form of Sempra Energy Severance Pay Agreement for Executives (2001 Sempra Energy Form 10-K, Exhibit</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10.07).</w:t>
      </w:r>
    </w:p>
    <w:p>
      <w:pPr>
        <w:spacing w:after="0" w:line="188" w:lineRule="exact"/>
        <w:rPr>
          <w:sz w:val="20"/>
          <w:szCs w:val="20"/>
          <w:color w:val="auto"/>
        </w:rPr>
      </w:pPr>
    </w:p>
    <w:p>
      <w:pPr>
        <w:ind w:right="400"/>
        <w:spacing w:after="0" w:line="251" w:lineRule="auto"/>
        <w:rPr>
          <w:sz w:val="20"/>
          <w:szCs w:val="20"/>
          <w:color w:val="auto"/>
        </w:rPr>
      </w:pPr>
      <w:r>
        <w:rPr>
          <w:rFonts w:ascii="Arial" w:cs="Arial" w:eastAsia="Arial" w:hAnsi="Arial"/>
          <w:sz w:val="22"/>
          <w:szCs w:val="22"/>
          <w:color w:val="auto"/>
        </w:rPr>
        <w:t>10.30 Sempra Energy Executive Security Bonus Plan effective January 1, 2001 (2001 Sempra Energy Form 10-K, Exhibit 10.08).</w:t>
      </w:r>
    </w:p>
    <w:p>
      <w:pPr>
        <w:spacing w:after="0" w:line="173" w:lineRule="exact"/>
        <w:rPr>
          <w:sz w:val="20"/>
          <w:szCs w:val="20"/>
          <w:color w:val="auto"/>
        </w:rPr>
      </w:pPr>
    </w:p>
    <w:p>
      <w:pPr>
        <w:ind w:right="560"/>
        <w:spacing w:after="0" w:line="251" w:lineRule="auto"/>
        <w:rPr>
          <w:sz w:val="20"/>
          <w:szCs w:val="20"/>
          <w:color w:val="auto"/>
        </w:rPr>
      </w:pPr>
      <w:r>
        <w:rPr>
          <w:rFonts w:ascii="Arial" w:cs="Arial" w:eastAsia="Arial" w:hAnsi="Arial"/>
          <w:sz w:val="22"/>
          <w:szCs w:val="22"/>
          <w:color w:val="auto"/>
        </w:rPr>
        <w:t>10.31 Sempra Energy Deferred Compensation and Excess Savings Plan effective January 1, 2000 (2000 Sempra Energy Form 10-K, Exhibit 10.07).</w:t>
      </w:r>
    </w:p>
    <w:p>
      <w:pPr>
        <w:spacing w:after="0" w:line="173" w:lineRule="exact"/>
        <w:rPr>
          <w:sz w:val="20"/>
          <w:szCs w:val="20"/>
          <w:color w:val="auto"/>
        </w:rPr>
      </w:pPr>
    </w:p>
    <w:p>
      <w:pPr>
        <w:ind w:right="140"/>
        <w:spacing w:after="0" w:line="328" w:lineRule="auto"/>
        <w:rPr>
          <w:sz w:val="20"/>
          <w:szCs w:val="20"/>
          <w:color w:val="auto"/>
        </w:rPr>
      </w:pPr>
      <w:r>
        <w:rPr>
          <w:rFonts w:ascii="Arial" w:cs="Arial" w:eastAsia="Arial" w:hAnsi="Arial"/>
          <w:sz w:val="19"/>
          <w:szCs w:val="19"/>
          <w:color w:val="auto"/>
        </w:rPr>
        <w:t>10.32 Sempra Energy 1998 Long Term Incentive Plan (Incorporated by reference from the Registration Statement on Form S-8 Sempra Energy Registration Statement No. 333-56161 dated June 5, 1998 (Exhibit 4.1)).</w:t>
      </w:r>
    </w:p>
    <w:p>
      <w:pPr>
        <w:spacing w:after="0" w:line="105"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Financing</w:t>
      </w:r>
    </w:p>
    <w:p>
      <w:pPr>
        <w:spacing w:after="0" w:line="206" w:lineRule="exact"/>
        <w:rPr>
          <w:sz w:val="20"/>
          <w:szCs w:val="20"/>
          <w:color w:val="auto"/>
        </w:rPr>
      </w:pPr>
    </w:p>
    <w:p>
      <w:pPr>
        <w:ind w:right="680"/>
        <w:spacing w:after="0" w:line="328" w:lineRule="auto"/>
        <w:rPr>
          <w:sz w:val="20"/>
          <w:szCs w:val="20"/>
          <w:color w:val="auto"/>
        </w:rPr>
      </w:pPr>
      <w:r>
        <w:rPr>
          <w:rFonts w:ascii="Arial" w:cs="Arial" w:eastAsia="Arial" w:hAnsi="Arial"/>
          <w:sz w:val="19"/>
          <w:szCs w:val="19"/>
          <w:color w:val="auto"/>
        </w:rPr>
        <w:t>10.33 Loan agreement with the City of Chula Vista in connection with the issuance of $25 million of Industrial Development Bonds, dated as of October 1, 1997 (1997 Enova Corporation Form 10-K, Exhibit 10.34).</w:t>
      </w:r>
    </w:p>
    <w:p>
      <w:pPr>
        <w:spacing w:after="0" w:line="105" w:lineRule="exact"/>
        <w:rPr>
          <w:sz w:val="20"/>
          <w:szCs w:val="20"/>
          <w:color w:val="auto"/>
        </w:rPr>
      </w:pPr>
    </w:p>
    <w:p>
      <w:pPr>
        <w:ind w:right="520"/>
        <w:spacing w:after="0" w:line="251" w:lineRule="auto"/>
        <w:rPr>
          <w:sz w:val="20"/>
          <w:szCs w:val="20"/>
          <w:color w:val="auto"/>
        </w:rPr>
      </w:pPr>
      <w:r>
        <w:rPr>
          <w:rFonts w:ascii="Arial" w:cs="Arial" w:eastAsia="Arial" w:hAnsi="Arial"/>
          <w:sz w:val="22"/>
          <w:szCs w:val="22"/>
          <w:color w:val="auto"/>
        </w:rPr>
        <w:t>10.34 Loan agreement with the City of Chula Vista in connection with the issuance of $38.9 million of Industrial Development Bonds, dated as of August 1, 1996 (1996 Form 10-K, Exhibit 10.31).</w:t>
      </w:r>
    </w:p>
    <w:p>
      <w:pPr>
        <w:spacing w:after="0" w:line="173" w:lineRule="exact"/>
        <w:rPr>
          <w:sz w:val="20"/>
          <w:szCs w:val="20"/>
          <w:color w:val="auto"/>
        </w:rPr>
      </w:pPr>
    </w:p>
    <w:p>
      <w:pPr>
        <w:ind w:right="680"/>
        <w:spacing w:after="0" w:line="251" w:lineRule="auto"/>
        <w:rPr>
          <w:sz w:val="20"/>
          <w:szCs w:val="20"/>
          <w:color w:val="auto"/>
        </w:rPr>
      </w:pPr>
      <w:r>
        <w:rPr>
          <w:rFonts w:ascii="Arial" w:cs="Arial" w:eastAsia="Arial" w:hAnsi="Arial"/>
          <w:sz w:val="22"/>
          <w:szCs w:val="22"/>
          <w:color w:val="auto"/>
        </w:rPr>
        <w:t>10.35 Loan agreement with the City of Chula Vista in connection with the issuance of $60 million of Industrial Development Bonds, dated as of November 1, 1996 (1996 Form 10-K, Exhibit 10.32).</w:t>
      </w:r>
    </w:p>
    <w:p>
      <w:pPr>
        <w:spacing w:after="0" w:line="173" w:lineRule="exact"/>
        <w:rPr>
          <w:sz w:val="20"/>
          <w:szCs w:val="20"/>
          <w:color w:val="auto"/>
        </w:rPr>
      </w:pPr>
    </w:p>
    <w:p>
      <w:pPr>
        <w:jc w:val="both"/>
        <w:ind w:right="620"/>
        <w:spacing w:after="0" w:line="328" w:lineRule="auto"/>
        <w:rPr>
          <w:sz w:val="20"/>
          <w:szCs w:val="20"/>
          <w:color w:val="auto"/>
        </w:rPr>
      </w:pPr>
      <w:r>
        <w:rPr>
          <w:rFonts w:ascii="Arial" w:cs="Arial" w:eastAsia="Arial" w:hAnsi="Arial"/>
          <w:sz w:val="19"/>
          <w:szCs w:val="19"/>
          <w:color w:val="auto"/>
        </w:rPr>
        <w:t>10.36 Loan agreement with the City of San Diego in connection with the issuance of $92.9 million of Industrial Development Bonds 1993 Series C dated as of July 1, 1993 (June 30, 1993 SDG&amp;E Form 10-Q, Exhibit 10.2).</w:t>
      </w:r>
    </w:p>
    <w:p>
      <w:pPr>
        <w:spacing w:after="0" w:line="105" w:lineRule="exact"/>
        <w:rPr>
          <w:sz w:val="20"/>
          <w:szCs w:val="20"/>
          <w:color w:val="auto"/>
        </w:rPr>
      </w:pPr>
    </w:p>
    <w:p>
      <w:pPr>
        <w:ind w:right="420"/>
        <w:spacing w:after="0" w:line="328" w:lineRule="auto"/>
        <w:rPr>
          <w:sz w:val="20"/>
          <w:szCs w:val="20"/>
          <w:color w:val="auto"/>
        </w:rPr>
      </w:pPr>
      <w:r>
        <w:rPr>
          <w:rFonts w:ascii="Arial" w:cs="Arial" w:eastAsia="Arial" w:hAnsi="Arial"/>
          <w:sz w:val="19"/>
          <w:szCs w:val="19"/>
          <w:color w:val="auto"/>
        </w:rPr>
        <w:t>10.37 Loan agreement with the City of San Diego in connection with the issuance of $70.8 million of Industrial Development Bonds 1993 Series A dated as of April 1, 1993 (March 31, 1993 SDG&amp;E Form 10-Q, Exhibit 10.3).</w:t>
      </w:r>
    </w:p>
    <w:p>
      <w:pPr>
        <w:spacing w:after="0" w:line="105" w:lineRule="exact"/>
        <w:rPr>
          <w:sz w:val="20"/>
          <w:szCs w:val="20"/>
          <w:color w:val="auto"/>
        </w:rPr>
      </w:pPr>
    </w:p>
    <w:p>
      <w:pPr>
        <w:ind w:right="560"/>
        <w:spacing w:after="0" w:line="274" w:lineRule="auto"/>
        <w:rPr>
          <w:sz w:val="20"/>
          <w:szCs w:val="20"/>
          <w:color w:val="auto"/>
        </w:rPr>
      </w:pPr>
      <w:r>
        <w:rPr>
          <w:rFonts w:ascii="Arial" w:cs="Arial" w:eastAsia="Arial" w:hAnsi="Arial"/>
          <w:sz w:val="21"/>
          <w:szCs w:val="21"/>
          <w:color w:val="auto"/>
        </w:rPr>
        <w:t>10.38 Loan agreement with the City of Chula Vista in connection with the issuance of $250 million of Industrial Development Bonds, dated as of December 1, 1992 (1992 SDG&amp;E Form 10-K, Exhibit 10.5).</w:t>
      </w:r>
    </w:p>
    <w:p>
      <w:pPr>
        <w:spacing w:after="0" w:line="151" w:lineRule="exact"/>
        <w:rPr>
          <w:sz w:val="20"/>
          <w:szCs w:val="20"/>
          <w:color w:val="auto"/>
        </w:rPr>
      </w:pPr>
    </w:p>
    <w:p>
      <w:pPr>
        <w:ind w:right="280"/>
        <w:spacing w:after="0" w:line="328" w:lineRule="auto"/>
        <w:rPr>
          <w:sz w:val="20"/>
          <w:szCs w:val="20"/>
          <w:color w:val="auto"/>
        </w:rPr>
      </w:pPr>
      <w:r>
        <w:rPr>
          <w:rFonts w:ascii="Arial" w:cs="Arial" w:eastAsia="Arial" w:hAnsi="Arial"/>
          <w:sz w:val="19"/>
          <w:szCs w:val="19"/>
          <w:color w:val="auto"/>
        </w:rPr>
        <w:t>10.39 Loan agreement with the California Pollution Control Financing Authority in connection with the issuance of $129.82 million of Pollution Control Bonds, dated as of June 1, 1996 (1996 Form 10-K, Exhibit 10.41).</w:t>
      </w:r>
    </w:p>
    <w:p>
      <w:pPr>
        <w:spacing w:after="0" w:line="105" w:lineRule="exact"/>
        <w:rPr>
          <w:sz w:val="20"/>
          <w:szCs w:val="20"/>
          <w:color w:val="auto"/>
        </w:rPr>
      </w:pPr>
    </w:p>
    <w:p>
      <w:pPr>
        <w:jc w:val="both"/>
        <w:ind w:right="280"/>
        <w:spacing w:after="0" w:line="328" w:lineRule="auto"/>
        <w:rPr>
          <w:sz w:val="20"/>
          <w:szCs w:val="20"/>
          <w:color w:val="auto"/>
        </w:rPr>
      </w:pPr>
      <w:r>
        <w:rPr>
          <w:rFonts w:ascii="Arial" w:cs="Arial" w:eastAsia="Arial" w:hAnsi="Arial"/>
          <w:sz w:val="19"/>
          <w:szCs w:val="19"/>
          <w:color w:val="auto"/>
        </w:rPr>
        <w:t>10.40 Loan agreement with the California Pollution Control Financing Authority in connection with the issuance of $60 million of Pollution Control Bonds dated as of June 1, 1993 (June 30, 1993 SDG&amp;E Form 10-Q, Exhibit 10.1).</w:t>
      </w:r>
    </w:p>
    <w:p>
      <w:pPr>
        <w:spacing w:after="0" w:line="105" w:lineRule="exact"/>
        <w:rPr>
          <w:sz w:val="20"/>
          <w:szCs w:val="20"/>
          <w:color w:val="auto"/>
        </w:rPr>
      </w:pPr>
    </w:p>
    <w:p>
      <w:pPr>
        <w:jc w:val="both"/>
        <w:ind w:right="260"/>
        <w:spacing w:after="0" w:line="328" w:lineRule="auto"/>
        <w:rPr>
          <w:sz w:val="20"/>
          <w:szCs w:val="20"/>
          <w:color w:val="auto"/>
        </w:rPr>
      </w:pPr>
      <w:r>
        <w:rPr>
          <w:rFonts w:ascii="Arial" w:cs="Arial" w:eastAsia="Arial" w:hAnsi="Arial"/>
          <w:sz w:val="19"/>
          <w:szCs w:val="19"/>
          <w:color w:val="auto"/>
        </w:rPr>
        <w:t>10.41 Loan agreement with the California Pollution Control Financing Authority in connection with the issuance of $14.4 million of Pollution Control Bonds, dated as of December 1, 1991 (1991 SDG&amp;E Form 10-K, Exhibit 10.11).</w:t>
      </w:r>
    </w:p>
    <w:p>
      <w:pPr>
        <w:spacing w:after="0" w:line="105" w:lineRule="exact"/>
        <w:rPr>
          <w:sz w:val="20"/>
          <w:szCs w:val="20"/>
          <w:color w:val="auto"/>
        </w:rPr>
      </w:pPr>
    </w:p>
    <w:p>
      <w:pPr>
        <w:ind w:right="160"/>
        <w:spacing w:after="0" w:line="328" w:lineRule="auto"/>
        <w:rPr>
          <w:sz w:val="20"/>
          <w:szCs w:val="20"/>
          <w:color w:val="auto"/>
        </w:rPr>
      </w:pPr>
      <w:r>
        <w:rPr>
          <w:rFonts w:ascii="Arial" w:cs="Arial" w:eastAsia="Arial" w:hAnsi="Arial"/>
          <w:sz w:val="19"/>
          <w:szCs w:val="19"/>
          <w:color w:val="auto"/>
        </w:rPr>
        <w:t>10.42 Loan agreement with the City of Chula Vista in connection with the issuance of $251.3 million of Industrial Development Revenue Refunding Bonds, dated as of June 1, 2004 (2004 Sempra Energy Form 10-K, Exhibit 10.43).</w:t>
      </w:r>
    </w:p>
    <w:p>
      <w:pPr>
        <w:spacing w:after="0" w:line="105"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Nuclear</w:t>
      </w:r>
    </w:p>
    <w:p>
      <w:pPr>
        <w:spacing w:after="0" w:line="206" w:lineRule="exact"/>
        <w:rPr>
          <w:sz w:val="20"/>
          <w:szCs w:val="20"/>
          <w:color w:val="auto"/>
        </w:rPr>
      </w:pPr>
    </w:p>
    <w:p>
      <w:pPr>
        <w:ind w:right="820"/>
        <w:spacing w:after="0" w:line="274" w:lineRule="auto"/>
        <w:rPr>
          <w:sz w:val="20"/>
          <w:szCs w:val="20"/>
          <w:color w:val="auto"/>
        </w:rPr>
      </w:pPr>
      <w:r>
        <w:rPr>
          <w:rFonts w:ascii="Arial" w:cs="Arial" w:eastAsia="Arial" w:hAnsi="Arial"/>
          <w:sz w:val="21"/>
          <w:szCs w:val="21"/>
          <w:color w:val="auto"/>
        </w:rPr>
        <w:t>10.43 Nuclear Facilities Qualified CPUC Decommissioning Master Trust Agreement for San Onofre Nuclear Generating Station, approved November 25, 1987 (1992 SDG&amp;E Form 10-K, Exhibit 10.7).</w:t>
      </w:r>
    </w:p>
    <w:p>
      <w:pPr>
        <w:spacing w:after="0" w:line="151" w:lineRule="exact"/>
        <w:rPr>
          <w:sz w:val="20"/>
          <w:szCs w:val="20"/>
          <w:color w:val="auto"/>
        </w:rPr>
      </w:pPr>
    </w:p>
    <w:p>
      <w:pPr>
        <w:spacing w:after="0" w:line="251" w:lineRule="auto"/>
        <w:rPr>
          <w:sz w:val="20"/>
          <w:szCs w:val="20"/>
          <w:color w:val="auto"/>
        </w:rPr>
      </w:pPr>
      <w:r>
        <w:rPr>
          <w:rFonts w:ascii="Arial" w:cs="Arial" w:eastAsia="Arial" w:hAnsi="Arial"/>
          <w:sz w:val="22"/>
          <w:szCs w:val="22"/>
          <w:color w:val="auto"/>
        </w:rPr>
        <w:t>10.44 Amendment No. 1 to the Qualified CPUC Decommissioning Master Trust Agreement dated September 22, 1994 (see Exhibit 10.43 above)(1994 SDG&amp;E Form 10-K, Exhibit 10.56).</w:t>
      </w:r>
    </w:p>
    <w:p>
      <w:pPr>
        <w:sectPr>
          <w:pgSz w:w="11900" w:h="16838" w:orient="portrait"/>
          <w:cols w:equalWidth="0" w:num="1">
            <w:col w:w="10280"/>
          </w:cols>
          <w:pgMar w:left="1320" w:top="118" w:right="299" w:bottom="230" w:gutter="0" w:footer="0" w:header="0"/>
        </w:sectPr>
      </w:pPr>
    </w:p>
    <w:bookmarkStart w:id="58" w:name="page59"/>
    <w:bookmarkEnd w:id="58"/>
    <w:p>
      <w:pPr>
        <w:spacing w:after="0" w:line="27" w:lineRule="exact"/>
        <w:rPr>
          <w:sz w:val="20"/>
          <w:szCs w:val="20"/>
          <w:color w:val="auto"/>
        </w:rPr>
      </w:pPr>
    </w:p>
    <w:p>
      <w:pPr>
        <w:spacing w:after="0" w:line="241" w:lineRule="auto"/>
        <w:rPr>
          <w:sz w:val="20"/>
          <w:szCs w:val="20"/>
          <w:color w:val="auto"/>
        </w:rPr>
      </w:pPr>
      <w:r>
        <w:rPr>
          <w:rFonts w:ascii="Arial" w:cs="Arial" w:eastAsia="Arial" w:hAnsi="Arial"/>
          <w:sz w:val="22"/>
          <w:szCs w:val="22"/>
          <w:color w:val="auto"/>
        </w:rPr>
        <w:t>10.45 Second Amendment to the San Diego Gas &amp; Electric Company Nuclear Facilities Qualified CPUC Decommissioning Master Trust Agreement for San Onofre Nuclear Generating Station (see Exhibit 10.43 above)(1994 SDG&amp;E Form 10-K, Exhibit 10.57).</w:t>
      </w:r>
    </w:p>
    <w:p>
      <w:pPr>
        <w:spacing w:after="0" w:line="184" w:lineRule="exact"/>
        <w:rPr>
          <w:sz w:val="20"/>
          <w:szCs w:val="20"/>
          <w:color w:val="auto"/>
        </w:rPr>
      </w:pPr>
    </w:p>
    <w:p>
      <w:pPr>
        <w:spacing w:after="0"/>
        <w:rPr>
          <w:sz w:val="20"/>
          <w:szCs w:val="20"/>
          <w:color w:val="auto"/>
        </w:rPr>
      </w:pPr>
      <w:r>
        <w:rPr>
          <w:rFonts w:ascii="Arial" w:cs="Arial" w:eastAsia="Arial" w:hAnsi="Arial"/>
          <w:sz w:val="22"/>
          <w:szCs w:val="22"/>
          <w:color w:val="auto"/>
        </w:rPr>
        <w:t>10.46 Third Amendment to the San Diego Gas &amp; Electric Company Nuclear Facilities Qualified CPUC Decommissioning Master Trust Agreement for San Onofre Nuclear Generating Station (see Exhibit 10.43 above)(1996 Form 10-K, Exhibit 10.59).</w:t>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color w:val="auto"/>
        </w:rPr>
        <w:t>10.47 Fourth Amendment to the San Diego Gas &amp; Electric Company Nuclear Facilities Qualified CPUC Decommissioning Master Trust Agreement for San Onofre Nuclear Generating Station (see Exhibit 10.43 above)(1996 Form 10-K, Exhibit 10.60).</w:t>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color w:val="auto"/>
        </w:rPr>
        <w:t>10.48 Fifth Amendment to the San Diego Gas &amp; Electric Company Nuclear Facilities Qualified CPUC Decommissioning Master Trust Agreement for San Onofre Nuclear Generating Station (see Exhibit 10.43 above)(1999 Form 10-K, Exhibit 10.26).</w:t>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color w:val="auto"/>
        </w:rPr>
        <w:t>10.49 Sixth Amendment to the San Diego Gas &amp; Electric Company Nuclear Facilities Qualified CPUC Decommissioning Master Trust Agreement for San Onofre Nuclear Generating Station (see Exhibit 10.43 above)(1999 Form 10-K, Exhibit 10.27).</w:t>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color w:val="auto"/>
        </w:rPr>
        <w:t>10.50 Seventh Amendment to the San Diego Gas &amp; Electric Company Nuclear Facilities Qualified CPUC Decommissioning Master Trust Agreement for San Onofre Nuclear Generating Station (see Exhibit 10.43 above)(2003 Sempra Energy Form 10-K, Exhibit 10.42).</w:t>
      </w:r>
    </w:p>
    <w:p>
      <w:pPr>
        <w:spacing w:after="0" w:line="186" w:lineRule="exact"/>
        <w:rPr>
          <w:sz w:val="20"/>
          <w:szCs w:val="20"/>
          <w:color w:val="auto"/>
        </w:rPr>
      </w:pPr>
    </w:p>
    <w:p>
      <w:pPr>
        <w:ind w:right="400"/>
        <w:spacing w:after="0" w:line="274" w:lineRule="auto"/>
        <w:rPr>
          <w:sz w:val="20"/>
          <w:szCs w:val="20"/>
          <w:color w:val="auto"/>
        </w:rPr>
      </w:pPr>
      <w:r>
        <w:rPr>
          <w:rFonts w:ascii="Arial" w:cs="Arial" w:eastAsia="Arial" w:hAnsi="Arial"/>
          <w:sz w:val="21"/>
          <w:szCs w:val="21"/>
          <w:color w:val="auto"/>
        </w:rPr>
        <w:t>10.51 Nuclear Facilities Non-Qualified CPUC Decommissioning Master Trust Agreement for San Onofre Nuclear Generating Station, approved November 25, 1987 (1992 SDG&amp;E Form 10-K, Exhibit 10.8).</w:t>
      </w:r>
    </w:p>
    <w:p>
      <w:pPr>
        <w:spacing w:after="0" w:line="151" w:lineRule="exact"/>
        <w:rPr>
          <w:sz w:val="20"/>
          <w:szCs w:val="20"/>
          <w:color w:val="auto"/>
        </w:rPr>
      </w:pPr>
    </w:p>
    <w:p>
      <w:pPr>
        <w:spacing w:after="0"/>
        <w:rPr>
          <w:sz w:val="20"/>
          <w:szCs w:val="20"/>
          <w:color w:val="auto"/>
        </w:rPr>
      </w:pPr>
      <w:r>
        <w:rPr>
          <w:rFonts w:ascii="Arial" w:cs="Arial" w:eastAsia="Arial" w:hAnsi="Arial"/>
          <w:sz w:val="22"/>
          <w:szCs w:val="22"/>
          <w:color w:val="auto"/>
        </w:rPr>
        <w:t>10.52 First Amendment to the San Diego Gas &amp; Electric Company Nuclear Facilities Non-Qualified CPUC Decommissioning Master Trust Agreement for San Onofre Nuclear Generating Station (see Exhibit 10.51 above)(1996 Form 10-K, Exhibit 10.62).</w:t>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color w:val="auto"/>
        </w:rPr>
        <w:t>10.53 Second Amendment to the San Diego Gas &amp; Electric Company Nuclear Facilities Non-Qualified CPUC Decommissioning Master Trust Agreement for San Onofre Nuclear Generating Station (see Exhibit 10.51 above)(1996 Form 10-K, Exhibit 10.63).</w:t>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color w:val="auto"/>
        </w:rPr>
        <w:t>10.54 Third Amendment to the San Diego Gas &amp; Electric Company Nuclear Facilities Non-Qualified CPUC Decommissioning Master Trust Agreement for San Onofre Nuclear Generating Station (see Exhibit 10.51 above)(1999 Form 10-K, Exhibit 10.31).</w:t>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color w:val="auto"/>
        </w:rPr>
        <w:t>10.55 Fourth Amendment to the San Diego Gas &amp; Electric Company Nuclear Facilities Non-Qualified CPUC Decommissioning Master Trust Agreement for San Onofre Nuclear Generating Station (see Exhibit 10.51 above)(1999 Form 10-K, Exhibit 10.32).</w:t>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color w:val="auto"/>
        </w:rPr>
        <w:t>10.56 Fifth Amendment to the San Diego Gas &amp; Electric Company Nuclear Facilities Non-Qualified CPUC Decommissioning Master Trust Agreement for San Onofre Nuclear Generating Station (see Exhibit 10.51 above)(2003 Sempra Energy Form 10-K, Exhibit 10.48).</w:t>
      </w:r>
    </w:p>
    <w:p>
      <w:pPr>
        <w:spacing w:after="0" w:line="186" w:lineRule="exact"/>
        <w:rPr>
          <w:sz w:val="20"/>
          <w:szCs w:val="20"/>
          <w:color w:val="auto"/>
        </w:rPr>
      </w:pPr>
    </w:p>
    <w:p>
      <w:pPr>
        <w:ind w:right="100"/>
        <w:spacing w:after="0" w:line="328" w:lineRule="auto"/>
        <w:rPr>
          <w:sz w:val="20"/>
          <w:szCs w:val="20"/>
          <w:color w:val="auto"/>
        </w:rPr>
      </w:pPr>
      <w:r>
        <w:rPr>
          <w:rFonts w:ascii="Arial" w:cs="Arial" w:eastAsia="Arial" w:hAnsi="Arial"/>
          <w:sz w:val="19"/>
          <w:szCs w:val="19"/>
          <w:color w:val="auto"/>
        </w:rPr>
        <w:t>10.57 Second Amended San Onofre Operating Agreement among Southern California Edison Company, SDG&amp;E, the City of Anaheim and the City of Riverside, dated February 26, 1987 (1990 SDG&amp;E Form 10-K, Exhibit 10.6).</w:t>
      </w:r>
    </w:p>
    <w:p>
      <w:pPr>
        <w:spacing w:after="0" w:line="105" w:lineRule="exact"/>
        <w:rPr>
          <w:sz w:val="20"/>
          <w:szCs w:val="20"/>
          <w:color w:val="auto"/>
        </w:rPr>
      </w:pPr>
    </w:p>
    <w:p>
      <w:pPr>
        <w:ind w:right="300"/>
        <w:spacing w:after="0" w:line="258" w:lineRule="auto"/>
        <w:rPr>
          <w:sz w:val="20"/>
          <w:szCs w:val="20"/>
          <w:color w:val="auto"/>
        </w:rPr>
      </w:pPr>
      <w:r>
        <w:rPr>
          <w:rFonts w:ascii="Arial" w:cs="Arial" w:eastAsia="Arial" w:hAnsi="Arial"/>
          <w:sz w:val="21"/>
          <w:szCs w:val="21"/>
          <w:color w:val="auto"/>
        </w:rPr>
        <w:t>10.58 U. S. Department of Energy contract for disposal of spent nuclear fuel and/or high-level radioactive waste, entered into between the DOE and Southern California Edison Company, as agent for SDG&amp;E and others; Contract DE-CR01-83NE44418, dated June 10, 1983 (1988 SDG&amp;E Form 10-K, Exhibit 10N).</w:t>
      </w:r>
    </w:p>
    <w:p>
      <w:pPr>
        <w:spacing w:after="0" w:line="167"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Natural Gas Transportation and Storage</w:t>
      </w:r>
    </w:p>
    <w:p>
      <w:pPr>
        <w:spacing w:after="0" w:line="206" w:lineRule="exact"/>
        <w:rPr>
          <w:sz w:val="20"/>
          <w:szCs w:val="20"/>
          <w:color w:val="auto"/>
        </w:rPr>
      </w:pPr>
    </w:p>
    <w:p>
      <w:pPr>
        <w:jc w:val="both"/>
        <w:ind w:right="480"/>
        <w:spacing w:after="0" w:line="328" w:lineRule="auto"/>
        <w:rPr>
          <w:sz w:val="20"/>
          <w:szCs w:val="20"/>
          <w:color w:val="auto"/>
        </w:rPr>
      </w:pPr>
      <w:r>
        <w:rPr>
          <w:rFonts w:ascii="Arial" w:cs="Arial" w:eastAsia="Arial" w:hAnsi="Arial"/>
          <w:sz w:val="19"/>
          <w:szCs w:val="19"/>
          <w:color w:val="auto"/>
        </w:rPr>
        <w:t>10.59 Amendment to Firm Transportation Service Agreement, dated December 2, 1996, between Pacific Gas and Electric Company and San Diego Gas &amp; Electric Company (1997 Enova Corporation Form 10-K, Exhibit 10.58).</w:t>
      </w:r>
    </w:p>
    <w:p>
      <w:pPr>
        <w:spacing w:after="0" w:line="105" w:lineRule="exact"/>
        <w:rPr>
          <w:sz w:val="20"/>
          <w:szCs w:val="20"/>
          <w:color w:val="auto"/>
        </w:rPr>
      </w:pPr>
    </w:p>
    <w:p>
      <w:pPr>
        <w:ind w:right="160"/>
        <w:spacing w:after="0" w:line="251" w:lineRule="auto"/>
        <w:rPr>
          <w:sz w:val="20"/>
          <w:szCs w:val="20"/>
          <w:color w:val="auto"/>
        </w:rPr>
      </w:pPr>
      <w:r>
        <w:rPr>
          <w:rFonts w:ascii="Arial" w:cs="Arial" w:eastAsia="Arial" w:hAnsi="Arial"/>
          <w:sz w:val="22"/>
          <w:szCs w:val="22"/>
          <w:color w:val="auto"/>
        </w:rPr>
        <w:t>10.60 Firm Transportation Service Agreement, dated December 31, 1991 between Pacific Gas and Electric Company and San Diego Gas &amp; Electric Company (1991 SDG&amp;E Form 10-K, Exhibit 10.7).</w:t>
      </w:r>
    </w:p>
    <w:p>
      <w:pPr>
        <w:spacing w:after="0" w:line="173" w:lineRule="exact"/>
        <w:rPr>
          <w:sz w:val="20"/>
          <w:szCs w:val="20"/>
          <w:color w:val="auto"/>
        </w:rPr>
      </w:pPr>
    </w:p>
    <w:p>
      <w:pPr>
        <w:ind w:right="240"/>
        <w:spacing w:after="0"/>
        <w:rPr>
          <w:sz w:val="20"/>
          <w:szCs w:val="20"/>
          <w:color w:val="auto"/>
        </w:rPr>
      </w:pPr>
      <w:r>
        <w:rPr>
          <w:rFonts w:ascii="Arial" w:cs="Arial" w:eastAsia="Arial" w:hAnsi="Arial"/>
          <w:sz w:val="22"/>
          <w:szCs w:val="22"/>
          <w:color w:val="auto"/>
        </w:rPr>
        <w:t>10.61 Firm Transportation Service Agreement, dated October 13, 1994 between Pacific Gas Transmission Company (succeeded by TransCanada Pipelines - GTN Systems) and San Diego Gas &amp; Electric Company (1997 Enova Corporation Form 10-K, Exhibit 10.60).</w:t>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Other</w:t>
      </w:r>
    </w:p>
    <w:p>
      <w:pPr>
        <w:spacing w:after="0" w:line="206" w:lineRule="exact"/>
        <w:rPr>
          <w:sz w:val="20"/>
          <w:szCs w:val="20"/>
          <w:color w:val="auto"/>
        </w:rPr>
      </w:pPr>
    </w:p>
    <w:p>
      <w:pPr>
        <w:ind w:right="220"/>
        <w:spacing w:after="0" w:line="251" w:lineRule="auto"/>
        <w:rPr>
          <w:sz w:val="20"/>
          <w:szCs w:val="20"/>
          <w:color w:val="auto"/>
        </w:rPr>
      </w:pPr>
      <w:r>
        <w:rPr>
          <w:rFonts w:ascii="Arial" w:cs="Arial" w:eastAsia="Arial" w:hAnsi="Arial"/>
          <w:sz w:val="22"/>
          <w:szCs w:val="22"/>
          <w:color w:val="auto"/>
        </w:rPr>
        <w:t>10.62 Lease agreement dated as of March 25, 1992 with CarrAmerica Development and Construction as lessor of an office complex at Century Park (1994 SDG&amp;E Form 10-K, Exhibit 10.70).</w:t>
      </w:r>
    </w:p>
    <w:p>
      <w:pPr>
        <w:sectPr>
          <w:pgSz w:w="11900" w:h="16865" w:orient="portrait"/>
          <w:cols w:equalWidth="0" w:num="1">
            <w:col w:w="10300"/>
          </w:cols>
          <w:pgMar w:left="1320" w:top="118" w:right="279" w:bottom="0" w:gutter="0" w:footer="0" w:header="0"/>
        </w:sectPr>
      </w:pPr>
    </w:p>
    <w:bookmarkStart w:id="59" w:name="page60"/>
    <w:bookmarkEnd w:id="59"/>
    <w:p>
      <w:pPr>
        <w:spacing w:after="0" w:line="10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Exhibit 12 -- Statement Re: Computation Of Ratios</w:t>
      </w:r>
    </w:p>
    <w:p>
      <w:pPr>
        <w:spacing w:after="0" w:line="213" w:lineRule="exact"/>
        <w:rPr>
          <w:sz w:val="20"/>
          <w:szCs w:val="20"/>
          <w:color w:val="auto"/>
        </w:rPr>
      </w:pPr>
    </w:p>
    <w:p>
      <w:pPr>
        <w:ind w:right="460"/>
        <w:spacing w:after="0" w:line="251" w:lineRule="auto"/>
        <w:rPr>
          <w:sz w:val="20"/>
          <w:szCs w:val="20"/>
          <w:color w:val="auto"/>
        </w:rPr>
      </w:pPr>
      <w:r>
        <w:rPr>
          <w:rFonts w:ascii="Arial" w:cs="Arial" w:eastAsia="Arial" w:hAnsi="Arial"/>
          <w:sz w:val="22"/>
          <w:szCs w:val="22"/>
          <w:color w:val="auto"/>
        </w:rPr>
        <w:t>12.01 Computation of Ratio of Earnings to Combined Fixed Charges and Preferred Stock Dividends for the years ended December 31, 2005, 2004, 2003, 2002 and 2001.</w:t>
      </w:r>
    </w:p>
    <w:p>
      <w:pPr>
        <w:spacing w:after="0" w:line="16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Exhibit 21 -- Subsidiaries</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color w:val="auto"/>
        </w:rPr>
        <w:t>21.01 Schedule of Subsidiaries at December 31, 2005.</w:t>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Exhibit 23 -- Consent of Independent Registered Public Accounting Firm, page 80.</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Exhibit 31 -- Section 302 Certifications</w:t>
      </w:r>
    </w:p>
    <w:p>
      <w:pPr>
        <w:spacing w:after="0" w:line="212" w:lineRule="exact"/>
        <w:rPr>
          <w:sz w:val="20"/>
          <w:szCs w:val="20"/>
          <w:color w:val="auto"/>
        </w:rPr>
      </w:pPr>
    </w:p>
    <w:p>
      <w:pPr>
        <w:ind w:right="840"/>
        <w:spacing w:after="0" w:line="251" w:lineRule="auto"/>
        <w:rPr>
          <w:sz w:val="20"/>
          <w:szCs w:val="20"/>
          <w:color w:val="auto"/>
        </w:rPr>
      </w:pPr>
      <w:r>
        <w:rPr>
          <w:rFonts w:ascii="Arial" w:cs="Arial" w:eastAsia="Arial" w:hAnsi="Arial"/>
          <w:sz w:val="22"/>
          <w:szCs w:val="22"/>
          <w:color w:val="auto"/>
        </w:rPr>
        <w:t>31.1 Statement of Registrant's Chief Executive Officer pursuant to Rules 13a-14 and 15d-14 of the Securities Exchange Act of 1934.</w:t>
      </w:r>
    </w:p>
    <w:p>
      <w:pPr>
        <w:spacing w:after="0" w:line="173" w:lineRule="exact"/>
        <w:rPr>
          <w:sz w:val="20"/>
          <w:szCs w:val="20"/>
          <w:color w:val="auto"/>
        </w:rPr>
      </w:pPr>
    </w:p>
    <w:p>
      <w:pPr>
        <w:spacing w:after="0" w:line="251" w:lineRule="auto"/>
        <w:rPr>
          <w:sz w:val="20"/>
          <w:szCs w:val="20"/>
          <w:color w:val="auto"/>
        </w:rPr>
      </w:pPr>
      <w:r>
        <w:rPr>
          <w:rFonts w:ascii="Arial" w:cs="Arial" w:eastAsia="Arial" w:hAnsi="Arial"/>
          <w:sz w:val="22"/>
          <w:szCs w:val="22"/>
          <w:color w:val="auto"/>
        </w:rPr>
        <w:t>31.2 Statement of Registrant's Chief Financial Officer pursuant to Rules 13a-14 and 15d-14 of the Securities Exchange Act of 1934.</w:t>
      </w:r>
    </w:p>
    <w:p>
      <w:pPr>
        <w:spacing w:after="0" w:line="16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Exhibit 32 -- Section 906 Certifications</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color w:val="auto"/>
        </w:rPr>
        <w:t>32.1 Statement of Registrant's Chief Executive Officer pursuant to 18 U.S.C. Sec. 1350.</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32.2 Statement of Registrant's Chief Financial Officer pursuant to 18 U.S.C. Sec. 1350.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-692785</wp:posOffset>
            </wp:positionH>
            <wp:positionV relativeFrom="paragraph">
              <wp:posOffset>132080</wp:posOffset>
            </wp:positionV>
            <wp:extent cx="72720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740"/>
        <w:spacing w:after="0"/>
        <w:rPr>
          <w:sz w:val="20"/>
          <w:szCs w:val="20"/>
          <w:color w:val="auto"/>
        </w:rPr>
      </w:pPr>
      <w:r>
        <w:rPr>
          <w:rFonts w:ascii="Arial" w:cs="Arial" w:eastAsia="Arial" w:hAnsi="Arial"/>
          <w:sz w:val="22"/>
          <w:szCs w:val="22"/>
          <w:b w:val="1"/>
          <w:bCs w:val="1"/>
          <w:color w:val="auto"/>
        </w:rPr>
        <w:t>GLOSSARY</w:t>
      </w:r>
    </w:p>
    <w:p>
      <w:pPr>
        <w:sectPr>
          <w:pgSz w:w="11900" w:h="16946" w:orient="portrait"/>
          <w:cols w:equalWidth="0" w:num="1">
            <w:col w:w="10280"/>
          </w:cols>
          <w:pgMar w:left="1320" w:top="112" w:right="2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740"/>
        <w:spacing w:after="0"/>
        <w:rPr>
          <w:sz w:val="20"/>
          <w:szCs w:val="20"/>
          <w:color w:val="auto"/>
        </w:rPr>
      </w:pPr>
      <w:r>
        <w:rPr>
          <w:rFonts w:ascii="Arial" w:cs="Arial" w:eastAsia="Arial" w:hAnsi="Arial"/>
          <w:sz w:val="21"/>
          <w:szCs w:val="21"/>
          <w:color w:val="auto"/>
        </w:rPr>
        <w:t>AFUDC</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Arial" w:cs="Arial" w:eastAsia="Arial" w:hAnsi="Arial"/>
          <w:sz w:val="19"/>
          <w:szCs w:val="19"/>
          <w:color w:val="auto"/>
        </w:rPr>
        <w:t>Allowance for Funds Used During Construction</w:t>
      </w:r>
    </w:p>
    <w:p>
      <w:pPr>
        <w:spacing w:after="0" w:line="222" w:lineRule="exact"/>
        <w:rPr>
          <w:sz w:val="20"/>
          <w:szCs w:val="20"/>
          <w:color w:val="auto"/>
        </w:rPr>
      </w:pPr>
    </w:p>
    <w:p>
      <w:pPr>
        <w:sectPr>
          <w:pgSz w:w="11900" w:h="16946" w:orient="portrait"/>
          <w:cols w:equalWidth="0" w:num="2">
            <w:col w:w="2900" w:space="720"/>
            <w:col w:w="6660"/>
          </w:cols>
          <w:pgMar w:left="1320" w:top="112" w:right="299" w:bottom="0" w:gutter="0" w:footer="0" w:header="0"/>
          <w:type w:val="continuous"/>
        </w:sectPr>
      </w:pPr>
    </w:p>
    <w:p>
      <w:pPr>
        <w:spacing w:after="0" w:line="200" w:lineRule="exact"/>
        <w:rPr>
          <w:sz w:val="20"/>
          <w:szCs w:val="20"/>
          <w:color w:val="auto"/>
        </w:rPr>
      </w:pPr>
    </w:p>
    <w:p>
      <w:pPr>
        <w:spacing w:after="0" w:line="223" w:lineRule="exact"/>
        <w:rPr>
          <w:sz w:val="20"/>
          <w:szCs w:val="20"/>
          <w:color w:val="auto"/>
        </w:rPr>
      </w:pPr>
    </w:p>
    <w:p>
      <w:pPr>
        <w:ind w:left="740"/>
        <w:spacing w:after="0"/>
        <w:rPr>
          <w:sz w:val="20"/>
          <w:szCs w:val="20"/>
          <w:color w:val="auto"/>
        </w:rPr>
      </w:pPr>
      <w:r>
        <w:rPr>
          <w:rFonts w:ascii="Arial" w:cs="Arial" w:eastAsia="Arial" w:hAnsi="Arial"/>
          <w:sz w:val="22"/>
          <w:szCs w:val="22"/>
          <w:color w:val="auto"/>
        </w:rPr>
        <w:t>ALJ</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9"/>
          <w:szCs w:val="19"/>
          <w:color w:val="auto"/>
        </w:rPr>
        <w:t>Administrative Law Judge</w:t>
      </w:r>
    </w:p>
    <w:p>
      <w:pPr>
        <w:spacing w:after="0" w:line="234" w:lineRule="exact"/>
        <w:rPr>
          <w:sz w:val="20"/>
          <w:szCs w:val="20"/>
          <w:color w:val="auto"/>
        </w:rPr>
      </w:pPr>
    </w:p>
    <w:p>
      <w:pPr>
        <w:sectPr>
          <w:pgSz w:w="11900" w:h="16946" w:orient="portrait"/>
          <w:cols w:equalWidth="0" w:num="2">
            <w:col w:w="2900" w:space="720"/>
            <w:col w:w="6660"/>
          </w:cols>
          <w:pgMar w:left="1320" w:top="112" w:right="299" w:bottom="0" w:gutter="0" w:footer="0" w:header="0"/>
          <w:type w:val="continuous"/>
        </w:sectPr>
      </w:pPr>
    </w:p>
    <w:p>
      <w:pPr>
        <w:spacing w:after="0" w:line="200" w:lineRule="exact"/>
        <w:rPr>
          <w:sz w:val="20"/>
          <w:szCs w:val="20"/>
          <w:color w:val="auto"/>
        </w:rPr>
      </w:pPr>
    </w:p>
    <w:p>
      <w:pPr>
        <w:spacing w:after="0" w:line="211" w:lineRule="exact"/>
        <w:rPr>
          <w:sz w:val="20"/>
          <w:szCs w:val="20"/>
          <w:color w:val="auto"/>
        </w:rPr>
      </w:pPr>
    </w:p>
    <w:p>
      <w:pPr>
        <w:ind w:left="740"/>
        <w:spacing w:after="0"/>
        <w:rPr>
          <w:sz w:val="20"/>
          <w:szCs w:val="20"/>
          <w:color w:val="auto"/>
        </w:rPr>
      </w:pPr>
      <w:r>
        <w:rPr>
          <w:rFonts w:ascii="Arial" w:cs="Arial" w:eastAsia="Arial" w:hAnsi="Arial"/>
          <w:sz w:val="19"/>
          <w:szCs w:val="19"/>
          <w:color w:val="auto"/>
        </w:rPr>
        <w:t>APBO</w:t>
      </w:r>
    </w:p>
    <w:p>
      <w:pPr>
        <w:spacing w:after="0" w:line="20" w:lineRule="exact"/>
        <w:rPr>
          <w:sz w:val="20"/>
          <w:szCs w:val="20"/>
          <w:color w:val="auto"/>
        </w:rPr>
      </w:pPr>
      <w:r>
        <w:rPr>
          <w:sz w:val="20"/>
          <w:szCs w:val="20"/>
          <w:color w:val="auto"/>
        </w:rPr>
        <w:br w:type="column"/>
      </w:r>
    </w:p>
    <w:p>
      <w:pPr>
        <w:spacing w:after="0" w:line="391" w:lineRule="exact"/>
        <w:rPr>
          <w:sz w:val="20"/>
          <w:szCs w:val="20"/>
          <w:color w:val="auto"/>
        </w:rPr>
      </w:pPr>
    </w:p>
    <w:p>
      <w:pPr>
        <w:spacing w:after="0"/>
        <w:rPr>
          <w:sz w:val="20"/>
          <w:szCs w:val="20"/>
          <w:color w:val="auto"/>
        </w:rPr>
      </w:pPr>
      <w:r>
        <w:rPr>
          <w:rFonts w:ascii="Arial" w:cs="Arial" w:eastAsia="Arial" w:hAnsi="Arial"/>
          <w:sz w:val="19"/>
          <w:szCs w:val="19"/>
          <w:color w:val="auto"/>
        </w:rPr>
        <w:t>Accounting Principles Board Opinion</w:t>
      </w:r>
    </w:p>
    <w:p>
      <w:pPr>
        <w:spacing w:after="0" w:line="200" w:lineRule="exact"/>
        <w:rPr>
          <w:sz w:val="20"/>
          <w:szCs w:val="20"/>
          <w:color w:val="auto"/>
        </w:rPr>
      </w:pPr>
    </w:p>
    <w:p>
      <w:pPr>
        <w:sectPr>
          <w:pgSz w:w="11900" w:h="16946" w:orient="portrait"/>
          <w:cols w:equalWidth="0" w:num="2">
            <w:col w:w="2900" w:space="720"/>
            <w:col w:w="6660"/>
          </w:cols>
          <w:pgMar w:left="1320" w:top="112" w:right="299" w:bottom="0" w:gutter="0" w:footer="0" w:header="0"/>
          <w:type w:val="continuous"/>
        </w:sectPr>
      </w:pPr>
    </w:p>
    <w:p>
      <w:pPr>
        <w:spacing w:after="0" w:line="200" w:lineRule="exact"/>
        <w:rPr>
          <w:sz w:val="20"/>
          <w:szCs w:val="20"/>
          <w:color w:val="auto"/>
        </w:rPr>
      </w:pPr>
    </w:p>
    <w:p>
      <w:pPr>
        <w:spacing w:after="0" w:line="246" w:lineRule="exact"/>
        <w:rPr>
          <w:sz w:val="20"/>
          <w:szCs w:val="20"/>
          <w:color w:val="auto"/>
        </w:rPr>
      </w:pPr>
    </w:p>
    <w:p>
      <w:pPr>
        <w:ind w:left="740"/>
        <w:spacing w:after="0"/>
        <w:rPr>
          <w:sz w:val="20"/>
          <w:szCs w:val="20"/>
          <w:color w:val="auto"/>
        </w:rPr>
      </w:pPr>
      <w:r>
        <w:rPr>
          <w:rFonts w:ascii="Arial" w:cs="Arial" w:eastAsia="Arial" w:hAnsi="Arial"/>
          <w:sz w:val="21"/>
          <w:szCs w:val="21"/>
          <w:color w:val="auto"/>
        </w:rPr>
        <w:t>ARB</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9"/>
          <w:szCs w:val="19"/>
          <w:color w:val="auto"/>
        </w:rPr>
        <w:t>Accounting Research Bulletin</w:t>
      </w:r>
    </w:p>
    <w:p>
      <w:pPr>
        <w:spacing w:after="0" w:line="222" w:lineRule="exact"/>
        <w:rPr>
          <w:sz w:val="20"/>
          <w:szCs w:val="20"/>
          <w:color w:val="auto"/>
        </w:rPr>
      </w:pPr>
    </w:p>
    <w:p>
      <w:pPr>
        <w:sectPr>
          <w:pgSz w:w="11900" w:h="16946" w:orient="portrait"/>
          <w:cols w:equalWidth="0" w:num="2">
            <w:col w:w="2900" w:space="720"/>
            <w:col w:w="6660"/>
          </w:cols>
          <w:pgMar w:left="1320" w:top="112" w:right="299" w:bottom="0" w:gutter="0" w:footer="0" w:header="0"/>
          <w:type w:val="continuous"/>
        </w:sectPr>
      </w:pPr>
    </w:p>
    <w:p>
      <w:pPr>
        <w:spacing w:after="0" w:line="200" w:lineRule="exact"/>
        <w:rPr>
          <w:sz w:val="20"/>
          <w:szCs w:val="20"/>
          <w:color w:val="auto"/>
        </w:rPr>
      </w:pPr>
    </w:p>
    <w:p>
      <w:pPr>
        <w:spacing w:after="0" w:line="223" w:lineRule="exact"/>
        <w:rPr>
          <w:sz w:val="20"/>
          <w:szCs w:val="20"/>
          <w:color w:val="auto"/>
        </w:rPr>
      </w:pPr>
    </w:p>
    <w:p>
      <w:pPr>
        <w:ind w:left="740"/>
        <w:spacing w:after="0"/>
        <w:rPr>
          <w:sz w:val="20"/>
          <w:szCs w:val="20"/>
          <w:color w:val="auto"/>
        </w:rPr>
      </w:pPr>
      <w:r>
        <w:rPr>
          <w:rFonts w:ascii="Arial" w:cs="Arial" w:eastAsia="Arial" w:hAnsi="Arial"/>
          <w:sz w:val="19"/>
          <w:szCs w:val="19"/>
          <w:color w:val="auto"/>
        </w:rPr>
        <w:t>BCAP</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9"/>
          <w:szCs w:val="19"/>
          <w:color w:val="auto"/>
        </w:rPr>
        <w:t>Biennial Cost Allocation Proceeding</w:t>
      </w:r>
    </w:p>
    <w:p>
      <w:pPr>
        <w:spacing w:after="0" w:line="200" w:lineRule="exact"/>
        <w:rPr>
          <w:sz w:val="20"/>
          <w:szCs w:val="20"/>
          <w:color w:val="auto"/>
        </w:rPr>
      </w:pPr>
    </w:p>
    <w:p>
      <w:pPr>
        <w:sectPr>
          <w:pgSz w:w="11900" w:h="16946" w:orient="portrait"/>
          <w:cols w:equalWidth="0" w:num="2">
            <w:col w:w="2900" w:space="720"/>
            <w:col w:w="6660"/>
          </w:cols>
          <w:pgMar w:left="1320" w:top="112" w:right="299"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740"/>
        <w:spacing w:after="0"/>
        <w:rPr>
          <w:sz w:val="20"/>
          <w:szCs w:val="20"/>
          <w:color w:val="auto"/>
        </w:rPr>
      </w:pPr>
      <w:r>
        <w:rPr>
          <w:rFonts w:ascii="Arial" w:cs="Arial" w:eastAsia="Arial" w:hAnsi="Arial"/>
          <w:sz w:val="21"/>
          <w:szCs w:val="21"/>
          <w:color w:val="auto"/>
        </w:rPr>
        <w:t>California Utilities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6" w:lineRule="exact"/>
        <w:rPr>
          <w:sz w:val="20"/>
          <w:szCs w:val="20"/>
          <w:color w:val="auto"/>
        </w:rPr>
      </w:pPr>
    </w:p>
    <w:p>
      <w:pPr>
        <w:ind w:right="1780"/>
        <w:spacing w:after="0" w:line="251" w:lineRule="auto"/>
        <w:rPr>
          <w:sz w:val="20"/>
          <w:szCs w:val="20"/>
          <w:color w:val="auto"/>
        </w:rPr>
      </w:pPr>
      <w:r>
        <w:rPr>
          <w:rFonts w:ascii="Arial" w:cs="Arial" w:eastAsia="Arial" w:hAnsi="Arial"/>
          <w:sz w:val="22"/>
          <w:szCs w:val="22"/>
          <w:color w:val="auto"/>
        </w:rPr>
        <w:t>Southern California Gas Company and San Diego Gas&amp; Electric</w:t>
      </w:r>
    </w:p>
    <w:p>
      <w:pPr>
        <w:spacing w:after="0" w:line="200" w:lineRule="exact"/>
        <w:rPr>
          <w:sz w:val="20"/>
          <w:szCs w:val="20"/>
          <w:color w:val="auto"/>
        </w:rPr>
      </w:pPr>
    </w:p>
    <w:p>
      <w:pPr>
        <w:sectPr>
          <w:pgSz w:w="11900" w:h="16946" w:orient="portrait"/>
          <w:cols w:equalWidth="0" w:num="2">
            <w:col w:w="2900" w:space="720"/>
            <w:col w:w="6660"/>
          </w:cols>
          <w:pgMar w:left="1320" w:top="112" w:right="299" w:bottom="0" w:gutter="0" w:footer="0" w:header="0"/>
          <w:type w:val="continuous"/>
        </w:sectPr>
      </w:pPr>
    </w:p>
    <w:p>
      <w:pPr>
        <w:spacing w:after="0" w:line="378" w:lineRule="exact"/>
        <w:rPr>
          <w:sz w:val="20"/>
          <w:szCs w:val="20"/>
          <w:color w:val="auto"/>
        </w:rPr>
      </w:pPr>
    </w:p>
    <w:p>
      <w:pPr>
        <w:ind w:left="740"/>
        <w:spacing w:after="0"/>
        <w:rPr>
          <w:sz w:val="20"/>
          <w:szCs w:val="20"/>
          <w:color w:val="auto"/>
        </w:rPr>
      </w:pPr>
      <w:r>
        <w:rPr>
          <w:rFonts w:ascii="Arial" w:cs="Arial" w:eastAsia="Arial" w:hAnsi="Arial"/>
          <w:sz w:val="19"/>
          <w:szCs w:val="19"/>
          <w:color w:val="auto"/>
        </w:rPr>
        <w:t>Calpine</w:t>
      </w:r>
    </w:p>
    <w:p>
      <w:pPr>
        <w:spacing w:after="0" w:line="20" w:lineRule="exact"/>
        <w:rPr>
          <w:sz w:val="20"/>
          <w:szCs w:val="20"/>
          <w:color w:val="auto"/>
        </w:rPr>
      </w:pPr>
      <w:r>
        <w:rPr>
          <w:sz w:val="20"/>
          <w:szCs w:val="20"/>
          <w:color w:val="auto"/>
        </w:rPr>
        <w:br w:type="column"/>
      </w:r>
    </w:p>
    <w:p>
      <w:pPr>
        <w:spacing w:after="0" w:line="358" w:lineRule="exact"/>
        <w:rPr>
          <w:sz w:val="20"/>
          <w:szCs w:val="20"/>
          <w:color w:val="auto"/>
        </w:rPr>
      </w:pPr>
    </w:p>
    <w:p>
      <w:pPr>
        <w:spacing w:after="0"/>
        <w:rPr>
          <w:sz w:val="20"/>
          <w:szCs w:val="20"/>
          <w:color w:val="auto"/>
        </w:rPr>
      </w:pPr>
      <w:r>
        <w:rPr>
          <w:rFonts w:ascii="Arial" w:cs="Arial" w:eastAsia="Arial" w:hAnsi="Arial"/>
          <w:sz w:val="19"/>
          <w:szCs w:val="19"/>
          <w:color w:val="auto"/>
        </w:rPr>
        <w:t>Calpine Corporation</w:t>
      </w:r>
    </w:p>
    <w:p>
      <w:pPr>
        <w:spacing w:after="0" w:line="200" w:lineRule="exact"/>
        <w:rPr>
          <w:sz w:val="20"/>
          <w:szCs w:val="20"/>
          <w:color w:val="auto"/>
        </w:rPr>
      </w:pPr>
    </w:p>
    <w:p>
      <w:pPr>
        <w:sectPr>
          <w:pgSz w:w="11900" w:h="16946" w:orient="portrait"/>
          <w:cols w:equalWidth="0" w:num="2">
            <w:col w:w="2900" w:space="720"/>
            <w:col w:w="6660"/>
          </w:cols>
          <w:pgMar w:left="1320" w:top="112" w:right="299" w:bottom="0" w:gutter="0" w:footer="0" w:header="0"/>
          <w:type w:val="continuous"/>
        </w:sectPr>
      </w:pPr>
    </w:p>
    <w:p>
      <w:pPr>
        <w:spacing w:after="0" w:line="200" w:lineRule="exact"/>
        <w:rPr>
          <w:sz w:val="20"/>
          <w:szCs w:val="20"/>
          <w:color w:val="auto"/>
        </w:rPr>
      </w:pPr>
    </w:p>
    <w:p>
      <w:pPr>
        <w:spacing w:after="0" w:line="246" w:lineRule="exact"/>
        <w:rPr>
          <w:sz w:val="20"/>
          <w:szCs w:val="20"/>
          <w:color w:val="auto"/>
        </w:rPr>
      </w:pPr>
    </w:p>
    <w:p>
      <w:pPr>
        <w:ind w:left="740"/>
        <w:spacing w:after="0"/>
        <w:rPr>
          <w:sz w:val="20"/>
          <w:szCs w:val="20"/>
          <w:color w:val="auto"/>
        </w:rPr>
      </w:pPr>
      <w:r>
        <w:rPr>
          <w:rFonts w:ascii="Arial" w:cs="Arial" w:eastAsia="Arial" w:hAnsi="Arial"/>
          <w:sz w:val="19"/>
          <w:szCs w:val="19"/>
          <w:color w:val="auto"/>
        </w:rPr>
        <w:t>CEC</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9"/>
          <w:szCs w:val="19"/>
          <w:color w:val="auto"/>
        </w:rPr>
        <w:t>California Energy Commission</w:t>
      </w:r>
    </w:p>
    <w:p>
      <w:pPr>
        <w:spacing w:after="0" w:line="200" w:lineRule="exact"/>
        <w:rPr>
          <w:sz w:val="20"/>
          <w:szCs w:val="20"/>
          <w:color w:val="auto"/>
        </w:rPr>
      </w:pPr>
    </w:p>
    <w:p>
      <w:pPr>
        <w:sectPr>
          <w:pgSz w:w="11900" w:h="16946" w:orient="portrait"/>
          <w:cols w:equalWidth="0" w:num="2">
            <w:col w:w="2900" w:space="720"/>
            <w:col w:w="6660"/>
          </w:cols>
          <w:pgMar w:left="1320" w:top="112" w:right="299" w:bottom="0" w:gutter="0" w:footer="0" w:header="0"/>
          <w:type w:val="continuous"/>
        </w:sectPr>
      </w:pPr>
    </w:p>
    <w:p>
      <w:pPr>
        <w:spacing w:after="0" w:line="200" w:lineRule="exact"/>
        <w:rPr>
          <w:sz w:val="20"/>
          <w:szCs w:val="20"/>
          <w:color w:val="auto"/>
        </w:rPr>
      </w:pPr>
    </w:p>
    <w:p>
      <w:pPr>
        <w:spacing w:after="0" w:line="246" w:lineRule="exact"/>
        <w:rPr>
          <w:sz w:val="20"/>
          <w:szCs w:val="20"/>
          <w:color w:val="auto"/>
        </w:rPr>
      </w:pPr>
    </w:p>
    <w:p>
      <w:pPr>
        <w:ind w:left="740"/>
        <w:spacing w:after="0"/>
        <w:rPr>
          <w:sz w:val="20"/>
          <w:szCs w:val="20"/>
          <w:color w:val="auto"/>
        </w:rPr>
      </w:pPr>
      <w:r>
        <w:rPr>
          <w:rFonts w:ascii="Arial" w:cs="Arial" w:eastAsia="Arial" w:hAnsi="Arial"/>
          <w:sz w:val="21"/>
          <w:szCs w:val="21"/>
          <w:color w:val="auto"/>
        </w:rPr>
        <w:t>CEMA</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9"/>
          <w:szCs w:val="19"/>
          <w:color w:val="auto"/>
        </w:rPr>
        <w:t>Catastrophic Event Memorandum Act</w:t>
      </w:r>
    </w:p>
    <w:p>
      <w:pPr>
        <w:spacing w:after="0" w:line="222" w:lineRule="exact"/>
        <w:rPr>
          <w:sz w:val="20"/>
          <w:szCs w:val="20"/>
          <w:color w:val="auto"/>
        </w:rPr>
      </w:pPr>
    </w:p>
    <w:p>
      <w:pPr>
        <w:sectPr>
          <w:pgSz w:w="11900" w:h="16946" w:orient="portrait"/>
          <w:cols w:equalWidth="0" w:num="2">
            <w:col w:w="2900" w:space="720"/>
            <w:col w:w="6660"/>
          </w:cols>
          <w:pgMar w:left="1320" w:top="112" w:right="299" w:bottom="0" w:gutter="0" w:footer="0" w:header="0"/>
          <w:type w:val="continuous"/>
        </w:sectPr>
      </w:pPr>
    </w:p>
    <w:p>
      <w:pPr>
        <w:spacing w:after="0" w:line="200" w:lineRule="exact"/>
        <w:rPr>
          <w:sz w:val="20"/>
          <w:szCs w:val="20"/>
          <w:color w:val="auto"/>
        </w:rPr>
      </w:pPr>
    </w:p>
    <w:p>
      <w:pPr>
        <w:spacing w:after="0" w:line="223" w:lineRule="exact"/>
        <w:rPr>
          <w:sz w:val="20"/>
          <w:szCs w:val="20"/>
          <w:color w:val="auto"/>
        </w:rPr>
      </w:pPr>
    </w:p>
    <w:p>
      <w:pPr>
        <w:ind w:left="740"/>
        <w:spacing w:after="0"/>
        <w:rPr>
          <w:sz w:val="20"/>
          <w:szCs w:val="20"/>
          <w:color w:val="auto"/>
        </w:rPr>
      </w:pPr>
      <w:r>
        <w:rPr>
          <w:rFonts w:ascii="Arial" w:cs="Arial" w:eastAsia="Arial" w:hAnsi="Arial"/>
          <w:sz w:val="19"/>
          <w:szCs w:val="19"/>
          <w:color w:val="auto"/>
        </w:rPr>
        <w:t>CPI</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9"/>
          <w:szCs w:val="19"/>
          <w:color w:val="auto"/>
        </w:rPr>
        <w:t>Consumer Price Index</w:t>
      </w:r>
    </w:p>
    <w:p>
      <w:pPr>
        <w:spacing w:after="0" w:line="200" w:lineRule="exact"/>
        <w:rPr>
          <w:sz w:val="20"/>
          <w:szCs w:val="20"/>
          <w:color w:val="auto"/>
        </w:rPr>
      </w:pPr>
    </w:p>
    <w:p>
      <w:pPr>
        <w:sectPr>
          <w:pgSz w:w="11900" w:h="16946" w:orient="portrait"/>
          <w:cols w:equalWidth="0" w:num="2">
            <w:col w:w="2900" w:space="720"/>
            <w:col w:w="6660"/>
          </w:cols>
          <w:pgMar w:left="1320" w:top="112" w:right="299" w:bottom="0" w:gutter="0" w:footer="0" w:header="0"/>
          <w:type w:val="continuous"/>
        </w:sectPr>
      </w:pPr>
    </w:p>
    <w:p>
      <w:pPr>
        <w:spacing w:after="0" w:line="200" w:lineRule="exact"/>
        <w:rPr>
          <w:sz w:val="20"/>
          <w:szCs w:val="20"/>
          <w:color w:val="auto"/>
        </w:rPr>
      </w:pPr>
    </w:p>
    <w:p>
      <w:pPr>
        <w:spacing w:after="0" w:line="246" w:lineRule="exact"/>
        <w:rPr>
          <w:sz w:val="20"/>
          <w:szCs w:val="20"/>
          <w:color w:val="auto"/>
        </w:rPr>
      </w:pPr>
    </w:p>
    <w:p>
      <w:pPr>
        <w:ind w:left="740"/>
        <w:spacing w:after="0"/>
        <w:rPr>
          <w:sz w:val="20"/>
          <w:szCs w:val="20"/>
          <w:color w:val="auto"/>
        </w:rPr>
      </w:pPr>
      <w:r>
        <w:rPr>
          <w:rFonts w:ascii="Arial" w:cs="Arial" w:eastAsia="Arial" w:hAnsi="Arial"/>
          <w:sz w:val="19"/>
          <w:szCs w:val="19"/>
          <w:color w:val="auto"/>
        </w:rPr>
        <w:t>CPUC</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9"/>
          <w:szCs w:val="19"/>
          <w:color w:val="auto"/>
        </w:rPr>
        <w:t>California Public Utilities Commission</w:t>
      </w:r>
    </w:p>
    <w:p>
      <w:pPr>
        <w:sectPr>
          <w:pgSz w:w="11900" w:h="16946" w:orient="portrait"/>
          <w:cols w:equalWidth="0" w:num="2">
            <w:col w:w="2900" w:space="720"/>
            <w:col w:w="6660"/>
          </w:cols>
          <w:pgMar w:left="1320" w:top="112" w:right="299" w:bottom="0" w:gutter="0" w:footer="0" w:header="0"/>
          <w:type w:val="continuous"/>
        </w:sectPr>
      </w:pPr>
    </w:p>
    <w:bookmarkStart w:id="60" w:name="page61"/>
    <w:bookmarkEnd w:id="60"/>
    <w:p>
      <w:pPr>
        <w:spacing w:after="0" w:line="155" w:lineRule="exact"/>
        <w:rPr>
          <w:sz w:val="20"/>
          <w:szCs w:val="20"/>
          <w:color w:val="auto"/>
        </w:rPr>
      </w:pPr>
    </w:p>
    <w:p>
      <w:pPr>
        <w:ind w:left="620"/>
        <w:spacing w:after="0"/>
        <w:rPr>
          <w:sz w:val="20"/>
          <w:szCs w:val="20"/>
          <w:color w:val="auto"/>
        </w:rPr>
      </w:pPr>
      <w:r>
        <w:rPr>
          <w:rFonts w:ascii="Arial" w:cs="Arial" w:eastAsia="Arial" w:hAnsi="Arial"/>
          <w:sz w:val="22"/>
          <w:szCs w:val="22"/>
          <w:color w:val="auto"/>
        </w:rPr>
        <w:t>DOE</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620"/>
        <w:spacing w:after="0"/>
        <w:rPr>
          <w:sz w:val="20"/>
          <w:szCs w:val="20"/>
          <w:color w:val="auto"/>
        </w:rPr>
      </w:pPr>
      <w:r>
        <w:rPr>
          <w:rFonts w:ascii="Arial" w:cs="Arial" w:eastAsia="Arial" w:hAnsi="Arial"/>
          <w:sz w:val="22"/>
          <w:szCs w:val="22"/>
          <w:color w:val="auto"/>
        </w:rPr>
        <w:t>DSM</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620"/>
        <w:spacing w:after="0"/>
        <w:rPr>
          <w:sz w:val="20"/>
          <w:szCs w:val="20"/>
          <w:color w:val="auto"/>
        </w:rPr>
      </w:pPr>
      <w:r>
        <w:rPr>
          <w:rFonts w:ascii="Arial" w:cs="Arial" w:eastAsia="Arial" w:hAnsi="Arial"/>
          <w:sz w:val="22"/>
          <w:szCs w:val="22"/>
          <w:color w:val="auto"/>
        </w:rPr>
        <w:t>DWR</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620"/>
        <w:spacing w:after="0"/>
        <w:rPr>
          <w:sz w:val="20"/>
          <w:szCs w:val="20"/>
          <w:color w:val="auto"/>
        </w:rPr>
      </w:pPr>
      <w:r>
        <w:rPr>
          <w:rFonts w:ascii="Arial" w:cs="Arial" w:eastAsia="Arial" w:hAnsi="Arial"/>
          <w:sz w:val="21"/>
          <w:szCs w:val="21"/>
          <w:color w:val="auto"/>
        </w:rPr>
        <w:t>Edison</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620"/>
        <w:spacing w:after="0"/>
        <w:rPr>
          <w:sz w:val="20"/>
          <w:szCs w:val="20"/>
          <w:color w:val="auto"/>
        </w:rPr>
      </w:pPr>
      <w:r>
        <w:rPr>
          <w:rFonts w:ascii="Arial" w:cs="Arial" w:eastAsia="Arial" w:hAnsi="Arial"/>
          <w:sz w:val="22"/>
          <w:szCs w:val="22"/>
          <w:color w:val="auto"/>
        </w:rPr>
        <w:t>EITF</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620"/>
        <w:spacing w:after="0"/>
        <w:rPr>
          <w:sz w:val="20"/>
          <w:szCs w:val="20"/>
          <w:color w:val="auto"/>
        </w:rPr>
      </w:pPr>
      <w:r>
        <w:rPr>
          <w:rFonts w:ascii="Arial" w:cs="Arial" w:eastAsia="Arial" w:hAnsi="Arial"/>
          <w:sz w:val="19"/>
          <w:szCs w:val="19"/>
          <w:color w:val="auto"/>
        </w:rPr>
        <w:t>El Paso</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620"/>
        <w:spacing w:after="0"/>
        <w:rPr>
          <w:sz w:val="20"/>
          <w:szCs w:val="20"/>
          <w:color w:val="auto"/>
        </w:rPr>
      </w:pPr>
      <w:r>
        <w:rPr>
          <w:rFonts w:ascii="Arial" w:cs="Arial" w:eastAsia="Arial" w:hAnsi="Arial"/>
          <w:sz w:val="22"/>
          <w:szCs w:val="22"/>
          <w:color w:val="auto"/>
        </w:rPr>
        <w:t>EMFs</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620"/>
        <w:spacing w:after="0"/>
        <w:rPr>
          <w:sz w:val="20"/>
          <w:szCs w:val="20"/>
          <w:color w:val="auto"/>
        </w:rPr>
      </w:pPr>
      <w:r>
        <w:rPr>
          <w:rFonts w:ascii="Arial" w:cs="Arial" w:eastAsia="Arial" w:hAnsi="Arial"/>
          <w:sz w:val="22"/>
          <w:szCs w:val="22"/>
          <w:color w:val="auto"/>
        </w:rPr>
        <w:t>FASB</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620"/>
        <w:spacing w:after="0"/>
        <w:rPr>
          <w:sz w:val="20"/>
          <w:szCs w:val="20"/>
          <w:color w:val="auto"/>
        </w:rPr>
      </w:pPr>
      <w:r>
        <w:rPr>
          <w:rFonts w:ascii="Arial" w:cs="Arial" w:eastAsia="Arial" w:hAnsi="Arial"/>
          <w:sz w:val="22"/>
          <w:szCs w:val="22"/>
          <w:color w:val="auto"/>
        </w:rPr>
        <w:t>FERC</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620"/>
        <w:spacing w:after="0"/>
        <w:rPr>
          <w:sz w:val="20"/>
          <w:szCs w:val="20"/>
          <w:color w:val="auto"/>
        </w:rPr>
      </w:pPr>
      <w:r>
        <w:rPr>
          <w:rFonts w:ascii="Arial" w:cs="Arial" w:eastAsia="Arial" w:hAnsi="Arial"/>
          <w:sz w:val="22"/>
          <w:szCs w:val="22"/>
          <w:color w:val="auto"/>
        </w:rPr>
        <w:t>FIN</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620"/>
        <w:spacing w:after="0"/>
        <w:rPr>
          <w:sz w:val="20"/>
          <w:szCs w:val="20"/>
          <w:color w:val="auto"/>
        </w:rPr>
      </w:pPr>
      <w:r>
        <w:rPr>
          <w:rFonts w:ascii="Arial" w:cs="Arial" w:eastAsia="Arial" w:hAnsi="Arial"/>
          <w:sz w:val="22"/>
          <w:szCs w:val="22"/>
          <w:color w:val="auto"/>
        </w:rPr>
        <w:t>GAAP</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620"/>
        <w:spacing w:after="0"/>
        <w:rPr>
          <w:sz w:val="20"/>
          <w:szCs w:val="20"/>
          <w:color w:val="auto"/>
        </w:rPr>
      </w:pPr>
      <w:r>
        <w:rPr>
          <w:rFonts w:ascii="Arial" w:cs="Arial" w:eastAsia="Arial" w:hAnsi="Arial"/>
          <w:sz w:val="22"/>
          <w:szCs w:val="22"/>
          <w:color w:val="auto"/>
        </w:rPr>
        <w:t>GIR</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620"/>
        <w:spacing w:after="0"/>
        <w:rPr>
          <w:sz w:val="20"/>
          <w:szCs w:val="20"/>
          <w:color w:val="auto"/>
        </w:rPr>
      </w:pPr>
      <w:r>
        <w:rPr>
          <w:rFonts w:ascii="Arial" w:cs="Arial" w:eastAsia="Arial" w:hAnsi="Arial"/>
          <w:sz w:val="22"/>
          <w:szCs w:val="22"/>
          <w:color w:val="auto"/>
        </w:rPr>
        <w:t>IOUs</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620"/>
        <w:spacing w:after="0"/>
        <w:rPr>
          <w:sz w:val="20"/>
          <w:szCs w:val="20"/>
          <w:color w:val="auto"/>
        </w:rPr>
      </w:pPr>
      <w:r>
        <w:rPr>
          <w:rFonts w:ascii="Arial" w:cs="Arial" w:eastAsia="Arial" w:hAnsi="Arial"/>
          <w:sz w:val="22"/>
          <w:szCs w:val="22"/>
          <w:color w:val="auto"/>
        </w:rPr>
        <w:t>IRS</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620"/>
        <w:spacing w:after="0"/>
        <w:rPr>
          <w:sz w:val="20"/>
          <w:szCs w:val="20"/>
          <w:color w:val="auto"/>
        </w:rPr>
      </w:pPr>
      <w:r>
        <w:rPr>
          <w:rFonts w:ascii="Arial" w:cs="Arial" w:eastAsia="Arial" w:hAnsi="Arial"/>
          <w:sz w:val="22"/>
          <w:szCs w:val="22"/>
          <w:color w:val="auto"/>
        </w:rPr>
        <w:t>ISFSI</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620"/>
        <w:spacing w:after="0"/>
        <w:rPr>
          <w:sz w:val="20"/>
          <w:szCs w:val="20"/>
          <w:color w:val="auto"/>
        </w:rPr>
      </w:pPr>
      <w:r>
        <w:rPr>
          <w:rFonts w:ascii="Arial" w:cs="Arial" w:eastAsia="Arial" w:hAnsi="Arial"/>
          <w:sz w:val="22"/>
          <w:szCs w:val="22"/>
          <w:color w:val="auto"/>
        </w:rPr>
        <w:t>ISO</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620"/>
        <w:spacing w:after="0"/>
        <w:rPr>
          <w:sz w:val="20"/>
          <w:szCs w:val="20"/>
          <w:color w:val="auto"/>
        </w:rPr>
      </w:pPr>
      <w:r>
        <w:rPr>
          <w:rFonts w:ascii="Arial" w:cs="Arial" w:eastAsia="Arial" w:hAnsi="Arial"/>
          <w:sz w:val="22"/>
          <w:szCs w:val="22"/>
          <w:color w:val="auto"/>
        </w:rPr>
        <w:t>LIFO</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620"/>
        <w:spacing w:after="0"/>
        <w:rPr>
          <w:sz w:val="20"/>
          <w:szCs w:val="20"/>
          <w:color w:val="auto"/>
        </w:rPr>
      </w:pPr>
      <w:r>
        <w:rPr>
          <w:rFonts w:ascii="Arial" w:cs="Arial" w:eastAsia="Arial" w:hAnsi="Arial"/>
          <w:sz w:val="21"/>
          <w:szCs w:val="21"/>
          <w:color w:val="auto"/>
        </w:rPr>
        <w:t>mmbtu</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620"/>
        <w:spacing w:after="0"/>
        <w:rPr>
          <w:sz w:val="20"/>
          <w:szCs w:val="20"/>
          <w:color w:val="auto"/>
        </w:rPr>
      </w:pPr>
      <w:r>
        <w:rPr>
          <w:rFonts w:ascii="Arial" w:cs="Arial" w:eastAsia="Arial" w:hAnsi="Arial"/>
          <w:sz w:val="22"/>
          <w:szCs w:val="22"/>
          <w:color w:val="auto"/>
        </w:rPr>
        <w:t>MSCI</w:t>
      </w:r>
    </w:p>
    <w:p>
      <w:pPr>
        <w:spacing w:after="0" w:line="20" w:lineRule="exact"/>
        <w:rPr>
          <w:sz w:val="20"/>
          <w:szCs w:val="20"/>
          <w:color w:val="auto"/>
        </w:rPr>
      </w:pPr>
      <w:r>
        <w:rPr>
          <w:sz w:val="20"/>
          <w:szCs w:val="20"/>
          <w:color w:val="auto"/>
        </w:rPr>
        <w:br w:type="column"/>
      </w:r>
    </w:p>
    <w:p>
      <w:pPr>
        <w:spacing w:after="0" w:line="135" w:lineRule="exact"/>
        <w:rPr>
          <w:sz w:val="20"/>
          <w:szCs w:val="20"/>
          <w:color w:val="auto"/>
        </w:rPr>
      </w:pPr>
    </w:p>
    <w:p>
      <w:pPr>
        <w:spacing w:after="0"/>
        <w:rPr>
          <w:sz w:val="20"/>
          <w:szCs w:val="20"/>
          <w:color w:val="auto"/>
        </w:rPr>
      </w:pPr>
      <w:r>
        <w:rPr>
          <w:rFonts w:ascii="Arial" w:cs="Arial" w:eastAsia="Arial" w:hAnsi="Arial"/>
          <w:sz w:val="22"/>
          <w:szCs w:val="22"/>
          <w:color w:val="auto"/>
        </w:rPr>
        <w:t>Department of Energy</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22"/>
          <w:szCs w:val="22"/>
          <w:color w:val="auto"/>
        </w:rPr>
        <w:t>Demand Side Management</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22"/>
          <w:szCs w:val="22"/>
          <w:color w:val="auto"/>
        </w:rPr>
        <w:t>Department of Water Resources</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22"/>
          <w:szCs w:val="22"/>
          <w:color w:val="auto"/>
        </w:rPr>
        <w:t>Southern California Edison Company</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22"/>
          <w:szCs w:val="22"/>
          <w:color w:val="auto"/>
        </w:rPr>
        <w:t>Emerging Issues Task Force</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22"/>
          <w:szCs w:val="22"/>
          <w:color w:val="auto"/>
        </w:rPr>
        <w:t>El Paso Natural Gas Company</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22"/>
          <w:szCs w:val="22"/>
          <w:color w:val="auto"/>
        </w:rPr>
        <w:t>Electric and Magnetic Fields</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22"/>
          <w:szCs w:val="22"/>
          <w:color w:val="auto"/>
        </w:rPr>
        <w:t>Financial Accounting Standards Board</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22"/>
          <w:szCs w:val="22"/>
          <w:color w:val="auto"/>
        </w:rPr>
        <w:t>Federal Energy Regulatory Commission</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22"/>
          <w:szCs w:val="22"/>
          <w:color w:val="auto"/>
        </w:rPr>
        <w:t>FASB Interpretation Number</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21"/>
          <w:szCs w:val="21"/>
          <w:color w:val="auto"/>
        </w:rPr>
        <w:t>Generally Accepted Accounting Principles</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22"/>
          <w:szCs w:val="22"/>
          <w:color w:val="auto"/>
        </w:rPr>
        <w:t>Gas Industry Restructuring</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22"/>
          <w:szCs w:val="22"/>
          <w:color w:val="auto"/>
        </w:rPr>
        <w:t>Investor-Owned Utilities</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22"/>
          <w:szCs w:val="22"/>
          <w:color w:val="auto"/>
        </w:rPr>
        <w:t>Internal Revenue Service</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22"/>
          <w:szCs w:val="22"/>
          <w:color w:val="auto"/>
        </w:rPr>
        <w:t>Independent Spent Fuel Storage Facility</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22"/>
          <w:szCs w:val="22"/>
          <w:color w:val="auto"/>
        </w:rPr>
        <w:t>Independent System Operator</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22"/>
          <w:szCs w:val="22"/>
          <w:color w:val="auto"/>
        </w:rPr>
        <w:t>Last in first out inventory costing method</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9"/>
          <w:szCs w:val="19"/>
          <w:color w:val="auto"/>
        </w:rPr>
        <w:t>Million British Thermal Units (of natural gas)</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22"/>
          <w:szCs w:val="22"/>
          <w:color w:val="auto"/>
        </w:rPr>
        <w:t>Morgan Stanley Capital International</w:t>
      </w:r>
    </w:p>
    <w:p>
      <w:pPr>
        <w:sectPr>
          <w:pgSz w:w="11900" w:h="16994" w:orient="portrait"/>
          <w:cols w:equalWidth="0" w:num="2">
            <w:col w:w="2780" w:space="720"/>
            <w:col w:w="5519"/>
          </w:cols>
          <w:pgMar w:left="1440" w:top="982" w:right="1440" w:bottom="0" w:gutter="0" w:footer="0" w:header="0"/>
        </w:sectPr>
      </w:pPr>
    </w:p>
    <w:bookmarkStart w:id="61" w:name="page62"/>
    <w:bookmarkEnd w:id="61"/>
    <w:p>
      <w:pPr>
        <w:spacing w:after="0" w:line="156" w:lineRule="exact"/>
        <w:rPr>
          <w:sz w:val="20"/>
          <w:szCs w:val="20"/>
          <w:color w:val="auto"/>
        </w:rPr>
      </w:pPr>
    </w:p>
    <w:p>
      <w:pPr>
        <w:ind w:left="620"/>
        <w:spacing w:after="0"/>
        <w:rPr>
          <w:sz w:val="20"/>
          <w:szCs w:val="20"/>
          <w:color w:val="auto"/>
        </w:rPr>
      </w:pPr>
      <w:r>
        <w:rPr>
          <w:rFonts w:ascii="Arial" w:cs="Arial" w:eastAsia="Arial" w:hAnsi="Arial"/>
          <w:sz w:val="22"/>
          <w:szCs w:val="22"/>
          <w:color w:val="auto"/>
        </w:rPr>
        <w:t>MW</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620"/>
        <w:spacing w:after="0"/>
        <w:rPr>
          <w:sz w:val="20"/>
          <w:szCs w:val="20"/>
          <w:color w:val="auto"/>
        </w:rPr>
      </w:pPr>
      <w:r>
        <w:rPr>
          <w:rFonts w:ascii="Arial" w:cs="Arial" w:eastAsia="Arial" w:hAnsi="Arial"/>
          <w:sz w:val="22"/>
          <w:szCs w:val="22"/>
          <w:color w:val="auto"/>
        </w:rPr>
        <w:t>NRC</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620"/>
        <w:spacing w:after="0"/>
        <w:rPr>
          <w:sz w:val="20"/>
          <w:szCs w:val="20"/>
          <w:color w:val="auto"/>
        </w:rPr>
      </w:pPr>
      <w:r>
        <w:rPr>
          <w:rFonts w:ascii="Arial" w:cs="Arial" w:eastAsia="Arial" w:hAnsi="Arial"/>
          <w:sz w:val="22"/>
          <w:szCs w:val="22"/>
          <w:color w:val="auto"/>
        </w:rPr>
        <w:t>OIR</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620"/>
        <w:spacing w:after="0"/>
        <w:rPr>
          <w:sz w:val="20"/>
          <w:szCs w:val="20"/>
          <w:color w:val="auto"/>
        </w:rPr>
      </w:pPr>
      <w:r>
        <w:rPr>
          <w:rFonts w:ascii="Arial" w:cs="Arial" w:eastAsia="Arial" w:hAnsi="Arial"/>
          <w:sz w:val="22"/>
          <w:szCs w:val="22"/>
          <w:color w:val="auto"/>
        </w:rPr>
        <w:t>OMPPA</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620"/>
        <w:spacing w:after="0"/>
        <w:rPr>
          <w:sz w:val="20"/>
          <w:szCs w:val="20"/>
          <w:color w:val="auto"/>
        </w:rPr>
      </w:pPr>
      <w:r>
        <w:rPr>
          <w:rFonts w:ascii="Arial" w:cs="Arial" w:eastAsia="Arial" w:hAnsi="Arial"/>
          <w:sz w:val="22"/>
          <w:szCs w:val="22"/>
          <w:color w:val="auto"/>
        </w:rPr>
        <w:t>PBR</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620"/>
        <w:spacing w:after="0"/>
        <w:rPr>
          <w:sz w:val="20"/>
          <w:szCs w:val="20"/>
          <w:color w:val="auto"/>
        </w:rPr>
      </w:pPr>
      <w:r>
        <w:rPr>
          <w:rFonts w:ascii="Arial" w:cs="Arial" w:eastAsia="Arial" w:hAnsi="Arial"/>
          <w:sz w:val="22"/>
          <w:szCs w:val="22"/>
          <w:color w:val="auto"/>
        </w:rPr>
        <w:t>PG&amp;E</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620"/>
        <w:spacing w:after="0"/>
        <w:rPr>
          <w:sz w:val="20"/>
          <w:szCs w:val="20"/>
          <w:color w:val="auto"/>
        </w:rPr>
      </w:pPr>
      <w:r>
        <w:rPr>
          <w:rFonts w:ascii="Arial" w:cs="Arial" w:eastAsia="Arial" w:hAnsi="Arial"/>
          <w:sz w:val="22"/>
          <w:szCs w:val="22"/>
          <w:color w:val="auto"/>
        </w:rPr>
        <w:t>PGE</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620"/>
        <w:spacing w:after="0"/>
        <w:rPr>
          <w:sz w:val="20"/>
          <w:szCs w:val="20"/>
          <w:color w:val="auto"/>
        </w:rPr>
      </w:pPr>
      <w:r>
        <w:rPr>
          <w:rFonts w:ascii="Arial" w:cs="Arial" w:eastAsia="Arial" w:hAnsi="Arial"/>
          <w:sz w:val="22"/>
          <w:szCs w:val="22"/>
          <w:color w:val="auto"/>
        </w:rPr>
        <w:t>PIER</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620"/>
        <w:spacing w:after="0"/>
        <w:rPr>
          <w:sz w:val="20"/>
          <w:szCs w:val="20"/>
          <w:color w:val="auto"/>
        </w:rPr>
      </w:pPr>
      <w:r>
        <w:rPr>
          <w:rFonts w:ascii="Arial" w:cs="Arial" w:eastAsia="Arial" w:hAnsi="Arial"/>
          <w:sz w:val="22"/>
          <w:szCs w:val="22"/>
          <w:color w:val="auto"/>
        </w:rPr>
        <w:t>PRP</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620"/>
        <w:spacing w:after="0"/>
        <w:rPr>
          <w:sz w:val="20"/>
          <w:szCs w:val="20"/>
          <w:color w:val="auto"/>
        </w:rPr>
      </w:pPr>
      <w:r>
        <w:rPr>
          <w:rFonts w:ascii="Arial" w:cs="Arial" w:eastAsia="Arial" w:hAnsi="Arial"/>
          <w:sz w:val="22"/>
          <w:szCs w:val="22"/>
          <w:color w:val="auto"/>
        </w:rPr>
        <w:t>PX</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620"/>
        <w:spacing w:after="0"/>
        <w:rPr>
          <w:sz w:val="20"/>
          <w:szCs w:val="20"/>
          <w:color w:val="auto"/>
        </w:rPr>
      </w:pPr>
      <w:r>
        <w:rPr>
          <w:rFonts w:ascii="Arial" w:cs="Arial" w:eastAsia="Arial" w:hAnsi="Arial"/>
          <w:sz w:val="22"/>
          <w:szCs w:val="22"/>
          <w:color w:val="auto"/>
        </w:rPr>
        <w:t>QF</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620"/>
        <w:spacing w:after="0"/>
        <w:rPr>
          <w:sz w:val="20"/>
          <w:szCs w:val="20"/>
          <w:color w:val="auto"/>
        </w:rPr>
      </w:pPr>
      <w:r>
        <w:rPr>
          <w:rFonts w:ascii="Arial" w:cs="Arial" w:eastAsia="Arial" w:hAnsi="Arial"/>
          <w:sz w:val="22"/>
          <w:szCs w:val="22"/>
          <w:color w:val="auto"/>
        </w:rPr>
        <w:t>RD&amp;D</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620"/>
        <w:spacing w:after="0"/>
        <w:rPr>
          <w:sz w:val="20"/>
          <w:szCs w:val="20"/>
          <w:color w:val="auto"/>
        </w:rPr>
      </w:pPr>
      <w:r>
        <w:rPr>
          <w:rFonts w:ascii="Arial" w:cs="Arial" w:eastAsia="Arial" w:hAnsi="Arial"/>
          <w:sz w:val="22"/>
          <w:szCs w:val="22"/>
          <w:color w:val="auto"/>
        </w:rPr>
        <w:t>RMC</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620"/>
        <w:spacing w:after="0"/>
        <w:rPr>
          <w:sz w:val="20"/>
          <w:szCs w:val="20"/>
          <w:color w:val="auto"/>
        </w:rPr>
      </w:pPr>
      <w:r>
        <w:rPr>
          <w:rFonts w:ascii="Arial" w:cs="Arial" w:eastAsia="Arial" w:hAnsi="Arial"/>
          <w:sz w:val="22"/>
          <w:szCs w:val="22"/>
          <w:color w:val="auto"/>
        </w:rPr>
        <w:t>RMD</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620"/>
        <w:spacing w:after="0"/>
        <w:rPr>
          <w:sz w:val="20"/>
          <w:szCs w:val="20"/>
          <w:color w:val="auto"/>
        </w:rPr>
      </w:pPr>
      <w:r>
        <w:rPr>
          <w:rFonts w:ascii="Arial" w:cs="Arial" w:eastAsia="Arial" w:hAnsi="Arial"/>
          <w:sz w:val="22"/>
          <w:szCs w:val="22"/>
          <w:color w:val="auto"/>
        </w:rPr>
        <w:t>ROE</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620"/>
        <w:spacing w:after="0"/>
        <w:rPr>
          <w:sz w:val="20"/>
          <w:szCs w:val="20"/>
          <w:color w:val="auto"/>
        </w:rPr>
      </w:pPr>
      <w:r>
        <w:rPr>
          <w:rFonts w:ascii="Arial" w:cs="Arial" w:eastAsia="Arial" w:hAnsi="Arial"/>
          <w:sz w:val="22"/>
          <w:szCs w:val="22"/>
          <w:color w:val="auto"/>
        </w:rPr>
        <w:t>SDG&amp;E</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620"/>
        <w:spacing w:after="0"/>
        <w:rPr>
          <w:sz w:val="20"/>
          <w:szCs w:val="20"/>
          <w:color w:val="auto"/>
        </w:rPr>
      </w:pPr>
      <w:r>
        <w:rPr>
          <w:rFonts w:ascii="Arial" w:cs="Arial" w:eastAsia="Arial" w:hAnsi="Arial"/>
          <w:sz w:val="22"/>
          <w:szCs w:val="22"/>
          <w:color w:val="auto"/>
        </w:rPr>
        <w:t>SFAS</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620"/>
        <w:spacing w:after="0"/>
        <w:rPr>
          <w:sz w:val="20"/>
          <w:szCs w:val="20"/>
          <w:color w:val="auto"/>
        </w:rPr>
      </w:pPr>
      <w:r>
        <w:rPr>
          <w:rFonts w:ascii="Arial" w:cs="Arial" w:eastAsia="Arial" w:hAnsi="Arial"/>
          <w:sz w:val="18"/>
          <w:szCs w:val="18"/>
          <w:color w:val="auto"/>
        </w:rPr>
        <w:t>SoCalGas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620"/>
        <w:spacing w:after="0"/>
        <w:rPr>
          <w:sz w:val="20"/>
          <w:szCs w:val="20"/>
          <w:color w:val="auto"/>
        </w:rPr>
      </w:pPr>
      <w:r>
        <w:rPr>
          <w:rFonts w:ascii="Arial" w:cs="Arial" w:eastAsia="Arial" w:hAnsi="Arial"/>
          <w:sz w:val="22"/>
          <w:szCs w:val="22"/>
          <w:color w:val="auto"/>
        </w:rPr>
        <w:t>SONGS</w:t>
      </w:r>
    </w:p>
    <w:p>
      <w:pPr>
        <w:spacing w:after="0" w:line="20" w:lineRule="exact"/>
        <w:rPr>
          <w:sz w:val="20"/>
          <w:szCs w:val="20"/>
          <w:color w:val="auto"/>
        </w:rPr>
      </w:pPr>
      <w:r>
        <w:rPr>
          <w:sz w:val="20"/>
          <w:szCs w:val="20"/>
          <w:color w:val="auto"/>
        </w:rPr>
        <w:br w:type="column"/>
      </w:r>
    </w:p>
    <w:p>
      <w:pPr>
        <w:spacing w:after="0" w:line="136" w:lineRule="exact"/>
        <w:rPr>
          <w:sz w:val="20"/>
          <w:szCs w:val="20"/>
          <w:color w:val="auto"/>
        </w:rPr>
      </w:pPr>
    </w:p>
    <w:p>
      <w:pPr>
        <w:spacing w:after="0"/>
        <w:rPr>
          <w:sz w:val="20"/>
          <w:szCs w:val="20"/>
          <w:color w:val="auto"/>
        </w:rPr>
      </w:pPr>
      <w:r>
        <w:rPr>
          <w:rFonts w:ascii="Arial" w:cs="Arial" w:eastAsia="Arial" w:hAnsi="Arial"/>
          <w:sz w:val="22"/>
          <w:szCs w:val="22"/>
          <w:color w:val="auto"/>
        </w:rPr>
        <w:t>Megawatt</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22"/>
          <w:szCs w:val="22"/>
          <w:color w:val="auto"/>
        </w:rPr>
        <w:t>Nuclear Regulatory Commission</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22"/>
          <w:szCs w:val="22"/>
          <w:color w:val="auto"/>
        </w:rPr>
        <w:t>Order Instituting Ratemaking</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22"/>
          <w:szCs w:val="22"/>
          <w:color w:val="auto"/>
        </w:rPr>
        <w:t>Otay Mesa Power Purchase Agreement</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9"/>
          <w:szCs w:val="19"/>
          <w:color w:val="auto"/>
        </w:rPr>
        <w:t>Performance-Based Ratemaking/Regulation</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22"/>
          <w:szCs w:val="22"/>
          <w:color w:val="auto"/>
        </w:rPr>
        <w:t>Pacific Gas and Electric Company</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22"/>
          <w:szCs w:val="22"/>
          <w:color w:val="auto"/>
        </w:rPr>
        <w:t>Portland General Electric Company</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22"/>
          <w:szCs w:val="22"/>
          <w:color w:val="auto"/>
        </w:rPr>
        <w:t>Public Interest Energy Research</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22"/>
          <w:szCs w:val="22"/>
          <w:color w:val="auto"/>
        </w:rPr>
        <w:t>Potentially Responsible Party</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22"/>
          <w:szCs w:val="22"/>
          <w:color w:val="auto"/>
        </w:rPr>
        <w:t>Power Exchange</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22"/>
          <w:szCs w:val="22"/>
          <w:color w:val="auto"/>
        </w:rPr>
        <w:t>Qualifying Facility</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9"/>
          <w:szCs w:val="19"/>
          <w:color w:val="auto"/>
        </w:rPr>
        <w:t>Research Development and Demonstration</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22"/>
          <w:szCs w:val="22"/>
          <w:color w:val="auto"/>
        </w:rPr>
        <w:t>Risk Management Committee</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22"/>
          <w:szCs w:val="22"/>
          <w:color w:val="auto"/>
        </w:rPr>
        <w:t>Risk Management Department</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22"/>
          <w:szCs w:val="22"/>
          <w:color w:val="auto"/>
        </w:rPr>
        <w:t>Return on Equity</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22"/>
          <w:szCs w:val="22"/>
          <w:color w:val="auto"/>
        </w:rPr>
        <w:t>San Diego Gas &amp; Electric Company</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9"/>
          <w:szCs w:val="19"/>
          <w:color w:val="auto"/>
        </w:rPr>
        <w:t>Statement of Financial Accounting Standards</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22"/>
          <w:szCs w:val="22"/>
          <w:color w:val="auto"/>
        </w:rPr>
        <w:t>Southern California Gas Company</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22"/>
          <w:szCs w:val="22"/>
          <w:color w:val="auto"/>
        </w:rPr>
        <w:t>San Onofre Nuclear Generating Station</w:t>
      </w:r>
    </w:p>
    <w:p>
      <w:pPr>
        <w:sectPr>
          <w:pgSz w:w="11900" w:h="16994" w:orient="portrait"/>
          <w:cols w:equalWidth="0" w:num="2">
            <w:col w:w="2780" w:space="720"/>
            <w:col w:w="5519"/>
          </w:cols>
          <w:pgMar w:left="1440" w:top="982" w:right="1440" w:bottom="0" w:gutter="0" w:footer="0" w:header="0"/>
        </w:sectPr>
      </w:pPr>
    </w:p>
    <w:bookmarkStart w:id="62" w:name="page63"/>
    <w:bookmarkEnd w:id="62"/>
    <w:p>
      <w:pPr>
        <w:ind w:left="620"/>
        <w:spacing w:after="0"/>
        <w:rPr>
          <w:sz w:val="20"/>
          <w:szCs w:val="20"/>
          <w:color w:val="auto"/>
        </w:rPr>
      </w:pPr>
      <w:r>
        <w:rPr>
          <w:rFonts w:ascii="Arial" w:cs="Arial" w:eastAsia="Arial" w:hAnsi="Arial"/>
          <w:sz w:val="19"/>
          <w:szCs w:val="19"/>
          <w:color w:val="auto"/>
        </w:rPr>
        <w:t>VaR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Value at Risk</w:t>
      </w:r>
    </w:p>
    <w:p>
      <w:pPr>
        <w:spacing w:after="0" w:line="200" w:lineRule="exact"/>
        <w:rPr>
          <w:sz w:val="20"/>
          <w:szCs w:val="20"/>
          <w:color w:val="auto"/>
        </w:rPr>
      </w:pPr>
    </w:p>
    <w:p>
      <w:pPr>
        <w:sectPr>
          <w:pgSz w:w="11900" w:h="16838" w:orient="portrait"/>
          <w:cols w:equalWidth="0" w:num="2">
            <w:col w:w="2780" w:space="720"/>
            <w:col w:w="5519"/>
          </w:cols>
          <w:pgMar w:left="1440" w:top="982" w:right="1440" w:bottom="1440" w:gutter="0" w:footer="0" w:header="0"/>
        </w:sectPr>
      </w:pPr>
    </w:p>
    <w:p>
      <w:pPr>
        <w:spacing w:after="0" w:line="200" w:lineRule="exact"/>
        <w:rPr>
          <w:sz w:val="20"/>
          <w:szCs w:val="20"/>
          <w:color w:val="auto"/>
        </w:rPr>
      </w:pPr>
    </w:p>
    <w:p>
      <w:pPr>
        <w:spacing w:after="0" w:line="246" w:lineRule="exact"/>
        <w:rPr>
          <w:sz w:val="20"/>
          <w:szCs w:val="20"/>
          <w:color w:val="auto"/>
        </w:rPr>
      </w:pPr>
    </w:p>
    <w:p>
      <w:pPr>
        <w:ind w:left="620"/>
        <w:spacing w:after="0"/>
        <w:rPr>
          <w:sz w:val="20"/>
          <w:szCs w:val="20"/>
          <w:color w:val="auto"/>
        </w:rPr>
      </w:pPr>
      <w:r>
        <w:rPr>
          <w:rFonts w:ascii="Arial" w:cs="Arial" w:eastAsia="Arial" w:hAnsi="Arial"/>
          <w:sz w:val="22"/>
          <w:szCs w:val="22"/>
          <w:color w:val="auto"/>
        </w:rPr>
        <w:t>VIE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9"/>
          <w:szCs w:val="19"/>
          <w:color w:val="auto"/>
        </w:rPr>
        <w:t>Variable Interest Entity</w:t>
      </w:r>
    </w:p>
    <w:p>
      <w:pPr>
        <w:sectPr>
          <w:pgSz w:w="11900" w:h="16838" w:orient="portrait"/>
          <w:cols w:equalWidth="0" w:num="2">
            <w:col w:w="2780" w:space="720"/>
            <w:col w:w="5519"/>
          </w:cols>
          <w:pgMar w:left="1440" w:top="982" w:right="1440" w:bottom="1440" w:gutter="0" w:footer="0" w:header="0"/>
          <w:type w:val="continuous"/>
        </w:sectPr>
      </w:pPr>
    </w:p>
    <w:bookmarkStart w:id="63" w:name="page64"/>
    <w:bookmarkEnd w:id="63"/>
    <w:p>
      <w:pPr>
        <w:jc w:val="center"/>
        <w:ind w:right="139"/>
        <w:spacing w:after="0"/>
        <w:rPr>
          <w:sz w:val="20"/>
          <w:szCs w:val="20"/>
          <w:color w:val="auto"/>
        </w:rPr>
      </w:pPr>
      <w:r>
        <w:rPr>
          <w:rFonts w:ascii="Arial" w:cs="Arial" w:eastAsia="Arial" w:hAnsi="Arial"/>
          <w:sz w:val="18"/>
          <w:szCs w:val="18"/>
          <w:b w:val="1"/>
          <w:bCs w:val="1"/>
          <w:color w:val="auto"/>
        </w:rPr>
        <w:t>EXHIBIT 12.1</w:t>
      </w:r>
    </w:p>
    <w:p>
      <w:pPr>
        <w:spacing w:after="0" w:line="36"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SAN DIEGO GAS &amp; ELECTRIC COMPANY</w:t>
      </w:r>
    </w:p>
    <w:p>
      <w:pPr>
        <w:spacing w:after="0" w:line="36"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COMPUTATION OF RATIO OF EARNINGS TO COMBINED FIXED CHARGES</w:t>
      </w:r>
    </w:p>
    <w:p>
      <w:pPr>
        <w:spacing w:after="0" w:line="36"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AND PREFERRED STOCK DIVIDENDS</w:t>
      </w:r>
    </w:p>
    <w:p>
      <w:pPr>
        <w:spacing w:after="0" w:line="36"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(Dollars in millions)</w:t>
      </w: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3900" w:type="dxa"/>
            <w:vAlign w:val="bottom"/>
          </w:tcPr>
          <w:p>
            <w:pPr>
              <w:spacing w:after="0"/>
              <w:rPr>
                <w:sz w:val="18"/>
                <w:szCs w:val="18"/>
                <w:color w:val="auto"/>
              </w:rPr>
            </w:pPr>
          </w:p>
        </w:tc>
        <w:tc>
          <w:tcPr>
            <w:tcW w:w="1160" w:type="dxa"/>
            <w:vAlign w:val="bottom"/>
          </w:tcPr>
          <w:p>
            <w:pPr>
              <w:jc w:val="right"/>
              <w:ind w:right="292"/>
              <w:spacing w:after="0"/>
              <w:rPr>
                <w:sz w:val="20"/>
                <w:szCs w:val="20"/>
                <w:color w:val="auto"/>
              </w:rPr>
            </w:pPr>
            <w:r>
              <w:rPr>
                <w:rFonts w:ascii="Arial" w:cs="Arial" w:eastAsia="Arial" w:hAnsi="Arial"/>
                <w:sz w:val="18"/>
                <w:szCs w:val="18"/>
                <w:color w:val="auto"/>
              </w:rPr>
              <w:t>2001</w:t>
            </w:r>
          </w:p>
        </w:tc>
        <w:tc>
          <w:tcPr>
            <w:tcW w:w="1260" w:type="dxa"/>
            <w:vAlign w:val="bottom"/>
            <w:gridSpan w:val="2"/>
          </w:tcPr>
          <w:p>
            <w:pPr>
              <w:jc w:val="right"/>
              <w:ind w:right="380"/>
              <w:spacing w:after="0"/>
              <w:rPr>
                <w:sz w:val="20"/>
                <w:szCs w:val="20"/>
                <w:color w:val="auto"/>
              </w:rPr>
            </w:pPr>
            <w:r>
              <w:rPr>
                <w:rFonts w:ascii="Arial" w:cs="Arial" w:eastAsia="Arial" w:hAnsi="Arial"/>
                <w:sz w:val="18"/>
                <w:szCs w:val="18"/>
                <w:color w:val="auto"/>
              </w:rPr>
              <w:t>2002</w:t>
            </w:r>
          </w:p>
        </w:tc>
        <w:tc>
          <w:tcPr>
            <w:tcW w:w="1260" w:type="dxa"/>
            <w:vAlign w:val="bottom"/>
            <w:gridSpan w:val="2"/>
          </w:tcPr>
          <w:p>
            <w:pPr>
              <w:jc w:val="right"/>
              <w:ind w:right="380"/>
              <w:spacing w:after="0"/>
              <w:rPr>
                <w:sz w:val="20"/>
                <w:szCs w:val="20"/>
                <w:color w:val="auto"/>
              </w:rPr>
            </w:pPr>
            <w:r>
              <w:rPr>
                <w:rFonts w:ascii="Arial" w:cs="Arial" w:eastAsia="Arial" w:hAnsi="Arial"/>
                <w:sz w:val="18"/>
                <w:szCs w:val="18"/>
                <w:color w:val="auto"/>
              </w:rPr>
              <w:t>2003</w:t>
            </w:r>
          </w:p>
        </w:tc>
        <w:tc>
          <w:tcPr>
            <w:tcW w:w="1240" w:type="dxa"/>
            <w:vAlign w:val="bottom"/>
            <w:gridSpan w:val="2"/>
          </w:tcPr>
          <w:p>
            <w:pPr>
              <w:jc w:val="right"/>
              <w:ind w:right="380"/>
              <w:spacing w:after="0"/>
              <w:rPr>
                <w:sz w:val="20"/>
                <w:szCs w:val="20"/>
                <w:color w:val="auto"/>
              </w:rPr>
            </w:pPr>
            <w:r>
              <w:rPr>
                <w:rFonts w:ascii="Arial" w:cs="Arial" w:eastAsia="Arial" w:hAnsi="Arial"/>
                <w:sz w:val="18"/>
                <w:szCs w:val="18"/>
                <w:color w:val="auto"/>
              </w:rPr>
              <w:t>2004</w:t>
            </w:r>
          </w:p>
        </w:tc>
        <w:tc>
          <w:tcPr>
            <w:tcW w:w="1240" w:type="dxa"/>
            <w:vAlign w:val="bottom"/>
            <w:gridSpan w:val="2"/>
          </w:tcPr>
          <w:p>
            <w:pPr>
              <w:jc w:val="right"/>
              <w:ind w:right="360"/>
              <w:spacing w:after="0"/>
              <w:rPr>
                <w:sz w:val="20"/>
                <w:szCs w:val="20"/>
                <w:color w:val="auto"/>
              </w:rPr>
            </w:pPr>
            <w:r>
              <w:rPr>
                <w:rFonts w:ascii="Arial" w:cs="Arial" w:eastAsia="Arial" w:hAnsi="Arial"/>
                <w:sz w:val="18"/>
                <w:szCs w:val="18"/>
                <w:color w:val="auto"/>
              </w:rPr>
              <w:t>2005</w:t>
            </w:r>
          </w:p>
        </w:tc>
        <w:tc>
          <w:tcPr>
            <w:tcW w:w="0" w:type="dxa"/>
            <w:vAlign w:val="bottom"/>
          </w:tcPr>
          <w:p>
            <w:pPr>
              <w:spacing w:after="0"/>
              <w:rPr>
                <w:sz w:val="1"/>
                <w:szCs w:val="1"/>
                <w:color w:val="auto"/>
              </w:rPr>
            </w:pPr>
          </w:p>
        </w:tc>
      </w:tr>
      <w:tr>
        <w:trPr>
          <w:trHeight w:val="245"/>
        </w:trPr>
        <w:tc>
          <w:tcPr>
            <w:tcW w:w="3900" w:type="dxa"/>
            <w:vAlign w:val="bottom"/>
            <w:vMerge w:val="restart"/>
          </w:tcPr>
          <w:p>
            <w:pPr>
              <w:spacing w:after="0"/>
              <w:rPr>
                <w:sz w:val="20"/>
                <w:szCs w:val="20"/>
                <w:color w:val="auto"/>
              </w:rPr>
            </w:pPr>
            <w:r>
              <w:rPr>
                <w:rFonts w:ascii="Arial" w:cs="Arial" w:eastAsia="Arial" w:hAnsi="Arial"/>
                <w:sz w:val="18"/>
                <w:szCs w:val="18"/>
                <w:color w:val="auto"/>
              </w:rPr>
              <w:t>Fixed Charges and Preferred</w:t>
            </w:r>
          </w:p>
        </w:tc>
        <w:tc>
          <w:tcPr>
            <w:tcW w:w="1160" w:type="dxa"/>
            <w:vAlign w:val="bottom"/>
            <w:shd w:val="clear" w:color="auto" w:fill="000000"/>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shd w:val="clear" w:color="auto" w:fill="000000"/>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shd w:val="clear" w:color="auto" w:fill="000000"/>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shd w:val="clear" w:color="auto" w:fill="000000"/>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shd w:val="clear" w:color="auto" w:fill="000000"/>
          </w:tcPr>
          <w:p>
            <w:pPr>
              <w:spacing w:after="0"/>
              <w:rPr>
                <w:sz w:val="21"/>
                <w:szCs w:val="21"/>
                <w:color w:val="auto"/>
              </w:rPr>
            </w:pPr>
          </w:p>
        </w:tc>
        <w:tc>
          <w:tcPr>
            <w:tcW w:w="0" w:type="dxa"/>
            <w:vAlign w:val="bottom"/>
          </w:tcPr>
          <w:p>
            <w:pPr>
              <w:spacing w:after="0"/>
              <w:rPr>
                <w:sz w:val="1"/>
                <w:szCs w:val="1"/>
                <w:color w:val="auto"/>
              </w:rPr>
            </w:pPr>
          </w:p>
        </w:tc>
      </w:tr>
      <w:tr>
        <w:trPr>
          <w:trHeight w:val="241"/>
        </w:trPr>
        <w:tc>
          <w:tcPr>
            <w:tcW w:w="3900" w:type="dxa"/>
            <w:vAlign w:val="bottom"/>
            <w:vMerge w:val="continue"/>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900" w:type="dxa"/>
            <w:vAlign w:val="bottom"/>
          </w:tcPr>
          <w:p>
            <w:pPr>
              <w:spacing w:after="0"/>
              <w:rPr>
                <w:sz w:val="20"/>
                <w:szCs w:val="20"/>
                <w:color w:val="auto"/>
              </w:rPr>
            </w:pPr>
            <w:r>
              <w:rPr>
                <w:rFonts w:ascii="Arial" w:cs="Arial" w:eastAsia="Arial" w:hAnsi="Arial"/>
                <w:sz w:val="18"/>
                <w:szCs w:val="18"/>
                <w:color w:val="auto"/>
              </w:rPr>
              <w:t>Stock Dividends:</w:t>
            </w: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6"/>
        </w:trPr>
        <w:tc>
          <w:tcPr>
            <w:tcW w:w="3900" w:type="dxa"/>
            <w:vAlign w:val="bottom"/>
          </w:tcPr>
          <w:p>
            <w:pPr>
              <w:spacing w:after="0"/>
              <w:rPr>
                <w:sz w:val="20"/>
                <w:szCs w:val="20"/>
                <w:color w:val="auto"/>
              </w:rPr>
            </w:pPr>
            <w:r>
              <w:rPr>
                <w:rFonts w:ascii="Arial" w:cs="Arial" w:eastAsia="Arial" w:hAnsi="Arial"/>
                <w:sz w:val="18"/>
                <w:szCs w:val="18"/>
                <w:color w:val="auto"/>
              </w:rPr>
              <w:t>Interest</w:t>
            </w:r>
          </w:p>
        </w:tc>
        <w:tc>
          <w:tcPr>
            <w:tcW w:w="1160" w:type="dxa"/>
            <w:vAlign w:val="bottom"/>
          </w:tcPr>
          <w:p>
            <w:pPr>
              <w:jc w:val="right"/>
              <w:spacing w:after="0"/>
              <w:rPr>
                <w:sz w:val="20"/>
                <w:szCs w:val="20"/>
                <w:color w:val="auto"/>
              </w:rPr>
            </w:pPr>
            <w:r>
              <w:rPr>
                <w:rFonts w:ascii="Arial" w:cs="Arial" w:eastAsia="Arial" w:hAnsi="Arial"/>
                <w:sz w:val="18"/>
                <w:szCs w:val="18"/>
                <w:color w:val="auto"/>
              </w:rPr>
              <w:t>$ 96</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$ 83</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$ 78</w:t>
            </w: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$ 71</w:t>
            </w: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$ 77</w:t>
            </w:r>
          </w:p>
        </w:tc>
        <w:tc>
          <w:tcPr>
            <w:tcW w:w="0" w:type="dxa"/>
            <w:vAlign w:val="bottom"/>
          </w:tcPr>
          <w:p>
            <w:pPr>
              <w:spacing w:after="0"/>
              <w:rPr>
                <w:sz w:val="1"/>
                <w:szCs w:val="1"/>
                <w:color w:val="auto"/>
              </w:rPr>
            </w:pPr>
          </w:p>
        </w:tc>
      </w:tr>
      <w:tr>
        <w:trPr>
          <w:trHeight w:val="487"/>
        </w:trPr>
        <w:tc>
          <w:tcPr>
            <w:tcW w:w="3900" w:type="dxa"/>
            <w:vAlign w:val="bottom"/>
          </w:tcPr>
          <w:p>
            <w:pPr>
              <w:spacing w:after="0"/>
              <w:rPr>
                <w:sz w:val="20"/>
                <w:szCs w:val="20"/>
                <w:color w:val="auto"/>
              </w:rPr>
            </w:pPr>
            <w:r>
              <w:rPr>
                <w:rFonts w:ascii="Arial" w:cs="Arial" w:eastAsia="Arial" w:hAnsi="Arial"/>
                <w:sz w:val="18"/>
                <w:szCs w:val="18"/>
                <w:color w:val="auto"/>
              </w:rPr>
              <w:t>Interest portion of annual rentals</w:t>
            </w:r>
          </w:p>
        </w:tc>
        <w:tc>
          <w:tcPr>
            <w:tcW w:w="1160" w:type="dxa"/>
            <w:vAlign w:val="bottom"/>
          </w:tcPr>
          <w:p>
            <w:pPr>
              <w:jc w:val="right"/>
              <w:spacing w:after="0"/>
              <w:rPr>
                <w:sz w:val="20"/>
                <w:szCs w:val="20"/>
                <w:color w:val="auto"/>
              </w:rPr>
            </w:pPr>
            <w:r>
              <w:rPr>
                <w:rFonts w:ascii="Arial" w:cs="Arial" w:eastAsia="Arial" w:hAnsi="Arial"/>
                <w:sz w:val="18"/>
                <w:szCs w:val="18"/>
                <w:color w:val="auto"/>
              </w:rPr>
              <w:t>3</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2</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2</w:t>
            </w: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2</w:t>
            </w: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44"/>
        </w:trPr>
        <w:tc>
          <w:tcPr>
            <w:tcW w:w="3900" w:type="dxa"/>
            <w:vAlign w:val="bottom"/>
          </w:tcPr>
          <w:p>
            <w:pPr>
              <w:spacing w:after="0"/>
              <w:rPr>
                <w:sz w:val="21"/>
                <w:szCs w:val="21"/>
                <w:color w:val="auto"/>
              </w:rPr>
            </w:pPr>
          </w:p>
        </w:tc>
        <w:tc>
          <w:tcPr>
            <w:tcW w:w="1160" w:type="dxa"/>
            <w:vAlign w:val="bottom"/>
            <w:shd w:val="clear" w:color="auto" w:fill="000000"/>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shd w:val="clear" w:color="auto" w:fill="000000"/>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shd w:val="clear" w:color="auto" w:fill="000000"/>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shd w:val="clear" w:color="auto" w:fill="000000"/>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shd w:val="clear" w:color="auto" w:fill="000000"/>
          </w:tcPr>
          <w:p>
            <w:pPr>
              <w:spacing w:after="0"/>
              <w:rPr>
                <w:sz w:val="21"/>
                <w:szCs w:val="21"/>
                <w:color w:val="auto"/>
              </w:rPr>
            </w:pPr>
          </w:p>
        </w:tc>
        <w:tc>
          <w:tcPr>
            <w:tcW w:w="0" w:type="dxa"/>
            <w:vAlign w:val="bottom"/>
          </w:tcPr>
          <w:p>
            <w:pPr>
              <w:spacing w:after="0"/>
              <w:rPr>
                <w:sz w:val="1"/>
                <w:szCs w:val="1"/>
                <w:color w:val="auto"/>
              </w:rPr>
            </w:pPr>
          </w:p>
        </w:tc>
      </w:tr>
      <w:tr>
        <w:trPr>
          <w:trHeight w:val="484"/>
        </w:trPr>
        <w:tc>
          <w:tcPr>
            <w:tcW w:w="3900" w:type="dxa"/>
            <w:vAlign w:val="bottom"/>
          </w:tcPr>
          <w:p>
            <w:pPr>
              <w:spacing w:after="0"/>
              <w:rPr>
                <w:sz w:val="20"/>
                <w:szCs w:val="20"/>
                <w:color w:val="auto"/>
              </w:rPr>
            </w:pPr>
            <w:r>
              <w:rPr>
                <w:rFonts w:ascii="Arial" w:cs="Arial" w:eastAsia="Arial" w:hAnsi="Arial"/>
                <w:sz w:val="18"/>
                <w:szCs w:val="18"/>
                <w:color w:val="auto"/>
              </w:rPr>
              <w:t>Total fixed charges</w:t>
            </w:r>
          </w:p>
        </w:tc>
        <w:tc>
          <w:tcPr>
            <w:tcW w:w="1160" w:type="dxa"/>
            <w:vAlign w:val="bottom"/>
          </w:tcPr>
          <w:p>
            <w:pPr>
              <w:jc w:val="right"/>
              <w:spacing w:after="0"/>
              <w:rPr>
                <w:sz w:val="20"/>
                <w:szCs w:val="20"/>
                <w:color w:val="auto"/>
              </w:rPr>
            </w:pPr>
            <w:r>
              <w:rPr>
                <w:rFonts w:ascii="Arial" w:cs="Arial" w:eastAsia="Arial" w:hAnsi="Arial"/>
                <w:sz w:val="18"/>
                <w:szCs w:val="18"/>
                <w:color w:val="auto"/>
              </w:rPr>
              <w:t>99</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85</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80</w:t>
            </w: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73</w:t>
            </w: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486"/>
        </w:trPr>
        <w:tc>
          <w:tcPr>
            <w:tcW w:w="3900" w:type="dxa"/>
            <w:vAlign w:val="bottom"/>
          </w:tcPr>
          <w:p>
            <w:pPr>
              <w:spacing w:after="0"/>
              <w:rPr>
                <w:sz w:val="20"/>
                <w:szCs w:val="20"/>
                <w:color w:val="auto"/>
              </w:rPr>
            </w:pPr>
            <w:r>
              <w:rPr>
                <w:rFonts w:ascii="Arial" w:cs="Arial" w:eastAsia="Arial" w:hAnsi="Arial"/>
                <w:sz w:val="18"/>
                <w:szCs w:val="18"/>
                <w:color w:val="auto"/>
              </w:rPr>
              <w:t>Preferred stock dividends (1)</w:t>
            </w:r>
          </w:p>
        </w:tc>
        <w:tc>
          <w:tcPr>
            <w:tcW w:w="1160" w:type="dxa"/>
            <w:vAlign w:val="bottom"/>
          </w:tcPr>
          <w:p>
            <w:pPr>
              <w:jc w:val="right"/>
              <w:spacing w:after="0"/>
              <w:rPr>
                <w:sz w:val="20"/>
                <w:szCs w:val="20"/>
                <w:color w:val="auto"/>
              </w:rPr>
            </w:pPr>
            <w:r>
              <w:rPr>
                <w:rFonts w:ascii="Arial" w:cs="Arial" w:eastAsia="Arial" w:hAnsi="Arial"/>
                <w:sz w:val="18"/>
                <w:szCs w:val="18"/>
                <w:color w:val="auto"/>
              </w:rPr>
              <w:t>11</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9</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9</w:t>
            </w: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8</w:t>
            </w: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45"/>
        </w:trPr>
        <w:tc>
          <w:tcPr>
            <w:tcW w:w="3900" w:type="dxa"/>
            <w:vAlign w:val="bottom"/>
            <w:vMerge w:val="restart"/>
          </w:tcPr>
          <w:p>
            <w:pPr>
              <w:spacing w:after="0"/>
              <w:rPr>
                <w:sz w:val="20"/>
                <w:szCs w:val="20"/>
                <w:color w:val="auto"/>
              </w:rPr>
            </w:pPr>
            <w:r>
              <w:rPr>
                <w:rFonts w:ascii="Arial" w:cs="Arial" w:eastAsia="Arial" w:hAnsi="Arial"/>
                <w:sz w:val="18"/>
                <w:szCs w:val="18"/>
                <w:color w:val="auto"/>
              </w:rPr>
              <w:t>Combined fixed charges and preferred stock</w:t>
            </w:r>
          </w:p>
        </w:tc>
        <w:tc>
          <w:tcPr>
            <w:tcW w:w="1160" w:type="dxa"/>
            <w:vAlign w:val="bottom"/>
            <w:shd w:val="clear" w:color="auto" w:fill="000000"/>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shd w:val="clear" w:color="auto" w:fill="000000"/>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shd w:val="clear" w:color="auto" w:fill="000000"/>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shd w:val="clear" w:color="auto" w:fill="000000"/>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shd w:val="clear" w:color="auto" w:fill="000000"/>
          </w:tcPr>
          <w:p>
            <w:pPr>
              <w:spacing w:after="0"/>
              <w:rPr>
                <w:sz w:val="21"/>
                <w:szCs w:val="21"/>
                <w:color w:val="auto"/>
              </w:rPr>
            </w:pPr>
          </w:p>
        </w:tc>
        <w:tc>
          <w:tcPr>
            <w:tcW w:w="0" w:type="dxa"/>
            <w:vAlign w:val="bottom"/>
          </w:tcPr>
          <w:p>
            <w:pPr>
              <w:spacing w:after="0"/>
              <w:rPr>
                <w:sz w:val="1"/>
                <w:szCs w:val="1"/>
                <w:color w:val="auto"/>
              </w:rPr>
            </w:pPr>
          </w:p>
        </w:tc>
      </w:tr>
      <w:tr>
        <w:trPr>
          <w:trHeight w:val="484"/>
        </w:trPr>
        <w:tc>
          <w:tcPr>
            <w:tcW w:w="3900" w:type="dxa"/>
            <w:vAlign w:val="bottom"/>
            <w:vMerge w:val="continue"/>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4"/>
        </w:trPr>
        <w:tc>
          <w:tcPr>
            <w:tcW w:w="3900" w:type="dxa"/>
            <w:vAlign w:val="bottom"/>
          </w:tcPr>
          <w:p>
            <w:pPr>
              <w:spacing w:after="0"/>
              <w:rPr>
                <w:sz w:val="20"/>
                <w:szCs w:val="20"/>
                <w:color w:val="auto"/>
              </w:rPr>
            </w:pPr>
            <w:r>
              <w:rPr>
                <w:rFonts w:ascii="Arial" w:cs="Arial" w:eastAsia="Arial" w:hAnsi="Arial"/>
                <w:sz w:val="18"/>
                <w:szCs w:val="18"/>
                <w:color w:val="auto"/>
              </w:rPr>
              <w:t>dividends for purpose of ratio</w:t>
            </w:r>
          </w:p>
        </w:tc>
        <w:tc>
          <w:tcPr>
            <w:tcW w:w="1160" w:type="dxa"/>
            <w:vAlign w:val="bottom"/>
          </w:tcPr>
          <w:p>
            <w:pPr>
              <w:jc w:val="right"/>
              <w:spacing w:after="0"/>
              <w:rPr>
                <w:sz w:val="20"/>
                <w:szCs w:val="20"/>
                <w:color w:val="auto"/>
              </w:rPr>
            </w:pPr>
            <w:r>
              <w:rPr>
                <w:rFonts w:ascii="Arial" w:cs="Arial" w:eastAsia="Arial" w:hAnsi="Arial"/>
                <w:sz w:val="18"/>
                <w:szCs w:val="18"/>
                <w:color w:val="auto"/>
              </w:rPr>
              <w:t>$ 110</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$ 94</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$ 89</w:t>
            </w: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$ 81</w:t>
            </w: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$ 86</w:t>
            </w:r>
          </w:p>
        </w:tc>
        <w:tc>
          <w:tcPr>
            <w:tcW w:w="0" w:type="dxa"/>
            <w:vAlign w:val="bottom"/>
          </w:tcPr>
          <w:p>
            <w:pPr>
              <w:spacing w:after="0"/>
              <w:rPr>
                <w:sz w:val="1"/>
                <w:szCs w:val="1"/>
                <w:color w:val="auto"/>
              </w:rPr>
            </w:pPr>
          </w:p>
        </w:tc>
      </w:tr>
      <w:tr>
        <w:trPr>
          <w:trHeight w:val="244"/>
        </w:trPr>
        <w:tc>
          <w:tcPr>
            <w:tcW w:w="3900" w:type="dxa"/>
            <w:vAlign w:val="bottom"/>
          </w:tcPr>
          <w:p>
            <w:pPr>
              <w:spacing w:after="0"/>
              <w:rPr>
                <w:sz w:val="21"/>
                <w:szCs w:val="21"/>
                <w:color w:val="auto"/>
              </w:rPr>
            </w:pPr>
          </w:p>
        </w:tc>
        <w:tc>
          <w:tcPr>
            <w:tcW w:w="1160" w:type="dxa"/>
            <w:vAlign w:val="bottom"/>
            <w:shd w:val="clear" w:color="auto" w:fill="000000"/>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shd w:val="clear" w:color="auto" w:fill="000000"/>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shd w:val="clear" w:color="auto" w:fill="000000"/>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shd w:val="clear" w:color="auto" w:fill="000000"/>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shd w:val="clear" w:color="auto" w:fill="000000"/>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9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900" w:type="dxa"/>
            <w:vAlign w:val="bottom"/>
          </w:tcPr>
          <w:p>
            <w:pPr>
              <w:spacing w:after="0"/>
              <w:rPr>
                <w:sz w:val="21"/>
                <w:szCs w:val="21"/>
                <w:color w:val="auto"/>
              </w:rPr>
            </w:pPr>
          </w:p>
        </w:tc>
        <w:tc>
          <w:tcPr>
            <w:tcW w:w="1160" w:type="dxa"/>
            <w:vAlign w:val="bottom"/>
            <w:shd w:val="clear" w:color="auto" w:fill="000000"/>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shd w:val="clear" w:color="auto" w:fill="000000"/>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shd w:val="clear" w:color="auto" w:fill="000000"/>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shd w:val="clear" w:color="auto" w:fill="000000"/>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shd w:val="clear" w:color="auto" w:fill="000000"/>
          </w:tcPr>
          <w:p>
            <w:pPr>
              <w:spacing w:after="0"/>
              <w:rPr>
                <w:sz w:val="21"/>
                <w:szCs w:val="21"/>
                <w:color w:val="auto"/>
              </w:rPr>
            </w:pPr>
          </w:p>
        </w:tc>
        <w:tc>
          <w:tcPr>
            <w:tcW w:w="0" w:type="dxa"/>
            <w:vAlign w:val="bottom"/>
          </w:tcPr>
          <w:p>
            <w:pPr>
              <w:spacing w:after="0"/>
              <w:rPr>
                <w:sz w:val="1"/>
                <w:szCs w:val="1"/>
                <w:color w:val="auto"/>
              </w:rPr>
            </w:pPr>
          </w:p>
        </w:tc>
      </w:tr>
    </w:tbl>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3900" w:type="dxa"/>
            <w:vAlign w:val="bottom"/>
          </w:tcPr>
          <w:p>
            <w:pPr>
              <w:spacing w:after="0"/>
              <w:rPr>
                <w:sz w:val="20"/>
                <w:szCs w:val="20"/>
                <w:color w:val="auto"/>
              </w:rPr>
            </w:pPr>
            <w:r>
              <w:rPr>
                <w:rFonts w:ascii="Arial" w:cs="Arial" w:eastAsia="Arial" w:hAnsi="Arial"/>
                <w:sz w:val="18"/>
                <w:szCs w:val="18"/>
                <w:color w:val="auto"/>
              </w:rPr>
              <w:t>Earnings:</w:t>
            </w: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486"/>
        </w:trPr>
        <w:tc>
          <w:tcPr>
            <w:tcW w:w="3900" w:type="dxa"/>
            <w:vAlign w:val="bottom"/>
          </w:tcPr>
          <w:p>
            <w:pPr>
              <w:spacing w:after="0"/>
              <w:rPr>
                <w:sz w:val="20"/>
                <w:szCs w:val="20"/>
                <w:color w:val="auto"/>
              </w:rPr>
            </w:pPr>
            <w:r>
              <w:rPr>
                <w:rFonts w:ascii="Arial" w:cs="Arial" w:eastAsia="Arial" w:hAnsi="Arial"/>
                <w:sz w:val="18"/>
                <w:szCs w:val="18"/>
                <w:color w:val="auto"/>
              </w:rPr>
              <w:t>Pretax income from continuing operations</w:t>
            </w:r>
          </w:p>
        </w:tc>
        <w:tc>
          <w:tcPr>
            <w:tcW w:w="1160" w:type="dxa"/>
            <w:vAlign w:val="bottom"/>
          </w:tcPr>
          <w:p>
            <w:pPr>
              <w:jc w:val="right"/>
              <w:spacing w:after="0"/>
              <w:rPr>
                <w:sz w:val="20"/>
                <w:szCs w:val="20"/>
                <w:color w:val="auto"/>
              </w:rPr>
            </w:pPr>
            <w:r>
              <w:rPr>
                <w:rFonts w:ascii="Arial" w:cs="Arial" w:eastAsia="Arial" w:hAnsi="Arial"/>
                <w:sz w:val="18"/>
                <w:szCs w:val="18"/>
                <w:color w:val="auto"/>
              </w:rPr>
              <w:t>$ 324</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$ 300</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$ 488</w:t>
            </w: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$ 361</w:t>
            </w: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$ 356</w:t>
            </w:r>
          </w:p>
        </w:tc>
      </w:tr>
      <w:tr>
        <w:trPr>
          <w:trHeight w:val="486"/>
        </w:trPr>
        <w:tc>
          <w:tcPr>
            <w:tcW w:w="3900" w:type="dxa"/>
            <w:vAlign w:val="bottom"/>
          </w:tcPr>
          <w:p>
            <w:pPr>
              <w:spacing w:after="0"/>
              <w:rPr>
                <w:sz w:val="20"/>
                <w:szCs w:val="20"/>
                <w:color w:val="auto"/>
              </w:rPr>
            </w:pPr>
            <w:r>
              <w:rPr>
                <w:rFonts w:ascii="Arial" w:cs="Arial" w:eastAsia="Arial" w:hAnsi="Arial"/>
                <w:sz w:val="18"/>
                <w:szCs w:val="18"/>
                <w:color w:val="auto"/>
              </w:rPr>
              <w:t>Total fixed charges (from above)</w:t>
            </w:r>
          </w:p>
        </w:tc>
        <w:tc>
          <w:tcPr>
            <w:tcW w:w="1160" w:type="dxa"/>
            <w:vAlign w:val="bottom"/>
          </w:tcPr>
          <w:p>
            <w:pPr>
              <w:jc w:val="right"/>
              <w:spacing w:after="0"/>
              <w:rPr>
                <w:sz w:val="20"/>
                <w:szCs w:val="20"/>
                <w:color w:val="auto"/>
              </w:rPr>
            </w:pPr>
            <w:r>
              <w:rPr>
                <w:rFonts w:ascii="Arial" w:cs="Arial" w:eastAsia="Arial" w:hAnsi="Arial"/>
                <w:sz w:val="18"/>
                <w:szCs w:val="18"/>
                <w:color w:val="auto"/>
              </w:rPr>
              <w:t>99</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85</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80</w:t>
            </w: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73</w:t>
            </w: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80</w:t>
            </w:r>
          </w:p>
        </w:tc>
      </w:tr>
      <w:tr>
        <w:trPr>
          <w:trHeight w:val="487"/>
        </w:trPr>
        <w:tc>
          <w:tcPr>
            <w:tcW w:w="3900" w:type="dxa"/>
            <w:vAlign w:val="bottom"/>
          </w:tcPr>
          <w:p>
            <w:pPr>
              <w:spacing w:after="0"/>
              <w:rPr>
                <w:sz w:val="20"/>
                <w:szCs w:val="20"/>
                <w:color w:val="auto"/>
              </w:rPr>
            </w:pPr>
            <w:r>
              <w:rPr>
                <w:rFonts w:ascii="Arial" w:cs="Arial" w:eastAsia="Arial" w:hAnsi="Arial"/>
                <w:sz w:val="18"/>
                <w:szCs w:val="18"/>
                <w:color w:val="auto"/>
              </w:rPr>
              <w:t>Less: interest capitalized</w:t>
            </w:r>
          </w:p>
        </w:tc>
        <w:tc>
          <w:tcPr>
            <w:tcW w:w="1160" w:type="dxa"/>
            <w:vAlign w:val="bottom"/>
          </w:tcPr>
          <w:p>
            <w:pPr>
              <w:jc w:val="right"/>
              <w:spacing w:after="0"/>
              <w:rPr>
                <w:sz w:val="20"/>
                <w:szCs w:val="20"/>
                <w:color w:val="auto"/>
              </w:rPr>
            </w:pPr>
            <w:r>
              <w:rPr>
                <w:rFonts w:ascii="Arial" w:cs="Arial" w:eastAsia="Arial" w:hAnsi="Arial"/>
                <w:sz w:val="18"/>
                <w:szCs w:val="18"/>
                <w:color w:val="auto"/>
              </w:rPr>
              <w:t>1</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1</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1</w:t>
            </w: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1</w:t>
            </w: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1</w:t>
            </w:r>
          </w:p>
        </w:tc>
      </w:tr>
      <w:tr>
        <w:trPr>
          <w:trHeight w:val="244"/>
        </w:trPr>
        <w:tc>
          <w:tcPr>
            <w:tcW w:w="3900" w:type="dxa"/>
            <w:vAlign w:val="bottom"/>
          </w:tcPr>
          <w:p>
            <w:pPr>
              <w:spacing w:after="0"/>
              <w:rPr>
                <w:sz w:val="21"/>
                <w:szCs w:val="21"/>
                <w:color w:val="auto"/>
              </w:rPr>
            </w:pPr>
          </w:p>
        </w:tc>
        <w:tc>
          <w:tcPr>
            <w:tcW w:w="1160" w:type="dxa"/>
            <w:vAlign w:val="bottom"/>
            <w:shd w:val="clear" w:color="auto" w:fill="000000"/>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shd w:val="clear" w:color="auto" w:fill="000000"/>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shd w:val="clear" w:color="auto" w:fill="000000"/>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shd w:val="clear" w:color="auto" w:fill="000000"/>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shd w:val="clear" w:color="auto" w:fill="000000"/>
          </w:tcPr>
          <w:p>
            <w:pPr>
              <w:spacing w:after="0"/>
              <w:rPr>
                <w:sz w:val="21"/>
                <w:szCs w:val="21"/>
                <w:color w:val="auto"/>
              </w:rPr>
            </w:pPr>
          </w:p>
        </w:tc>
      </w:tr>
      <w:tr>
        <w:trPr>
          <w:trHeight w:val="485"/>
        </w:trPr>
        <w:tc>
          <w:tcPr>
            <w:tcW w:w="3900" w:type="dxa"/>
            <w:vAlign w:val="bottom"/>
          </w:tcPr>
          <w:p>
            <w:pPr>
              <w:spacing w:after="0"/>
              <w:rPr>
                <w:sz w:val="20"/>
                <w:szCs w:val="20"/>
                <w:color w:val="auto"/>
              </w:rPr>
            </w:pPr>
            <w:r>
              <w:rPr>
                <w:rFonts w:ascii="Arial" w:cs="Arial" w:eastAsia="Arial" w:hAnsi="Arial"/>
                <w:sz w:val="18"/>
                <w:szCs w:val="18"/>
                <w:color w:val="auto"/>
              </w:rPr>
              <w:t>Total earnings for purpose of ratio</w:t>
            </w:r>
          </w:p>
        </w:tc>
        <w:tc>
          <w:tcPr>
            <w:tcW w:w="1160" w:type="dxa"/>
            <w:vAlign w:val="bottom"/>
          </w:tcPr>
          <w:p>
            <w:pPr>
              <w:jc w:val="right"/>
              <w:spacing w:after="0"/>
              <w:rPr>
                <w:sz w:val="20"/>
                <w:szCs w:val="20"/>
                <w:color w:val="auto"/>
              </w:rPr>
            </w:pPr>
            <w:r>
              <w:rPr>
                <w:rFonts w:ascii="Arial" w:cs="Arial" w:eastAsia="Arial" w:hAnsi="Arial"/>
                <w:sz w:val="18"/>
                <w:szCs w:val="18"/>
                <w:color w:val="auto"/>
              </w:rPr>
              <w:t>$ 422</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$ 384</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$ 567</w:t>
            </w: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$ 433</w:t>
            </w: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$ 435</w:t>
            </w:r>
          </w:p>
        </w:tc>
      </w:tr>
      <w:tr>
        <w:trPr>
          <w:trHeight w:val="244"/>
        </w:trPr>
        <w:tc>
          <w:tcPr>
            <w:tcW w:w="3900" w:type="dxa"/>
            <w:vAlign w:val="bottom"/>
          </w:tcPr>
          <w:p>
            <w:pPr>
              <w:spacing w:after="0"/>
              <w:rPr>
                <w:sz w:val="21"/>
                <w:szCs w:val="21"/>
                <w:color w:val="auto"/>
              </w:rPr>
            </w:pPr>
          </w:p>
        </w:tc>
        <w:tc>
          <w:tcPr>
            <w:tcW w:w="1160" w:type="dxa"/>
            <w:vAlign w:val="bottom"/>
            <w:shd w:val="clear" w:color="auto" w:fill="000000"/>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shd w:val="clear" w:color="auto" w:fill="000000"/>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shd w:val="clear" w:color="auto" w:fill="000000"/>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shd w:val="clear" w:color="auto" w:fill="000000"/>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shd w:val="clear" w:color="auto" w:fill="000000"/>
          </w:tcPr>
          <w:p>
            <w:pPr>
              <w:spacing w:after="0"/>
              <w:rPr>
                <w:sz w:val="21"/>
                <w:szCs w:val="21"/>
                <w:color w:val="auto"/>
              </w:rPr>
            </w:pPr>
          </w:p>
        </w:tc>
      </w:tr>
      <w:tr>
        <w:trPr>
          <w:trHeight w:val="243"/>
        </w:trPr>
        <w:tc>
          <w:tcPr>
            <w:tcW w:w="39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43"/>
        </w:trPr>
        <w:tc>
          <w:tcPr>
            <w:tcW w:w="3900" w:type="dxa"/>
            <w:vAlign w:val="bottom"/>
          </w:tcPr>
          <w:p>
            <w:pPr>
              <w:spacing w:after="0"/>
              <w:rPr>
                <w:sz w:val="21"/>
                <w:szCs w:val="21"/>
                <w:color w:val="auto"/>
              </w:rPr>
            </w:pPr>
          </w:p>
        </w:tc>
        <w:tc>
          <w:tcPr>
            <w:tcW w:w="1160" w:type="dxa"/>
            <w:vAlign w:val="bottom"/>
            <w:shd w:val="clear" w:color="auto" w:fill="000000"/>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shd w:val="clear" w:color="auto" w:fill="000000"/>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shd w:val="clear" w:color="auto" w:fill="000000"/>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shd w:val="clear" w:color="auto" w:fill="000000"/>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shd w:val="clear" w:color="auto" w:fill="000000"/>
          </w:tcPr>
          <w:p>
            <w:pPr>
              <w:spacing w:after="0"/>
              <w:rPr>
                <w:sz w:val="21"/>
                <w:szCs w:val="21"/>
                <w:color w:val="auto"/>
              </w:rPr>
            </w:pPr>
          </w:p>
        </w:tc>
      </w:tr>
    </w:tbl>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4060" w:type="dxa"/>
            <w:vAlign w:val="bottom"/>
          </w:tcPr>
          <w:p>
            <w:pPr>
              <w:spacing w:after="0"/>
              <w:rPr>
                <w:sz w:val="20"/>
                <w:szCs w:val="20"/>
                <w:color w:val="auto"/>
              </w:rPr>
            </w:pPr>
            <w:r>
              <w:rPr>
                <w:rFonts w:ascii="Arial" w:cs="Arial" w:eastAsia="Arial" w:hAnsi="Arial"/>
                <w:sz w:val="18"/>
                <w:szCs w:val="18"/>
                <w:color w:val="auto"/>
              </w:rPr>
              <w:t>Ratio of earnings to combined fixed charges</w:t>
            </w:r>
          </w:p>
        </w:tc>
        <w:tc>
          <w:tcPr>
            <w:tcW w:w="14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43"/>
        </w:trPr>
        <w:tc>
          <w:tcPr>
            <w:tcW w:w="4060" w:type="dxa"/>
            <w:vAlign w:val="bottom"/>
          </w:tcPr>
          <w:p>
            <w:pPr>
              <w:spacing w:after="0"/>
              <w:rPr>
                <w:sz w:val="20"/>
                <w:szCs w:val="20"/>
                <w:color w:val="auto"/>
              </w:rPr>
            </w:pPr>
            <w:r>
              <w:rPr>
                <w:rFonts w:ascii="Arial" w:cs="Arial" w:eastAsia="Arial" w:hAnsi="Arial"/>
                <w:sz w:val="18"/>
                <w:szCs w:val="18"/>
                <w:color w:val="auto"/>
              </w:rPr>
              <w:t>and preferred stock dividends</w:t>
            </w:r>
          </w:p>
        </w:tc>
        <w:tc>
          <w:tcPr>
            <w:tcW w:w="1440" w:type="dxa"/>
            <w:vAlign w:val="bottom"/>
          </w:tcPr>
          <w:p>
            <w:pPr>
              <w:jc w:val="right"/>
              <w:ind w:right="372"/>
              <w:spacing w:after="0"/>
              <w:rPr>
                <w:sz w:val="20"/>
                <w:szCs w:val="20"/>
                <w:color w:val="auto"/>
              </w:rPr>
            </w:pPr>
            <w:r>
              <w:rPr>
                <w:rFonts w:ascii="Arial" w:cs="Arial" w:eastAsia="Arial" w:hAnsi="Arial"/>
                <w:sz w:val="18"/>
                <w:szCs w:val="18"/>
                <w:color w:val="auto"/>
              </w:rPr>
              <w:t>3.84</w:t>
            </w:r>
          </w:p>
        </w:tc>
        <w:tc>
          <w:tcPr>
            <w:tcW w:w="1260" w:type="dxa"/>
            <w:vAlign w:val="bottom"/>
          </w:tcPr>
          <w:p>
            <w:pPr>
              <w:jc w:val="right"/>
              <w:ind w:right="372"/>
              <w:spacing w:after="0"/>
              <w:rPr>
                <w:sz w:val="20"/>
                <w:szCs w:val="20"/>
                <w:color w:val="auto"/>
              </w:rPr>
            </w:pPr>
            <w:r>
              <w:rPr>
                <w:rFonts w:ascii="Arial" w:cs="Arial" w:eastAsia="Arial" w:hAnsi="Arial"/>
                <w:sz w:val="18"/>
                <w:szCs w:val="18"/>
                <w:color w:val="auto"/>
              </w:rPr>
              <w:t>4.09</w:t>
            </w:r>
          </w:p>
        </w:tc>
        <w:tc>
          <w:tcPr>
            <w:tcW w:w="1260" w:type="dxa"/>
            <w:vAlign w:val="bottom"/>
          </w:tcPr>
          <w:p>
            <w:pPr>
              <w:jc w:val="right"/>
              <w:ind w:right="372"/>
              <w:spacing w:after="0"/>
              <w:rPr>
                <w:sz w:val="20"/>
                <w:szCs w:val="20"/>
                <w:color w:val="auto"/>
              </w:rPr>
            </w:pPr>
            <w:r>
              <w:rPr>
                <w:rFonts w:ascii="Arial" w:cs="Arial" w:eastAsia="Arial" w:hAnsi="Arial"/>
                <w:sz w:val="18"/>
                <w:szCs w:val="18"/>
                <w:color w:val="auto"/>
              </w:rPr>
              <w:t>6.37</w:t>
            </w:r>
          </w:p>
        </w:tc>
        <w:tc>
          <w:tcPr>
            <w:tcW w:w="1240" w:type="dxa"/>
            <w:vAlign w:val="bottom"/>
          </w:tcPr>
          <w:p>
            <w:pPr>
              <w:jc w:val="right"/>
              <w:ind w:right="372"/>
              <w:spacing w:after="0"/>
              <w:rPr>
                <w:sz w:val="20"/>
                <w:szCs w:val="20"/>
                <w:color w:val="auto"/>
              </w:rPr>
            </w:pPr>
            <w:r>
              <w:rPr>
                <w:rFonts w:ascii="Arial" w:cs="Arial" w:eastAsia="Arial" w:hAnsi="Arial"/>
                <w:sz w:val="18"/>
                <w:szCs w:val="18"/>
                <w:color w:val="auto"/>
              </w:rPr>
              <w:t>5.35</w:t>
            </w:r>
          </w:p>
        </w:tc>
        <w:tc>
          <w:tcPr>
            <w:tcW w:w="780" w:type="dxa"/>
            <w:vAlign w:val="bottom"/>
          </w:tcPr>
          <w:p>
            <w:pPr>
              <w:jc w:val="right"/>
              <w:spacing w:after="0"/>
              <w:rPr>
                <w:sz w:val="20"/>
                <w:szCs w:val="20"/>
                <w:color w:val="auto"/>
              </w:rPr>
            </w:pPr>
            <w:r>
              <w:rPr>
                <w:rFonts w:ascii="Arial" w:cs="Arial" w:eastAsia="Arial" w:hAnsi="Arial"/>
                <w:sz w:val="18"/>
                <w:szCs w:val="18"/>
                <w:color w:val="auto"/>
              </w:rPr>
              <w:t>5.06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2479675</wp:posOffset>
            </wp:positionH>
            <wp:positionV relativeFrom="paragraph">
              <wp:posOffset>1270</wp:posOffset>
            </wp:positionV>
            <wp:extent cx="3910330" cy="15430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3910330" cy="154305"/>
                    </a:xfrm>
                    <a:prstGeom prst="rect">
                      <a:avLst/>
                    </a:prstGeom>
                    <a:noFill/>
                  </pic:spPr>
                </pic:pic>
              </a:graphicData>
            </a:graphic>
          </wp:anchor>
        </w:drawing>
        <w:drawing>
          <wp:anchor simplePos="0" relativeHeight="251657728" behindDoc="1" locked="0" layoutInCell="0" allowOverlap="1">
            <wp:simplePos x="0" y="0"/>
            <wp:positionH relativeFrom="column">
              <wp:posOffset>2479675</wp:posOffset>
            </wp:positionH>
            <wp:positionV relativeFrom="paragraph">
              <wp:posOffset>309880</wp:posOffset>
            </wp:positionV>
            <wp:extent cx="3910330" cy="15430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3910330" cy="154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639" w:firstLine="2"/>
        <w:spacing w:after="0" w:line="286" w:lineRule="auto"/>
        <w:tabs>
          <w:tab w:leader="none" w:pos="263"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 computing this ratio, "Preferred stock dividends" represents the before-tax earnings necessary to pay such dividends, computed at the effective tax rates for the applicable periods</w:t>
      </w:r>
    </w:p>
    <w:p>
      <w:pPr>
        <w:sectPr>
          <w:pgSz w:w="11900" w:h="16838" w:orient="portrait"/>
          <w:cols w:equalWidth="0" w:num="1">
            <w:col w:w="10199"/>
          </w:cols>
          <w:pgMar w:left="260" w:top="148" w:right="1440" w:bottom="1440" w:gutter="0" w:footer="0" w:header="0"/>
        </w:sectPr>
      </w:pPr>
    </w:p>
    <w:bookmarkStart w:id="64" w:name="page65"/>
    <w:bookmarkEnd w:id="64"/>
    <w:p>
      <w:pPr>
        <w:jc w:val="center"/>
        <w:spacing w:after="0"/>
        <w:rPr>
          <w:sz w:val="20"/>
          <w:szCs w:val="20"/>
          <w:color w:val="auto"/>
        </w:rPr>
      </w:pPr>
      <w:r>
        <w:rPr>
          <w:rFonts w:ascii="Arial" w:cs="Arial" w:eastAsia="Arial" w:hAnsi="Arial"/>
          <w:sz w:val="22"/>
          <w:szCs w:val="22"/>
          <w:b w:val="1"/>
          <w:bCs w:val="1"/>
          <w:color w:val="auto"/>
        </w:rPr>
        <w:t>Exhibit 21.01</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San Diego Gas &amp; Electric Company</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Schedule of Significant Subsidiaries</w:t>
      </w:r>
    </w:p>
    <w:p>
      <w:pPr>
        <w:spacing w:after="0" w:line="206" w:lineRule="exact"/>
        <w:rPr>
          <w:sz w:val="20"/>
          <w:szCs w:val="20"/>
          <w:color w:val="auto"/>
        </w:rPr>
      </w:pPr>
    </w:p>
    <w:tbl>
      <w:tblPr>
        <w:tblLayout w:type="fixed"/>
        <w:tblInd w:w="1300" w:type="dxa"/>
        <w:tblCellMar>
          <w:top w:w="0" w:type="dxa"/>
          <w:left w:w="0" w:type="dxa"/>
          <w:bottom w:w="0" w:type="dxa"/>
          <w:right w:w="0" w:type="dxa"/>
        </w:tblCellMar>
      </w:tblPr>
      <w:tr>
        <w:trPr>
          <w:trHeight w:val="281"/>
        </w:trPr>
        <w:tc>
          <w:tcPr>
            <w:tcW w:w="2140" w:type="dxa"/>
            <w:vAlign w:val="bottom"/>
          </w:tcPr>
          <w:p>
            <w:pPr>
              <w:spacing w:after="0"/>
              <w:rPr>
                <w:sz w:val="24"/>
                <w:szCs w:val="24"/>
                <w:color w:val="auto"/>
              </w:rPr>
            </w:pPr>
          </w:p>
        </w:tc>
        <w:tc>
          <w:tcPr>
            <w:tcW w:w="4280" w:type="dxa"/>
            <w:vAlign w:val="bottom"/>
          </w:tcPr>
          <w:p>
            <w:pPr>
              <w:ind w:left="80"/>
              <w:spacing w:after="0"/>
              <w:rPr>
                <w:sz w:val="20"/>
                <w:szCs w:val="20"/>
                <w:color w:val="auto"/>
              </w:rPr>
            </w:pPr>
            <w:r>
              <w:rPr>
                <w:rFonts w:ascii="Arial" w:cs="Arial" w:eastAsia="Arial" w:hAnsi="Arial"/>
                <w:sz w:val="22"/>
                <w:szCs w:val="22"/>
                <w:b w:val="1"/>
                <w:bCs w:val="1"/>
                <w:color w:val="auto"/>
              </w:rPr>
              <w:t>at December 31, 2005</w:t>
            </w:r>
          </w:p>
        </w:tc>
      </w:tr>
      <w:tr>
        <w:trPr>
          <w:trHeight w:val="516"/>
        </w:trPr>
        <w:tc>
          <w:tcPr>
            <w:tcW w:w="2140" w:type="dxa"/>
            <w:vAlign w:val="bottom"/>
          </w:tcPr>
          <w:p>
            <w:pPr>
              <w:spacing w:after="0"/>
              <w:rPr>
                <w:sz w:val="24"/>
                <w:szCs w:val="24"/>
                <w:color w:val="auto"/>
              </w:rPr>
            </w:pPr>
          </w:p>
        </w:tc>
        <w:tc>
          <w:tcPr>
            <w:tcW w:w="4280" w:type="dxa"/>
            <w:vAlign w:val="bottom"/>
          </w:tcPr>
          <w:p>
            <w:pPr>
              <w:ind w:left="1940"/>
              <w:spacing w:after="0"/>
              <w:rPr>
                <w:sz w:val="20"/>
                <w:szCs w:val="20"/>
                <w:color w:val="auto"/>
              </w:rPr>
            </w:pPr>
            <w:r>
              <w:rPr>
                <w:rFonts w:ascii="Arial" w:cs="Arial" w:eastAsia="Arial" w:hAnsi="Arial"/>
                <w:sz w:val="22"/>
                <w:szCs w:val="22"/>
                <w:b w:val="1"/>
                <w:bCs w:val="1"/>
                <w:color w:val="auto"/>
              </w:rPr>
              <w:t>State of Incorporation</w:t>
            </w:r>
          </w:p>
        </w:tc>
      </w:tr>
      <w:tr>
        <w:trPr>
          <w:trHeight w:val="281"/>
        </w:trPr>
        <w:tc>
          <w:tcPr>
            <w:tcW w:w="2140" w:type="dxa"/>
            <w:vAlign w:val="bottom"/>
          </w:tcPr>
          <w:p>
            <w:pPr>
              <w:ind w:left="100"/>
              <w:spacing w:after="0"/>
              <w:rPr>
                <w:sz w:val="20"/>
                <w:szCs w:val="20"/>
                <w:color w:val="auto"/>
              </w:rPr>
            </w:pPr>
            <w:r>
              <w:rPr>
                <w:rFonts w:ascii="Arial" w:cs="Arial" w:eastAsia="Arial" w:hAnsi="Arial"/>
                <w:sz w:val="22"/>
                <w:szCs w:val="22"/>
                <w:b w:val="1"/>
                <w:bCs w:val="1"/>
                <w:color w:val="auto"/>
              </w:rPr>
              <w:t>Subsidiary</w:t>
            </w:r>
          </w:p>
        </w:tc>
        <w:tc>
          <w:tcPr>
            <w:tcW w:w="4280" w:type="dxa"/>
            <w:vAlign w:val="bottom"/>
          </w:tcPr>
          <w:p>
            <w:pPr>
              <w:ind w:left="1940"/>
              <w:spacing w:after="0"/>
              <w:rPr>
                <w:sz w:val="20"/>
                <w:szCs w:val="20"/>
                <w:color w:val="auto"/>
              </w:rPr>
            </w:pPr>
            <w:r>
              <w:rPr>
                <w:rFonts w:ascii="Arial" w:cs="Arial" w:eastAsia="Arial" w:hAnsi="Arial"/>
                <w:sz w:val="22"/>
                <w:szCs w:val="22"/>
                <w:b w:val="1"/>
                <w:bCs w:val="1"/>
                <w:color w:val="auto"/>
              </w:rPr>
              <w:t>or Other Jurisdiction</w:t>
            </w:r>
          </w:p>
        </w:tc>
      </w:tr>
      <w:tr>
        <w:trPr>
          <w:trHeight w:val="85"/>
        </w:trPr>
        <w:tc>
          <w:tcPr>
            <w:tcW w:w="2140" w:type="dxa"/>
            <w:vAlign w:val="bottom"/>
          </w:tcPr>
          <w:p>
            <w:pPr>
              <w:spacing w:after="0"/>
              <w:rPr>
                <w:sz w:val="7"/>
                <w:szCs w:val="7"/>
                <w:color w:val="auto"/>
              </w:rPr>
            </w:pPr>
          </w:p>
        </w:tc>
        <w:tc>
          <w:tcPr>
            <w:tcW w:w="4280" w:type="dxa"/>
            <w:vAlign w:val="bottom"/>
          </w:tcPr>
          <w:p>
            <w:pPr>
              <w:spacing w:after="0"/>
              <w:rPr>
                <w:sz w:val="7"/>
                <w:szCs w:val="7"/>
                <w:color w:val="auto"/>
              </w:rPr>
            </w:pPr>
          </w:p>
        </w:tc>
      </w:tr>
      <w:tr>
        <w:trPr>
          <w:trHeight w:val="405"/>
        </w:trPr>
        <w:tc>
          <w:tcPr>
            <w:tcW w:w="2140" w:type="dxa"/>
            <w:vAlign w:val="bottom"/>
            <w:shd w:val="clear" w:color="auto" w:fill="000000"/>
          </w:tcPr>
          <w:p>
            <w:pPr>
              <w:spacing w:after="0"/>
              <w:rPr>
                <w:sz w:val="24"/>
                <w:szCs w:val="24"/>
                <w:color w:val="auto"/>
              </w:rPr>
            </w:pPr>
          </w:p>
        </w:tc>
        <w:tc>
          <w:tcPr>
            <w:tcW w:w="4280" w:type="dxa"/>
            <w:vAlign w:val="bottom"/>
            <w:shd w:val="clear" w:color="auto" w:fill="000000"/>
          </w:tcPr>
          <w:p>
            <w:pPr>
              <w:spacing w:after="0"/>
              <w:rPr>
                <w:sz w:val="24"/>
                <w:szCs w:val="24"/>
                <w:color w:val="auto"/>
              </w:rPr>
            </w:pPr>
          </w:p>
        </w:tc>
      </w:tr>
      <w:tr>
        <w:trPr>
          <w:trHeight w:val="348"/>
        </w:trPr>
        <w:tc>
          <w:tcPr>
            <w:tcW w:w="2140" w:type="dxa"/>
            <w:vAlign w:val="bottom"/>
          </w:tcPr>
          <w:p>
            <w:pPr>
              <w:ind w:left="100"/>
              <w:spacing w:after="0"/>
              <w:rPr>
                <w:sz w:val="20"/>
                <w:szCs w:val="20"/>
                <w:color w:val="auto"/>
              </w:rPr>
            </w:pPr>
            <w:r>
              <w:rPr>
                <w:rFonts w:ascii="Arial" w:cs="Arial" w:eastAsia="Arial" w:hAnsi="Arial"/>
                <w:sz w:val="22"/>
                <w:szCs w:val="22"/>
                <w:color w:val="auto"/>
                <w:w w:val="96"/>
              </w:rPr>
              <w:t>SDG&amp;E Funding LLC</w:t>
            </w:r>
          </w:p>
        </w:tc>
        <w:tc>
          <w:tcPr>
            <w:tcW w:w="4280" w:type="dxa"/>
            <w:vAlign w:val="bottom"/>
          </w:tcPr>
          <w:p>
            <w:pPr>
              <w:ind w:left="1940"/>
              <w:spacing w:after="0"/>
              <w:rPr>
                <w:sz w:val="20"/>
                <w:szCs w:val="20"/>
                <w:color w:val="auto"/>
              </w:rPr>
            </w:pPr>
            <w:r>
              <w:rPr>
                <w:rFonts w:ascii="Arial" w:cs="Arial" w:eastAsia="Arial" w:hAnsi="Arial"/>
                <w:sz w:val="22"/>
                <w:szCs w:val="22"/>
                <w:color w:val="auto"/>
              </w:rPr>
              <w:t>Delaware</w:t>
            </w:r>
          </w:p>
        </w:tc>
      </w:tr>
    </w:tbl>
    <w:p>
      <w:pPr>
        <w:sectPr>
          <w:pgSz w:w="11900" w:h="16838" w:orient="portrait"/>
          <w:cols w:equalWidth="0" w:num="1">
            <w:col w:w="9019"/>
          </w:cols>
          <w:pgMar w:left="1440" w:top="112" w:right="1440" w:bottom="1440" w:gutter="0" w:footer="0" w:header="0"/>
        </w:sectPr>
      </w:pPr>
    </w:p>
    <w:bookmarkStart w:id="65" w:name="page66"/>
    <w:bookmarkEnd w:id="65"/>
    <w:p>
      <w:pPr>
        <w:ind w:left="10360"/>
        <w:spacing w:after="0"/>
        <w:rPr>
          <w:sz w:val="20"/>
          <w:szCs w:val="20"/>
          <w:color w:val="auto"/>
        </w:rPr>
      </w:pPr>
      <w:r>
        <w:rPr>
          <w:rFonts w:ascii="Arial" w:cs="Arial" w:eastAsia="Arial" w:hAnsi="Arial"/>
          <w:sz w:val="16"/>
          <w:szCs w:val="16"/>
          <w:color w:val="auto"/>
        </w:rPr>
        <w:t>EXHIBIT 31.1</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I, Edwin A. Guiles, certify that:</w:t>
      </w:r>
    </w:p>
    <w:p>
      <w:pPr>
        <w:spacing w:after="0" w:line="185" w:lineRule="exact"/>
        <w:rPr>
          <w:sz w:val="20"/>
          <w:szCs w:val="20"/>
          <w:color w:val="auto"/>
        </w:rPr>
      </w:pPr>
    </w:p>
    <w:p>
      <w:pPr>
        <w:ind w:left="540" w:hanging="167"/>
        <w:spacing w:after="0"/>
        <w:tabs>
          <w:tab w:leader="none" w:pos="5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San Diego Gas &amp; Electric Company;</w:t>
      </w:r>
    </w:p>
    <w:p>
      <w:pPr>
        <w:spacing w:after="0" w:line="184" w:lineRule="exact"/>
        <w:rPr>
          <w:rFonts w:ascii="Arial" w:cs="Arial" w:eastAsia="Arial" w:hAnsi="Arial"/>
          <w:sz w:val="18"/>
          <w:szCs w:val="18"/>
          <w:color w:val="auto"/>
        </w:rPr>
      </w:pPr>
    </w:p>
    <w:p>
      <w:pPr>
        <w:ind w:left="540" w:right="40" w:hanging="167"/>
        <w:spacing w:after="0" w:line="253" w:lineRule="auto"/>
        <w:tabs>
          <w:tab w:leader="none" w:pos="5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Based on my knowledge, this Annual Report does not contain any untrue statement of a material fact or omit to state a material fact necessary to make the statements made, in light of the circumstances under which such statements were made, not misleading with respect to the period covered by this Annual Report;</w:t>
      </w:r>
    </w:p>
    <w:p>
      <w:pPr>
        <w:ind w:left="540" w:right="100" w:hanging="167"/>
        <w:spacing w:after="0" w:line="281" w:lineRule="auto"/>
        <w:tabs>
          <w:tab w:leader="none" w:pos="540" w:val="left"/>
        </w:tabs>
        <w:numPr>
          <w:ilvl w:val="0"/>
          <w:numId w:val="11"/>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Annual Report fairly present in all material respects the financial condition, results of operations and cash flows of the registrant as of, and for, the periods presented in this Annual Report;</w:t>
      </w:r>
    </w:p>
    <w:p>
      <w:pPr>
        <w:spacing w:after="0" w:line="1" w:lineRule="exact"/>
        <w:rPr>
          <w:rFonts w:ascii="Arial" w:cs="Arial" w:eastAsia="Arial" w:hAnsi="Arial"/>
          <w:sz w:val="16"/>
          <w:szCs w:val="16"/>
          <w:color w:val="auto"/>
        </w:rPr>
      </w:pPr>
    </w:p>
    <w:p>
      <w:pPr>
        <w:jc w:val="both"/>
        <w:ind w:left="540" w:right="80" w:hanging="167"/>
        <w:spacing w:after="0" w:line="255" w:lineRule="auto"/>
        <w:tabs>
          <w:tab w:leader="none" w:pos="5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15(f) and 15d-15(f)) for the registrant and have:</w:t>
      </w:r>
    </w:p>
    <w:p>
      <w:pPr>
        <w:spacing w:after="0" w:line="157" w:lineRule="exact"/>
        <w:rPr>
          <w:rFonts w:ascii="Arial" w:cs="Arial" w:eastAsia="Arial" w:hAnsi="Arial"/>
          <w:sz w:val="18"/>
          <w:szCs w:val="18"/>
          <w:color w:val="auto"/>
        </w:rPr>
      </w:pPr>
    </w:p>
    <w:p>
      <w:pPr>
        <w:ind w:left="1080" w:right="360" w:hanging="154"/>
        <w:spacing w:after="0" w:line="253" w:lineRule="auto"/>
        <w:tabs>
          <w:tab w:leader="none" w:pos="1080" w:val="left"/>
        </w:tabs>
        <w:numPr>
          <w:ilvl w:val="1"/>
          <w:numId w:val="1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Annual Report is being prepared;</w:t>
      </w:r>
    </w:p>
    <w:p>
      <w:pPr>
        <w:ind w:left="1080" w:right="60" w:hanging="167"/>
        <w:spacing w:after="0" w:line="250" w:lineRule="auto"/>
        <w:tabs>
          <w:tab w:leader="none" w:pos="1080" w:val="left"/>
        </w:tabs>
        <w:numPr>
          <w:ilvl w:val="1"/>
          <w:numId w:val="1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 w:lineRule="exact"/>
        <w:rPr>
          <w:rFonts w:ascii="Arial" w:cs="Arial" w:eastAsia="Arial" w:hAnsi="Arial"/>
          <w:sz w:val="18"/>
          <w:szCs w:val="18"/>
          <w:color w:val="auto"/>
        </w:rPr>
      </w:pPr>
    </w:p>
    <w:p>
      <w:pPr>
        <w:ind w:left="1080" w:right="180" w:hanging="154"/>
        <w:spacing w:after="0" w:line="300" w:lineRule="auto"/>
        <w:tabs>
          <w:tab w:leader="none" w:pos="1080" w:val="left"/>
        </w:tabs>
        <w:numPr>
          <w:ilvl w:val="1"/>
          <w:numId w:val="11"/>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Annual Report our conclusions about the effectiveness of the disclosure controls and procedures, as of the end of the period covered by this Annual Report, based on such evaluation; and</w:t>
      </w:r>
    </w:p>
    <w:p>
      <w:pPr>
        <w:ind w:left="1080" w:right="160" w:hanging="167"/>
        <w:spacing w:after="0" w:line="323" w:lineRule="auto"/>
        <w:tabs>
          <w:tab w:leader="none" w:pos="1080" w:val="left"/>
        </w:tabs>
        <w:numPr>
          <w:ilvl w:val="1"/>
          <w:numId w:val="11"/>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06" w:lineRule="exact"/>
        <w:rPr>
          <w:sz w:val="20"/>
          <w:szCs w:val="20"/>
          <w:color w:val="auto"/>
        </w:rPr>
      </w:pPr>
    </w:p>
    <w:p>
      <w:pPr>
        <w:ind w:left="540" w:right="560" w:hanging="167"/>
        <w:spacing w:after="0" w:line="332" w:lineRule="auto"/>
        <w:tabs>
          <w:tab w:leader="none" w:pos="54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w:t>
      </w:r>
    </w:p>
    <w:p>
      <w:pPr>
        <w:spacing w:after="0" w:line="98" w:lineRule="exact"/>
        <w:rPr>
          <w:rFonts w:ascii="Arial" w:cs="Arial" w:eastAsia="Arial" w:hAnsi="Arial"/>
          <w:sz w:val="16"/>
          <w:szCs w:val="16"/>
          <w:color w:val="auto"/>
        </w:rPr>
      </w:pPr>
    </w:p>
    <w:p>
      <w:pPr>
        <w:ind w:left="1080" w:right="200" w:hanging="154"/>
        <w:spacing w:after="0" w:line="286" w:lineRule="auto"/>
        <w:tabs>
          <w:tab w:leader="none" w:pos="1080" w:val="left"/>
        </w:tabs>
        <w:numPr>
          <w:ilvl w:val="1"/>
          <w:numId w:val="12"/>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controls over financial reporting which are reasonably likely to adversely affect the registrant's ability to record, process, summarize and report financial information; and</w:t>
      </w:r>
    </w:p>
    <w:p>
      <w:pPr>
        <w:ind w:left="1080" w:right="260" w:hanging="167"/>
        <w:spacing w:after="0" w:line="261" w:lineRule="auto"/>
        <w:tabs>
          <w:tab w:leader="none" w:pos="1080" w:val="left"/>
        </w:tabs>
        <w:numPr>
          <w:ilvl w:val="1"/>
          <w:numId w:val="1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February 22, 2006</w:t>
      </w:r>
    </w:p>
    <w:p>
      <w:pPr>
        <w:spacing w:after="0" w:line="185" w:lineRule="exact"/>
        <w:rPr>
          <w:sz w:val="20"/>
          <w:szCs w:val="20"/>
          <w:color w:val="auto"/>
        </w:rPr>
      </w:pPr>
    </w:p>
    <w:p>
      <w:pPr>
        <w:ind w:left="10040"/>
        <w:spacing w:after="0"/>
        <w:rPr>
          <w:sz w:val="20"/>
          <w:szCs w:val="20"/>
          <w:color w:val="auto"/>
        </w:rPr>
      </w:pPr>
      <w:r>
        <w:rPr>
          <w:rFonts w:ascii="Arial" w:cs="Arial" w:eastAsia="Arial" w:hAnsi="Arial"/>
          <w:sz w:val="16"/>
          <w:szCs w:val="16"/>
          <w:color w:val="auto"/>
        </w:rPr>
        <w:t>/s/ Edwin A. Guiles</w:t>
      </w:r>
    </w:p>
    <w:p>
      <w:pPr>
        <w:spacing w:after="0" w:line="208" w:lineRule="exact"/>
        <w:rPr>
          <w:sz w:val="20"/>
          <w:szCs w:val="20"/>
          <w:color w:val="auto"/>
        </w:rPr>
      </w:pPr>
    </w:p>
    <w:p>
      <w:pPr>
        <w:ind w:left="9220"/>
        <w:spacing w:after="0"/>
        <w:rPr>
          <w:sz w:val="20"/>
          <w:szCs w:val="20"/>
          <w:color w:val="auto"/>
        </w:rPr>
      </w:pPr>
      <w:r>
        <w:rPr>
          <w:rFonts w:ascii="Arial" w:cs="Arial" w:eastAsia="Arial" w:hAnsi="Arial"/>
          <w:sz w:val="15"/>
          <w:szCs w:val="15"/>
          <w:color w:val="auto"/>
        </w:rPr>
        <w:t>_________________________</w:t>
      </w:r>
    </w:p>
    <w:p>
      <w:pPr>
        <w:spacing w:after="0" w:line="219" w:lineRule="exact"/>
        <w:rPr>
          <w:sz w:val="20"/>
          <w:szCs w:val="20"/>
          <w:color w:val="auto"/>
        </w:rPr>
      </w:pPr>
    </w:p>
    <w:p>
      <w:pPr>
        <w:ind w:left="10240"/>
        <w:spacing w:after="0"/>
        <w:rPr>
          <w:sz w:val="20"/>
          <w:szCs w:val="20"/>
          <w:color w:val="auto"/>
        </w:rPr>
      </w:pPr>
      <w:r>
        <w:rPr>
          <w:rFonts w:ascii="Arial" w:cs="Arial" w:eastAsia="Arial" w:hAnsi="Arial"/>
          <w:sz w:val="16"/>
          <w:szCs w:val="16"/>
          <w:color w:val="auto"/>
        </w:rPr>
        <w:t>Edwin A. Guiles</w:t>
      </w:r>
    </w:p>
    <w:p>
      <w:pPr>
        <w:spacing w:after="0" w:line="20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420"/>
          </w:cols>
          <w:pgMar w:left="240" w:top="131" w:right="239" w:bottom="1440" w:gutter="0" w:footer="0" w:header="0"/>
        </w:sectPr>
      </w:pPr>
    </w:p>
    <w:bookmarkStart w:id="66" w:name="page67"/>
    <w:bookmarkEnd w:id="66"/>
    <w:p>
      <w:pPr>
        <w:ind w:left="10360"/>
        <w:spacing w:after="0"/>
        <w:rPr>
          <w:sz w:val="20"/>
          <w:szCs w:val="20"/>
          <w:color w:val="auto"/>
        </w:rPr>
      </w:pPr>
      <w:r>
        <w:rPr>
          <w:rFonts w:ascii="Arial" w:cs="Arial" w:eastAsia="Arial" w:hAnsi="Arial"/>
          <w:sz w:val="16"/>
          <w:szCs w:val="16"/>
          <w:color w:val="auto"/>
        </w:rPr>
        <w:t>EXHIBIT 31.2</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I, Steven D. Davis, certify that:</w:t>
      </w:r>
    </w:p>
    <w:p>
      <w:pPr>
        <w:spacing w:after="0" w:line="185" w:lineRule="exact"/>
        <w:rPr>
          <w:sz w:val="20"/>
          <w:szCs w:val="20"/>
          <w:color w:val="auto"/>
        </w:rPr>
      </w:pPr>
    </w:p>
    <w:p>
      <w:pPr>
        <w:ind w:left="540" w:hanging="167"/>
        <w:spacing w:after="0"/>
        <w:tabs>
          <w:tab w:leader="none" w:pos="5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San Diego Gas &amp; Electric Company;</w:t>
      </w:r>
    </w:p>
    <w:p>
      <w:pPr>
        <w:spacing w:after="0" w:line="184" w:lineRule="exact"/>
        <w:rPr>
          <w:rFonts w:ascii="Arial" w:cs="Arial" w:eastAsia="Arial" w:hAnsi="Arial"/>
          <w:sz w:val="18"/>
          <w:szCs w:val="18"/>
          <w:color w:val="auto"/>
        </w:rPr>
      </w:pPr>
    </w:p>
    <w:p>
      <w:pPr>
        <w:ind w:left="540" w:right="40" w:hanging="167"/>
        <w:spacing w:after="0" w:line="253" w:lineRule="auto"/>
        <w:tabs>
          <w:tab w:leader="none" w:pos="5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Based on my knowledge, this Annual Report does not contain any untrue statement of a material fact or omit to state a material fact necessary to make the statements made, in light of the circumstances under which such statements were made, not misleading with respect to the period covered by this Annual Report;</w:t>
      </w:r>
    </w:p>
    <w:p>
      <w:pPr>
        <w:ind w:left="540" w:right="100" w:hanging="167"/>
        <w:spacing w:after="0" w:line="281" w:lineRule="auto"/>
        <w:tabs>
          <w:tab w:leader="none" w:pos="540" w:val="left"/>
        </w:tabs>
        <w:numPr>
          <w:ilvl w:val="0"/>
          <w:numId w:val="13"/>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Annual Report fairly present in all material respects the financial condition, results of operations and cash flows of the registrant as of, and for, the periods presented in this Annual Report;</w:t>
      </w:r>
    </w:p>
    <w:p>
      <w:pPr>
        <w:spacing w:after="0" w:line="1" w:lineRule="exact"/>
        <w:rPr>
          <w:rFonts w:ascii="Arial" w:cs="Arial" w:eastAsia="Arial" w:hAnsi="Arial"/>
          <w:sz w:val="16"/>
          <w:szCs w:val="16"/>
          <w:color w:val="auto"/>
        </w:rPr>
      </w:pPr>
    </w:p>
    <w:p>
      <w:pPr>
        <w:jc w:val="both"/>
        <w:ind w:left="540" w:right="80" w:hanging="167"/>
        <w:spacing w:after="0" w:line="255" w:lineRule="auto"/>
        <w:tabs>
          <w:tab w:leader="none" w:pos="5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15(f) and 15d-15(f)) for the registrant and have:</w:t>
      </w:r>
    </w:p>
    <w:p>
      <w:pPr>
        <w:spacing w:after="0" w:line="157" w:lineRule="exact"/>
        <w:rPr>
          <w:rFonts w:ascii="Arial" w:cs="Arial" w:eastAsia="Arial" w:hAnsi="Arial"/>
          <w:sz w:val="18"/>
          <w:szCs w:val="18"/>
          <w:color w:val="auto"/>
        </w:rPr>
      </w:pPr>
    </w:p>
    <w:p>
      <w:pPr>
        <w:ind w:left="1080" w:right="360" w:hanging="154"/>
        <w:spacing w:after="0" w:line="253" w:lineRule="auto"/>
        <w:tabs>
          <w:tab w:leader="none" w:pos="1080" w:val="left"/>
        </w:tabs>
        <w:numPr>
          <w:ilvl w:val="1"/>
          <w:numId w:val="1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Annual Report is being prepared;</w:t>
      </w:r>
    </w:p>
    <w:p>
      <w:pPr>
        <w:ind w:left="1080" w:right="60" w:hanging="167"/>
        <w:spacing w:after="0" w:line="250" w:lineRule="auto"/>
        <w:tabs>
          <w:tab w:leader="none" w:pos="1080" w:val="left"/>
        </w:tabs>
        <w:numPr>
          <w:ilvl w:val="1"/>
          <w:numId w:val="1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 w:lineRule="exact"/>
        <w:rPr>
          <w:rFonts w:ascii="Arial" w:cs="Arial" w:eastAsia="Arial" w:hAnsi="Arial"/>
          <w:sz w:val="18"/>
          <w:szCs w:val="18"/>
          <w:color w:val="auto"/>
        </w:rPr>
      </w:pPr>
    </w:p>
    <w:p>
      <w:pPr>
        <w:ind w:left="1080" w:right="180" w:hanging="154"/>
        <w:spacing w:after="0" w:line="300" w:lineRule="auto"/>
        <w:tabs>
          <w:tab w:leader="none" w:pos="1080" w:val="left"/>
        </w:tabs>
        <w:numPr>
          <w:ilvl w:val="1"/>
          <w:numId w:val="13"/>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Annual Report our conclusions about the effectiveness of the disclosure controls and procedures, as of the end of the period covered by this Annual Report, based on such evaluation; and</w:t>
      </w:r>
    </w:p>
    <w:p>
      <w:pPr>
        <w:ind w:left="1080" w:right="160" w:hanging="167"/>
        <w:spacing w:after="0" w:line="323" w:lineRule="auto"/>
        <w:tabs>
          <w:tab w:leader="none" w:pos="1080" w:val="left"/>
        </w:tabs>
        <w:numPr>
          <w:ilvl w:val="1"/>
          <w:numId w:val="13"/>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06" w:lineRule="exact"/>
        <w:rPr>
          <w:sz w:val="20"/>
          <w:szCs w:val="20"/>
          <w:color w:val="auto"/>
        </w:rPr>
      </w:pPr>
    </w:p>
    <w:p>
      <w:pPr>
        <w:ind w:left="540" w:right="560" w:hanging="167"/>
        <w:spacing w:after="0" w:line="332" w:lineRule="auto"/>
        <w:tabs>
          <w:tab w:leader="none" w:pos="54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w:t>
      </w:r>
    </w:p>
    <w:p>
      <w:pPr>
        <w:spacing w:after="0" w:line="98" w:lineRule="exact"/>
        <w:rPr>
          <w:rFonts w:ascii="Arial" w:cs="Arial" w:eastAsia="Arial" w:hAnsi="Arial"/>
          <w:sz w:val="16"/>
          <w:szCs w:val="16"/>
          <w:color w:val="auto"/>
        </w:rPr>
      </w:pPr>
    </w:p>
    <w:p>
      <w:pPr>
        <w:ind w:left="1080" w:right="200" w:hanging="154"/>
        <w:spacing w:after="0" w:line="286" w:lineRule="auto"/>
        <w:tabs>
          <w:tab w:leader="none" w:pos="1080" w:val="left"/>
        </w:tabs>
        <w:numPr>
          <w:ilvl w:val="1"/>
          <w:numId w:val="14"/>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controls over financial reporting which are reasonably likely to adversely affect the registrant's ability to record, process, summarize and report financial information; and</w:t>
      </w:r>
    </w:p>
    <w:p>
      <w:pPr>
        <w:ind w:left="1080" w:right="260" w:hanging="167"/>
        <w:spacing w:after="0" w:line="261" w:lineRule="auto"/>
        <w:tabs>
          <w:tab w:leader="none" w:pos="1080" w:val="left"/>
        </w:tabs>
        <w:numPr>
          <w:ilvl w:val="1"/>
          <w:numId w:val="1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February 22, 2006</w:t>
      </w:r>
    </w:p>
    <w:p>
      <w:pPr>
        <w:spacing w:after="0" w:line="18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/s/ Steven D. Davis</w:t>
      </w:r>
    </w:p>
    <w:p>
      <w:pPr>
        <w:spacing w:after="0" w:line="185" w:lineRule="exact"/>
        <w:rPr>
          <w:sz w:val="20"/>
          <w:szCs w:val="20"/>
          <w:color w:val="auto"/>
        </w:rPr>
      </w:pPr>
    </w:p>
    <w:p>
      <w:pPr>
        <w:ind w:left="9220"/>
        <w:spacing w:after="0"/>
        <w:rPr>
          <w:sz w:val="20"/>
          <w:szCs w:val="20"/>
          <w:color w:val="auto"/>
        </w:rPr>
      </w:pPr>
      <w:r>
        <w:rPr>
          <w:rFonts w:ascii="Arial" w:cs="Arial" w:eastAsia="Arial" w:hAnsi="Arial"/>
          <w:sz w:val="15"/>
          <w:szCs w:val="15"/>
          <w:color w:val="auto"/>
        </w:rPr>
        <w:t>_________________________</w:t>
      </w:r>
    </w:p>
    <w:p>
      <w:pPr>
        <w:spacing w:after="0" w:line="219" w:lineRule="exact"/>
        <w:rPr>
          <w:sz w:val="20"/>
          <w:szCs w:val="20"/>
          <w:color w:val="auto"/>
        </w:rPr>
      </w:pPr>
    </w:p>
    <w:p>
      <w:pPr>
        <w:ind w:left="10280"/>
        <w:spacing w:after="0"/>
        <w:rPr>
          <w:sz w:val="20"/>
          <w:szCs w:val="20"/>
          <w:color w:val="auto"/>
        </w:rPr>
      </w:pPr>
      <w:r>
        <w:rPr>
          <w:rFonts w:ascii="Arial" w:cs="Arial" w:eastAsia="Arial" w:hAnsi="Arial"/>
          <w:sz w:val="15"/>
          <w:szCs w:val="15"/>
          <w:color w:val="auto"/>
        </w:rPr>
        <w:t>Steven D. Davis</w:t>
      </w:r>
    </w:p>
    <w:p>
      <w:pPr>
        <w:spacing w:after="0" w:line="219" w:lineRule="exact"/>
        <w:rPr>
          <w:sz w:val="20"/>
          <w:szCs w:val="20"/>
          <w:color w:val="auto"/>
        </w:rPr>
      </w:pPr>
    </w:p>
    <w:p>
      <w:pPr>
        <w:ind w:left="9780"/>
        <w:spacing w:after="0"/>
        <w:rPr>
          <w:sz w:val="20"/>
          <w:szCs w:val="20"/>
          <w:color w:val="auto"/>
        </w:rPr>
      </w:pPr>
      <w:r>
        <w:rPr>
          <w:rFonts w:ascii="Arial" w:cs="Arial" w:eastAsia="Arial" w:hAnsi="Arial"/>
          <w:sz w:val="16"/>
          <w:szCs w:val="16"/>
          <w:color w:val="auto"/>
        </w:rPr>
        <w:t>Chief Financial Officer</w:t>
      </w:r>
    </w:p>
    <w:p>
      <w:pPr>
        <w:sectPr>
          <w:pgSz w:w="11900" w:h="16838" w:orient="portrait"/>
          <w:cols w:equalWidth="0" w:num="1">
            <w:col w:w="11420"/>
          </w:cols>
          <w:pgMar w:left="240" w:top="131" w:right="239" w:bottom="1440" w:gutter="0" w:footer="0" w:header="0"/>
        </w:sectPr>
      </w:pPr>
    </w:p>
    <w:bookmarkStart w:id="67" w:name="page68"/>
    <w:bookmarkEnd w:id="67"/>
    <w:p>
      <w:pPr>
        <w:jc w:val="right"/>
        <w:spacing w:after="0"/>
        <w:rPr>
          <w:sz w:val="20"/>
          <w:szCs w:val="20"/>
          <w:color w:val="auto"/>
        </w:rPr>
      </w:pPr>
      <w:r>
        <w:rPr>
          <w:rFonts w:ascii="Arial" w:cs="Arial" w:eastAsia="Arial" w:hAnsi="Arial"/>
          <w:sz w:val="18"/>
          <w:szCs w:val="18"/>
          <w:color w:val="auto"/>
        </w:rPr>
        <w:t>Exhibit 32.1</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Statement of Chief Executive Officer</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color w:val="auto"/>
        </w:rPr>
        <w:t>Pursuant to 18 U.S.C. Sec 1350, as created by Section 906 of the Sarbanes-Oxley Act of 2002, the undersigned Chief Executive Officer of San Diego Gas &amp;</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Electric (the "Company") certifies that:</w:t>
      </w:r>
    </w:p>
    <w:p>
      <w:pPr>
        <w:spacing w:after="0" w:line="178" w:lineRule="exact"/>
        <w:rPr>
          <w:sz w:val="20"/>
          <w:szCs w:val="20"/>
          <w:color w:val="auto"/>
        </w:rPr>
      </w:pPr>
    </w:p>
    <w:p>
      <w:pPr>
        <w:jc w:val="both"/>
        <w:ind w:left="1080" w:right="20" w:hanging="134"/>
        <w:spacing w:after="0" w:line="253" w:lineRule="auto"/>
        <w:rPr>
          <w:sz w:val="20"/>
          <w:szCs w:val="20"/>
          <w:color w:val="auto"/>
        </w:rPr>
      </w:pPr>
      <w:r>
        <w:rPr>
          <w:rFonts w:ascii="Arial" w:cs="Arial" w:eastAsia="Arial" w:hAnsi="Arial"/>
          <w:sz w:val="18"/>
          <w:szCs w:val="18"/>
          <w:color w:val="auto"/>
        </w:rPr>
        <w:t>i. the Annual Report on Form 10-K of the Company filed with the Securities and Exchange Commission for the year ended December 31, 2005 (the "Annual Report") fully complies with the requirements of Section 13(a) or Section 15(d), as applicable, of the Securities Exchange Act of 1934, as amended; and</w:t>
      </w:r>
    </w:p>
    <w:p>
      <w:pPr>
        <w:ind w:left="1080" w:right="400" w:hanging="181"/>
        <w:spacing w:after="0" w:line="261" w:lineRule="auto"/>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information contained in the Annual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18"/>
          <w:szCs w:val="18"/>
          <w:color w:val="auto"/>
        </w:rPr>
        <w:t>February 22, 2006</w:t>
      </w:r>
    </w:p>
    <w:p>
      <w:pPr>
        <w:spacing w:after="0" w:line="185" w:lineRule="exact"/>
        <w:rPr>
          <w:sz w:val="20"/>
          <w:szCs w:val="20"/>
          <w:color w:val="auto"/>
        </w:rPr>
      </w:pPr>
    </w:p>
    <w:p>
      <w:pPr>
        <w:ind w:left="10080"/>
        <w:spacing w:after="0"/>
        <w:rPr>
          <w:sz w:val="20"/>
          <w:szCs w:val="20"/>
          <w:color w:val="auto"/>
        </w:rPr>
      </w:pPr>
      <w:r>
        <w:rPr>
          <w:rFonts w:ascii="Arial" w:cs="Arial" w:eastAsia="Arial" w:hAnsi="Arial"/>
          <w:sz w:val="16"/>
          <w:szCs w:val="16"/>
          <w:color w:val="auto"/>
        </w:rPr>
        <w:t>/s/Edwin A. Guiles</w:t>
      </w:r>
    </w:p>
    <w:p>
      <w:pPr>
        <w:spacing w:after="0" w:line="208" w:lineRule="exact"/>
        <w:rPr>
          <w:sz w:val="20"/>
          <w:szCs w:val="20"/>
          <w:color w:val="auto"/>
        </w:rPr>
      </w:pPr>
    </w:p>
    <w:p>
      <w:pPr>
        <w:ind w:left="9480"/>
        <w:spacing w:after="0"/>
        <w:rPr>
          <w:sz w:val="20"/>
          <w:szCs w:val="20"/>
          <w:color w:val="auto"/>
        </w:rPr>
      </w:pPr>
      <w:r>
        <w:rPr>
          <w:rFonts w:ascii="Arial" w:cs="Arial" w:eastAsia="Arial" w:hAnsi="Arial"/>
          <w:sz w:val="15"/>
          <w:szCs w:val="15"/>
          <w:color w:val="auto"/>
        </w:rPr>
        <w:t>______________________</w:t>
      </w:r>
    </w:p>
    <w:p>
      <w:pPr>
        <w:spacing w:after="0" w:line="219" w:lineRule="exact"/>
        <w:rPr>
          <w:sz w:val="20"/>
          <w:szCs w:val="20"/>
          <w:color w:val="auto"/>
        </w:rPr>
      </w:pPr>
    </w:p>
    <w:p>
      <w:pPr>
        <w:ind w:left="10240"/>
        <w:spacing w:after="0"/>
        <w:rPr>
          <w:sz w:val="20"/>
          <w:szCs w:val="20"/>
          <w:color w:val="auto"/>
        </w:rPr>
      </w:pPr>
      <w:r>
        <w:rPr>
          <w:rFonts w:ascii="Arial" w:cs="Arial" w:eastAsia="Arial" w:hAnsi="Arial"/>
          <w:sz w:val="16"/>
          <w:szCs w:val="16"/>
          <w:color w:val="auto"/>
        </w:rPr>
        <w:t>Edwin A. Guiles</w:t>
      </w:r>
    </w:p>
    <w:p>
      <w:pPr>
        <w:spacing w:after="0" w:line="20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420"/>
          </w:cols>
          <w:pgMar w:left="240" w:top="131" w:right="239" w:bottom="1440" w:gutter="0" w:footer="0" w:header="0"/>
        </w:sectPr>
      </w:pPr>
    </w:p>
    <w:bookmarkStart w:id="68" w:name="page69"/>
    <w:bookmarkEnd w:id="68"/>
    <w:p>
      <w:pPr>
        <w:jc w:val="right"/>
        <w:spacing w:after="0"/>
        <w:rPr>
          <w:sz w:val="20"/>
          <w:szCs w:val="20"/>
          <w:color w:val="auto"/>
        </w:rPr>
      </w:pPr>
      <w:r>
        <w:rPr>
          <w:rFonts w:ascii="Arial" w:cs="Arial" w:eastAsia="Arial" w:hAnsi="Arial"/>
          <w:sz w:val="18"/>
          <w:szCs w:val="18"/>
          <w:color w:val="auto"/>
        </w:rPr>
        <w:t>Exhibit 32.2</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Statement of Chief Financial Officer</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color w:val="auto"/>
        </w:rPr>
        <w:t>Pursuant to 18 U.S.C. Sec 1350, as created by Section 906 of the Sarbanes-Oxley Act of 2002, the undersigned Chief Financial Officer of San Diego Gas &amp;</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Electric (the "Company") certifies that:</w:t>
      </w:r>
    </w:p>
    <w:p>
      <w:pPr>
        <w:spacing w:after="0" w:line="178" w:lineRule="exact"/>
        <w:rPr>
          <w:sz w:val="20"/>
          <w:szCs w:val="20"/>
          <w:color w:val="auto"/>
        </w:rPr>
      </w:pPr>
    </w:p>
    <w:p>
      <w:pPr>
        <w:jc w:val="both"/>
        <w:ind w:left="1080" w:right="20" w:hanging="134"/>
        <w:spacing w:after="0" w:line="253" w:lineRule="auto"/>
        <w:rPr>
          <w:sz w:val="20"/>
          <w:szCs w:val="20"/>
          <w:color w:val="auto"/>
        </w:rPr>
      </w:pPr>
      <w:r>
        <w:rPr>
          <w:rFonts w:ascii="Arial" w:cs="Arial" w:eastAsia="Arial" w:hAnsi="Arial"/>
          <w:sz w:val="18"/>
          <w:szCs w:val="18"/>
          <w:color w:val="auto"/>
        </w:rPr>
        <w:t>i. the Annual Report on Form 10-K of the Company filed with the Securities and Exchange Commission for the year ended December 31, 2005 (the "Annual Report") fully complies with the requirements of Section 13(a) or Section 15(d), as applicable, of the Securities Exchange Act of 1934, as amended; and</w:t>
      </w:r>
    </w:p>
    <w:p>
      <w:pPr>
        <w:ind w:left="1080" w:right="400" w:hanging="181"/>
        <w:spacing w:after="0" w:line="261" w:lineRule="auto"/>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information contained in the Annual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18"/>
          <w:szCs w:val="18"/>
          <w:color w:val="auto"/>
        </w:rPr>
        <w:t>February 22, 2006</w:t>
      </w:r>
    </w:p>
    <w:p>
      <w:pPr>
        <w:spacing w:after="0" w:line="18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/s/Steven D. Davis</w:t>
      </w:r>
    </w:p>
    <w:p>
      <w:pPr>
        <w:spacing w:after="0" w:line="185" w:lineRule="exact"/>
        <w:rPr>
          <w:sz w:val="20"/>
          <w:szCs w:val="20"/>
          <w:color w:val="auto"/>
        </w:rPr>
      </w:pPr>
    </w:p>
    <w:p>
      <w:pPr>
        <w:ind w:left="9480"/>
        <w:spacing w:after="0"/>
        <w:rPr>
          <w:sz w:val="20"/>
          <w:szCs w:val="20"/>
          <w:color w:val="auto"/>
        </w:rPr>
      </w:pPr>
      <w:r>
        <w:rPr>
          <w:rFonts w:ascii="Arial" w:cs="Arial" w:eastAsia="Arial" w:hAnsi="Arial"/>
          <w:sz w:val="15"/>
          <w:szCs w:val="15"/>
          <w:color w:val="auto"/>
        </w:rPr>
        <w:t>______________________</w:t>
      </w:r>
    </w:p>
    <w:p>
      <w:pPr>
        <w:spacing w:after="0" w:line="219" w:lineRule="exact"/>
        <w:rPr>
          <w:sz w:val="20"/>
          <w:szCs w:val="20"/>
          <w:color w:val="auto"/>
        </w:rPr>
      </w:pPr>
    </w:p>
    <w:p>
      <w:pPr>
        <w:ind w:left="10280"/>
        <w:spacing w:after="0"/>
        <w:rPr>
          <w:sz w:val="20"/>
          <w:szCs w:val="20"/>
          <w:color w:val="auto"/>
        </w:rPr>
      </w:pPr>
      <w:r>
        <w:rPr>
          <w:rFonts w:ascii="Arial" w:cs="Arial" w:eastAsia="Arial" w:hAnsi="Arial"/>
          <w:sz w:val="15"/>
          <w:szCs w:val="15"/>
          <w:color w:val="auto"/>
        </w:rPr>
        <w:t>Steven D. Davis</w:t>
      </w:r>
    </w:p>
    <w:p>
      <w:pPr>
        <w:spacing w:after="0" w:line="219" w:lineRule="exact"/>
        <w:rPr>
          <w:sz w:val="20"/>
          <w:szCs w:val="20"/>
          <w:color w:val="auto"/>
        </w:rPr>
      </w:pPr>
    </w:p>
    <w:p>
      <w:pPr>
        <w:ind w:left="9780"/>
        <w:spacing w:after="0"/>
        <w:rPr>
          <w:sz w:val="20"/>
          <w:szCs w:val="20"/>
          <w:color w:val="auto"/>
        </w:rPr>
      </w:pPr>
      <w:r>
        <w:rPr>
          <w:rFonts w:ascii="Arial" w:cs="Arial" w:eastAsia="Arial" w:hAnsi="Arial"/>
          <w:sz w:val="16"/>
          <w:szCs w:val="16"/>
          <w:color w:val="auto"/>
        </w:rPr>
        <w:t>Chief Financial Officer</w:t>
      </w:r>
    </w:p>
    <w:sectPr>
      <w:pgSz w:w="11900" w:h="16838" w:orient="portrait"/>
      <w:cols w:equalWidth="0" w:num="1">
        <w:col w:w="11420"/>
      </w:cols>
      <w:pgMar w:left="240" w:top="13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15F007C"/>
    <w:multiLevelType w:val="hybridMultilevel"/>
    <w:lvl w:ilvl="0">
      <w:lvlJc w:val="left"/>
      <w:lvlText w:val="*"/>
      <w:numFmt w:val="bullet"/>
      <w:start w:val="1"/>
    </w:lvl>
  </w:abstractNum>
  <w:abstractNum w:abstractNumId="1">
    <w:nsid w:val="5BD062C2"/>
    <w:multiLevelType w:val="hybridMultilevel"/>
    <w:lvl w:ilvl="0">
      <w:lvlJc w:val="left"/>
      <w:lvlText w:val="(%1)"/>
      <w:numFmt w:val="lowerLetter"/>
      <w:start w:val="1"/>
    </w:lvl>
  </w:abstractNum>
  <w:abstractNum w:abstractNumId="2">
    <w:nsid w:val="12200854"/>
    <w:multiLevelType w:val="hybridMultilevel"/>
    <w:lvl w:ilvl="0">
      <w:lvlJc w:val="left"/>
      <w:lvlText w:val="1"/>
      <w:numFmt w:val="bullet"/>
      <w:start w:val="1"/>
    </w:lvl>
  </w:abstractNum>
  <w:abstractNum w:abstractNumId="3">
    <w:nsid w:val="4DB127F8"/>
    <w:multiLevelType w:val="hybridMultilevel"/>
    <w:lvl w:ilvl="0">
      <w:lvlJc w:val="left"/>
      <w:lvlText w:val="2"/>
      <w:numFmt w:val="bullet"/>
      <w:start w:val="1"/>
    </w:lvl>
  </w:abstractNum>
  <w:abstractNum w:abstractNumId="4">
    <w:nsid w:val="216231B"/>
    <w:multiLevelType w:val="hybridMultilevel"/>
    <w:lvl w:ilvl="0">
      <w:lvlJc w:val="left"/>
      <w:lvlText w:val="(%1)"/>
      <w:numFmt w:val="decimal"/>
      <w:start w:val="1"/>
    </w:lvl>
  </w:abstractNum>
  <w:abstractNum w:abstractNumId="5">
    <w:nsid w:val="1F16E9E8"/>
    <w:multiLevelType w:val="hybridMultilevel"/>
    <w:lvl w:ilvl="0">
      <w:lvlJc w:val="left"/>
      <w:lvlText w:val="*"/>
      <w:numFmt w:val="bullet"/>
      <w:start w:val="1"/>
    </w:lvl>
  </w:abstractNum>
  <w:abstractNum w:abstractNumId="6">
    <w:nsid w:val="1190CDE7"/>
    <w:multiLevelType w:val="hybridMultilevel"/>
    <w:lvl w:ilvl="0">
      <w:lvlJc w:val="left"/>
      <w:lvlText w:val="*"/>
      <w:numFmt w:val="bullet"/>
      <w:start w:val="1"/>
    </w:lvl>
  </w:abstractNum>
  <w:abstractNum w:abstractNumId="7">
    <w:nsid w:val="66EF438D"/>
    <w:multiLevelType w:val="hybridMultilevel"/>
    <w:lvl w:ilvl="0">
      <w:lvlJc w:val="left"/>
      <w:lvlText w:val="*"/>
      <w:numFmt w:val="bullet"/>
      <w:start w:val="1"/>
    </w:lvl>
  </w:abstractNum>
  <w:abstractNum w:abstractNumId="8">
    <w:nsid w:val="140E0F76"/>
    <w:multiLevelType w:val="hybridMultilevel"/>
    <w:lvl w:ilvl="0">
      <w:lvlJc w:val="left"/>
      <w:lvlText w:val="*"/>
      <w:numFmt w:val="bullet"/>
      <w:start w:val="1"/>
    </w:lvl>
  </w:abstractNum>
  <w:abstractNum w:abstractNumId="9">
    <w:nsid w:val="3352255A"/>
    <w:multiLevelType w:val="hybridMultilevel"/>
    <w:lvl w:ilvl="0">
      <w:lvlJc w:val="left"/>
      <w:lvlText w:val="(%1)"/>
      <w:numFmt w:val="decimal"/>
      <w:start w:val="1"/>
    </w:lvl>
  </w:abstractNum>
  <w:abstractNum w:abstractNumId="10">
    <w:nsid w:val="109CF92E"/>
    <w:multiLevelType w:val="hybridMultilevel"/>
    <w:lvl w:ilvl="0">
      <w:lvlJc w:val="left"/>
      <w:lvlText w:val="%1."/>
      <w:numFmt w:val="decimal"/>
      <w:start w:val="1"/>
    </w:lvl>
    <w:lvl w:ilvl="1">
      <w:lvlJc w:val="left"/>
      <w:lvlText w:val="%2."/>
      <w:numFmt w:val="lowerLetter"/>
      <w:start w:val="1"/>
    </w:lvl>
  </w:abstractNum>
  <w:abstractNum w:abstractNumId="11">
    <w:nsid w:val="DED7263"/>
    <w:multiLevelType w:val="hybridMultilevel"/>
    <w:lvl w:ilvl="0">
      <w:lvlJc w:val="left"/>
      <w:lvlText w:val="%1."/>
      <w:numFmt w:val="decimal"/>
      <w:start w:val="2"/>
    </w:lvl>
    <w:lvl w:ilvl="1">
      <w:lvlJc w:val="left"/>
      <w:lvlText w:val="%2."/>
      <w:numFmt w:val="lowerLetter"/>
      <w:start w:val="1"/>
    </w:lvl>
  </w:abstractNum>
  <w:abstractNum w:abstractNumId="12">
    <w:nsid w:val="7FDCC233"/>
    <w:multiLevelType w:val="hybridMultilevel"/>
    <w:lvl w:ilvl="0">
      <w:lvlJc w:val="left"/>
      <w:lvlText w:val="%1."/>
      <w:numFmt w:val="decimal"/>
      <w:start w:val="1"/>
    </w:lvl>
    <w:lvl w:ilvl="1">
      <w:lvlJc w:val="left"/>
      <w:lvlText w:val="%2."/>
      <w:numFmt w:val="lowerLetter"/>
      <w:start w:val="1"/>
    </w:lvl>
  </w:abstractNum>
  <w:abstractNum w:abstractNumId="13">
    <w:nsid w:val="1BEFD79F"/>
    <w:multiLevelType w:val="hybridMultilevel"/>
    <w:lvl w:ilvl="0">
      <w:lvlJc w:val="left"/>
      <w:lvlText w:val="%1."/>
      <w:numFmt w:val="decimal"/>
      <w:start w:val="2"/>
    </w:lvl>
    <w:lvl w:ilvl="1">
      <w:lvlJc w:val="left"/>
      <w:lvlText w:val="%2."/>
      <w:numFmt w:val="lowerLetter"/>
      <w:start w:val="1"/>
    </w:lvl>
  </w:abstractNum>
  <w:abstractNum w:abstractNumId="14">
    <w:nsid w:val="41A7C4C9"/>
    <w:multiLevelType w:val="hybridMultilevel"/>
    <w:lvl w:ilvl="0">
      <w:lvlJc w:val="left"/>
      <w:lvlText w:val="%1."/>
      <w:numFmt w:val="lowerRoman"/>
      <w:start w:val="2"/>
    </w:lvl>
  </w:abstractNum>
  <w:abstractNum w:abstractNumId="15">
    <w:nsid w:val="6B68079A"/>
    <w:multiLevelType w:val="hybridMultilevel"/>
    <w:lvl w:ilvl="0">
      <w:lvlJc w:val="left"/>
      <w:lvlText w:val="%1."/>
      <w:numFmt w:val="lowerRoman"/>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2019-12-12T10:10:01Z</dcterms:created>
  <dcterms:modified xsi:type="dcterms:W3CDTF">2019-12-12T10:10:01Z</dcterms:modified>
</cp:coreProperties>
</file>