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10-K</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1260" w:hanging="125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tbl>
      <w:tblPr>
        <w:tblLayout w:type="fixed"/>
        <w:tblInd w:w="0" w:type="dxa"/>
        <w:tblCellMar>
          <w:top w:w="0" w:type="dxa"/>
          <w:left w:w="0" w:type="dxa"/>
          <w:bottom w:w="0" w:type="dxa"/>
          <w:right w:w="0" w:type="dxa"/>
        </w:tblCellMar>
      </w:tblPr>
      <w:tr>
        <w:trPr>
          <w:trHeight w:val="208"/>
        </w:trPr>
        <w:tc>
          <w:tcPr>
            <w:tcW w:w="760" w:type="dxa"/>
            <w:vAlign w:val="bottom"/>
          </w:tcPr>
          <w:p>
            <w:pPr>
              <w:spacing w:after="0"/>
              <w:rPr>
                <w:sz w:val="18"/>
                <w:szCs w:val="18"/>
                <w:color w:val="auto"/>
              </w:rPr>
            </w:pPr>
          </w:p>
        </w:tc>
        <w:tc>
          <w:tcPr>
            <w:tcW w:w="2340" w:type="dxa"/>
            <w:vAlign w:val="bottom"/>
          </w:tcPr>
          <w:p>
            <w:pPr>
              <w:ind w:left="500"/>
              <w:spacing w:after="0" w:line="201" w:lineRule="exact"/>
              <w:rPr>
                <w:sz w:val="20"/>
                <w:szCs w:val="20"/>
                <w:color w:val="auto"/>
              </w:rPr>
            </w:pPr>
            <w:r>
              <w:rPr>
                <w:rFonts w:ascii="Arial" w:cs="Arial" w:eastAsia="Arial" w:hAnsi="Arial"/>
                <w:sz w:val="18"/>
                <w:szCs w:val="18"/>
                <w:color w:val="auto"/>
                <w:w w:val="91"/>
              </w:rPr>
              <w:t>For the fiscal year ended</w:t>
            </w:r>
          </w:p>
        </w:tc>
        <w:tc>
          <w:tcPr>
            <w:tcW w:w="8320" w:type="dxa"/>
            <w:vAlign w:val="bottom"/>
            <w:gridSpan w:val="3"/>
          </w:tcPr>
          <w:p>
            <w:pPr>
              <w:ind w:left="3920"/>
              <w:spacing w:after="0" w:line="201" w:lineRule="exact"/>
              <w:rPr>
                <w:sz w:val="20"/>
                <w:szCs w:val="20"/>
                <w:color w:val="auto"/>
              </w:rPr>
            </w:pPr>
            <w:r>
              <w:rPr>
                <w:rFonts w:ascii="Arial" w:cs="Arial" w:eastAsia="Arial" w:hAnsi="Arial"/>
                <w:sz w:val="18"/>
                <w:szCs w:val="18"/>
                <w:color w:val="auto"/>
              </w:rPr>
              <w:t>December 31, 2011</w:t>
            </w:r>
          </w:p>
        </w:tc>
      </w:tr>
      <w:tr>
        <w:trPr>
          <w:trHeight w:val="432"/>
        </w:trPr>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20" w:type="dxa"/>
            <w:vAlign w:val="bottom"/>
          </w:tcPr>
          <w:p>
            <w:pPr>
              <w:ind w:left="3080"/>
              <w:spacing w:after="0"/>
              <w:rPr>
                <w:sz w:val="20"/>
                <w:szCs w:val="20"/>
                <w:color w:val="auto"/>
              </w:rPr>
            </w:pPr>
            <w:r>
              <w:rPr>
                <w:rFonts w:ascii="Arial" w:cs="Arial" w:eastAsia="Arial" w:hAnsi="Arial"/>
                <w:sz w:val="18"/>
                <w:szCs w:val="18"/>
                <w:color w:val="auto"/>
              </w:rPr>
              <w:t>OR</w:t>
            </w:r>
          </w:p>
        </w:tc>
        <w:tc>
          <w:tcPr>
            <w:tcW w:w="4400" w:type="dxa"/>
            <w:vAlign w:val="bottom"/>
            <w:tcBorders>
              <w:top w:val="single" w:sz="8" w:color="auto"/>
            </w:tcBorders>
            <w:gridSpan w:val="2"/>
          </w:tcPr>
          <w:p>
            <w:pPr>
              <w:spacing w:after="0"/>
              <w:rPr>
                <w:sz w:val="24"/>
                <w:szCs w:val="24"/>
                <w:color w:val="auto"/>
              </w:rPr>
            </w:pPr>
          </w:p>
        </w:tc>
      </w:tr>
      <w:tr>
        <w:trPr>
          <w:trHeight w:val="404"/>
        </w:trPr>
        <w:tc>
          <w:tcPr>
            <w:tcW w:w="760" w:type="dxa"/>
            <w:vAlign w:val="bottom"/>
          </w:tcPr>
          <w:p>
            <w:pPr>
              <w:jc w:val="right"/>
              <w:ind w:right="410"/>
              <w:spacing w:after="0"/>
              <w:rPr>
                <w:sz w:val="20"/>
                <w:szCs w:val="20"/>
                <w:color w:val="auto"/>
              </w:rPr>
            </w:pPr>
            <w:r>
              <w:rPr>
                <w:rFonts w:ascii="Arial" w:cs="Arial" w:eastAsia="Arial" w:hAnsi="Arial"/>
                <w:sz w:val="18"/>
                <w:szCs w:val="18"/>
                <w:color w:val="auto"/>
              </w:rPr>
              <w:t>[  ]</w:t>
            </w:r>
          </w:p>
        </w:tc>
        <w:tc>
          <w:tcPr>
            <w:tcW w:w="10660" w:type="dxa"/>
            <w:vAlign w:val="bottom"/>
            <w:gridSpan w:val="4"/>
          </w:tcPr>
          <w:p>
            <w:pPr>
              <w:ind w:left="500"/>
              <w:spacing w:after="0"/>
              <w:rPr>
                <w:sz w:val="20"/>
                <w:szCs w:val="20"/>
                <w:color w:val="auto"/>
              </w:rPr>
            </w:pPr>
            <w:r>
              <w:rPr>
                <w:rFonts w:ascii="Arial" w:cs="Arial" w:eastAsia="Arial" w:hAnsi="Arial"/>
                <w:sz w:val="18"/>
                <w:szCs w:val="18"/>
                <w:color w:val="auto"/>
              </w:rPr>
              <w:t>TRANSITION REPORT PURSUANT TO SECTION 13 OR 15(d) OF THE SECURITIES EXCHANGE ACT OF 1934</w:t>
            </w:r>
          </w:p>
        </w:tc>
      </w:tr>
      <w:tr>
        <w:trPr>
          <w:trHeight w:val="203"/>
        </w:trPr>
        <w:tc>
          <w:tcPr>
            <w:tcW w:w="760" w:type="dxa"/>
            <w:vAlign w:val="bottom"/>
          </w:tcPr>
          <w:p>
            <w:pPr>
              <w:spacing w:after="0"/>
              <w:rPr>
                <w:sz w:val="17"/>
                <w:szCs w:val="17"/>
                <w:color w:val="auto"/>
              </w:rPr>
            </w:pPr>
          </w:p>
        </w:tc>
        <w:tc>
          <w:tcPr>
            <w:tcW w:w="2340" w:type="dxa"/>
            <w:vAlign w:val="bottom"/>
          </w:tcPr>
          <w:p>
            <w:pPr>
              <w:ind w:left="500"/>
              <w:spacing w:after="0" w:line="202" w:lineRule="exact"/>
              <w:rPr>
                <w:sz w:val="20"/>
                <w:szCs w:val="20"/>
                <w:color w:val="auto"/>
              </w:rPr>
            </w:pPr>
            <w:r>
              <w:rPr>
                <w:rFonts w:ascii="Arial" w:cs="Arial" w:eastAsia="Arial" w:hAnsi="Arial"/>
                <w:sz w:val="18"/>
                <w:szCs w:val="18"/>
                <w:color w:val="auto"/>
                <w:w w:val="95"/>
              </w:rPr>
              <w:t>For the transition period</w:t>
            </w:r>
          </w:p>
        </w:tc>
        <w:tc>
          <w:tcPr>
            <w:tcW w:w="3920" w:type="dxa"/>
            <w:vAlign w:val="bottom"/>
          </w:tcPr>
          <w:p>
            <w:pPr>
              <w:spacing w:after="0"/>
              <w:rPr>
                <w:sz w:val="17"/>
                <w:szCs w:val="17"/>
                <w:color w:val="auto"/>
              </w:rPr>
            </w:pPr>
          </w:p>
        </w:tc>
        <w:tc>
          <w:tcPr>
            <w:tcW w:w="4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to</w:t>
            </w:r>
          </w:p>
        </w:tc>
      </w:tr>
      <w:tr>
        <w:trPr>
          <w:trHeight w:val="197"/>
        </w:trPr>
        <w:tc>
          <w:tcPr>
            <w:tcW w:w="760" w:type="dxa"/>
            <w:vAlign w:val="bottom"/>
          </w:tcPr>
          <w:p>
            <w:pPr>
              <w:spacing w:after="0"/>
              <w:rPr>
                <w:sz w:val="17"/>
                <w:szCs w:val="17"/>
                <w:color w:val="auto"/>
              </w:rPr>
            </w:pPr>
          </w:p>
        </w:tc>
        <w:tc>
          <w:tcPr>
            <w:tcW w:w="2340" w:type="dxa"/>
            <w:vAlign w:val="bottom"/>
          </w:tcPr>
          <w:p>
            <w:pPr>
              <w:ind w:left="500"/>
              <w:spacing w:after="0" w:line="190" w:lineRule="exact"/>
              <w:rPr>
                <w:sz w:val="20"/>
                <w:szCs w:val="20"/>
                <w:color w:val="auto"/>
              </w:rPr>
            </w:pPr>
            <w:r>
              <w:rPr>
                <w:rFonts w:ascii="Arial" w:cs="Arial" w:eastAsia="Arial" w:hAnsi="Arial"/>
                <w:sz w:val="18"/>
                <w:szCs w:val="18"/>
                <w:color w:val="auto"/>
              </w:rPr>
              <w:t>from</w:t>
            </w:r>
          </w:p>
        </w:tc>
        <w:tc>
          <w:tcPr>
            <w:tcW w:w="39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bl>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80" w:type="dxa"/>
            <w:vAlign w:val="bottom"/>
          </w:tcPr>
          <w:p>
            <w:pPr>
              <w:ind w:left="260"/>
              <w:spacing w:after="0"/>
              <w:rPr>
                <w:sz w:val="20"/>
                <w:szCs w:val="20"/>
                <w:color w:val="auto"/>
              </w:rPr>
            </w:pPr>
            <w:r>
              <w:rPr>
                <w:rFonts w:ascii="Arial" w:cs="Arial" w:eastAsia="Arial" w:hAnsi="Arial"/>
                <w:sz w:val="18"/>
                <w:szCs w:val="18"/>
                <w:color w:val="auto"/>
              </w:rPr>
              <w:t>Commission File No.</w:t>
            </w:r>
          </w:p>
        </w:tc>
        <w:tc>
          <w:tcPr>
            <w:tcW w:w="5060" w:type="dxa"/>
            <w:vAlign w:val="bottom"/>
          </w:tcPr>
          <w:p>
            <w:pPr>
              <w:ind w:left="180"/>
              <w:spacing w:after="0"/>
              <w:rPr>
                <w:sz w:val="20"/>
                <w:szCs w:val="20"/>
                <w:color w:val="auto"/>
              </w:rPr>
            </w:pPr>
            <w:r>
              <w:rPr>
                <w:rFonts w:ascii="Arial" w:cs="Arial" w:eastAsia="Arial" w:hAnsi="Arial"/>
                <w:sz w:val="18"/>
                <w:szCs w:val="18"/>
                <w:color w:val="auto"/>
                <w:w w:val="92"/>
              </w:rPr>
              <w:t>Exact Name of Registrants as Specified in their Charters, Address</w:t>
            </w:r>
          </w:p>
        </w:tc>
        <w:tc>
          <w:tcPr>
            <w:tcW w:w="1620" w:type="dxa"/>
            <w:vAlign w:val="bottom"/>
          </w:tcPr>
          <w:p>
            <w:pPr>
              <w:jc w:val="center"/>
              <w:ind w:right="330"/>
              <w:spacing w:after="0"/>
              <w:rPr>
                <w:sz w:val="20"/>
                <w:szCs w:val="20"/>
                <w:color w:val="auto"/>
              </w:rPr>
            </w:pPr>
            <w:r>
              <w:rPr>
                <w:rFonts w:ascii="Arial" w:cs="Arial" w:eastAsia="Arial" w:hAnsi="Arial"/>
                <w:sz w:val="18"/>
                <w:szCs w:val="18"/>
                <w:color w:val="auto"/>
                <w:w w:val="90"/>
              </w:rPr>
              <w:t>State of</w:t>
            </w:r>
          </w:p>
        </w:tc>
        <w:tc>
          <w:tcPr>
            <w:tcW w:w="2740" w:type="dxa"/>
            <w:vAlign w:val="bottom"/>
          </w:tcPr>
          <w:p>
            <w:pPr>
              <w:jc w:val="center"/>
              <w:ind w:right="270"/>
              <w:spacing w:after="0"/>
              <w:rPr>
                <w:sz w:val="20"/>
                <w:szCs w:val="20"/>
                <w:color w:val="auto"/>
              </w:rPr>
            </w:pPr>
            <w:r>
              <w:rPr>
                <w:rFonts w:ascii="Arial" w:cs="Arial" w:eastAsia="Arial" w:hAnsi="Arial"/>
                <w:sz w:val="18"/>
                <w:szCs w:val="18"/>
                <w:color w:val="auto"/>
                <w:w w:val="93"/>
              </w:rPr>
              <w:t>I.R.S. Employer</w:t>
            </w:r>
          </w:p>
        </w:tc>
      </w:tr>
      <w:tr>
        <w:trPr>
          <w:trHeight w:val="224"/>
        </w:trPr>
        <w:tc>
          <w:tcPr>
            <w:tcW w:w="2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and Telephone Number</w:t>
            </w:r>
          </w:p>
        </w:tc>
        <w:tc>
          <w:tcPr>
            <w:tcW w:w="16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3"/>
              </w:rPr>
              <w:t>Incorporation</w:t>
            </w:r>
          </w:p>
        </w:tc>
        <w:tc>
          <w:tcPr>
            <w:tcW w:w="27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Identification Nos.</w:t>
            </w:r>
          </w:p>
        </w:tc>
      </w:tr>
      <w:tr>
        <w:trPr>
          <w:trHeight w:val="188"/>
        </w:trPr>
        <w:tc>
          <w:tcPr>
            <w:tcW w:w="20" w:type="dxa"/>
            <w:vAlign w:val="bottom"/>
          </w:tcPr>
          <w:p>
            <w:pPr>
              <w:spacing w:after="0"/>
              <w:rPr>
                <w:sz w:val="16"/>
                <w:szCs w:val="16"/>
                <w:color w:val="auto"/>
              </w:rPr>
            </w:pPr>
          </w:p>
        </w:tc>
        <w:tc>
          <w:tcPr>
            <w:tcW w:w="1980" w:type="dxa"/>
            <w:vAlign w:val="bottom"/>
          </w:tcPr>
          <w:p>
            <w:pPr>
              <w:spacing w:after="0" w:line="189" w:lineRule="exact"/>
              <w:rPr>
                <w:sz w:val="20"/>
                <w:szCs w:val="20"/>
                <w:color w:val="auto"/>
              </w:rPr>
            </w:pPr>
            <w:r>
              <w:rPr>
                <w:rFonts w:ascii="Arial" w:cs="Arial" w:eastAsia="Arial" w:hAnsi="Arial"/>
                <w:sz w:val="18"/>
                <w:szCs w:val="18"/>
                <w:color w:val="auto"/>
              </w:rPr>
              <w:t>1-14201</w:t>
            </w:r>
          </w:p>
        </w:tc>
        <w:tc>
          <w:tcPr>
            <w:tcW w:w="5060" w:type="dxa"/>
            <w:vAlign w:val="bottom"/>
          </w:tcPr>
          <w:p>
            <w:pPr>
              <w:ind w:left="180"/>
              <w:spacing w:after="0" w:line="189" w:lineRule="exact"/>
              <w:rPr>
                <w:sz w:val="20"/>
                <w:szCs w:val="20"/>
                <w:color w:val="auto"/>
              </w:rPr>
            </w:pPr>
            <w:r>
              <w:rPr>
                <w:rFonts w:ascii="Arial" w:cs="Arial" w:eastAsia="Arial" w:hAnsi="Arial"/>
                <w:sz w:val="18"/>
                <w:szCs w:val="18"/>
                <w:color w:val="auto"/>
              </w:rPr>
              <w:t>SEMPRA ENERGY</w:t>
            </w:r>
          </w:p>
        </w:tc>
        <w:tc>
          <w:tcPr>
            <w:tcW w:w="162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7"/>
              </w:rPr>
              <w:t>California</w:t>
            </w:r>
          </w:p>
        </w:tc>
        <w:tc>
          <w:tcPr>
            <w:tcW w:w="2740" w:type="dxa"/>
            <w:vAlign w:val="bottom"/>
          </w:tcPr>
          <w:p>
            <w:pPr>
              <w:jc w:val="center"/>
              <w:ind w:right="270"/>
              <w:spacing w:after="0" w:line="189" w:lineRule="exact"/>
              <w:rPr>
                <w:sz w:val="20"/>
                <w:szCs w:val="20"/>
                <w:color w:val="auto"/>
              </w:rPr>
            </w:pPr>
            <w:r>
              <w:rPr>
                <w:rFonts w:ascii="Arial" w:cs="Arial" w:eastAsia="Arial" w:hAnsi="Arial"/>
                <w:sz w:val="18"/>
                <w:szCs w:val="18"/>
                <w:color w:val="auto"/>
                <w:w w:val="89"/>
              </w:rPr>
              <w:t>33-0732627</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101 Ash Street</w:t>
            </w:r>
          </w:p>
        </w:tc>
        <w:tc>
          <w:tcPr>
            <w:tcW w:w="16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San Diego, California 92101</w:t>
            </w:r>
          </w:p>
        </w:tc>
        <w:tc>
          <w:tcPr>
            <w:tcW w:w="16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16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04"/>
        </w:trPr>
        <w:tc>
          <w:tcPr>
            <w:tcW w:w="2000" w:type="dxa"/>
            <w:vAlign w:val="bottom"/>
            <w:gridSpan w:val="2"/>
          </w:tcPr>
          <w:p>
            <w:pPr>
              <w:spacing w:after="0"/>
              <w:rPr>
                <w:sz w:val="20"/>
                <w:szCs w:val="20"/>
                <w:color w:val="auto"/>
              </w:rPr>
            </w:pPr>
            <w:r>
              <w:rPr>
                <w:rFonts w:ascii="Arial" w:cs="Arial" w:eastAsia="Arial" w:hAnsi="Arial"/>
                <w:sz w:val="18"/>
                <w:szCs w:val="18"/>
                <w:color w:val="auto"/>
              </w:rPr>
              <w:t>1-3779</w:t>
            </w:r>
          </w:p>
        </w:tc>
        <w:tc>
          <w:tcPr>
            <w:tcW w:w="5060" w:type="dxa"/>
            <w:vAlign w:val="bottom"/>
          </w:tcPr>
          <w:p>
            <w:pPr>
              <w:ind w:left="180"/>
              <w:spacing w:after="0"/>
              <w:rPr>
                <w:sz w:val="20"/>
                <w:szCs w:val="20"/>
                <w:color w:val="auto"/>
              </w:rPr>
            </w:pPr>
            <w:r>
              <w:rPr>
                <w:rFonts w:ascii="Arial" w:cs="Arial" w:eastAsia="Arial" w:hAnsi="Arial"/>
                <w:sz w:val="18"/>
                <w:szCs w:val="18"/>
                <w:color w:val="auto"/>
              </w:rPr>
              <w:t>SAN DIEGO GAS &amp; ELECTRIC COMPANY</w:t>
            </w:r>
          </w:p>
        </w:tc>
        <w:tc>
          <w:tcPr>
            <w:tcW w:w="1620" w:type="dxa"/>
            <w:vAlign w:val="bottom"/>
          </w:tcPr>
          <w:p>
            <w:pPr>
              <w:jc w:val="center"/>
              <w:ind w:right="310"/>
              <w:spacing w:after="0"/>
              <w:rPr>
                <w:sz w:val="20"/>
                <w:szCs w:val="20"/>
                <w:color w:val="auto"/>
              </w:rPr>
            </w:pPr>
            <w:r>
              <w:rPr>
                <w:rFonts w:ascii="Arial" w:cs="Arial" w:eastAsia="Arial" w:hAnsi="Arial"/>
                <w:sz w:val="18"/>
                <w:szCs w:val="18"/>
                <w:color w:val="auto"/>
                <w:w w:val="97"/>
              </w:rPr>
              <w:t>California</w:t>
            </w:r>
          </w:p>
        </w:tc>
        <w:tc>
          <w:tcPr>
            <w:tcW w:w="2740" w:type="dxa"/>
            <w:vAlign w:val="bottom"/>
          </w:tcPr>
          <w:p>
            <w:pPr>
              <w:jc w:val="center"/>
              <w:ind w:right="270"/>
              <w:spacing w:after="0"/>
              <w:rPr>
                <w:sz w:val="20"/>
                <w:szCs w:val="20"/>
                <w:color w:val="auto"/>
              </w:rPr>
            </w:pPr>
            <w:r>
              <w:rPr>
                <w:rFonts w:ascii="Arial" w:cs="Arial" w:eastAsia="Arial" w:hAnsi="Arial"/>
                <w:sz w:val="18"/>
                <w:szCs w:val="18"/>
                <w:color w:val="auto"/>
                <w:w w:val="89"/>
              </w:rPr>
              <w:t>95-1184800</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8326 Century Park Court</w:t>
            </w:r>
          </w:p>
        </w:tc>
        <w:tc>
          <w:tcPr>
            <w:tcW w:w="16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San Diego, California 92123</w:t>
            </w:r>
          </w:p>
        </w:tc>
        <w:tc>
          <w:tcPr>
            <w:tcW w:w="16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16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04"/>
        </w:trPr>
        <w:tc>
          <w:tcPr>
            <w:tcW w:w="2000" w:type="dxa"/>
            <w:vAlign w:val="bottom"/>
            <w:gridSpan w:val="2"/>
          </w:tcPr>
          <w:p>
            <w:pPr>
              <w:spacing w:after="0"/>
              <w:rPr>
                <w:sz w:val="20"/>
                <w:szCs w:val="20"/>
                <w:color w:val="auto"/>
              </w:rPr>
            </w:pPr>
            <w:r>
              <w:rPr>
                <w:rFonts w:ascii="Arial" w:cs="Arial" w:eastAsia="Arial" w:hAnsi="Arial"/>
                <w:sz w:val="18"/>
                <w:szCs w:val="18"/>
                <w:color w:val="auto"/>
              </w:rPr>
              <w:t>1-1402</w:t>
            </w:r>
          </w:p>
        </w:tc>
        <w:tc>
          <w:tcPr>
            <w:tcW w:w="5060" w:type="dxa"/>
            <w:vAlign w:val="bottom"/>
          </w:tcPr>
          <w:p>
            <w:pPr>
              <w:ind w:left="180"/>
              <w:spacing w:after="0"/>
              <w:rPr>
                <w:sz w:val="20"/>
                <w:szCs w:val="20"/>
                <w:color w:val="auto"/>
              </w:rPr>
            </w:pPr>
            <w:r>
              <w:rPr>
                <w:rFonts w:ascii="Arial" w:cs="Arial" w:eastAsia="Arial" w:hAnsi="Arial"/>
                <w:sz w:val="18"/>
                <w:szCs w:val="18"/>
                <w:color w:val="auto"/>
              </w:rPr>
              <w:t>SOUTHERN CALIFORNIA GAS COMPANY</w:t>
            </w:r>
          </w:p>
        </w:tc>
        <w:tc>
          <w:tcPr>
            <w:tcW w:w="1620" w:type="dxa"/>
            <w:vAlign w:val="bottom"/>
          </w:tcPr>
          <w:p>
            <w:pPr>
              <w:jc w:val="center"/>
              <w:ind w:right="310"/>
              <w:spacing w:after="0"/>
              <w:rPr>
                <w:sz w:val="20"/>
                <w:szCs w:val="20"/>
                <w:color w:val="auto"/>
              </w:rPr>
            </w:pPr>
            <w:r>
              <w:rPr>
                <w:rFonts w:ascii="Arial" w:cs="Arial" w:eastAsia="Arial" w:hAnsi="Arial"/>
                <w:sz w:val="18"/>
                <w:szCs w:val="18"/>
                <w:color w:val="auto"/>
                <w:w w:val="97"/>
              </w:rPr>
              <w:t>California</w:t>
            </w:r>
          </w:p>
        </w:tc>
        <w:tc>
          <w:tcPr>
            <w:tcW w:w="2740" w:type="dxa"/>
            <w:vAlign w:val="bottom"/>
          </w:tcPr>
          <w:p>
            <w:pPr>
              <w:jc w:val="center"/>
              <w:ind w:right="270"/>
              <w:spacing w:after="0"/>
              <w:rPr>
                <w:sz w:val="20"/>
                <w:szCs w:val="20"/>
                <w:color w:val="auto"/>
              </w:rPr>
            </w:pPr>
            <w:r>
              <w:rPr>
                <w:rFonts w:ascii="Arial" w:cs="Arial" w:eastAsia="Arial" w:hAnsi="Arial"/>
                <w:sz w:val="18"/>
                <w:szCs w:val="18"/>
                <w:color w:val="auto"/>
                <w:w w:val="89"/>
              </w:rPr>
              <w:t>95-1240705</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555 West Fifth Street</w:t>
            </w:r>
          </w:p>
        </w:tc>
        <w:tc>
          <w:tcPr>
            <w:tcW w:w="16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Los Angeles, California 90013</w:t>
            </w:r>
          </w:p>
        </w:tc>
        <w:tc>
          <w:tcPr>
            <w:tcW w:w="16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(213)244-1200</w:t>
            </w:r>
          </w:p>
        </w:tc>
        <w:tc>
          <w:tcPr>
            <w:tcW w:w="1620" w:type="dxa"/>
            <w:vAlign w:val="bottom"/>
          </w:tcPr>
          <w:p>
            <w:pPr>
              <w:spacing w:after="0"/>
              <w:rPr>
                <w:sz w:val="20"/>
                <w:szCs w:val="20"/>
                <w:color w:val="auto"/>
              </w:rPr>
            </w:pPr>
          </w:p>
        </w:tc>
        <w:tc>
          <w:tcPr>
            <w:tcW w:w="274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760" w:type="dxa"/>
            <w:vAlign w:val="bottom"/>
          </w:tcPr>
          <w:p>
            <w:pPr>
              <w:spacing w:after="0"/>
              <w:rPr>
                <w:sz w:val="20"/>
                <w:szCs w:val="20"/>
                <w:color w:val="auto"/>
              </w:rPr>
            </w:pPr>
          </w:p>
        </w:tc>
      </w:tr>
      <w:tr>
        <w:trPr>
          <w:trHeight w:val="426"/>
        </w:trPr>
        <w:tc>
          <w:tcPr>
            <w:tcW w:w="12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Title of Each Class</w:t>
            </w:r>
          </w:p>
        </w:tc>
        <w:tc>
          <w:tcPr>
            <w:tcW w:w="47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0"/>
              </w:rPr>
              <w:t>Name of Each Exchange on Which Registered</w:t>
            </w:r>
          </w:p>
        </w:tc>
      </w:tr>
      <w:tr>
        <w:trPr>
          <w:trHeight w:val="230"/>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Sempra Energy Common Stock, without par value</w:t>
            </w:r>
          </w:p>
        </w:tc>
        <w:tc>
          <w:tcPr>
            <w:tcW w:w="4760" w:type="dxa"/>
            <w:vAlign w:val="bottom"/>
          </w:tcPr>
          <w:p>
            <w:pPr>
              <w:jc w:val="center"/>
              <w:ind w:left="190"/>
              <w:spacing w:after="0"/>
              <w:rPr>
                <w:sz w:val="20"/>
                <w:szCs w:val="20"/>
                <w:color w:val="auto"/>
              </w:rPr>
            </w:pPr>
            <w:r>
              <w:rPr>
                <w:rFonts w:ascii="Arial" w:cs="Arial" w:eastAsia="Arial" w:hAnsi="Arial"/>
                <w:sz w:val="18"/>
                <w:szCs w:val="18"/>
                <w:color w:val="auto"/>
                <w:w w:val="97"/>
              </w:rPr>
              <w:t>NYSE</w:t>
            </w:r>
          </w:p>
        </w:tc>
      </w:tr>
      <w:tr>
        <w:trPr>
          <w:trHeight w:val="37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SDG&amp;E Preference Stock (Cumulative)</w:t>
            </w:r>
          </w:p>
        </w:tc>
        <w:tc>
          <w:tcPr>
            <w:tcW w:w="4760" w:type="dxa"/>
            <w:vAlign w:val="bottom"/>
          </w:tcPr>
          <w:p>
            <w:pPr>
              <w:jc w:val="center"/>
              <w:ind w:left="190"/>
              <w:spacing w:after="0"/>
              <w:rPr>
                <w:sz w:val="20"/>
                <w:szCs w:val="20"/>
                <w:color w:val="auto"/>
              </w:rPr>
            </w:pPr>
            <w:r>
              <w:rPr>
                <w:rFonts w:ascii="Arial" w:cs="Arial" w:eastAsia="Arial" w:hAnsi="Arial"/>
                <w:sz w:val="18"/>
                <w:szCs w:val="18"/>
                <w:color w:val="auto"/>
                <w:w w:val="95"/>
              </w:rPr>
              <w:t>NYSE Amex</w:t>
            </w:r>
          </w:p>
        </w:tc>
      </w:tr>
      <w:tr>
        <w:trPr>
          <w:trHeight w:val="230"/>
        </w:trPr>
        <w:tc>
          <w:tcPr>
            <w:tcW w:w="6660" w:type="dxa"/>
            <w:vAlign w:val="bottom"/>
            <w:gridSpan w:val="2"/>
          </w:tcPr>
          <w:p>
            <w:pPr>
              <w:ind w:left="740"/>
              <w:spacing w:after="0"/>
              <w:rPr>
                <w:sz w:val="20"/>
                <w:szCs w:val="20"/>
                <w:color w:val="auto"/>
              </w:rPr>
            </w:pPr>
            <w:r>
              <w:rPr>
                <w:rFonts w:ascii="Arial" w:cs="Arial" w:eastAsia="Arial" w:hAnsi="Arial"/>
                <w:sz w:val="18"/>
                <w:szCs w:val="18"/>
                <w:color w:val="auto"/>
              </w:rPr>
              <w:t>Without Par Value – $1.82 Series</w:t>
            </w:r>
          </w:p>
        </w:tc>
        <w:tc>
          <w:tcPr>
            <w:tcW w:w="4760" w:type="dxa"/>
            <w:vAlign w:val="bottom"/>
          </w:tcPr>
          <w:p>
            <w:pPr>
              <w:spacing w:after="0"/>
              <w:rPr>
                <w:sz w:val="20"/>
                <w:szCs w:val="20"/>
                <w:color w:val="auto"/>
              </w:rPr>
            </w:pPr>
          </w:p>
        </w:tc>
      </w:tr>
      <w:tr>
        <w:trPr>
          <w:trHeight w:val="377"/>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SDG&amp;E Cumulative Preferred Stock, $20 Par Value</w:t>
            </w:r>
          </w:p>
        </w:tc>
        <w:tc>
          <w:tcPr>
            <w:tcW w:w="4760" w:type="dxa"/>
            <w:vAlign w:val="bottom"/>
          </w:tcPr>
          <w:p>
            <w:pPr>
              <w:jc w:val="center"/>
              <w:ind w:left="190"/>
              <w:spacing w:after="0"/>
              <w:rPr>
                <w:sz w:val="20"/>
                <w:szCs w:val="20"/>
                <w:color w:val="auto"/>
              </w:rPr>
            </w:pPr>
            <w:r>
              <w:rPr>
                <w:rFonts w:ascii="Arial" w:cs="Arial" w:eastAsia="Arial" w:hAnsi="Arial"/>
                <w:sz w:val="18"/>
                <w:szCs w:val="18"/>
                <w:color w:val="auto"/>
                <w:w w:val="95"/>
              </w:rPr>
              <w:t>NYSE Amex</w:t>
            </w:r>
          </w:p>
        </w:tc>
      </w:tr>
      <w:tr>
        <w:trPr>
          <w:trHeight w:val="203"/>
        </w:trPr>
        <w:tc>
          <w:tcPr>
            <w:tcW w:w="1240" w:type="dxa"/>
            <w:vAlign w:val="bottom"/>
          </w:tcPr>
          <w:p>
            <w:pPr>
              <w:ind w:left="760"/>
              <w:spacing w:after="0" w:line="202" w:lineRule="exact"/>
              <w:rPr>
                <w:sz w:val="20"/>
                <w:szCs w:val="20"/>
                <w:color w:val="auto"/>
              </w:rPr>
            </w:pPr>
            <w:r>
              <w:rPr>
                <w:rFonts w:ascii="Arial" w:cs="Arial" w:eastAsia="Arial" w:hAnsi="Arial"/>
                <w:sz w:val="18"/>
                <w:szCs w:val="18"/>
                <w:color w:val="auto"/>
                <w:w w:val="90"/>
              </w:rPr>
              <w:t>4.50%</w:t>
            </w:r>
          </w:p>
        </w:tc>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Series, 4.40% Series</w:t>
            </w:r>
          </w:p>
        </w:tc>
        <w:tc>
          <w:tcPr>
            <w:tcW w:w="4760" w:type="dxa"/>
            <w:vAlign w:val="bottom"/>
          </w:tcPr>
          <w:p>
            <w:pPr>
              <w:spacing w:after="0"/>
              <w:rPr>
                <w:sz w:val="17"/>
                <w:szCs w:val="17"/>
                <w:color w:val="auto"/>
              </w:rPr>
            </w:pPr>
          </w:p>
        </w:tc>
      </w:tr>
      <w:tr>
        <w:trPr>
          <w:trHeight w:val="230"/>
        </w:trPr>
        <w:tc>
          <w:tcPr>
            <w:tcW w:w="1240" w:type="dxa"/>
            <w:vAlign w:val="bottom"/>
          </w:tcPr>
          <w:p>
            <w:pPr>
              <w:ind w:left="760"/>
              <w:spacing w:after="0"/>
              <w:rPr>
                <w:sz w:val="20"/>
                <w:szCs w:val="20"/>
                <w:color w:val="auto"/>
              </w:rPr>
            </w:pPr>
            <w:r>
              <w:rPr>
                <w:rFonts w:ascii="Arial" w:cs="Arial" w:eastAsia="Arial" w:hAnsi="Arial"/>
                <w:sz w:val="18"/>
                <w:szCs w:val="18"/>
                <w:color w:val="auto"/>
                <w:w w:val="90"/>
              </w:rPr>
              <w:t>5.00%</w:t>
            </w:r>
          </w:p>
        </w:tc>
        <w:tc>
          <w:tcPr>
            <w:tcW w:w="5420" w:type="dxa"/>
            <w:vAlign w:val="bottom"/>
          </w:tcPr>
          <w:p>
            <w:pPr>
              <w:ind w:left="20"/>
              <w:spacing w:after="0"/>
              <w:rPr>
                <w:sz w:val="20"/>
                <w:szCs w:val="20"/>
                <w:color w:val="auto"/>
              </w:rPr>
            </w:pPr>
            <w:r>
              <w:rPr>
                <w:rFonts w:ascii="Arial" w:cs="Arial" w:eastAsia="Arial" w:hAnsi="Arial"/>
                <w:sz w:val="18"/>
                <w:szCs w:val="18"/>
                <w:color w:val="auto"/>
              </w:rPr>
              <w:t>Series</w:t>
            </w:r>
          </w:p>
        </w:tc>
        <w:tc>
          <w:tcPr>
            <w:tcW w:w="4760" w:type="dxa"/>
            <w:vAlign w:val="bottom"/>
          </w:tcPr>
          <w:p>
            <w:pPr>
              <w:spacing w:after="0"/>
              <w:rPr>
                <w:sz w:val="20"/>
                <w:szCs w:val="20"/>
                <w:color w:val="auto"/>
              </w:rPr>
            </w:pPr>
          </w:p>
        </w:tc>
      </w:tr>
      <w:tr>
        <w:trPr>
          <w:trHeight w:val="419"/>
        </w:trPr>
        <w:tc>
          <w:tcPr>
            <w:tcW w:w="66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w:t>
            </w:r>
          </w:p>
        </w:tc>
        <w:tc>
          <w:tcPr>
            <w:tcW w:w="4760" w:type="dxa"/>
            <w:vAlign w:val="bottom"/>
          </w:tcPr>
          <w:p>
            <w:pPr>
              <w:ind w:left="2580"/>
              <w:spacing w:after="0"/>
              <w:rPr>
                <w:sz w:val="20"/>
                <w:szCs w:val="20"/>
                <w:color w:val="auto"/>
              </w:rPr>
            </w:pPr>
            <w:r>
              <w:rPr>
                <w:rFonts w:ascii="Arial" w:cs="Arial" w:eastAsia="Arial" w:hAnsi="Arial"/>
                <w:sz w:val="18"/>
                <w:szCs w:val="18"/>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Sempra Energy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X</w:t>
            </w: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bl>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Sempra Energy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20"/>
                <w:szCs w:val="20"/>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bl>
    <w:p>
      <w:pPr>
        <w:spacing w:after="0" w:line="188" w:lineRule="exact"/>
        <w:rPr>
          <w:sz w:val="24"/>
          <w:szCs w:val="24"/>
          <w:color w:val="auto"/>
        </w:rPr>
      </w:pPr>
    </w:p>
    <w:p>
      <w:pPr>
        <w:ind w:right="300"/>
        <w:spacing w:after="0" w:line="248"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 was required to file such reports), and (2) have been subject to such filing requirements for the past 90 days.</w:t>
      </w:r>
    </w:p>
    <w:p>
      <w:pPr>
        <w:spacing w:after="0" w:line="182" w:lineRule="exact"/>
        <w:rPr>
          <w:sz w:val="24"/>
          <w:szCs w:val="24"/>
          <w:color w:val="auto"/>
        </w:rPr>
      </w:pPr>
    </w:p>
    <w:p>
      <w:pPr>
        <w:ind w:left="6760"/>
        <w:spacing w:after="0"/>
        <w:tabs>
          <w:tab w:leader="none" w:pos="7940" w:val="left"/>
          <w:tab w:leader="none" w:pos="92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4773295</wp:posOffset>
            </wp:positionH>
            <wp:positionV relativeFrom="paragraph">
              <wp:posOffset>14605</wp:posOffset>
            </wp:positionV>
            <wp:extent cx="6946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 cy="1714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14605</wp:posOffset>
            </wp:positionV>
            <wp:extent cx="9436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ectPr>
          <w:pgSz w:w="11900" w:h="16838" w:orient="portrait"/>
          <w:cols w:equalWidth="0" w:num="1">
            <w:col w:w="11420"/>
          </w:cols>
          <w:pgMar w:left="240" w:top="1408" w:right="239" w:bottom="0" w:gutter="0" w:footer="0" w:header="0"/>
        </w:sectPr>
      </w:pPr>
    </w:p>
    <w:bookmarkStart w:id="1" w:name="page2"/>
    <w:bookmarkEnd w:id="1"/>
    <w:p>
      <w:pPr>
        <w:ind w:right="100"/>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Sempra Energy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X</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X</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X</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-325120</wp:posOffset>
            </wp:positionV>
            <wp:extent cx="9436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3610" cy="1714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-170815</wp:posOffset>
            </wp:positionV>
            <wp:extent cx="943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3610" cy="1714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-16510</wp:posOffset>
            </wp:positionV>
            <wp:extent cx="9436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168"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125095</wp:posOffset>
            </wp:positionV>
            <wp:extent cx="9436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392"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240" w:type="dxa"/>
            <w:vAlign w:val="bottom"/>
            <w:gridSpan w:val="2"/>
          </w:tcPr>
          <w:p>
            <w:pPr>
              <w:ind w:left="900"/>
              <w:spacing w:after="0"/>
              <w:rPr>
                <w:sz w:val="20"/>
                <w:szCs w:val="20"/>
                <w:color w:val="auto"/>
              </w:rPr>
            </w:pPr>
            <w:r>
              <w:rPr>
                <w:rFonts w:ascii="Arial" w:cs="Arial" w:eastAsia="Arial" w:hAnsi="Arial"/>
                <w:sz w:val="18"/>
                <w:szCs w:val="18"/>
                <w:color w:val="auto"/>
              </w:rPr>
              <w:t>Large</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2"/>
          </w:tcPr>
          <w:p>
            <w:pPr>
              <w:jc w:val="right"/>
              <w:ind w:right="31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24"/>
        </w:trPr>
        <w:tc>
          <w:tcPr>
            <w:tcW w:w="2680" w:type="dxa"/>
            <w:vAlign w:val="bottom"/>
            <w:vMerge w:val="restart"/>
          </w:tcPr>
          <w:p>
            <w:pPr>
              <w:spacing w:after="0"/>
              <w:rPr>
                <w:sz w:val="20"/>
                <w:szCs w:val="20"/>
                <w:color w:val="auto"/>
              </w:rPr>
            </w:pPr>
            <w:r>
              <w:rPr>
                <w:rFonts w:ascii="Arial" w:cs="Arial" w:eastAsia="Arial" w:hAnsi="Arial"/>
                <w:sz w:val="18"/>
                <w:szCs w:val="18"/>
                <w:color w:val="auto"/>
              </w:rPr>
              <w:t>Sempra Energy</w:t>
            </w:r>
          </w:p>
        </w:tc>
        <w:tc>
          <w:tcPr>
            <w:tcW w:w="22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accelerated filer</w:t>
            </w:r>
          </w:p>
        </w:tc>
        <w:tc>
          <w:tcPr>
            <w:tcW w:w="2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Accelerated filer</w:t>
            </w:r>
          </w:p>
        </w:tc>
        <w:tc>
          <w:tcPr>
            <w:tcW w:w="230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Non-accelerated filer</w:t>
            </w:r>
          </w:p>
        </w:tc>
        <w:tc>
          <w:tcPr>
            <w:tcW w:w="20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88"/>
        </w:trPr>
        <w:tc>
          <w:tcPr>
            <w:tcW w:w="2680" w:type="dxa"/>
            <w:vAlign w:val="bottom"/>
            <w:vMerge w:val="continue"/>
          </w:tcPr>
          <w:p>
            <w:pPr>
              <w:spacing w:after="0"/>
              <w:rPr>
                <w:sz w:val="16"/>
                <w:szCs w:val="16"/>
                <w:color w:val="auto"/>
              </w:rPr>
            </w:pPr>
          </w:p>
        </w:tc>
        <w:tc>
          <w:tcPr>
            <w:tcW w:w="1000" w:type="dxa"/>
            <w:vAlign w:val="bottom"/>
          </w:tcPr>
          <w:p>
            <w:pPr>
              <w:ind w:left="900"/>
              <w:spacing w:after="0" w:line="189"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line="189" w:lineRule="exact"/>
              <w:rPr>
                <w:sz w:val="20"/>
                <w:szCs w:val="20"/>
                <w:color w:val="auto"/>
              </w:rPr>
            </w:pPr>
            <w:r>
              <w:rPr>
                <w:rFonts w:ascii="Arial" w:cs="Arial" w:eastAsia="Arial" w:hAnsi="Arial"/>
                <w:sz w:val="18"/>
                <w:szCs w:val="18"/>
                <w:color w:val="auto"/>
              </w:rPr>
              <w:t>X ]</w:t>
            </w:r>
          </w:p>
        </w:tc>
        <w:tc>
          <w:tcPr>
            <w:tcW w:w="11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ind w:left="98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0" w:type="dxa"/>
            <w:vAlign w:val="bottom"/>
          </w:tcPr>
          <w:p>
            <w:pPr>
              <w:jc w:val="right"/>
              <w:ind w:right="790"/>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80" w:type="dxa"/>
            <w:vAlign w:val="bottom"/>
          </w:tcPr>
          <w:p>
            <w:pPr>
              <w:spacing w:after="0" w:line="202" w:lineRule="exact"/>
              <w:rPr>
                <w:sz w:val="20"/>
                <w:szCs w:val="20"/>
                <w:color w:val="auto"/>
              </w:rPr>
            </w:pPr>
            <w:r>
              <w:rPr>
                <w:rFonts w:ascii="Arial" w:cs="Arial" w:eastAsia="Arial" w:hAnsi="Arial"/>
                <w:sz w:val="18"/>
                <w:szCs w:val="18"/>
                <w:color w:val="auto"/>
                <w:w w:val="93"/>
              </w:rPr>
              <w:t>San Diego Gas &amp; Electric Company</w:t>
            </w:r>
          </w:p>
        </w:tc>
        <w:tc>
          <w:tcPr>
            <w:tcW w:w="100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 X</w:t>
            </w:r>
          </w:p>
        </w:tc>
        <w:tc>
          <w:tcPr>
            <w:tcW w:w="100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w w:val="97"/>
              </w:rPr>
              <w:t>Southern California Gas Company</w:t>
            </w: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08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gridSpan w:val="3"/>
          </w:tcPr>
          <w:p>
            <w:pPr>
              <w:spacing w:after="0"/>
              <w:rPr>
                <w:sz w:val="20"/>
                <w:szCs w:val="20"/>
                <w:color w:val="auto"/>
              </w:rPr>
            </w:pPr>
            <w:r>
              <w:rPr>
                <w:rFonts w:ascii="Arial" w:cs="Arial" w:eastAsia="Arial" w:hAnsi="Arial"/>
                <w:sz w:val="18"/>
                <w:szCs w:val="18"/>
                <w:color w:val="auto"/>
                <w:w w:val="95"/>
              </w:rPr>
              <w:t>Indicate by check mark whether the registrant is a shell company (as defined in Rule 12b-2 of the Exchange Act).</w:t>
            </w: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26"/>
        </w:trPr>
        <w:tc>
          <w:tcPr>
            <w:tcW w:w="4700" w:type="dxa"/>
            <w:vAlign w:val="bottom"/>
          </w:tcPr>
          <w:p>
            <w:pPr>
              <w:spacing w:after="0"/>
              <w:rPr>
                <w:sz w:val="20"/>
                <w:szCs w:val="20"/>
                <w:color w:val="auto"/>
              </w:rPr>
            </w:pPr>
            <w:r>
              <w:rPr>
                <w:rFonts w:ascii="Arial" w:cs="Arial" w:eastAsia="Arial" w:hAnsi="Arial"/>
                <w:sz w:val="18"/>
                <w:szCs w:val="18"/>
                <w:color w:val="auto"/>
              </w:rPr>
              <w:t>Sempra Energy</w:t>
            </w:r>
          </w:p>
        </w:tc>
        <w:tc>
          <w:tcPr>
            <w:tcW w:w="3920" w:type="dxa"/>
            <w:vAlign w:val="bottom"/>
            <w:gridSpan w:val="2"/>
          </w:tcPr>
          <w:p>
            <w:pPr>
              <w:ind w:left="2060"/>
              <w:spacing w:after="0"/>
              <w:rPr>
                <w:sz w:val="20"/>
                <w:szCs w:val="20"/>
                <w:color w:val="auto"/>
              </w:rPr>
            </w:pPr>
            <w:r>
              <w:rPr>
                <w:rFonts w:ascii="Arial" w:cs="Arial" w:eastAsia="Arial" w:hAnsi="Arial"/>
                <w:sz w:val="18"/>
                <w:szCs w:val="18"/>
                <w:color w:val="auto"/>
              </w:rPr>
              <w:t>Yes</w:t>
            </w: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top w:val="single" w:sz="8" w:color="auto"/>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Index on page 50. Glossary on page 60.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Aggregate market value of the voting and non-voting common equity held by non-affiliates of the registrant as of June 30, 2011:</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Sempra Energy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San Diego Gas &amp; Electric Company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Southern California Gas Company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$12.6 billion (based on the price at which the common equity was last sold as of the last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business day of the most recently completed second fiscal quarter)</w:t>
      </w:r>
    </w:p>
    <w:p>
      <w:pPr>
        <w:spacing w:after="0" w:line="234" w:lineRule="auto"/>
        <w:rPr>
          <w:sz w:val="20"/>
          <w:szCs w:val="20"/>
          <w:color w:val="auto"/>
        </w:rPr>
      </w:pPr>
      <w:r>
        <w:rPr>
          <w:rFonts w:ascii="Arial" w:cs="Arial" w:eastAsia="Arial" w:hAnsi="Arial"/>
          <w:sz w:val="18"/>
          <w:szCs w:val="18"/>
          <w:color w:val="auto"/>
        </w:rPr>
        <w:t>$0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196" w:lineRule="exact"/>
        <w:rPr>
          <w:sz w:val="20"/>
          <w:szCs w:val="20"/>
          <w:color w:val="auto"/>
        </w:rPr>
      </w:pPr>
    </w:p>
    <w:p>
      <w:pPr>
        <w:sectPr>
          <w:pgSz w:w="11900" w:h="16838" w:orient="portrait"/>
          <w:cols w:equalWidth="0" w:num="2">
            <w:col w:w="3860" w:space="720"/>
            <w:col w:w="684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Common Stock outstanding, without par value, as of February 24, 2012:</w:t>
      </w:r>
    </w:p>
    <w:p>
      <w:pPr>
        <w:sectPr>
          <w:pgSz w:w="11900" w:h="16838" w:orient="portrait"/>
          <w:cols w:equalWidth="0" w:num="1">
            <w:col w:w="11420"/>
          </w:cols>
          <w:pgMar w:left="240" w:top="125" w:right="2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Sempra Energy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San Diego Gas &amp; Electric Company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Southern California Gas Company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240,590,672 shares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Wholly owned by Enova Corporation, which is wholly owned by Sempra Energy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Wholly owned by Pacific Enterprises, which is wholly owned by Sempra Energy</w:t>
      </w:r>
    </w:p>
    <w:p>
      <w:pPr>
        <w:spacing w:after="0" w:line="211" w:lineRule="exact"/>
        <w:rPr>
          <w:sz w:val="20"/>
          <w:szCs w:val="20"/>
          <w:color w:val="auto"/>
        </w:rPr>
      </w:pPr>
    </w:p>
    <w:p>
      <w:pPr>
        <w:sectPr>
          <w:pgSz w:w="11900" w:h="16838" w:orient="portrait"/>
          <w:cols w:equalWidth="0" w:num="2">
            <w:col w:w="3860" w:space="720"/>
            <w:col w:w="6840"/>
          </w:cols>
          <w:pgMar w:left="240" w:top="125"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DOCUMENTS INCORPORATED BY REFERENCE:</w:t>
      </w:r>
    </w:p>
    <w:p>
      <w:pPr>
        <w:sectPr>
          <w:pgSz w:w="11900" w:h="16838" w:orient="portrait"/>
          <w:cols w:equalWidth="0" w:num="1">
            <w:col w:w="11420"/>
          </w:cols>
          <w:pgMar w:left="240" w:top="125" w:right="239" w:bottom="1440" w:gutter="0" w:footer="0" w:header="0"/>
          <w:type w:val="continuous"/>
        </w:sectPr>
      </w:pPr>
    </w:p>
    <w:p>
      <w:pPr>
        <w:spacing w:after="0" w:line="22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Portions of the 2011 Annual Report to Shareholders of Sempra Energy, San Diego Gas &amp; Electric Company and Southern California Gas Company are incorporated by reference into Parts I, II and IV.</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Sempra Energy Proxy Statement prepared for the May 2012 annual meeting of shareholders are incorporated by reference into Part III.</w:t>
      </w:r>
    </w:p>
    <w:p>
      <w:pPr>
        <w:spacing w:after="0" w:line="23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Portions of the San Diego Gas &amp; Electric Company and Southern California Gas Company Information Statements prepared for their June 2012 annual meetings of shareholders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5"/>
          <w:szCs w:val="25"/>
          <w:color w:val="auto"/>
        </w:rPr>
        <w:t>SEMPRA ENERGY FORM 10-K</w:t>
      </w:r>
    </w:p>
    <w:p>
      <w:pPr>
        <w:spacing w:after="0" w:line="236" w:lineRule="auto"/>
        <w:rPr>
          <w:sz w:val="20"/>
          <w:szCs w:val="20"/>
          <w:color w:val="auto"/>
        </w:rPr>
      </w:pPr>
      <w:r>
        <w:rPr>
          <w:rFonts w:ascii="Arial" w:cs="Arial" w:eastAsia="Arial" w:hAnsi="Arial"/>
          <w:sz w:val="25"/>
          <w:szCs w:val="25"/>
          <w:color w:val="auto"/>
        </w:rPr>
        <w:t>SAN DIEGO GAS &amp; ELECTRIC COMPANY FORM 10-K</w:t>
      </w:r>
    </w:p>
    <w:p>
      <w:pPr>
        <w:spacing w:after="0" w:line="237" w:lineRule="auto"/>
        <w:rPr>
          <w:sz w:val="20"/>
          <w:szCs w:val="20"/>
          <w:color w:val="auto"/>
        </w:rPr>
      </w:pPr>
      <w:r>
        <w:rPr>
          <w:rFonts w:ascii="Arial" w:cs="Arial" w:eastAsia="Arial" w:hAnsi="Arial"/>
          <w:sz w:val="25"/>
          <w:szCs w:val="25"/>
          <w:color w:val="auto"/>
        </w:rPr>
        <w:t>SOUTHERN CALIFORNIA GAS COMPANY FORM 10-K</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1760" w:type="dxa"/>
            <w:vAlign w:val="bottom"/>
            <w:tcBorders>
              <w:bottom w:val="single" w:sz="8" w:color="auto"/>
            </w:tcBorders>
          </w:tcPr>
          <w:p>
            <w:pPr>
              <w:ind w:left="68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188"/>
        </w:trPr>
        <w:tc>
          <w:tcPr>
            <w:tcW w:w="9660" w:type="dxa"/>
            <w:vAlign w:val="bottom"/>
            <w:gridSpan w:val="3"/>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8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Business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Description of Business</w:t>
            </w: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Company Websites</w:t>
            </w: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Government Regulation</w:t>
            </w: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California Natural Gas Utility Operations</w:t>
            </w:r>
          </w:p>
        </w:tc>
        <w:tc>
          <w:tcPr>
            <w:tcW w:w="1760" w:type="dxa"/>
            <w:vAlign w:val="bottom"/>
          </w:tcPr>
          <w:p>
            <w:pPr>
              <w:jc w:val="center"/>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Electric Utility Operations</w:t>
            </w:r>
          </w:p>
        </w:tc>
        <w:tc>
          <w:tcPr>
            <w:tcW w:w="1760" w:type="dxa"/>
            <w:vAlign w:val="bottom"/>
          </w:tcPr>
          <w:p>
            <w:pPr>
              <w:jc w:val="center"/>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Rates and Regulation – Utilities</w:t>
            </w:r>
          </w:p>
        </w:tc>
        <w:tc>
          <w:tcPr>
            <w:tcW w:w="1760" w:type="dxa"/>
            <w:vAlign w:val="bottom"/>
          </w:tcPr>
          <w:p>
            <w:pPr>
              <w:jc w:val="center"/>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Sempra Global</w:t>
            </w:r>
          </w:p>
        </w:tc>
        <w:tc>
          <w:tcPr>
            <w:tcW w:w="1760" w:type="dxa"/>
            <w:vAlign w:val="bottom"/>
          </w:tcPr>
          <w:p>
            <w:pPr>
              <w:jc w:val="center"/>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Environmental Matters</w:t>
            </w:r>
          </w:p>
        </w:tc>
        <w:tc>
          <w:tcPr>
            <w:tcW w:w="1760" w:type="dxa"/>
            <w:vAlign w:val="bottom"/>
          </w:tcPr>
          <w:p>
            <w:pPr>
              <w:jc w:val="center"/>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Executive Officers of the Registrants</w:t>
            </w:r>
          </w:p>
        </w:tc>
        <w:tc>
          <w:tcPr>
            <w:tcW w:w="1760" w:type="dxa"/>
            <w:vAlign w:val="bottom"/>
          </w:tcPr>
          <w:p>
            <w:pPr>
              <w:jc w:val="center"/>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tcPr>
          <w:p>
            <w:pPr>
              <w:ind w:left="820"/>
              <w:spacing w:after="0"/>
              <w:rPr>
                <w:sz w:val="20"/>
                <w:szCs w:val="20"/>
                <w:color w:val="auto"/>
              </w:rPr>
            </w:pPr>
            <w:r>
              <w:rPr>
                <w:rFonts w:ascii="Arial" w:cs="Arial" w:eastAsia="Arial" w:hAnsi="Arial"/>
                <w:sz w:val="16"/>
                <w:szCs w:val="16"/>
                <w:color w:val="auto"/>
              </w:rPr>
              <w:t>Other Matters</w:t>
            </w:r>
          </w:p>
        </w:tc>
        <w:tc>
          <w:tcPr>
            <w:tcW w:w="1760" w:type="dxa"/>
            <w:vAlign w:val="bottom"/>
          </w:tcPr>
          <w:p>
            <w:pPr>
              <w:jc w:val="center"/>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1A.</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Risk Factors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1B.</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Unresolved Staff Comments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2.</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Properties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3.</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Legal Proceedings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5"/>
        </w:trPr>
        <w:tc>
          <w:tcPr>
            <w:tcW w:w="110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560" w:type="dxa"/>
            <w:vAlign w:val="bottom"/>
          </w:tcPr>
          <w:p>
            <w:pPr>
              <w:ind w:left="500"/>
              <w:spacing w:after="0"/>
              <w:rPr>
                <w:sz w:val="20"/>
                <w:szCs w:val="20"/>
                <w:color w:val="auto"/>
              </w:rPr>
            </w:pPr>
            <w:r>
              <w:rPr>
                <w:rFonts w:ascii="Arial" w:cs="Arial" w:eastAsia="Arial" w:hAnsi="Arial"/>
                <w:sz w:val="16"/>
                <w:szCs w:val="16"/>
                <w:color w:val="auto"/>
              </w:rPr>
              <w:t>Mine Safety Disclosures</w:t>
            </w:r>
          </w:p>
        </w:tc>
        <w:tc>
          <w:tcPr>
            <w:tcW w:w="1760" w:type="dxa"/>
            <w:vAlign w:val="bottom"/>
          </w:tcPr>
          <w:p>
            <w:pPr>
              <w:jc w:val="center"/>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1100" w:type="dxa"/>
            <w:vAlign w:val="bottom"/>
            <w:tcBorders>
              <w:bottom w:val="single" w:sz="8" w:color="auto"/>
            </w:tcBorders>
            <w:gridSpan w:val="2"/>
          </w:tcPr>
          <w:p>
            <w:pPr>
              <w:spacing w:after="0"/>
              <w:rPr>
                <w:sz w:val="18"/>
                <w:szCs w:val="18"/>
                <w:color w:val="auto"/>
              </w:rPr>
            </w:pPr>
          </w:p>
        </w:tc>
        <w:tc>
          <w:tcPr>
            <w:tcW w:w="8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PART II</w:t>
            </w:r>
          </w:p>
        </w:tc>
        <w:tc>
          <w:tcPr>
            <w:tcW w:w="8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5.</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6.</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Selected Financial Data</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7.</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7A.</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Quantitative and Qualitative Disclosures About Market Risk</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8.</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Financial Statements and Supplementary Data</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9.</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9A.</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Controls and Procedures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5"/>
        </w:trPr>
        <w:tc>
          <w:tcPr>
            <w:tcW w:w="1100" w:type="dxa"/>
            <w:vAlign w:val="bottom"/>
            <w:gridSpan w:val="2"/>
          </w:tcPr>
          <w:p>
            <w:pPr>
              <w:spacing w:after="0"/>
              <w:rPr>
                <w:sz w:val="20"/>
                <w:szCs w:val="20"/>
                <w:color w:val="auto"/>
              </w:rPr>
            </w:pPr>
            <w:r>
              <w:rPr>
                <w:rFonts w:ascii="Arial" w:cs="Arial" w:eastAsia="Arial" w:hAnsi="Arial"/>
                <w:sz w:val="16"/>
                <w:szCs w:val="16"/>
                <w:color w:val="auto"/>
              </w:rPr>
              <w:t>Item 9B.</w:t>
            </w:r>
          </w:p>
        </w:tc>
        <w:tc>
          <w:tcPr>
            <w:tcW w:w="8560" w:type="dxa"/>
            <w:vAlign w:val="bottom"/>
          </w:tcPr>
          <w:p>
            <w:pPr>
              <w:ind w:left="500"/>
              <w:spacing w:after="0"/>
              <w:rPr>
                <w:sz w:val="20"/>
                <w:szCs w:val="20"/>
                <w:color w:val="auto"/>
              </w:rPr>
            </w:pPr>
            <w:r>
              <w:rPr>
                <w:rFonts w:ascii="Arial" w:cs="Arial" w:eastAsia="Arial" w:hAnsi="Arial"/>
                <w:sz w:val="16"/>
                <w:szCs w:val="16"/>
                <w:color w:val="auto"/>
              </w:rPr>
              <w:t>Other Information</w:t>
            </w:r>
          </w:p>
        </w:tc>
        <w:tc>
          <w:tcPr>
            <w:tcW w:w="1760" w:type="dxa"/>
            <w:vAlign w:val="bottom"/>
          </w:tcPr>
          <w:p>
            <w:pPr>
              <w:jc w:val="center"/>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9"/>
        </w:trPr>
        <w:tc>
          <w:tcPr>
            <w:tcW w:w="1100" w:type="dxa"/>
            <w:vAlign w:val="bottom"/>
            <w:tcBorders>
              <w:bottom w:val="single" w:sz="8" w:color="auto"/>
            </w:tcBorders>
            <w:gridSpan w:val="2"/>
          </w:tcPr>
          <w:p>
            <w:pPr>
              <w:spacing w:after="0"/>
              <w:rPr>
                <w:sz w:val="18"/>
                <w:szCs w:val="18"/>
                <w:color w:val="auto"/>
              </w:rPr>
            </w:pPr>
          </w:p>
        </w:tc>
        <w:tc>
          <w:tcPr>
            <w:tcW w:w="8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PART III</w:t>
            </w:r>
          </w:p>
        </w:tc>
        <w:tc>
          <w:tcPr>
            <w:tcW w:w="8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10.</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Directors, Executive Officers and Corporate Governance</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11.</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Executive Compensation</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12.</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color w:val="auto"/>
              </w:rPr>
              <w:t>Item 13.</w:t>
            </w:r>
          </w:p>
        </w:tc>
        <w:tc>
          <w:tcPr>
            <w:tcW w:w="8560" w:type="dxa"/>
            <w:vAlign w:val="bottom"/>
          </w:tcPr>
          <w:p>
            <w:pPr>
              <w:ind w:left="500"/>
              <w:spacing w:after="0" w:line="176" w:lineRule="exact"/>
              <w:rPr>
                <w:sz w:val="20"/>
                <w:szCs w:val="20"/>
                <w:color w:val="auto"/>
              </w:rPr>
            </w:pPr>
            <w:r>
              <w:rPr>
                <w:rFonts w:ascii="Arial" w:cs="Arial" w:eastAsia="Arial" w:hAnsi="Arial"/>
                <w:sz w:val="16"/>
                <w:szCs w:val="16"/>
                <w:color w:val="auto"/>
              </w:rPr>
              <w:t>Certain Relationships and Related Transactions, and Director Independence</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5"/>
        </w:trPr>
        <w:tc>
          <w:tcPr>
            <w:tcW w:w="1100" w:type="dxa"/>
            <w:vAlign w:val="bottom"/>
            <w:gridSpan w:val="2"/>
          </w:tcPr>
          <w:p>
            <w:pPr>
              <w:spacing w:after="0"/>
              <w:rPr>
                <w:sz w:val="20"/>
                <w:szCs w:val="20"/>
                <w:color w:val="auto"/>
              </w:rPr>
            </w:pPr>
            <w:r>
              <w:rPr>
                <w:rFonts w:ascii="Arial" w:cs="Arial" w:eastAsia="Arial" w:hAnsi="Arial"/>
                <w:sz w:val="16"/>
                <w:szCs w:val="16"/>
                <w:color w:val="auto"/>
              </w:rPr>
              <w:t>Item 14.</w:t>
            </w:r>
          </w:p>
        </w:tc>
        <w:tc>
          <w:tcPr>
            <w:tcW w:w="8560" w:type="dxa"/>
            <w:vAlign w:val="bottom"/>
          </w:tcPr>
          <w:p>
            <w:pPr>
              <w:ind w:left="500"/>
              <w:spacing w:after="0"/>
              <w:rPr>
                <w:sz w:val="20"/>
                <w:szCs w:val="20"/>
                <w:color w:val="auto"/>
              </w:rPr>
            </w:pPr>
            <w:r>
              <w:rPr>
                <w:rFonts w:ascii="Arial" w:cs="Arial" w:eastAsia="Arial" w:hAnsi="Arial"/>
                <w:sz w:val="16"/>
                <w:szCs w:val="16"/>
                <w:color w:val="auto"/>
              </w:rPr>
              <w:t>Principal Accountant Fees and Services</w:t>
            </w:r>
          </w:p>
        </w:tc>
        <w:tc>
          <w:tcPr>
            <w:tcW w:w="1760" w:type="dxa"/>
            <w:vAlign w:val="bottom"/>
          </w:tcPr>
          <w:p>
            <w:pPr>
              <w:jc w:val="center"/>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10-K</w:t>
      </w:r>
    </w:p>
    <w:p>
      <w:pPr>
        <w:spacing w:after="0" w:line="236" w:lineRule="auto"/>
        <w:rPr>
          <w:sz w:val="20"/>
          <w:szCs w:val="20"/>
          <w:color w:val="auto"/>
        </w:rPr>
      </w:pPr>
      <w:r>
        <w:rPr>
          <w:rFonts w:ascii="Arial" w:cs="Arial" w:eastAsia="Arial" w:hAnsi="Arial"/>
          <w:sz w:val="25"/>
          <w:szCs w:val="25"/>
          <w:color w:val="auto"/>
        </w:rPr>
        <w:t>SAN DIEGO GAS &amp; ELECTRIC COMPANY FORM 10-K</w:t>
      </w:r>
    </w:p>
    <w:p>
      <w:pPr>
        <w:spacing w:after="0" w:line="237" w:lineRule="auto"/>
        <w:rPr>
          <w:sz w:val="20"/>
          <w:szCs w:val="20"/>
          <w:color w:val="auto"/>
        </w:rPr>
      </w:pPr>
      <w:r>
        <w:rPr>
          <w:rFonts w:ascii="Arial" w:cs="Arial" w:eastAsia="Arial" w:hAnsi="Arial"/>
          <w:sz w:val="25"/>
          <w:szCs w:val="25"/>
          <w:color w:val="auto"/>
        </w:rPr>
        <w:t>SOUTHERN CALIFORNIA GAS COMPANY FORM 10-K</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60" w:type="dxa"/>
            <w:vAlign w:val="bottom"/>
            <w:vMerge w:val="restart"/>
          </w:tcPr>
          <w:p>
            <w:pPr>
              <w:spacing w:after="0"/>
              <w:rPr>
                <w:sz w:val="20"/>
                <w:szCs w:val="20"/>
                <w:color w:val="auto"/>
              </w:rPr>
            </w:pPr>
            <w:r>
              <w:rPr>
                <w:rFonts w:ascii="Arial" w:cs="Arial" w:eastAsia="Arial" w:hAnsi="Arial"/>
                <w:sz w:val="16"/>
                <w:szCs w:val="16"/>
                <w:b w:val="1"/>
                <w:bCs w:val="1"/>
                <w:color w:val="auto"/>
              </w:rPr>
              <w:t>PART IV</w:t>
            </w:r>
          </w:p>
        </w:tc>
        <w:tc>
          <w:tcPr>
            <w:tcW w:w="7500" w:type="dxa"/>
            <w:vAlign w:val="bottom"/>
          </w:tcPr>
          <w:p>
            <w:pPr>
              <w:spacing w:after="0"/>
              <w:rPr>
                <w:sz w:val="18"/>
                <w:szCs w:val="18"/>
                <w:color w:val="auto"/>
              </w:rPr>
            </w:pPr>
          </w:p>
        </w:tc>
        <w:tc>
          <w:tcPr>
            <w:tcW w:w="2660" w:type="dxa"/>
            <w:vAlign w:val="bottom"/>
          </w:tcPr>
          <w:p>
            <w:pPr>
              <w:jc w:val="center"/>
              <w:ind w:left="639"/>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176"/>
        </w:trPr>
        <w:tc>
          <w:tcPr>
            <w:tcW w:w="1260" w:type="dxa"/>
            <w:vAlign w:val="bottom"/>
            <w:vMerge w:val="continue"/>
          </w:tcPr>
          <w:p>
            <w:pPr>
              <w:spacing w:after="0"/>
              <w:rPr>
                <w:sz w:val="15"/>
                <w:szCs w:val="15"/>
                <w:color w:val="auto"/>
              </w:rPr>
            </w:pPr>
          </w:p>
        </w:tc>
        <w:tc>
          <w:tcPr>
            <w:tcW w:w="75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6"/>
                <w:szCs w:val="16"/>
                <w:color w:val="auto"/>
              </w:rPr>
              <w:t>Item 15.</w:t>
            </w:r>
          </w:p>
        </w:tc>
        <w:tc>
          <w:tcPr>
            <w:tcW w:w="7500" w:type="dxa"/>
            <w:vAlign w:val="bottom"/>
          </w:tcPr>
          <w:p>
            <w:pPr>
              <w:ind w:left="340"/>
              <w:spacing w:after="0"/>
              <w:rPr>
                <w:sz w:val="20"/>
                <w:szCs w:val="20"/>
                <w:color w:val="auto"/>
              </w:rPr>
            </w:pPr>
            <w:r>
              <w:rPr>
                <w:rFonts w:ascii="Arial" w:cs="Arial" w:eastAsia="Arial" w:hAnsi="Arial"/>
                <w:sz w:val="16"/>
                <w:szCs w:val="16"/>
                <w:color w:val="auto"/>
              </w:rPr>
              <w:t>Exhibits and Financial Statement Schedules</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73"/>
        </w:trPr>
        <w:tc>
          <w:tcPr>
            <w:tcW w:w="8760" w:type="dxa"/>
            <w:vAlign w:val="bottom"/>
            <w:gridSpan w:val="2"/>
          </w:tcPr>
          <w:p>
            <w:pPr>
              <w:spacing w:after="0"/>
              <w:rPr>
                <w:sz w:val="20"/>
                <w:szCs w:val="20"/>
                <w:color w:val="auto"/>
              </w:rPr>
            </w:pPr>
            <w:r>
              <w:rPr>
                <w:rFonts w:ascii="Arial" w:cs="Arial" w:eastAsia="Arial" w:hAnsi="Arial"/>
                <w:sz w:val="16"/>
                <w:szCs w:val="16"/>
                <w:color w:val="auto"/>
              </w:rPr>
              <w:t>Sempra Energy: Consent of Independent Registered Public Accounting Firm and Report on Schedule</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6"/>
        </w:trPr>
        <w:tc>
          <w:tcPr>
            <w:tcW w:w="8760" w:type="dxa"/>
            <w:vAlign w:val="bottom"/>
            <w:gridSpan w:val="2"/>
          </w:tcPr>
          <w:p>
            <w:pPr>
              <w:spacing w:after="0" w:line="176" w:lineRule="exact"/>
              <w:rPr>
                <w:sz w:val="20"/>
                <w:szCs w:val="20"/>
                <w:color w:val="auto"/>
              </w:rPr>
            </w:pPr>
            <w:r>
              <w:rPr>
                <w:rFonts w:ascii="Arial" w:cs="Arial" w:eastAsia="Arial" w:hAnsi="Arial"/>
                <w:sz w:val="16"/>
                <w:szCs w:val="16"/>
                <w:color w:val="auto"/>
              </w:rPr>
              <w:t>San Diego Gas &amp; Electric Company: Consent of Independent Registered Public Accounting Firm</w:t>
            </w:r>
          </w:p>
        </w:tc>
        <w:tc>
          <w:tcPr>
            <w:tcW w:w="2660" w:type="dxa"/>
            <w:vAlign w:val="bottom"/>
          </w:tcPr>
          <w:p>
            <w:pPr>
              <w:jc w:val="center"/>
              <w:ind w:left="639"/>
              <w:spacing w:after="0" w:line="176"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5"/>
        </w:trPr>
        <w:tc>
          <w:tcPr>
            <w:tcW w:w="8760" w:type="dxa"/>
            <w:vAlign w:val="bottom"/>
            <w:gridSpan w:val="2"/>
          </w:tcPr>
          <w:p>
            <w:pPr>
              <w:spacing w:after="0"/>
              <w:rPr>
                <w:sz w:val="20"/>
                <w:szCs w:val="20"/>
                <w:color w:val="auto"/>
              </w:rPr>
            </w:pPr>
            <w:r>
              <w:rPr>
                <w:rFonts w:ascii="Arial" w:cs="Arial" w:eastAsia="Arial" w:hAnsi="Arial"/>
                <w:sz w:val="16"/>
                <w:szCs w:val="16"/>
                <w:color w:val="auto"/>
              </w:rPr>
              <w:t>Southern California Gas Company: Consent of Independent Registered Public Accounting Firm</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92"/>
        </w:trPr>
        <w:tc>
          <w:tcPr>
            <w:tcW w:w="8760" w:type="dxa"/>
            <w:vAlign w:val="bottom"/>
            <w:gridSpan w:val="2"/>
          </w:tcPr>
          <w:p>
            <w:pPr>
              <w:spacing w:after="0"/>
              <w:rPr>
                <w:sz w:val="20"/>
                <w:szCs w:val="20"/>
                <w:color w:val="auto"/>
              </w:rPr>
            </w:pPr>
            <w:r>
              <w:rPr>
                <w:rFonts w:ascii="Arial" w:cs="Arial" w:eastAsia="Arial" w:hAnsi="Arial"/>
                <w:sz w:val="16"/>
                <w:szCs w:val="16"/>
                <w:color w:val="auto"/>
              </w:rPr>
              <w:t>Schedule I – Sempra Energy Condensed Financial Information of Parent</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413"/>
        </w:trPr>
        <w:tc>
          <w:tcPr>
            <w:tcW w:w="1260" w:type="dxa"/>
            <w:vAlign w:val="bottom"/>
          </w:tcPr>
          <w:p>
            <w:pPr>
              <w:spacing w:after="0"/>
              <w:rPr>
                <w:sz w:val="20"/>
                <w:szCs w:val="20"/>
                <w:color w:val="auto"/>
              </w:rPr>
            </w:pPr>
            <w:r>
              <w:rPr>
                <w:rFonts w:ascii="Arial" w:cs="Arial" w:eastAsia="Arial" w:hAnsi="Arial"/>
                <w:sz w:val="16"/>
                <w:szCs w:val="16"/>
                <w:color w:val="auto"/>
              </w:rPr>
              <w:t>Signatures</w:t>
            </w:r>
          </w:p>
        </w:tc>
        <w:tc>
          <w:tcPr>
            <w:tcW w:w="7500" w:type="dxa"/>
            <w:vAlign w:val="bottom"/>
          </w:tcPr>
          <w:p>
            <w:pPr>
              <w:spacing w:after="0"/>
              <w:rPr>
                <w:sz w:val="24"/>
                <w:szCs w:val="24"/>
                <w:color w:val="auto"/>
              </w:rPr>
            </w:pP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76"/>
        </w:trPr>
        <w:tc>
          <w:tcPr>
            <w:tcW w:w="1260" w:type="dxa"/>
            <w:vAlign w:val="bottom"/>
          </w:tcPr>
          <w:p>
            <w:pPr>
              <w:spacing w:after="0" w:line="176" w:lineRule="exact"/>
              <w:rPr>
                <w:sz w:val="20"/>
                <w:szCs w:val="20"/>
                <w:color w:val="auto"/>
              </w:rPr>
            </w:pPr>
            <w:r>
              <w:rPr>
                <w:rFonts w:ascii="Arial" w:cs="Arial" w:eastAsia="Arial" w:hAnsi="Arial"/>
                <w:sz w:val="16"/>
                <w:szCs w:val="16"/>
                <w:color w:val="auto"/>
              </w:rPr>
              <w:t>Exhibit Index</w:t>
            </w:r>
          </w:p>
        </w:tc>
        <w:tc>
          <w:tcPr>
            <w:tcW w:w="7500" w:type="dxa"/>
            <w:vAlign w:val="bottom"/>
          </w:tcPr>
          <w:p>
            <w:pPr>
              <w:spacing w:after="0"/>
              <w:rPr>
                <w:sz w:val="15"/>
                <w:szCs w:val="15"/>
                <w:color w:val="auto"/>
              </w:rPr>
            </w:pPr>
          </w:p>
        </w:tc>
        <w:tc>
          <w:tcPr>
            <w:tcW w:w="2660" w:type="dxa"/>
            <w:vAlign w:val="bottom"/>
          </w:tcPr>
          <w:p>
            <w:pPr>
              <w:jc w:val="center"/>
              <w:ind w:left="639"/>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5"/>
        </w:trPr>
        <w:tc>
          <w:tcPr>
            <w:tcW w:w="1260" w:type="dxa"/>
            <w:vAlign w:val="bottom"/>
          </w:tcPr>
          <w:p>
            <w:pPr>
              <w:spacing w:after="0"/>
              <w:rPr>
                <w:sz w:val="20"/>
                <w:szCs w:val="20"/>
                <w:color w:val="auto"/>
              </w:rPr>
            </w:pPr>
            <w:r>
              <w:rPr>
                <w:rFonts w:ascii="Arial" w:cs="Arial" w:eastAsia="Arial" w:hAnsi="Arial"/>
                <w:sz w:val="16"/>
                <w:szCs w:val="16"/>
                <w:color w:val="auto"/>
              </w:rPr>
              <w:t>Glossary</w:t>
            </w:r>
          </w:p>
        </w:tc>
        <w:tc>
          <w:tcPr>
            <w:tcW w:w="7500" w:type="dxa"/>
            <w:vAlign w:val="bottom"/>
          </w:tcPr>
          <w:p>
            <w:pPr>
              <w:spacing w:after="0"/>
              <w:rPr>
                <w:sz w:val="16"/>
                <w:szCs w:val="16"/>
                <w:color w:val="auto"/>
              </w:rPr>
            </w:pP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b w:val="1"/>
          <w:bCs w:val="1"/>
          <w:color w:val="auto"/>
        </w:rPr>
        <w:t>This combined Form 10-K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b w:val="1"/>
          <w:bCs w:val="1"/>
          <w:color w:val="auto"/>
        </w:rPr>
        <w:t>You should read this report in its entirety as it pertains to each respective reporting company. No one section of the report deals with all aspects of the subject matter. Separate Item 6 and 8 sections are provided for each reporting company, except for the Notes to Consolidated Financial Statements in Item 8. The Notes to Consolidated Financial Statements for all of the reporting companies are combined. All Items other than 6 and 8 are combined for the reporting companies.</w:t>
      </w:r>
    </w:p>
    <w:p>
      <w:pPr>
        <w:sectPr>
          <w:pgSz w:w="11900" w:h="16838" w:orient="portrait"/>
          <w:cols w:equalWidth="0" w:num="1">
            <w:col w:w="11420"/>
          </w:cols>
          <w:pgMar w:left="240" w:top="529" w:right="239" w:bottom="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774700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INFORMATION REGARDING FORWARD-LOOKING STATEMENTS</w:t>
      </w:r>
    </w:p>
    <w:p>
      <w:pPr>
        <w:spacing w:after="0" w:line="19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54"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“contemplates,” “intends,” “depends,” “should,” “could,” “would,” “will,” “may,” “potential,” “target,” “goals,” or similar expressions, or when we discuss our guidance, strategy, plans or intentions, we are making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8" w:lineRule="exact"/>
        <w:rPr>
          <w:sz w:val="20"/>
          <w:szCs w:val="20"/>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by the California Public Utilities Commission, California State Legislature, Federal Energy Regulatory Commission,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benchmark interest rates, generally U.S. Treasury bond and Moody’s A-rated utility bond yields, on our Sempra Utilities’ cost of capital;</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and equipment failures;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nuclear power generation and radioactive materials storage, including the catastrophic release of such materials;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status of deregulation of retail natural gas and electricity delivery;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ectPr>
          <w:pgSz w:w="11900" w:h="16838" w:orient="portrait"/>
          <w:cols w:equalWidth="0" w:num="1">
            <w:col w:w="11420"/>
          </w:cols>
          <w:pgMar w:left="240" w:top="1338" w:right="239" w:bottom="1440" w:gutter="0" w:footer="0" w:header="0"/>
        </w:sectPr>
      </w:pPr>
    </w:p>
    <w:bookmarkStart w:id="4" w:name="page5"/>
    <w:bookmarkEnd w:id="4"/>
    <w:p>
      <w:pPr>
        <w:spacing w:after="0"/>
        <w:rPr>
          <w:sz w:val="20"/>
          <w:szCs w:val="20"/>
          <w:color w:val="auto"/>
        </w:rPr>
      </w:pPr>
      <w:r>
        <w:rPr>
          <w:rFonts w:ascii="Arial" w:cs="Arial" w:eastAsia="Arial" w:hAnsi="Arial"/>
          <w:sz w:val="23"/>
          <w:szCs w:val="23"/>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ITEM 1. BUSINESS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3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provide a description of Sempra Energy and its subsidiaries in “Management’s Discussion and Analysis of Financial Condition and Results of Operations” in the 2011 Annual Report to Shareholders (Annual Report), which is attached as Exhibit 13.1 to this report and is incorporated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25" w:lineRule="exact"/>
        <w:rPr>
          <w:sz w:val="20"/>
          <w:szCs w:val="20"/>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San Diego Gas &amp; Electric Company (SDG&amp;E)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Southern California Gas Company (SoCalGas)</w:t>
      </w:r>
    </w:p>
    <w:p>
      <w:pPr>
        <w:spacing w:after="0" w:line="25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References in this report to “we,” “our,” “us,” “our company” and “Sempra Energy Consolidated” are to Sempra Energy and its consolidated entities, collectively, unless otherwise indicated by the context. SDG&amp;E and SoCalGas are collectively referred to as the Sempra Utilities. They are subsidiaries of Sempra Energy, and Sempra Energy indirectly owns all of the common stock and substantially all of the voting stock of each of the two companies.</w:t>
      </w:r>
    </w:p>
    <w:p>
      <w:pPr>
        <w:spacing w:after="0" w:line="14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Through December 31, 2011, Sempra Energy’s business was organized in five separately managed reportable segments consisting of SDG&amp;E, SoCalGas, Sempra Generation, Sempra Pipelines &amp; Storage and Sempra LNG (liquefied natural gas). Our disclosures and financial information in this Form 10-K and Annual Report reflect these five segments. Sempra Generation, Sempra Pipelines &amp; Storage and Sempra LNG are subsidiaries of Sempra Global. Sempra Global is a holding company for most of our subsidiaries that are not subject to California utility regulation. Sempra Pipelines &amp; Storage also owns utilities which are not included in our references to the Sempra Utilities. We provide financial information about each of these segments and about the geographic areas in which we do business in “Management’s Discussion and Analysis of Financial Condition and Results of Operations” and in Note 16 of the Notes to Consolidated Financial Statements in the Annual Report.</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references in this report to “Sempra Generation,” “Sempra Pipelines &amp; Storage” and “Sempra LNG,” are to the respective principal business units of Sempra Global and are not intended to refer to any legal entity with the same or similar name.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Effective January 1, 2012, in connection with several key executive appointments made in September 2011, management realigned some of the company’s major subsidiaries to better fit its strategic direction and to enhance the management and integration of our assets. This realignment will result in a change in reportable segments in 2012, primarily to regroup the Sempra Global business units under two new operating units, Sempra U.S. Gas &amp; Power and Sempra International. These operating units will include the following reportable segments: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U.S. Gas &amp; Power</w:t>
      </w:r>
    </w:p>
    <w:p>
      <w:pPr>
        <w:spacing w:after="0" w:line="205" w:lineRule="exact"/>
        <w:rPr>
          <w:sz w:val="20"/>
          <w:szCs w:val="20"/>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Sempra Natural 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Sempra Renewables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International</w:t>
      </w:r>
    </w:p>
    <w:p>
      <w:pPr>
        <w:spacing w:after="0" w:line="205" w:lineRule="exact"/>
        <w:rPr>
          <w:sz w:val="20"/>
          <w:szCs w:val="20"/>
          <w:color w:val="auto"/>
        </w:rPr>
      </w:pPr>
    </w:p>
    <w:p>
      <w:pPr>
        <w:ind w:left="340" w:hanging="18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Sempra Mexico</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Sempra South American Utilities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SDG&amp;E and SoCalGas will continue to be separate reportable segments.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 LLP</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The Royal Bank of Scotland plc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 4 of the Notes to Consolidated Financial Statements in the Annual Report.</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activity in the partnership no longer meets the quantitative thresholds that require Sempra Commodities to be reported as a reportable segment under applicable accounting rules, and we do not consider the remaining wind-down activities of the partnership to be of continuing significance. As a result, effective January 1, 2011, we are reporting the former Sempra Commodities segment in Parent and Other, and have restated prior year information to be consistent with this treatment.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Company website addresses are:</w:t>
      </w:r>
    </w:p>
    <w:p>
      <w:pPr>
        <w:sectPr>
          <w:pgSz w:w="11900" w:h="16838" w:orient="portrait"/>
          <w:cols w:equalWidth="0" w:num="1">
            <w:col w:w="11340"/>
          </w:cols>
          <w:pgMar w:left="240" w:top="535" w:right="319" w:bottom="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Sempra Energy – http://www.sempra.com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SDG&amp;E – http://www.sdge.com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SoCalGas – http://www.socalgas.com</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make available free of charge on our website our annual report on Form 10-K, quarterly reports on Form 10-Q, current reports on Form 8-K, and any amendments to those reports as soon as reasonably practicable after such material is electronically filed with or furnished to the Securities and Exchange Commission (SEC). The charters of the audit, compensation and corporate governance committees of Sempra Energy’s board of directors (the board), the board’s corporate governance guidelines, and Sempra Energy’s code of business conduct and ethics for directors and officers are posted on Sempra Energy’s website.</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SDG&amp;E and SoCalGas make available free of charge via a hyperlink on their websites their annual reports on Form 10-K, quarterly reports on Form 10-Q, current reports on Form 8-K, and any amendments to those reports as soon as reasonably practicable after such material is electronically filed with or furnished to the SEC.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Printed copies of all of these materials may be obtained by writing to our Corporate Secretary at Sempra Energy, 101 Ash Street, San Diego, CA 92101-3017.</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on the websites of Sempra Energy, SDG&amp;E and SoCalGas is not part of this report or any other report that we file with or furnish to the SEC, and is not incorporated herein by reference.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government regulation affecting Sempra Energy is the regulation of the Sempra Utilities.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Utility Regulation</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Sempra Utilities are regulated in California by the California Public Utilities Commission (CPUC), the California Energy Commission (CEC) and the California Air Resources Board (CARB).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Public Utilities Commission:</w:t>
      </w:r>
    </w:p>
    <w:p>
      <w:pPr>
        <w:spacing w:after="0" w:line="225" w:lineRule="exact"/>
        <w:rPr>
          <w:sz w:val="20"/>
          <w:szCs w:val="20"/>
          <w:color w:val="auto"/>
        </w:rPr>
      </w:pPr>
    </w:p>
    <w:p>
      <w:pPr>
        <w:ind w:left="340" w:hanging="18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five commissioners appointed by the Governor of California for staggered, six-year terms.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regulates SDG&amp;E’s and SoCalGas’ rates and conditions of service, sales of securities, rates of return, capital structure, rates of depreciation, and long-term resource procurement, except as described below in “United States Utility Regulation.”</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jurisdiction over the proposed construction of major new electric transmission, electric distribution, and natural gas storage, transmission and distribution facilities in California.</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conducts reviews and audits of utility performance and compliance with regulatory guidelines, and conducts investigations into various matters, such as deregulation, competition and the environment, to determine its future policies.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regulates the interactions and transactions of the Sempra Utilities with Sempra Energy and its other affiliates.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further discussion in Note 14 of the Notes to Consolidated Financial Statements in the Annual Report.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SDG&amp;E is also subject to regulation by the CEC, which publishes electric demand forecasts for the state and for specific service territories. Based upon these forecasts, the CEC:</w:t>
      </w:r>
    </w:p>
    <w:p>
      <w:pPr>
        <w:spacing w:after="0" w:line="170" w:lineRule="exact"/>
        <w:rPr>
          <w:sz w:val="20"/>
          <w:szCs w:val="20"/>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determines the need for additional energy sources and conservation programs;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sponsors alternative-energy research and development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promotes energy conservation programs;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maintains a statewide plan of action in case of energy shortages;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certifies power-plant sites and related facilities within California.</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CEC conducts a 20-year forecast of available supplies and prices for every market sector that consumes natural gas in California. This forecast includes resource evaluation, pipeline capacity needs, natural gas demand and wellhead prices, and costs of transportation and distribution. This analysis is one of many resource materials used to support the Sempra Utilities’ long-term investment decisions.</w:t>
      </w:r>
    </w:p>
    <w:p>
      <w:pPr>
        <w:spacing w:after="0" w:line="18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2010, the State of California required certain California electric retail sellers, including SDG&amp;E, to deliver 20 percent of their retail energy sales from renewable energy sources. The rules governing this requirement, administered by both the CPUC and the CEC, are generally known as the Renewables Portfolio Standard (RPS) Program. In December 2011, California Senate Bill 2(1X) (33% RPS Program) went into effect, superseding the previous RPS program. The 33% RPS Program requires each California utility to procure 33 percent of its annual electric energy requirements from renewable energy sources by 2020, with an average 20 percent required over the three-year period January 1, 2011 through December 31, 2013; 25 percent by December 31, 2016; and 33 percent by December 31, 2020. We discuss this requirement as it applies to SDG&amp;E in Note 14 of the Notes to Consolidated Financial Statements in the Annual Report.</w:t>
      </w:r>
    </w:p>
    <w:p>
      <w:pPr>
        <w:sectPr>
          <w:pgSz w:w="11900" w:h="16838" w:orient="portrait"/>
          <w:cols w:equalWidth="0" w:num="1">
            <w:col w:w="11420"/>
          </w:cols>
          <w:pgMar w:left="240" w:top="341" w:right="239" w:bottom="0" w:gutter="0" w:footer="0" w:header="0"/>
        </w:sectPr>
      </w:pPr>
    </w:p>
    <w:bookmarkStart w:id="6" w:name="page7"/>
    <w:bookmarkEnd w:id="6"/>
    <w:p>
      <w:pPr>
        <w:ind w:right="100"/>
        <w:spacing w:after="0" w:line="257" w:lineRule="auto"/>
        <w:rPr>
          <w:sz w:val="20"/>
          <w:szCs w:val="20"/>
          <w:color w:val="auto"/>
        </w:rPr>
      </w:pPr>
      <w:r>
        <w:rPr>
          <w:rFonts w:ascii="Arial" w:cs="Arial" w:eastAsia="Arial" w:hAnsi="Arial"/>
          <w:sz w:val="18"/>
          <w:szCs w:val="18"/>
          <w:color w:val="auto"/>
        </w:rPr>
        <w:t>Certification of a generation project by the CEC as an Eligible Renewable Energy Resource (ERR) allows the purchase of output from such generation facility to be counted towards fulfillment of the RPS Program requirements, if such purchase meets the provisions of California Senate Bill 2(1X). This may affect the demand for output from renewables projects developed by Sempra Generation, particularly from California utilities. Final certification as an ERR for Sempra Generation’s El Dorado Solar generation facility was approved in June 2009 and for its Copper Mountain Solar 1 facility in Nevada in February 2011.</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California Assembly Bill 32, the California Global Warming Solutions Act of 2006, assigns responsibility to CARB for monitoring and establishing policies for reducing greenhouse gas (GHG) emissions. The bill requires CARB to develop and adopt a comprehensive plan for achieving real, quantifiable and cost-effective GHG emission reductions, including a statewide GHG emissions cap, mandatory reporting rules, and regulatory and market mechanisms to achieve reductions of GHG emissions. CARB is a department within the California Environmental Protection Agency, an organization which reports directly to the Governor’s Office in the Executive Branch of California State Government. We provide further discussion in Note 14 of the Notes to Consolidated Financial Statements in the Annual Report.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States Utility Regulation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Sempra Utilities are also regulated by the Federal Energy Regulatory Commission (FERC) and the Nuclear Regulatory Commission (NRC).</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case of SDG&amp;E, the FERC regulates the interstate sale and transportation of natural gas, the transmission and wholesale sales of electricity in interstate commerce, transmission access, rates of return on transmission investment, the uniform systems of accounts, rates of depreciation and electric rates involving sales for resale.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SoCalGas, the FERC regulates the interstate sale and transportation of natural gas and the uniform systems of accounts.</w:t>
      </w:r>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NRC oversees the licensing, construction and operation of nuclear facilities in the United States, including the San Onofre Nuclear Generating Station (SONGS), in which SDG&amp;E owns a 20-percent interest. NRC regulations require extensive review of the safety, radiological and environmental aspects of these facilities. Periodically, the NRC requires that newly developed data and techniques be used to reanalyze the design of a nuclear power plant and, as a result, may require plant modifications as a condition of continued operation.</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Department of Transportation (DOT) has established regulations regarding engineering standards and operating procedures applicable for the Sempra Utilities’ natural gas transmission and distribution pipelines. The DOT has certified the CPUC to administer oversight and compliance with these regulations for the entities they regulate in California.</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State and Local Regulation Within the U.S.</w:t>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SoCalGas has natural gas franchises with the 12 counties and 233 cities in its service territory. These franchises allow SoCalGas to locate, operate and maintain facilities for the transmission and distribution of natural gas. Most of the franchises have indefinite lives with no expiration date. Some franchises have fixed expiration dates, ranging from 2012 to 2048.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SDG&amp;E has</w:t>
      </w:r>
    </w:p>
    <w:p>
      <w:pPr>
        <w:spacing w:after="0" w:line="225" w:lineRule="exact"/>
        <w:rPr>
          <w:sz w:val="20"/>
          <w:szCs w:val="20"/>
          <w:color w:val="auto"/>
        </w:rPr>
      </w:pPr>
    </w:p>
    <w:p>
      <w:pPr>
        <w:ind w:left="340" w:hanging="188"/>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electric franchises with the two counties and the 26 cities in its electric service territory;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natural gas franchises with the one county and the 18 cities in its natural gas service territory.</w:t>
      </w:r>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These franchises allow SDG&amp;E to locate, operate and maintain facilities for the transmission and distribution of electricity and/or natural gas. Most of the franchises have indefinite lives with no expiration dates. Some natural gas franchises have fixed expiration dates, ranging from 2012 to 2035, and some electric franchises have fixed expiration dates that range from 2012 to 2018.</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Sempra Generation, Sempra Pipelines &amp; Storage and Sempra LNG have operations or development projects in Alabama, Arizona, California, Colorado, Hawaii, Indiana, Kansas, Louisiana, Mississippi, Nevada, Pennsylvania and Texas. These entities are subject to state and local laws, and to regulations in the states in which they operate.</w:t>
      </w:r>
    </w:p>
    <w:p>
      <w:pPr>
        <w:spacing w:after="0" w:line="18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Sempra Pipelines &amp; Storage operates Mobile Gas Service Corporation (Mobile Gas), a natural gas distribution utility serving southwest Alabama that is regulated by the Alabama Public Service Commission. Sempra Pipelines &amp; Storage also develops and operates natural gas storage facilities in Alabama, Louisiana and Mississippi and is subject to regulation in the states in which the storage facilities are located.</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U.S. Regulation</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United States, the FERC, with ratemaking authority over wholesale sales of power and the transportation and storage of natural gas in interstate commerce, and siting and permitting authority for LNG terminals, regulates Sempra Generation’s, Sempra Pipelines &amp; Storage’s and Sempra LNG’s operations. Sempra Pipelines &amp; Storage also owns an interest in the Rockies Express Pipeline, a natural gas pipeline which operates in several states in the United States and is subject to regulation by the FERC.</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FERC may regulate rates and terms of service based on a cost-of-service approach or, in geographic and product markets determined by the FERC to be sufficiently competitive, rates may be market-based. Our LNG terminal in the United States is subject to market-based rates and terms of service. FERC-regulated rates at the following businesses are</w:t>
      </w:r>
    </w:p>
    <w:p>
      <w:pPr>
        <w:spacing w:after="0" w:line="181" w:lineRule="exact"/>
        <w:rPr>
          <w:sz w:val="20"/>
          <w:szCs w:val="20"/>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Generation: market-based for wholesale electricity sales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Pipelines &amp; Storage: cost-based and market-based for the transportation and storage of natural gas, respectively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LNG: market-based for the receipt, storage, vaporization and liquefaction of LNG and the purchase and sale of natural gas</w:t>
      </w:r>
    </w:p>
    <w:p>
      <w:pPr>
        <w:sectPr>
          <w:pgSz w:w="11900" w:h="16838" w:orient="portrait"/>
          <w:cols w:equalWidth="0" w:num="1">
            <w:col w:w="11380"/>
          </w:cols>
          <w:pgMar w:left="240" w:top="125" w:right="27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Sempra Pipelines &amp; Storage is also subject to DOT rules and regulations regarding pipeline safety.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Regulation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Several of our segments operate in Mexico as follows:</w:t>
      </w:r>
    </w:p>
    <w:p>
      <w:pPr>
        <w:spacing w:after="0" w:line="225" w:lineRule="exact"/>
        <w:rPr>
          <w:sz w:val="20"/>
          <w:szCs w:val="20"/>
          <w:color w:val="auto"/>
        </w:rPr>
      </w:pPr>
    </w:p>
    <w:p>
      <w:pPr>
        <w:ind w:left="340" w:hanging="188"/>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Sempra Generation owns and operates a natural gas-fired power plant in Baja California, Mexico</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Sempra Pipelines &amp; Storage’s Mexican utilities build and operate natural gas distribution systems in Mexicali, Chihuahua, and the La Laguna-Durango zone in north-central Mexico</w:t>
      </w:r>
    </w:p>
    <w:p>
      <w:pPr>
        <w:spacing w:after="0" w:line="197"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Sempra Pipelines &amp; Storage owns and operates natural gas pipelines between the U.S. border and Baja California, Mexico and Sonora, Mexico. Sempra Pipelines &amp; Storage also owns a 50-percent interest in a joint venture with PEMEX (the Mexican state-owned oil company) that operates two natural gas pipelines and a propane system in northern Mexico</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Sempra LNG owns and operates the Energía Costa Azul LNG terminal located in Baja California, Mexico</w:t>
      </w:r>
    </w:p>
    <w:p>
      <w:pPr>
        <w:spacing w:after="0" w:line="25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These operations are subject to regulation by the Energy Regulatory Commission (Comisión Reguladora de Energía, or CRE) and by the labor and environmental agencies of city, state and federal governments in Mexico.</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Sempra Pipelines &amp; Storage also has two utilities in South America that are subject to laws and regulations in the localities and countries in which they operate. Chilquinta Energía S.A. (Chilquinta Energía) is an electric distribution utility serving customers in the cities of Valparaiso and Viña del Mar in central Chile. Luz del Sur S.A.A. (Luz del Sur) is an electric distribution utility in the southern zone of metropolitan Lima, Peru. These utilities serve primarily regulated customers, and their revenues are based on tariffs that are set by the National Energy Commission (Comisión Nacional de Energía, or CNE) in Chile and the Energy and Mining Investment Supervisory Body (Organismo Supervisor de la Inversión en Energía y Minería, or OSINERGMIN) of the National Electricity Office under the Ministry of Energy and Mines in Peru.</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Licenses and Permits</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Sempra Utilities obtain numerous permits, authorizations and licenses in connection with the transmission and distribution of natural gas and electricity and the operation and construction of related assets, some of which may require periodic renewal.</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other subsidiaries are also required to obtain numerous permits, authorizations and licenses in the normal course of business. Some of these permits, authorizations and licenses require periodic renewal.</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Sempra Generation and its subsidiaries obtain a number of permits, authorizations and licenses in connection with the construction and operation of power generation facilities, and in connection with the wholesale distribution of electricity.</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Sempra Pipelines &amp; Storage’s Mexican and South American subsidiaries obtain numerous permits, authorizations and licenses for their electric and natural gas distribution and transmission systems from the local governments where the service is provided. Sempra Pipelines &amp; Storage’s U.S. operations obtain licenses and permits for natural gas storage facilities and pipelines.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Sempra LNG obtains licenses and permits for the operation and expansion of LNG facilities, and the import and export of LNG and natural gas.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describe other regulatory matters in Note 14 of the Notes to Consolidated Financial Statements in the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NATURAL GAS UTILITY OPERATIONS</w:t>
      </w:r>
    </w:p>
    <w:p>
      <w:pPr>
        <w:spacing w:after="0" w:line="23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SoCalGas and SDG&amp;E sell, distribute and transport natural gas. SoCalGas purchases and stores natural gas for itself and SDG&amp;E on a combined portfolio basis and provides natural gas storage services for others. The Sempra Utilities’ resource planning, natural gas procurement, contractual commitments, and related regulatory matters are discussed below. We also provide further discussion in the Annual Report in “Management’s Discussion and Analysis of Financial Condition and Results of Operations,” and in Note 14 of the Notes to Consolidated Financial Statements.</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Customers</w:t>
      </w:r>
    </w:p>
    <w:p>
      <w:pPr>
        <w:spacing w:after="0" w:line="20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regulatory purposes, end-use customers are classified as either core or noncore customers. Core customers are primarily residential and small commercial and industrial customers. Noncore customers at SoCalGas consist primarily of electric generation, wholesale, large commercial, industrial, and enhanced oil recovery customers. Wholesale customers are primarily other investor-owned utilities (IOUs), including SDG&amp;E, or municipally owned natural gas distribution systems. Noncore customers at SDG&amp;E consist primarily of electric generation and large commercial and industrial customers.</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Most core customers purchase natural gas directly from SoCalGas or SDG&amp;E. While core customers are permitted to purchase directly from producers, marketers or brokers, the Sempra Utilities are obligated to provide reliable supplies of natural gas to serve the requirements of their core customers. Noncore customers are responsible for the procurement of their natural gas requirements.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2011, SoCalGas added 15,000 new natural gas customer meters at a growth rate of 0.3 percent; in 2010, it added 24,000 new meters at a growth rate of 0.4 percent. SDG&amp;E’s active natural gas customer meters increased by approximately 5,000 and 4,300 in 2011 and 2010, respectively, representing increases of 0.6 percent and 0.5 percent, respectively. Based on forecasts of new housing starts, SoCalGas and SDG&amp;E each expects that its new meter growth rates in 2012 will be slightly higher than those in 2011.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Procurement and Transportation</w:t>
      </w:r>
    </w:p>
    <w:p>
      <w:pPr>
        <w:sectPr>
          <w:pgSz w:w="11900" w:h="16838" w:orient="portrait"/>
          <w:cols w:equalWidth="0" w:num="1">
            <w:col w:w="11420"/>
          </w:cols>
          <w:pgMar w:left="240" w:top="125" w:right="239" w:bottom="52" w:gutter="0" w:footer="0" w:header="0"/>
        </w:sectPr>
      </w:pPr>
    </w:p>
    <w:bookmarkStart w:id="8" w:name="page9"/>
    <w:bookmarkEnd w:id="8"/>
    <w:p>
      <w:pPr>
        <w:spacing w:after="0" w:line="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SoCalGas purchases natural gas under short-term and long-term contracts for the Sempra Utilities’ core customers. SoCalGas purchases natural gas from Canada, the U.S. Rockies and the southwestern U.S. to meet customer requirements and maintain pipeline reliability. It also purchases some California natural gas production and additional supplies delivered directly to California for its remaining requirements. Purchases of natural gas are primarily priced based on published monthly bid-week indices.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ensure the delivery of the natural gas supplies to its distribution system and to meet the seasonal and annual needs of customers, SoCalGas has entered into firm interstate pipeline capacity contracts that require the payment of fixed reservation charges to reserve firm transportation rights. Pipeline companies, primarily El Paso Natural Gas Company, Transwestern Pipeline Company, Gas Transmission Northwest, Pacific Gas &amp; Electric Company, and Kern River Gas Transmission Company, provide transportation services into SoCalGas’ intrastate transmission system for supplies purchased by SoCalGas or its transportation customers from outside of California. The FERC regulates the rates that interstate pipeline companies may charge for natural gas and transportation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SoCalGas has natural gas transportation contracts with various interstate pipelines. These contracts expire on various dates between 2012 and 2027.</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Storage</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SoCalGas provides natural gas storage services for core, noncore and non-end-use customers. The Sempra Utilities’ core customers are allocated a portion of SoCalGas’ storage capacity. SoCalGas offers the remaining storage capacity for sale to others through an open bid process. The storage service program provides opportunities for these customers to purchase and store natural gas when natural gas costs are low, usually during the summer, thereby reducing purchases when natural gas costs are expected to be higher. This program allows customers to better manage their natural gas procurement and transportation needs.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Demand for Natural Gas</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Growth in the demand for natural gas largely depends on the health and expansion of the Southern California economy, prices of alternative energy products, environmental regulations, renewable energy, legislation, and the effectiveness of energy efficiency programs. External factors such as weather, the price of electricity, electric deregulation, the use of hydroelectric power, development of renewable energy resources, development of new natural gas supply sources, and general economic conditions can also result in significant shifts in market price, which may in turn impact demand.</w:t>
      </w:r>
    </w:p>
    <w:p>
      <w:pPr>
        <w:spacing w:after="0" w:line="17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Sempra Utilities face competition in the residential and commercial customer markets based on customers’ preferences for natural gas compared with other energy products. In the noncore industrial market, some customers are capable of securing alternate fuel supplies from other suppliers which can affect the demand for natural gas. The Sempra Utilities’ ability to maintain their respective industrial market shares is largely dependent on the relative spread between delivered energy prices.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Natural gas demand for electric generation within Southern California competes with electric power generated throughout the western U.S. Natural gas transported for electric generating plant customers may be affected by the growth in renewable generation, the addition of more efficient gas technologies and to the extent that regulatory changes and electric transmission infrastructure investment divert electric generation from the Sempra Utilities’ respective service areas. The demand may also fluctuate due to volatility in the demand for electricity and the availability of competing supplies of electricity such as hydro-electric generation and other renewable energy sources. We provide additional information regarding the electric industry in Note 14 of the Notes to Consolidated Financial Statements in the Annual Report.</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natural gas distribution business is seasonal, and revenues generally are greater during the winter heating months. As is prevalent in the industry, SoCalGas injects natural gas into storage during the summer months (usually April through October) for withdrawal from storage during the winter months (usually November through March) when customer demand is higher.</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UTILITY OPERATIONS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SDG&amp;E’s service area covers 4,100 square miles. At December 31, 2011, SDG&amp;E had 1.4 million customer meters consisting of:</w:t>
      </w:r>
    </w:p>
    <w:p>
      <w:pPr>
        <w:spacing w:after="0" w:line="225" w:lineRule="exact"/>
        <w:rPr>
          <w:sz w:val="20"/>
          <w:szCs w:val="20"/>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1,238,900 residential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147,700 commercial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500 industrial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2,100 street and highway lighting</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4,900 direct access</w:t>
      </w:r>
    </w:p>
    <w:p>
      <w:pPr>
        <w:spacing w:after="0" w:line="25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SDG&amp;E’s active electric customer meters increased by approximately 8,000 and 7,000 in 2011 and 2010, respectively, representing increases of 0.6 percent and 0.5 percent, respectively. SDG&amp;E expects the number of active meters to increase in 2012 by approximately 9,700, representing an increase of 0.7 percent.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Resource Planning and Power Procurement</w:t>
      </w:r>
    </w:p>
    <w:p>
      <w:pPr>
        <w:sectPr>
          <w:pgSz w:w="11900" w:h="16845" w:orient="portrait"/>
          <w:cols w:equalWidth="0" w:num="1">
            <w:col w:w="11420"/>
          </w:cols>
          <w:pgMar w:left="240" w:top="125" w:right="239" w:bottom="0" w:gutter="0" w:footer="0" w:header="0"/>
        </w:sectPr>
      </w:pPr>
    </w:p>
    <w:p>
      <w:pPr>
        <w:spacing w:after="0" w:line="20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SDG&amp;E’s resource planning, power procurement and related regulatory matters are discussed in “Management’s Discussion and Analysis of Financial Condition and Results of Operations” and in Notes 14 and 15 of the Notes to Consolidated Financial Statements in the Annual Report.</w:t>
      </w:r>
    </w:p>
    <w:p>
      <w:pPr>
        <w:sectPr>
          <w:pgSz w:w="11900" w:h="16845" w:orient="portrait"/>
          <w:cols w:equalWidth="0" w:num="1">
            <w:col w:w="11420"/>
          </w:cols>
          <w:pgMar w:left="240" w:top="125" w:right="239"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i w:val="1"/>
          <w:iCs w:val="1"/>
          <w:color w:val="auto"/>
        </w:rPr>
        <w:t>Electric Resources</w:t>
      </w:r>
    </w:p>
    <w:p>
      <w:pPr>
        <w:spacing w:after="0" w:line="20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supply of electric power available to SDG&amp;E for resale is based on CPUC-approved purchased-power contracts currently in place with its various suppliers, its fully owned generating facilities, its 20-percent ownership interest in SONGS and purchases on a spot basis. This supply as of December 31, 2011 is as follows:</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 ELECTRIC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Supplier</w:t>
            </w:r>
          </w:p>
        </w:tc>
        <w:tc>
          <w:tcPr>
            <w:tcW w:w="26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Source</w:t>
            </w:r>
          </w:p>
        </w:tc>
        <w:tc>
          <w:tcPr>
            <w:tcW w:w="30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Expiration date</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Megawatts (MW)</w:t>
            </w:r>
          </w:p>
        </w:tc>
        <w:tc>
          <w:tcPr>
            <w:tcW w:w="0" w:type="dxa"/>
            <w:vAlign w:val="bottom"/>
          </w:tcPr>
          <w:p>
            <w:pPr>
              <w:spacing w:after="0"/>
              <w:rPr>
                <w:sz w:val="1"/>
                <w:szCs w:val="1"/>
                <w:color w:val="auto"/>
              </w:rPr>
            </w:pPr>
          </w:p>
        </w:tc>
      </w:tr>
      <w:tr>
        <w:trPr>
          <w:trHeight w:val="164"/>
        </w:trPr>
        <w:tc>
          <w:tcPr>
            <w:tcW w:w="4240" w:type="dxa"/>
            <w:vAlign w:val="bottom"/>
          </w:tcPr>
          <w:p>
            <w:pPr>
              <w:spacing w:after="0" w:line="164" w:lineRule="exact"/>
              <w:rPr>
                <w:sz w:val="20"/>
                <w:szCs w:val="20"/>
                <w:color w:val="auto"/>
              </w:rPr>
            </w:pPr>
            <w:r>
              <w:rPr>
                <w:rFonts w:ascii="Arial" w:cs="Arial" w:eastAsia="Arial" w:hAnsi="Arial"/>
                <w:sz w:val="16"/>
                <w:szCs w:val="16"/>
                <w:color w:val="auto"/>
              </w:rPr>
              <w:t>PURCHASED-POWER CONTRACTS(1):</w:t>
            </w:r>
          </w:p>
        </w:tc>
        <w:tc>
          <w:tcPr>
            <w:tcW w:w="2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6"/>
                <w:szCs w:val="16"/>
                <w:color w:val="auto"/>
              </w:rPr>
              <w:t>Department of Water Resources (DWR)-</w:t>
            </w:r>
          </w:p>
        </w:tc>
        <w:tc>
          <w:tcPr>
            <w:tcW w:w="2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40"/>
              <w:spacing w:after="0" w:line="176" w:lineRule="exact"/>
              <w:rPr>
                <w:sz w:val="20"/>
                <w:szCs w:val="20"/>
                <w:color w:val="auto"/>
              </w:rPr>
            </w:pPr>
            <w:r>
              <w:rPr>
                <w:rFonts w:ascii="Arial" w:cs="Arial" w:eastAsia="Arial" w:hAnsi="Arial"/>
                <w:sz w:val="16"/>
                <w:szCs w:val="16"/>
                <w:color w:val="auto"/>
              </w:rPr>
              <w:t>allocated contracts:</w:t>
            </w:r>
          </w:p>
        </w:tc>
        <w:tc>
          <w:tcPr>
            <w:tcW w:w="2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Sunrise Power Co. LLC</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Natural gas</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2012</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194"/>
        </w:trPr>
        <w:tc>
          <w:tcPr>
            <w:tcW w:w="4240" w:type="dxa"/>
            <w:vAlign w:val="bottom"/>
          </w:tcPr>
          <w:p>
            <w:pPr>
              <w:ind w:left="520"/>
              <w:spacing w:after="0"/>
              <w:rPr>
                <w:sz w:val="20"/>
                <w:szCs w:val="20"/>
                <w:color w:val="auto"/>
              </w:rPr>
            </w:pPr>
            <w:r>
              <w:rPr>
                <w:rFonts w:ascii="Arial" w:cs="Arial" w:eastAsia="Arial" w:hAnsi="Arial"/>
                <w:sz w:val="16"/>
                <w:szCs w:val="16"/>
                <w:color w:val="auto"/>
              </w:rPr>
              <w:t>Other (2 contracts)</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2013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3"/>
        </w:trPr>
        <w:tc>
          <w:tcPr>
            <w:tcW w:w="4240" w:type="dxa"/>
            <w:vAlign w:val="bottom"/>
          </w:tcPr>
          <w:p>
            <w:pPr>
              <w:ind w:left="700"/>
              <w:spacing w:after="0" w:line="176" w:lineRule="exact"/>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164"/>
        </w:trPr>
        <w:tc>
          <w:tcPr>
            <w:tcW w:w="4240" w:type="dxa"/>
            <w:vAlign w:val="bottom"/>
          </w:tcPr>
          <w:p>
            <w:pPr>
              <w:spacing w:after="0" w:line="164" w:lineRule="exact"/>
              <w:rPr>
                <w:sz w:val="20"/>
                <w:szCs w:val="20"/>
                <w:color w:val="auto"/>
              </w:rPr>
            </w:pPr>
            <w:r>
              <w:rPr>
                <w:rFonts w:ascii="Arial" w:cs="Arial" w:eastAsia="Arial" w:hAnsi="Arial"/>
                <w:sz w:val="16"/>
                <w:szCs w:val="16"/>
                <w:color w:val="auto"/>
              </w:rPr>
              <w:t>Other contracts with Qualifying Facilities (QFs)(2):</w:t>
            </w:r>
          </w:p>
        </w:tc>
        <w:tc>
          <w:tcPr>
            <w:tcW w:w="2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Applied Energy Inc.</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Cogeneration</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2019</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Yuma Cogeneration</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Cogeneration</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2024</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Goal Line Limited Partnership</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Cogeneration</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2025</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4"/>
        </w:trPr>
        <w:tc>
          <w:tcPr>
            <w:tcW w:w="4240" w:type="dxa"/>
            <w:vAlign w:val="bottom"/>
          </w:tcPr>
          <w:p>
            <w:pPr>
              <w:ind w:left="520"/>
              <w:spacing w:after="0"/>
              <w:rPr>
                <w:sz w:val="20"/>
                <w:szCs w:val="20"/>
                <w:color w:val="auto"/>
              </w:rPr>
            </w:pPr>
            <w:r>
              <w:rPr>
                <w:rFonts w:ascii="Arial" w:cs="Arial" w:eastAsia="Arial" w:hAnsi="Arial"/>
                <w:sz w:val="16"/>
                <w:szCs w:val="16"/>
                <w:color w:val="auto"/>
              </w:rPr>
              <w:t>Other (10 contracts)</w:t>
            </w:r>
          </w:p>
        </w:tc>
        <w:tc>
          <w:tcPr>
            <w:tcW w:w="2640" w:type="dxa"/>
            <w:vAlign w:val="bottom"/>
          </w:tcPr>
          <w:p>
            <w:pPr>
              <w:ind w:left="640"/>
              <w:spacing w:after="0"/>
              <w:rPr>
                <w:sz w:val="20"/>
                <w:szCs w:val="20"/>
                <w:color w:val="auto"/>
              </w:rPr>
            </w:pPr>
            <w:r>
              <w:rPr>
                <w:rFonts w:ascii="Arial" w:cs="Arial" w:eastAsia="Arial" w:hAnsi="Arial"/>
                <w:sz w:val="16"/>
                <w:szCs w:val="16"/>
                <w:color w:val="auto"/>
              </w:rPr>
              <w:t>Cogeneration</w:t>
            </w:r>
          </w:p>
        </w:tc>
        <w:tc>
          <w:tcPr>
            <w:tcW w:w="3060" w:type="dxa"/>
            <w:vAlign w:val="bottom"/>
          </w:tcPr>
          <w:p>
            <w:pPr>
              <w:ind w:left="400"/>
              <w:spacing w:after="0"/>
              <w:rPr>
                <w:sz w:val="20"/>
                <w:szCs w:val="20"/>
                <w:color w:val="auto"/>
              </w:rPr>
            </w:pPr>
            <w:r>
              <w:rPr>
                <w:rFonts w:ascii="Arial" w:cs="Arial" w:eastAsia="Arial" w:hAnsi="Arial"/>
                <w:sz w:val="16"/>
                <w:szCs w:val="16"/>
                <w:color w:val="auto"/>
              </w:rPr>
              <w:t>2012 and thereafter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3"/>
        </w:trPr>
        <w:tc>
          <w:tcPr>
            <w:tcW w:w="4240" w:type="dxa"/>
            <w:vAlign w:val="bottom"/>
          </w:tcPr>
          <w:p>
            <w:pPr>
              <w:ind w:left="700"/>
              <w:spacing w:after="0" w:line="176" w:lineRule="exact"/>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64"/>
        </w:trPr>
        <w:tc>
          <w:tcPr>
            <w:tcW w:w="4240" w:type="dxa"/>
            <w:vAlign w:val="bottom"/>
          </w:tcPr>
          <w:p>
            <w:pPr>
              <w:spacing w:after="0" w:line="164" w:lineRule="exact"/>
              <w:rPr>
                <w:sz w:val="20"/>
                <w:szCs w:val="20"/>
                <w:color w:val="auto"/>
              </w:rPr>
            </w:pPr>
            <w:r>
              <w:rPr>
                <w:rFonts w:ascii="Arial" w:cs="Arial" w:eastAsia="Arial" w:hAnsi="Arial"/>
                <w:sz w:val="16"/>
                <w:szCs w:val="16"/>
                <w:color w:val="auto"/>
              </w:rPr>
              <w:t>Other contracts with renewable sources:</w:t>
            </w:r>
          </w:p>
        </w:tc>
        <w:tc>
          <w:tcPr>
            <w:tcW w:w="2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NaturEner</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2023 to 2024</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Oasis Power Partners</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2019</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Kumeyaay</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2025</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Iberdrola Renewables</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2018</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WTE/FPL</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2018</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Covanta Delano</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Biomass</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2017</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Blue Lake Power</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Biomass</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2020</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Calpine Geysers</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Geothermal</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2014</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Southern California Edison(3)</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Various</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Silicon Valley Power</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Geothermal</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2012</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4"/>
        </w:trPr>
        <w:tc>
          <w:tcPr>
            <w:tcW w:w="4240" w:type="dxa"/>
            <w:vAlign w:val="bottom"/>
          </w:tcPr>
          <w:p>
            <w:pPr>
              <w:ind w:left="520"/>
              <w:spacing w:after="0"/>
              <w:rPr>
                <w:sz w:val="20"/>
                <w:szCs w:val="20"/>
                <w:color w:val="auto"/>
              </w:rPr>
            </w:pPr>
            <w:r>
              <w:rPr>
                <w:rFonts w:ascii="Arial" w:cs="Arial" w:eastAsia="Arial" w:hAnsi="Arial"/>
                <w:sz w:val="16"/>
                <w:szCs w:val="16"/>
                <w:color w:val="auto"/>
              </w:rPr>
              <w:t>Other (14 contracts)</w:t>
            </w:r>
          </w:p>
        </w:tc>
        <w:tc>
          <w:tcPr>
            <w:tcW w:w="2640" w:type="dxa"/>
            <w:vAlign w:val="bottom"/>
          </w:tcPr>
          <w:p>
            <w:pPr>
              <w:ind w:left="640"/>
              <w:spacing w:after="0"/>
              <w:rPr>
                <w:sz w:val="20"/>
                <w:szCs w:val="20"/>
                <w:color w:val="auto"/>
              </w:rPr>
            </w:pPr>
            <w:r>
              <w:rPr>
                <w:rFonts w:ascii="Arial" w:cs="Arial" w:eastAsia="Arial" w:hAnsi="Arial"/>
                <w:sz w:val="16"/>
                <w:szCs w:val="16"/>
                <w:color w:val="auto"/>
              </w:rPr>
              <w:t>Bio-gas/Hydro/Wind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2012 to 2031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3"/>
        </w:trPr>
        <w:tc>
          <w:tcPr>
            <w:tcW w:w="4240" w:type="dxa"/>
            <w:vAlign w:val="bottom"/>
          </w:tcPr>
          <w:p>
            <w:pPr>
              <w:ind w:left="700"/>
              <w:spacing w:after="0" w:line="176" w:lineRule="exact"/>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164"/>
        </w:trPr>
        <w:tc>
          <w:tcPr>
            <w:tcW w:w="4240" w:type="dxa"/>
            <w:vAlign w:val="bottom"/>
          </w:tcPr>
          <w:p>
            <w:pPr>
              <w:spacing w:after="0" w:line="164" w:lineRule="exact"/>
              <w:rPr>
                <w:sz w:val="20"/>
                <w:szCs w:val="20"/>
                <w:color w:val="auto"/>
              </w:rPr>
            </w:pPr>
            <w:r>
              <w:rPr>
                <w:rFonts w:ascii="Arial" w:cs="Arial" w:eastAsia="Arial" w:hAnsi="Arial"/>
                <w:sz w:val="16"/>
                <w:szCs w:val="16"/>
                <w:color w:val="auto"/>
              </w:rPr>
              <w:t>Other long-term and tolling contracts(4):</w:t>
            </w:r>
          </w:p>
        </w:tc>
        <w:tc>
          <w:tcPr>
            <w:tcW w:w="2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Otay Mesa Energy Center LLC</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Natural gas</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2019</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Orange Grove Energy L.P.</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Natural gas</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2035</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El Cajon Energy, LLC</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Natural gas</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2035</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Portland General Electric Company (PGE)</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Coal</w:t>
            </w:r>
          </w:p>
        </w:tc>
        <w:tc>
          <w:tcPr>
            <w:tcW w:w="3060" w:type="dxa"/>
            <w:vAlign w:val="bottom"/>
          </w:tcPr>
          <w:p>
            <w:pPr>
              <w:ind w:left="400"/>
              <w:spacing w:after="0" w:line="176"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5"/>
        </w:trPr>
        <w:tc>
          <w:tcPr>
            <w:tcW w:w="4240" w:type="dxa"/>
            <w:vAlign w:val="bottom"/>
          </w:tcPr>
          <w:p>
            <w:pPr>
              <w:ind w:left="520"/>
              <w:spacing w:after="0"/>
              <w:rPr>
                <w:sz w:val="20"/>
                <w:szCs w:val="20"/>
                <w:color w:val="auto"/>
              </w:rPr>
            </w:pPr>
            <w:r>
              <w:rPr>
                <w:rFonts w:ascii="Arial" w:cs="Arial" w:eastAsia="Arial" w:hAnsi="Arial"/>
                <w:sz w:val="16"/>
                <w:szCs w:val="16"/>
                <w:color w:val="auto"/>
              </w:rPr>
              <w:t>EnerNOC</w:t>
            </w:r>
          </w:p>
        </w:tc>
        <w:tc>
          <w:tcPr>
            <w:tcW w:w="2640" w:type="dxa"/>
            <w:vAlign w:val="bottom"/>
          </w:tcPr>
          <w:p>
            <w:pPr>
              <w:ind w:left="640"/>
              <w:spacing w:after="0"/>
              <w:rPr>
                <w:sz w:val="20"/>
                <w:szCs w:val="20"/>
                <w:color w:val="auto"/>
              </w:rPr>
            </w:pPr>
            <w:r>
              <w:rPr>
                <w:rFonts w:ascii="Arial" w:cs="Arial" w:eastAsia="Arial" w:hAnsi="Arial"/>
                <w:sz w:val="16"/>
                <w:szCs w:val="16"/>
                <w:color w:val="auto"/>
              </w:rPr>
              <w:t>Demand response/</w:t>
            </w:r>
          </w:p>
        </w:tc>
        <w:tc>
          <w:tcPr>
            <w:tcW w:w="30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640" w:type="dxa"/>
            <w:vAlign w:val="bottom"/>
          </w:tcPr>
          <w:p>
            <w:pPr>
              <w:ind w:left="640"/>
              <w:spacing w:after="0" w:line="168" w:lineRule="exact"/>
              <w:rPr>
                <w:sz w:val="20"/>
                <w:szCs w:val="20"/>
                <w:color w:val="auto"/>
              </w:rPr>
            </w:pPr>
            <w:r>
              <w:rPr>
                <w:rFonts w:ascii="Arial" w:cs="Arial" w:eastAsia="Arial" w:hAnsi="Arial"/>
                <w:sz w:val="16"/>
                <w:szCs w:val="16"/>
                <w:color w:val="auto"/>
              </w:rPr>
              <w:t>Distributed generation</w:t>
            </w:r>
          </w:p>
        </w:tc>
        <w:tc>
          <w:tcPr>
            <w:tcW w:w="3060" w:type="dxa"/>
            <w:vAlign w:val="bottom"/>
          </w:tcPr>
          <w:p>
            <w:pPr>
              <w:ind w:left="400"/>
              <w:spacing w:after="0" w:line="168" w:lineRule="exact"/>
              <w:rPr>
                <w:sz w:val="20"/>
                <w:szCs w:val="20"/>
                <w:color w:val="auto"/>
              </w:rPr>
            </w:pPr>
            <w:r>
              <w:rPr>
                <w:rFonts w:ascii="Arial" w:cs="Arial" w:eastAsia="Arial" w:hAnsi="Arial"/>
                <w:sz w:val="16"/>
                <w:szCs w:val="16"/>
                <w:color w:val="auto"/>
              </w:rPr>
              <w:t>2016</w:t>
            </w: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ind w:left="700"/>
              <w:spacing w:after="0" w:line="176" w:lineRule="exact"/>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183"/>
        </w:trPr>
        <w:tc>
          <w:tcPr>
            <w:tcW w:w="4240" w:type="dxa"/>
            <w:vAlign w:val="bottom"/>
          </w:tcPr>
          <w:p>
            <w:pPr>
              <w:spacing w:after="0" w:line="176" w:lineRule="exact"/>
              <w:rPr>
                <w:sz w:val="20"/>
                <w:szCs w:val="20"/>
                <w:color w:val="auto"/>
              </w:rPr>
            </w:pPr>
            <w:r>
              <w:rPr>
                <w:rFonts w:ascii="Arial" w:cs="Arial" w:eastAsia="Arial" w:hAnsi="Arial"/>
                <w:sz w:val="16"/>
                <w:szCs w:val="16"/>
                <w:color w:val="auto"/>
              </w:rPr>
              <w:t>Total contracted</w:t>
            </w:r>
          </w:p>
        </w:tc>
        <w:tc>
          <w:tcPr>
            <w:tcW w:w="2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340"/>
        </w:trPr>
        <w:tc>
          <w:tcPr>
            <w:tcW w:w="4240" w:type="dxa"/>
            <w:vAlign w:val="bottom"/>
          </w:tcPr>
          <w:p>
            <w:pPr>
              <w:spacing w:after="0"/>
              <w:rPr>
                <w:sz w:val="20"/>
                <w:szCs w:val="20"/>
                <w:color w:val="auto"/>
              </w:rPr>
            </w:pPr>
            <w:r>
              <w:rPr>
                <w:rFonts w:ascii="Arial" w:cs="Arial" w:eastAsia="Arial" w:hAnsi="Arial"/>
                <w:sz w:val="16"/>
                <w:szCs w:val="16"/>
                <w:color w:val="auto"/>
              </w:rPr>
              <w:t>GENERATION:</w:t>
            </w:r>
          </w:p>
        </w:tc>
        <w:tc>
          <w:tcPr>
            <w:tcW w:w="2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Palomar Energy Center</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Natural gas</w:t>
            </w:r>
          </w:p>
        </w:tc>
        <w:tc>
          <w:tcPr>
            <w:tcW w:w="306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SONGS</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Nuclear</w:t>
            </w:r>
          </w:p>
        </w:tc>
        <w:tc>
          <w:tcPr>
            <w:tcW w:w="306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Miramar I and II Energy Center</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Natural gas</w:t>
            </w:r>
          </w:p>
        </w:tc>
        <w:tc>
          <w:tcPr>
            <w:tcW w:w="306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76"/>
        </w:trPr>
        <w:tc>
          <w:tcPr>
            <w:tcW w:w="4240" w:type="dxa"/>
            <w:vAlign w:val="bottom"/>
          </w:tcPr>
          <w:p>
            <w:pPr>
              <w:ind w:left="520"/>
              <w:spacing w:after="0" w:line="176" w:lineRule="exact"/>
              <w:rPr>
                <w:sz w:val="20"/>
                <w:szCs w:val="20"/>
                <w:color w:val="auto"/>
              </w:rPr>
            </w:pPr>
            <w:r>
              <w:rPr>
                <w:rFonts w:ascii="Arial" w:cs="Arial" w:eastAsia="Arial" w:hAnsi="Arial"/>
                <w:sz w:val="16"/>
                <w:szCs w:val="16"/>
                <w:color w:val="auto"/>
              </w:rPr>
              <w:t>Desert Star Energy Center</w:t>
            </w:r>
          </w:p>
        </w:tc>
        <w:tc>
          <w:tcPr>
            <w:tcW w:w="2640" w:type="dxa"/>
            <w:vAlign w:val="bottom"/>
          </w:tcPr>
          <w:p>
            <w:pPr>
              <w:ind w:left="640"/>
              <w:spacing w:after="0" w:line="176" w:lineRule="exact"/>
              <w:rPr>
                <w:sz w:val="20"/>
                <w:szCs w:val="20"/>
                <w:color w:val="auto"/>
              </w:rPr>
            </w:pPr>
            <w:r>
              <w:rPr>
                <w:rFonts w:ascii="Arial" w:cs="Arial" w:eastAsia="Arial" w:hAnsi="Arial"/>
                <w:sz w:val="16"/>
                <w:szCs w:val="16"/>
                <w:color w:val="auto"/>
              </w:rPr>
              <w:t>Natural gas</w:t>
            </w:r>
          </w:p>
        </w:tc>
        <w:tc>
          <w:tcPr>
            <w:tcW w:w="306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94"/>
        </w:trPr>
        <w:tc>
          <w:tcPr>
            <w:tcW w:w="4240" w:type="dxa"/>
            <w:vAlign w:val="bottom"/>
          </w:tcPr>
          <w:p>
            <w:pPr>
              <w:ind w:left="520"/>
              <w:spacing w:after="0"/>
              <w:rPr>
                <w:sz w:val="20"/>
                <w:szCs w:val="20"/>
                <w:color w:val="auto"/>
              </w:rPr>
            </w:pPr>
            <w:r>
              <w:rPr>
                <w:rFonts w:ascii="Arial" w:cs="Arial" w:eastAsia="Arial" w:hAnsi="Arial"/>
                <w:sz w:val="16"/>
                <w:szCs w:val="16"/>
                <w:color w:val="auto"/>
              </w:rPr>
              <w:t>Cuyamaca Peak Energy Plant(3)</w:t>
            </w:r>
          </w:p>
        </w:tc>
        <w:tc>
          <w:tcPr>
            <w:tcW w:w="2640" w:type="dxa"/>
            <w:vAlign w:val="bottom"/>
          </w:tcPr>
          <w:p>
            <w:pPr>
              <w:ind w:left="640"/>
              <w:spacing w:after="0"/>
              <w:rPr>
                <w:sz w:val="20"/>
                <w:szCs w:val="20"/>
                <w:color w:val="auto"/>
              </w:rPr>
            </w:pPr>
            <w:r>
              <w:rPr>
                <w:rFonts w:ascii="Arial" w:cs="Arial" w:eastAsia="Arial" w:hAnsi="Arial"/>
                <w:sz w:val="16"/>
                <w:szCs w:val="16"/>
                <w:color w:val="auto"/>
              </w:rPr>
              <w:t>Natural gas</w:t>
            </w:r>
          </w:p>
        </w:tc>
        <w:tc>
          <w:tcPr>
            <w:tcW w:w="306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3"/>
        </w:trPr>
        <w:tc>
          <w:tcPr>
            <w:tcW w:w="4240" w:type="dxa"/>
            <w:vAlign w:val="bottom"/>
          </w:tcPr>
          <w:p>
            <w:pPr>
              <w:spacing w:after="0" w:line="176" w:lineRule="exact"/>
              <w:rPr>
                <w:sz w:val="20"/>
                <w:szCs w:val="20"/>
                <w:color w:val="auto"/>
              </w:rPr>
            </w:pPr>
            <w:r>
              <w:rPr>
                <w:rFonts w:ascii="Arial" w:cs="Arial" w:eastAsia="Arial" w:hAnsi="Arial"/>
                <w:sz w:val="16"/>
                <w:szCs w:val="16"/>
                <w:color w:val="auto"/>
              </w:rPr>
              <w:t>Total generation</w:t>
            </w:r>
          </w:p>
        </w:tc>
        <w:tc>
          <w:tcPr>
            <w:tcW w:w="2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20"/>
                <w:szCs w:val="20"/>
                <w:color w:val="auto"/>
              </w:rPr>
            </w:pPr>
            <w:r>
              <w:rPr>
                <w:rFonts w:ascii="Arial" w:cs="Arial" w:eastAsia="Arial" w:hAnsi="Arial"/>
                <w:sz w:val="16"/>
                <w:szCs w:val="16"/>
                <w:color w:val="auto"/>
              </w:rPr>
              <w:t>TOTAL CONTRACTED AND GENERATION</w:t>
            </w:r>
          </w:p>
        </w:tc>
        <w:tc>
          <w:tcPr>
            <w:tcW w:w="26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20" w:hanging="512"/>
        <w:spacing w:after="0"/>
        <w:tabs>
          <w:tab w:leader="none" w:pos="5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covering 2012 - 2035.</w:t>
      </w:r>
    </w:p>
    <w:p>
      <w:pPr>
        <w:spacing w:after="0" w:line="13" w:lineRule="exact"/>
        <w:rPr>
          <w:rFonts w:ascii="Arial" w:cs="Arial" w:eastAsia="Arial" w:hAnsi="Arial"/>
          <w:sz w:val="14"/>
          <w:szCs w:val="14"/>
          <w:i w:val="1"/>
          <w:iCs w:val="1"/>
          <w:color w:val="auto"/>
        </w:rPr>
      </w:pPr>
    </w:p>
    <w:p>
      <w:pPr>
        <w:ind w:left="520" w:right="140" w:hanging="512"/>
        <w:spacing w:after="0" w:line="241" w:lineRule="auto"/>
        <w:tabs>
          <w:tab w:leader="none" w:pos="5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 QF is a generating facility which meets the requirements for QF status under the Public Utility Regulatory Policies Act of 1978. It includes cogeneration facilities, which produce electricity and another form of useful thermal energy (such as heat or steam) used for industrial, commercial, residential or institutional purposes. It also includes small power production facilities, which are generating facilities whose primary energy source is renewable (hydro, wind, solar, etc.), biomass, waste, or geothermal resources. Small power production facilities are generally limited in size to 80 MW.</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January 1, 2012.</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Tolling contracts are purchased-power agreements under which we provide the fuel for generation to the energy supplier.</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contract with PGE, SDG&amp;E pays a capacity charge plus a charge based on the amount of energy received and/or PGE’s non-fuel costs. Costs under most of the contracts with QFs are based on SDG&amp;E’s avoided cost. Charges under the remaining contracts are for firm and as-available energy, and are based on the amount of energy received or are tolls based on available capacity. The prices under these contracts are based on the market value at the time the contracts were negotiated.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Supply</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SDG&amp;E buys natural gas under short-term contracts for its Palomar, Miramar, Desert Star and Cuyamaca Peak generating facilities and for the Otay Mesa Energy Center LLC, Orange Grove Energy L.P., and El Cajon Energy, LLC tolling contracts. Purchases are from various southwestern U.S. suppliers and are primarily priced based on published monthly bid-week indices. SDG&amp;E’s natural gas is typically delivered from southern California border receipt points to the SoCal CityGate pool via backbone transmission system rights which expire on September 30, 2014. The natural gas is then delivered from the SoCal CityGate pool to the generating facilities through SoCalGas’ pipelines in accordance with a transportation agreement that expires on May 31, 2012. SDG&amp;E has also contracted with SoCalGas for natural gas storage from April 1, 2011 to March 31, 2012.</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SDG&amp;E also buys natural gas as the California DWR’s limited agent for the DWR-allocated contracts. Most of the natural gas deliveries for the DWR-allocated contracts are transported through the Kern River Gas Transmission Pipeline under a long-term transportation agreement. The DWR is financially responsible for the costs of gas and transportation.</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SONGS</w:t>
      </w:r>
    </w:p>
    <w:p>
      <w:pPr>
        <w:sectPr>
          <w:pgSz w:w="11900" w:h="16838" w:orient="portrait"/>
          <w:cols w:equalWidth="0" w:num="1">
            <w:col w:w="11420"/>
          </w:cols>
          <w:pgMar w:left="240" w:top="555" w:right="239" w:bottom="12" w:gutter="0" w:footer="0" w:header="0"/>
        </w:sectPr>
      </w:pPr>
    </w:p>
    <w:bookmarkStart w:id="10" w:name="page11"/>
    <w:bookmarkEnd w:id="10"/>
    <w:p>
      <w:pPr>
        <w:ind w:right="260"/>
        <w:spacing w:after="0" w:line="264" w:lineRule="auto"/>
        <w:rPr>
          <w:sz w:val="20"/>
          <w:szCs w:val="20"/>
          <w:color w:val="auto"/>
        </w:rPr>
      </w:pPr>
      <w:r>
        <w:rPr>
          <w:rFonts w:ascii="Arial" w:cs="Arial" w:eastAsia="Arial" w:hAnsi="Arial"/>
          <w:sz w:val="18"/>
          <w:szCs w:val="18"/>
          <w:color w:val="auto"/>
        </w:rPr>
        <w:t>SDG&amp;E has a 20-percent ownership interest in SONGS, which is located south of San Clemente, California. SONGS consists of two operating nuclear generating units. The city of Riverside owns 1.79 percent and Southern California Edison Company (Edison), the operator of SONGS, owns the remaining interest.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two units began commercial operation in August 1983 and April 1984, respectively. SDG&amp;E’s share of the capacity from the two units is 430 MW.</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third unit was removed from service in November 1992. Decommissioning of that unit is largely complete, with the remaining work to be done in the future when the remaining two units are decommissioned. Its spent nuclear fuel is being stored on site in an independent spent fuel storage installation (ISFSI) licensed by the NRC.</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SDG&amp;E has fully recovered the capital invested through December 31, 2003 in SONGS and earns a return only on subsequent capital additions, including SDG&amp;E’s share of costs associated with the steam generator replacement project, completed in 2011.</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provide additional information concerning the SONGS units and nuclear decommissioning below in “Environmental Matters” and in “Management’s Discussion and Analysis of Financial Condition and Results of Operations” and Notes 6, 14 and 15 of the Notes to Consolidated Financial Statements in the Annual Report.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Nuclear Fuel Supply</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nuclear fuel supply cycle includes materials and services performed by others under various contracts that extend through 2020. Fuel supply contracts are index-priced and provide nuclear fuel through 2022, the expiration of SONGS’ NRC license.</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Spent fuel from SONGS is being stored on site in both the ISFSI and spent fuel pools. With the completion of the current phase of decommissioning, the site has adequate space to build ISFSI storage capacity through 2022. Pursuant to the Nuclear Waste Policy Act of 1982, SDG&amp;E entered into a contract with the U.S. Department of Energy (DOE) for spent-fuel disposal. Under the agreement, the DOE is responsible for the ultimate disposal of spent fuel from SONGS. SDG&amp;E pays the DOE a disposal fee of $1.00 per megawatt-hour of net nuclear generation, or $3 million per year. It is uncertain when the DOE will begin accepting spent fuel from any nuclear generation facility.</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provide additional information concerning nuclear fuel costs and the storage and movement of spent fuel in Notes 6 and 15, respectively,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Power Pool</w:t>
      </w:r>
    </w:p>
    <w:p>
      <w:pPr>
        <w:spacing w:after="0" w:line="2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SDG&amp;E is a participant in the Western Systems Power Pool, which includes an electric-power and transmission-rate agreement with utilities and power agencies located throughout the United States and Canada. More than 300 investor-owned and municipal utilities, state and federal power agencies, energy brokers and power marketers share power and information in order to increase efficiency and competition in the bulk power market. Participants are able to make power transactions on standardized terms, including market-based rates, preapproved by the FERC.</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Arrangements</w:t>
      </w:r>
    </w:p>
    <w:p>
      <w:pPr>
        <w:spacing w:after="0" w:line="20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SDG&amp;E’s 500-kilovolt (kV) Southwest Powerlink transmission line, which is shared with Arizona Public Service Company and Imperial Irrigation District, extends from Palo Verde, Arizona to San Diego, California. SDG&amp;E’s share of the line is 1,162 MW, although it can be less under certain system conditions.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Mexico’s Baja California system is connected to SDG&amp;E’s system via two 230-kV interconnections with combined capacity of 408 MW in the north to south direction and 800 MW in the south to north direction, although it can be less under certain system conditions.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Edison’s transmission is connected to SDG&amp;E’s system at SONGS via five 230-kV interconnections with firm capacity of 2,500 MW, although it can be less under certain system conditions.</w:t>
      </w:r>
    </w:p>
    <w:p>
      <w:pPr>
        <w:spacing w:after="0" w:line="37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SDG&amp;E’s Sunrise Powerlink, a 117-mile, 500-kV transmission line project that is designed to deliver up to 1,000 MW of energy from the Imperial Valley to the San Diego region, received approval from the CPUC in December 2008, the Bureau of Land Management in January 2009 and the U.S. Forest Service in July 2010. SDG&amp;E commenced construction in the fall of 2010 and expects the line to be in commercial operation in the second half of 2012. We provide further discussion in Note 15 of the Notes to Consolidated Financial Statements in the Annual Report.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Access</w:t>
      </w:r>
    </w:p>
    <w:p>
      <w:pPr>
        <w:spacing w:after="0" w:line="2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National Energy Policy Act governs procedures for requests for transmission service. The FERC approved the California IOUs transfer of operation and control of their transmission facilities to the Independent System Operator in 1998. We provide additional information regarding transmission issues in Note 14 of the Notes to Consolidated Financial Statements in the Annual Report.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Chilquinta Energía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Chilquinta Energía is an electric distribution utility serving approximately 600,000 customers in the cities of Valparaiso and Viña del Mar in central Chile, with a main service area covering 4,400 square miles. At December 31, 2011, its customers consisted of:</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563,400 residential</w:t>
      </w:r>
    </w:p>
    <w:p>
      <w:pPr>
        <w:sectPr>
          <w:pgSz w:w="11900" w:h="16838" w:orient="portrait"/>
          <w:cols w:equalWidth="0" w:num="1">
            <w:col w:w="11420"/>
          </w:cols>
          <w:pgMar w:left="240" w:top="125" w:right="239" w:bottom="32" w:gutter="0" w:footer="0" w:header="0"/>
        </w:sectPr>
      </w:pPr>
    </w:p>
    <w:bookmarkStart w:id="11" w:name="page12"/>
    <w:bookmarkEnd w:id="11"/>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35,400 commercial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1,400 industrial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4,800 street and highway lighting</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4,400 agricultural</w:t>
      </w:r>
    </w:p>
    <w:p>
      <w:pPr>
        <w:spacing w:after="0" w:line="200" w:lineRule="exact"/>
        <w:rPr>
          <w:sz w:val="20"/>
          <w:szCs w:val="20"/>
          <w:color w:val="auto"/>
        </w:rPr>
      </w:pPr>
    </w:p>
    <w:p>
      <w:pPr>
        <w:spacing w:after="0" w:line="2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Chile, customers are also classified as regulated and non-regulated customers depending on consumption. Regulated customers are those whose consumption is less than 500 kW. Non-regulated customers are those whose consumption is greater than 2,000 kW. Customers with consumption between 500 kW and 2,000 kW may choose to be classified as regulated or non-regulated. Non-regulated customers can buy power from other sources, such as directly from the generator.</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2011, Chilquinta Energía added 16,000 new customers at a growth rate of three percent. Chilquinta Energía expects that its customer growth rate in 2012 will be comparable to that in 2011.</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Resources</w:t>
      </w: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supply of electric power available to Chilquinta Energía comes from power purchase contracts currently in place with its various suppliers and its generating facilities. This supply as of December 31, 2011 is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CHILQUINTA ENERGÍA ELECTRIC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Supplier</w:t>
            </w:r>
          </w:p>
        </w:tc>
        <w:tc>
          <w:tcPr>
            <w:tcW w:w="236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Source(2)</w:t>
            </w:r>
          </w:p>
        </w:tc>
        <w:tc>
          <w:tcPr>
            <w:tcW w:w="35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Expiration date</w:t>
            </w: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Megawatts (MW)</w:t>
            </w:r>
          </w:p>
        </w:tc>
        <w:tc>
          <w:tcPr>
            <w:tcW w:w="0" w:type="dxa"/>
            <w:vAlign w:val="bottom"/>
          </w:tcPr>
          <w:p>
            <w:pPr>
              <w:spacing w:after="0"/>
              <w:rPr>
                <w:sz w:val="1"/>
                <w:szCs w:val="1"/>
                <w:color w:val="auto"/>
              </w:rPr>
            </w:pPr>
          </w:p>
        </w:tc>
      </w:tr>
      <w:tr>
        <w:trPr>
          <w:trHeight w:val="164"/>
        </w:trPr>
        <w:tc>
          <w:tcPr>
            <w:tcW w:w="4040" w:type="dxa"/>
            <w:vAlign w:val="bottom"/>
          </w:tcPr>
          <w:p>
            <w:pPr>
              <w:spacing w:after="0" w:line="164" w:lineRule="exact"/>
              <w:rPr>
                <w:sz w:val="20"/>
                <w:szCs w:val="20"/>
                <w:color w:val="auto"/>
              </w:rPr>
            </w:pPr>
            <w:r>
              <w:rPr>
                <w:rFonts w:ascii="Arial" w:cs="Arial" w:eastAsia="Arial" w:hAnsi="Arial"/>
                <w:sz w:val="16"/>
                <w:szCs w:val="16"/>
                <w:color w:val="auto"/>
              </w:rPr>
              <w:t>PURCHASED-POWER CONTRACTS(1):</w:t>
            </w:r>
          </w:p>
        </w:tc>
        <w:tc>
          <w:tcPr>
            <w:tcW w:w="2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520"/>
              <w:spacing w:after="0" w:line="176" w:lineRule="exact"/>
              <w:rPr>
                <w:sz w:val="20"/>
                <w:szCs w:val="20"/>
                <w:color w:val="auto"/>
              </w:rPr>
            </w:pPr>
            <w:r>
              <w:rPr>
                <w:rFonts w:ascii="Arial" w:cs="Arial" w:eastAsia="Arial" w:hAnsi="Arial"/>
                <w:sz w:val="16"/>
                <w:szCs w:val="16"/>
                <w:color w:val="auto"/>
              </w:rPr>
              <w:t>Endesa</w:t>
            </w:r>
          </w:p>
        </w:tc>
        <w:tc>
          <w:tcPr>
            <w:tcW w:w="2360" w:type="dxa"/>
            <w:vAlign w:val="bottom"/>
          </w:tcPr>
          <w:p>
            <w:pPr>
              <w:ind w:left="840"/>
              <w:spacing w:after="0" w:line="176" w:lineRule="exact"/>
              <w:rPr>
                <w:sz w:val="20"/>
                <w:szCs w:val="20"/>
                <w:color w:val="auto"/>
              </w:rPr>
            </w:pPr>
            <w:r>
              <w:rPr>
                <w:rFonts w:ascii="Arial" w:cs="Arial" w:eastAsia="Arial" w:hAnsi="Arial"/>
                <w:sz w:val="16"/>
                <w:szCs w:val="16"/>
                <w:color w:val="auto"/>
              </w:rPr>
              <w:t>Thermal</w:t>
            </w:r>
          </w:p>
        </w:tc>
        <w:tc>
          <w:tcPr>
            <w:tcW w:w="3540" w:type="dxa"/>
            <w:vAlign w:val="bottom"/>
          </w:tcPr>
          <w:p>
            <w:pPr>
              <w:ind w:left="880"/>
              <w:spacing w:after="0" w:line="176" w:lineRule="exact"/>
              <w:rPr>
                <w:sz w:val="20"/>
                <w:szCs w:val="20"/>
                <w:color w:val="auto"/>
              </w:rPr>
            </w:pPr>
            <w:r>
              <w:rPr>
                <w:rFonts w:ascii="Arial" w:cs="Arial" w:eastAsia="Arial" w:hAnsi="Arial"/>
                <w:sz w:val="16"/>
                <w:szCs w:val="16"/>
                <w:color w:val="auto"/>
              </w:rPr>
              <w:t>2020 to 2024</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76"/>
        </w:trPr>
        <w:tc>
          <w:tcPr>
            <w:tcW w:w="4040" w:type="dxa"/>
            <w:vAlign w:val="bottom"/>
          </w:tcPr>
          <w:p>
            <w:pPr>
              <w:ind w:left="520"/>
              <w:spacing w:after="0" w:line="176" w:lineRule="exact"/>
              <w:rPr>
                <w:sz w:val="20"/>
                <w:szCs w:val="20"/>
                <w:color w:val="auto"/>
              </w:rPr>
            </w:pPr>
            <w:r>
              <w:rPr>
                <w:rFonts w:ascii="Arial" w:cs="Arial" w:eastAsia="Arial" w:hAnsi="Arial"/>
                <w:sz w:val="16"/>
                <w:szCs w:val="16"/>
                <w:color w:val="auto"/>
              </w:rPr>
              <w:t>Gener</w:t>
            </w:r>
          </w:p>
        </w:tc>
        <w:tc>
          <w:tcPr>
            <w:tcW w:w="2360" w:type="dxa"/>
            <w:vAlign w:val="bottom"/>
          </w:tcPr>
          <w:p>
            <w:pPr>
              <w:ind w:left="840"/>
              <w:spacing w:after="0" w:line="176" w:lineRule="exact"/>
              <w:rPr>
                <w:sz w:val="20"/>
                <w:szCs w:val="20"/>
                <w:color w:val="auto"/>
              </w:rPr>
            </w:pPr>
            <w:r>
              <w:rPr>
                <w:rFonts w:ascii="Arial" w:cs="Arial" w:eastAsia="Arial" w:hAnsi="Arial"/>
                <w:sz w:val="16"/>
                <w:szCs w:val="16"/>
                <w:color w:val="auto"/>
              </w:rPr>
              <w:t>Thermal</w:t>
            </w:r>
          </w:p>
        </w:tc>
        <w:tc>
          <w:tcPr>
            <w:tcW w:w="3540" w:type="dxa"/>
            <w:vAlign w:val="bottom"/>
          </w:tcPr>
          <w:p>
            <w:pPr>
              <w:ind w:left="880"/>
              <w:spacing w:after="0" w:line="176" w:lineRule="exact"/>
              <w:rPr>
                <w:sz w:val="20"/>
                <w:szCs w:val="20"/>
                <w:color w:val="auto"/>
              </w:rPr>
            </w:pPr>
            <w:r>
              <w:rPr>
                <w:rFonts w:ascii="Arial" w:cs="Arial" w:eastAsia="Arial" w:hAnsi="Arial"/>
                <w:sz w:val="16"/>
                <w:szCs w:val="16"/>
                <w:color w:val="auto"/>
              </w:rPr>
              <w:t>2023 to 2024</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4"/>
        </w:trPr>
        <w:tc>
          <w:tcPr>
            <w:tcW w:w="4040" w:type="dxa"/>
            <w:vAlign w:val="bottom"/>
          </w:tcPr>
          <w:p>
            <w:pPr>
              <w:ind w:left="520"/>
              <w:spacing w:after="0"/>
              <w:rPr>
                <w:sz w:val="20"/>
                <w:szCs w:val="20"/>
                <w:color w:val="auto"/>
              </w:rPr>
            </w:pPr>
            <w:r>
              <w:rPr>
                <w:rFonts w:ascii="Arial" w:cs="Arial" w:eastAsia="Arial" w:hAnsi="Arial"/>
                <w:sz w:val="16"/>
                <w:szCs w:val="16"/>
                <w:color w:val="auto"/>
              </w:rPr>
              <w:t>Tecnored</w:t>
            </w:r>
          </w:p>
        </w:tc>
        <w:tc>
          <w:tcPr>
            <w:tcW w:w="2360" w:type="dxa"/>
            <w:vAlign w:val="bottom"/>
          </w:tcPr>
          <w:p>
            <w:pPr>
              <w:ind w:left="840"/>
              <w:spacing w:after="0"/>
              <w:rPr>
                <w:sz w:val="20"/>
                <w:szCs w:val="20"/>
                <w:color w:val="auto"/>
              </w:rPr>
            </w:pPr>
            <w:r>
              <w:rPr>
                <w:rFonts w:ascii="Arial" w:cs="Arial" w:eastAsia="Arial" w:hAnsi="Arial"/>
                <w:sz w:val="16"/>
                <w:szCs w:val="16"/>
                <w:color w:val="auto"/>
              </w:rPr>
              <w:t>Thermal</w:t>
            </w:r>
          </w:p>
        </w:tc>
        <w:tc>
          <w:tcPr>
            <w:tcW w:w="3540" w:type="dxa"/>
            <w:vAlign w:val="bottom"/>
          </w:tcPr>
          <w:p>
            <w:pPr>
              <w:ind w:left="880"/>
              <w:spacing w:after="0"/>
              <w:rPr>
                <w:sz w:val="20"/>
                <w:szCs w:val="20"/>
                <w:color w:val="auto"/>
              </w:rPr>
            </w:pPr>
            <w:r>
              <w:rPr>
                <w:rFonts w:ascii="Arial" w:cs="Arial" w:eastAsia="Arial" w:hAnsi="Arial"/>
                <w:sz w:val="16"/>
                <w:szCs w:val="16"/>
                <w:color w:val="auto"/>
              </w:rPr>
              <w:t>2012 to 2013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4040" w:type="dxa"/>
            <w:vAlign w:val="bottom"/>
          </w:tcPr>
          <w:p>
            <w:pPr>
              <w:ind w:left="700"/>
              <w:spacing w:after="0" w:line="176" w:lineRule="exact"/>
              <w:rPr>
                <w:sz w:val="20"/>
                <w:szCs w:val="20"/>
                <w:color w:val="auto"/>
              </w:rPr>
            </w:pPr>
            <w:r>
              <w:rPr>
                <w:rFonts w:ascii="Arial" w:cs="Arial" w:eastAsia="Arial" w:hAnsi="Arial"/>
                <w:sz w:val="16"/>
                <w:szCs w:val="16"/>
                <w:color w:val="auto"/>
              </w:rPr>
              <w:t>Total</w:t>
            </w:r>
          </w:p>
        </w:tc>
        <w:tc>
          <w:tcPr>
            <w:tcW w:w="23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40"/>
        </w:trPr>
        <w:tc>
          <w:tcPr>
            <w:tcW w:w="4040" w:type="dxa"/>
            <w:vAlign w:val="bottom"/>
          </w:tcPr>
          <w:p>
            <w:pPr>
              <w:ind w:left="520"/>
              <w:spacing w:after="0"/>
              <w:rPr>
                <w:sz w:val="20"/>
                <w:szCs w:val="20"/>
                <w:color w:val="auto"/>
              </w:rPr>
            </w:pPr>
            <w:r>
              <w:rPr>
                <w:rFonts w:ascii="Arial" w:cs="Arial" w:eastAsia="Arial" w:hAnsi="Arial"/>
                <w:sz w:val="16"/>
                <w:szCs w:val="16"/>
                <w:color w:val="auto"/>
              </w:rPr>
              <w:t>Endesa</w:t>
            </w:r>
          </w:p>
        </w:tc>
        <w:tc>
          <w:tcPr>
            <w:tcW w:w="2360" w:type="dxa"/>
            <w:vAlign w:val="bottom"/>
          </w:tcPr>
          <w:p>
            <w:pPr>
              <w:ind w:left="840"/>
              <w:spacing w:after="0"/>
              <w:rPr>
                <w:sz w:val="20"/>
                <w:szCs w:val="20"/>
                <w:color w:val="auto"/>
              </w:rPr>
            </w:pPr>
            <w:r>
              <w:rPr>
                <w:rFonts w:ascii="Arial" w:cs="Arial" w:eastAsia="Arial" w:hAnsi="Arial"/>
                <w:sz w:val="16"/>
                <w:szCs w:val="16"/>
                <w:color w:val="auto"/>
              </w:rPr>
              <w:t>Hydro</w:t>
            </w:r>
          </w:p>
        </w:tc>
        <w:tc>
          <w:tcPr>
            <w:tcW w:w="3540" w:type="dxa"/>
            <w:vAlign w:val="bottom"/>
          </w:tcPr>
          <w:p>
            <w:pPr>
              <w:ind w:left="880"/>
              <w:spacing w:after="0"/>
              <w:rPr>
                <w:sz w:val="20"/>
                <w:szCs w:val="20"/>
                <w:color w:val="auto"/>
              </w:rPr>
            </w:pPr>
            <w:r>
              <w:rPr>
                <w:rFonts w:ascii="Arial" w:cs="Arial" w:eastAsia="Arial" w:hAnsi="Arial"/>
                <w:sz w:val="16"/>
                <w:szCs w:val="16"/>
                <w:color w:val="auto"/>
              </w:rPr>
              <w:t>2020 to 2024</w:t>
            </w:r>
          </w:p>
        </w:tc>
        <w:tc>
          <w:tcPr>
            <w:tcW w:w="148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4"/>
        </w:trPr>
        <w:tc>
          <w:tcPr>
            <w:tcW w:w="4040" w:type="dxa"/>
            <w:vAlign w:val="bottom"/>
          </w:tcPr>
          <w:p>
            <w:pPr>
              <w:ind w:left="520"/>
              <w:spacing w:after="0"/>
              <w:rPr>
                <w:sz w:val="20"/>
                <w:szCs w:val="20"/>
                <w:color w:val="auto"/>
              </w:rPr>
            </w:pPr>
            <w:r>
              <w:rPr>
                <w:rFonts w:ascii="Arial" w:cs="Arial" w:eastAsia="Arial" w:hAnsi="Arial"/>
                <w:sz w:val="16"/>
                <w:szCs w:val="16"/>
                <w:color w:val="auto"/>
              </w:rPr>
              <w:t>Gener</w:t>
            </w:r>
          </w:p>
        </w:tc>
        <w:tc>
          <w:tcPr>
            <w:tcW w:w="2360" w:type="dxa"/>
            <w:vAlign w:val="bottom"/>
          </w:tcPr>
          <w:p>
            <w:pPr>
              <w:ind w:left="840"/>
              <w:spacing w:after="0"/>
              <w:rPr>
                <w:sz w:val="20"/>
                <w:szCs w:val="20"/>
                <w:color w:val="auto"/>
              </w:rPr>
            </w:pPr>
            <w:r>
              <w:rPr>
                <w:rFonts w:ascii="Arial" w:cs="Arial" w:eastAsia="Arial" w:hAnsi="Arial"/>
                <w:sz w:val="16"/>
                <w:szCs w:val="16"/>
                <w:color w:val="auto"/>
              </w:rPr>
              <w:t>Hydro</w:t>
            </w:r>
          </w:p>
        </w:tc>
        <w:tc>
          <w:tcPr>
            <w:tcW w:w="3540" w:type="dxa"/>
            <w:vAlign w:val="bottom"/>
          </w:tcPr>
          <w:p>
            <w:pPr>
              <w:ind w:left="880"/>
              <w:spacing w:after="0"/>
              <w:rPr>
                <w:sz w:val="20"/>
                <w:szCs w:val="20"/>
                <w:color w:val="auto"/>
              </w:rPr>
            </w:pPr>
            <w:r>
              <w:rPr>
                <w:rFonts w:ascii="Arial" w:cs="Arial" w:eastAsia="Arial" w:hAnsi="Arial"/>
                <w:sz w:val="16"/>
                <w:szCs w:val="16"/>
                <w:color w:val="auto"/>
              </w:rPr>
              <w:t>2023 to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3"/>
        </w:trPr>
        <w:tc>
          <w:tcPr>
            <w:tcW w:w="4040" w:type="dxa"/>
            <w:vAlign w:val="bottom"/>
          </w:tcPr>
          <w:p>
            <w:pPr>
              <w:ind w:left="700"/>
              <w:spacing w:after="0" w:line="176" w:lineRule="exact"/>
              <w:rPr>
                <w:sz w:val="20"/>
                <w:szCs w:val="20"/>
                <w:color w:val="auto"/>
              </w:rPr>
            </w:pPr>
            <w:r>
              <w:rPr>
                <w:rFonts w:ascii="Arial" w:cs="Arial" w:eastAsia="Arial" w:hAnsi="Arial"/>
                <w:sz w:val="16"/>
                <w:szCs w:val="16"/>
                <w:color w:val="auto"/>
              </w:rPr>
              <w:t>Total</w:t>
            </w:r>
          </w:p>
        </w:tc>
        <w:tc>
          <w:tcPr>
            <w:tcW w:w="23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58"/>
        </w:trPr>
        <w:tc>
          <w:tcPr>
            <w:tcW w:w="4040" w:type="dxa"/>
            <w:vAlign w:val="bottom"/>
          </w:tcPr>
          <w:p>
            <w:pPr>
              <w:ind w:left="520"/>
              <w:spacing w:after="0"/>
              <w:rPr>
                <w:sz w:val="20"/>
                <w:szCs w:val="20"/>
                <w:color w:val="auto"/>
              </w:rPr>
            </w:pPr>
            <w:r>
              <w:rPr>
                <w:rFonts w:ascii="Arial" w:cs="Arial" w:eastAsia="Arial" w:hAnsi="Arial"/>
                <w:sz w:val="16"/>
                <w:szCs w:val="16"/>
                <w:color w:val="auto"/>
              </w:rPr>
              <w:t>Endesa</w:t>
            </w:r>
          </w:p>
        </w:tc>
        <w:tc>
          <w:tcPr>
            <w:tcW w:w="2360" w:type="dxa"/>
            <w:vAlign w:val="bottom"/>
          </w:tcPr>
          <w:p>
            <w:pPr>
              <w:ind w:left="840"/>
              <w:spacing w:after="0"/>
              <w:rPr>
                <w:sz w:val="20"/>
                <w:szCs w:val="20"/>
                <w:color w:val="auto"/>
              </w:rPr>
            </w:pPr>
            <w:r>
              <w:rPr>
                <w:rFonts w:ascii="Arial" w:cs="Arial" w:eastAsia="Arial" w:hAnsi="Arial"/>
                <w:sz w:val="16"/>
                <w:szCs w:val="16"/>
                <w:color w:val="auto"/>
              </w:rPr>
              <w:t>Wind</w:t>
            </w:r>
          </w:p>
        </w:tc>
        <w:tc>
          <w:tcPr>
            <w:tcW w:w="3540" w:type="dxa"/>
            <w:vAlign w:val="bottom"/>
          </w:tcPr>
          <w:p>
            <w:pPr>
              <w:ind w:left="880"/>
              <w:spacing w:after="0"/>
              <w:rPr>
                <w:sz w:val="20"/>
                <w:szCs w:val="20"/>
                <w:color w:val="auto"/>
              </w:rPr>
            </w:pPr>
            <w:r>
              <w:rPr>
                <w:rFonts w:ascii="Arial" w:cs="Arial" w:eastAsia="Arial" w:hAnsi="Arial"/>
                <w:sz w:val="16"/>
                <w:szCs w:val="16"/>
                <w:color w:val="auto"/>
              </w:rPr>
              <w:t>2020 to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4040" w:type="dxa"/>
            <w:vAlign w:val="bottom"/>
          </w:tcPr>
          <w:p>
            <w:pPr>
              <w:spacing w:after="0" w:line="176" w:lineRule="exact"/>
              <w:rPr>
                <w:sz w:val="20"/>
                <w:szCs w:val="20"/>
                <w:color w:val="auto"/>
              </w:rPr>
            </w:pPr>
            <w:r>
              <w:rPr>
                <w:rFonts w:ascii="Arial" w:cs="Arial" w:eastAsia="Arial" w:hAnsi="Arial"/>
                <w:sz w:val="16"/>
                <w:szCs w:val="16"/>
                <w:color w:val="auto"/>
              </w:rPr>
              <w:t>Total contracted</w:t>
            </w:r>
          </w:p>
        </w:tc>
        <w:tc>
          <w:tcPr>
            <w:tcW w:w="23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59"/>
        </w:trPr>
        <w:tc>
          <w:tcPr>
            <w:tcW w:w="4040" w:type="dxa"/>
            <w:vAlign w:val="bottom"/>
          </w:tcPr>
          <w:p>
            <w:pPr>
              <w:spacing w:after="0"/>
              <w:rPr>
                <w:sz w:val="20"/>
                <w:szCs w:val="20"/>
                <w:color w:val="auto"/>
              </w:rPr>
            </w:pPr>
            <w:r>
              <w:rPr>
                <w:rFonts w:ascii="Arial" w:cs="Arial" w:eastAsia="Arial" w:hAnsi="Arial"/>
                <w:sz w:val="16"/>
                <w:szCs w:val="16"/>
                <w:color w:val="auto"/>
              </w:rPr>
              <w:t>GENERATION:</w:t>
            </w:r>
          </w:p>
        </w:tc>
        <w:tc>
          <w:tcPr>
            <w:tcW w:w="23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4040" w:type="dxa"/>
            <w:vAlign w:val="bottom"/>
          </w:tcPr>
          <w:p>
            <w:pPr>
              <w:ind w:left="520"/>
              <w:spacing w:after="0" w:line="168" w:lineRule="exact"/>
              <w:rPr>
                <w:sz w:val="20"/>
                <w:szCs w:val="20"/>
                <w:color w:val="auto"/>
              </w:rPr>
            </w:pPr>
            <w:r>
              <w:rPr>
                <w:rFonts w:ascii="Arial" w:cs="Arial" w:eastAsia="Arial" w:hAnsi="Arial"/>
                <w:sz w:val="16"/>
                <w:szCs w:val="16"/>
                <w:color w:val="auto"/>
              </w:rPr>
              <w:t>Small generation plants(3)</w:t>
            </w:r>
          </w:p>
        </w:tc>
        <w:tc>
          <w:tcPr>
            <w:tcW w:w="2360" w:type="dxa"/>
            <w:vAlign w:val="bottom"/>
          </w:tcPr>
          <w:p>
            <w:pPr>
              <w:ind w:left="840"/>
              <w:spacing w:after="0" w:line="168" w:lineRule="exact"/>
              <w:rPr>
                <w:sz w:val="20"/>
                <w:szCs w:val="20"/>
                <w:color w:val="auto"/>
              </w:rPr>
            </w:pPr>
            <w:r>
              <w:rPr>
                <w:rFonts w:ascii="Arial" w:cs="Arial" w:eastAsia="Arial" w:hAnsi="Arial"/>
                <w:sz w:val="16"/>
                <w:szCs w:val="16"/>
                <w:color w:val="auto"/>
              </w:rPr>
              <w:t>Thermal</w:t>
            </w:r>
          </w:p>
        </w:tc>
        <w:tc>
          <w:tcPr>
            <w:tcW w:w="354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40" w:type="dxa"/>
            <w:vAlign w:val="bottom"/>
          </w:tcPr>
          <w:p>
            <w:pPr>
              <w:spacing w:after="0"/>
              <w:rPr>
                <w:sz w:val="20"/>
                <w:szCs w:val="20"/>
                <w:color w:val="auto"/>
              </w:rPr>
            </w:pPr>
            <w:r>
              <w:rPr>
                <w:rFonts w:ascii="Arial" w:cs="Arial" w:eastAsia="Arial" w:hAnsi="Arial"/>
                <w:sz w:val="16"/>
                <w:szCs w:val="16"/>
                <w:color w:val="auto"/>
              </w:rPr>
              <w:t>TOTAL CONTRACTED AND GENERATION</w:t>
            </w:r>
          </w:p>
        </w:tc>
        <w:tc>
          <w:tcPr>
            <w:tcW w:w="23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covering 2012 - 2024.</w:t>
      </w:r>
    </w:p>
    <w:p>
      <w:pPr>
        <w:spacing w:after="0" w:line="13" w:lineRule="exact"/>
        <w:rPr>
          <w:rFonts w:ascii="Arial" w:cs="Arial" w:eastAsia="Arial" w:hAnsi="Arial"/>
          <w:sz w:val="14"/>
          <w:szCs w:val="14"/>
          <w:i w:val="1"/>
          <w:iCs w:val="1"/>
          <w:color w:val="auto"/>
        </w:rPr>
      </w:pPr>
    </w:p>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with fuel sources that include natural gas, coal or diesel are collectively referred to as thermal.</w:t>
      </w:r>
    </w:p>
    <w:p>
      <w:pPr>
        <w:spacing w:after="0" w:line="1" w:lineRule="exact"/>
        <w:rPr>
          <w:rFonts w:ascii="Arial" w:cs="Arial" w:eastAsia="Arial" w:hAnsi="Arial"/>
          <w:sz w:val="14"/>
          <w:szCs w:val="14"/>
          <w:i w:val="1"/>
          <w:iCs w:val="1"/>
          <w:color w:val="auto"/>
        </w:rPr>
      </w:pPr>
    </w:p>
    <w:p>
      <w:pPr>
        <w:ind w:left="520" w:right="320" w:hanging="512"/>
        <w:spacing w:after="0" w:line="258" w:lineRule="auto"/>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Chilquinta Energía has a long-term contract with Compañía de Petróleos de Chile Copec S.A. that supplies diesel fuel to five small generation plants using trucks from different stations throughout the region.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Power Generation System</w:t>
      </w:r>
    </w:p>
    <w:p>
      <w:pPr>
        <w:spacing w:after="0" w:line="20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Centers for Economic Load Dispatch (Centros de Despacho Económico de Carga, or CDEC) are private organizations in charge of coordinating the operation of the electricity system. Each interconnected system is subject to its own CDEC, hence there is a CDEC-SIC (Sistema Interconectado Central, Central Interconnected System) and CDEC-SING (Sistema Interconectado del Norte Grande, Northern Interconnected System) for the central and the northern interconnected system, respectively. Chilquinta Energía operates within CDEC-SIC.</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System and Access</w:t>
      </w:r>
    </w:p>
    <w:p>
      <w:pPr>
        <w:spacing w:after="0" w:line="2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Chile’s transmission system is divided into two parts, main transmission (sistema de transmisión troncal) and the sub-transmission (sistema de subtransmisión). In Chile, main transmission lines must be greater than or equal to 220 kV. Chilquinta Energía uses the company Transelec for all of its main transmission. In general, sub-transmission systems operate at voltage levels greater than 23 kV and lower than or equal to 110 kV. Sub-transmission systems, including those owned by Chilquinta Energía, are comprised of infrastructure that is interconnected to the electricity system and geared exclusively toward supplying non-regulated or regulated end-users located in the distribution service area.</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Luz del Sur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Luz del Sur is an electric distribution utility serving approximately 900,000 customers in the southern zone of metropolitan Lima, Peru, with a main service area covering 1,160 square miles. At December 31, 2011, its customers consisted of:</w:t>
      </w:r>
    </w:p>
    <w:p>
      <w:pPr>
        <w:spacing w:after="0" w:line="170" w:lineRule="exact"/>
        <w:rPr>
          <w:sz w:val="20"/>
          <w:szCs w:val="20"/>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859,900 residential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56,200 commercial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3,500 industrial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4,800 street and highway lighting</w:t>
      </w:r>
    </w:p>
    <w:p>
      <w:pPr>
        <w:sectPr>
          <w:pgSz w:w="11900" w:h="16838" w:orient="portrait"/>
          <w:cols w:equalWidth="0" w:num="1">
            <w:col w:w="11420"/>
          </w:cols>
          <w:pgMar w:left="240" w:top="125" w:right="239" w:bottom="5" w:gutter="0" w:footer="0" w:header="0"/>
        </w:sectPr>
      </w:pPr>
    </w:p>
    <w:bookmarkStart w:id="12" w:name="page13"/>
    <w:bookmarkEnd w:id="12"/>
    <w:p>
      <w:pPr>
        <w:ind w:left="160"/>
        <w:spacing w:after="0"/>
        <w:rPr>
          <w:sz w:val="20"/>
          <w:szCs w:val="20"/>
          <w:color w:val="auto"/>
        </w:rPr>
      </w:pPr>
      <w:r>
        <w:rPr>
          <w:rFonts w:ascii="Arial" w:cs="Arial" w:eastAsia="Arial" w:hAnsi="Arial"/>
          <w:sz w:val="18"/>
          <w:szCs w:val="18"/>
          <w:color w:val="auto"/>
        </w:rPr>
        <w:t>§ 1,200 agricultural</w:t>
      </w:r>
    </w:p>
    <w:p>
      <w:pPr>
        <w:spacing w:after="0" w:line="252"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In Peru, customers are also classified as regulated and non-regulated customers depending on consumption. Regulated customers are those whose consumption is less than 200 kW and their energy supply is considered public service. Customers with consumption between 200 kW and 2,500 kW may choose to be classified as regulated or non-regulated.</w:t>
      </w:r>
    </w:p>
    <w:p>
      <w:pPr>
        <w:spacing w:after="0" w:line="16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2011, Luz del Sur added 35,000 new customers at a growth rate of four percent. Luz del Sur expects that its customer growth rate in 2012 will be comparable to that in 2011.</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Resources</w:t>
      </w:r>
    </w:p>
    <w:p>
      <w:pPr>
        <w:spacing w:after="0" w:line="2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supply of electric power available to Luz del Sur comes from power purchase contracts currently in place with various suppliers, as well as purchases made on a spot basis. This supply as of December 31, 2011 is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LUZ DEL SUR ELECTRIC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Supplier</w:t>
            </w:r>
          </w:p>
        </w:tc>
        <w:tc>
          <w:tcPr>
            <w:tcW w:w="268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Source(2)</w:t>
            </w:r>
          </w:p>
        </w:tc>
        <w:tc>
          <w:tcPr>
            <w:tcW w:w="33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Expiration date</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Megawatts (MW)</w:t>
            </w:r>
          </w:p>
        </w:tc>
      </w:tr>
      <w:tr>
        <w:trPr>
          <w:trHeight w:val="164"/>
        </w:trPr>
        <w:tc>
          <w:tcPr>
            <w:tcW w:w="3940" w:type="dxa"/>
            <w:vAlign w:val="bottom"/>
          </w:tcPr>
          <w:p>
            <w:pPr>
              <w:spacing w:after="0" w:line="164" w:lineRule="exact"/>
              <w:rPr>
                <w:sz w:val="20"/>
                <w:szCs w:val="20"/>
                <w:color w:val="auto"/>
              </w:rPr>
            </w:pPr>
            <w:r>
              <w:rPr>
                <w:rFonts w:ascii="Arial" w:cs="Arial" w:eastAsia="Arial" w:hAnsi="Arial"/>
                <w:sz w:val="16"/>
                <w:szCs w:val="16"/>
                <w:color w:val="auto"/>
              </w:rPr>
              <w:t>PURCHASED-POWER CONTRACTS(1):</w:t>
            </w:r>
          </w:p>
        </w:tc>
        <w:tc>
          <w:tcPr>
            <w:tcW w:w="26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6"/>
        </w:trPr>
        <w:tc>
          <w:tcPr>
            <w:tcW w:w="3940" w:type="dxa"/>
            <w:vAlign w:val="bottom"/>
          </w:tcPr>
          <w:p>
            <w:pPr>
              <w:spacing w:after="0" w:line="176" w:lineRule="exact"/>
              <w:rPr>
                <w:sz w:val="20"/>
                <w:szCs w:val="20"/>
                <w:color w:val="auto"/>
              </w:rPr>
            </w:pPr>
            <w:r>
              <w:rPr>
                <w:rFonts w:ascii="Arial" w:cs="Arial" w:eastAsia="Arial" w:hAnsi="Arial"/>
                <w:sz w:val="16"/>
                <w:szCs w:val="16"/>
                <w:color w:val="auto"/>
              </w:rPr>
              <w:t>Bilateral contracts:</w:t>
            </w:r>
          </w:p>
        </w:tc>
        <w:tc>
          <w:tcPr>
            <w:tcW w:w="26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SN Power (ex Electroandes)</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Hydro</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2012</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Celepsa</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Hydro</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Eepsa S.A.</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Thermal</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Edegel S.A.A.</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Chinango S.A.C.</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Hydro</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Electroperú S.A.</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2012</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r>
      <w:tr>
        <w:trPr>
          <w:trHeight w:val="194"/>
        </w:trPr>
        <w:tc>
          <w:tcPr>
            <w:tcW w:w="3940" w:type="dxa"/>
            <w:vAlign w:val="bottom"/>
          </w:tcPr>
          <w:p>
            <w:pPr>
              <w:ind w:left="520"/>
              <w:spacing w:after="0"/>
              <w:rPr>
                <w:sz w:val="20"/>
                <w:szCs w:val="20"/>
                <w:color w:val="auto"/>
              </w:rPr>
            </w:pPr>
            <w:r>
              <w:rPr>
                <w:rFonts w:ascii="Arial" w:cs="Arial" w:eastAsia="Arial" w:hAnsi="Arial"/>
                <w:sz w:val="16"/>
                <w:szCs w:val="16"/>
                <w:color w:val="auto"/>
              </w:rPr>
              <w:t>Egasa</w:t>
            </w:r>
          </w:p>
        </w:tc>
        <w:tc>
          <w:tcPr>
            <w:tcW w:w="2680" w:type="dxa"/>
            <w:vAlign w:val="bottom"/>
          </w:tcPr>
          <w:p>
            <w:pPr>
              <w:ind w:left="940"/>
              <w:spacing w:after="0"/>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183"/>
        </w:trPr>
        <w:tc>
          <w:tcPr>
            <w:tcW w:w="3940" w:type="dxa"/>
            <w:vAlign w:val="bottom"/>
          </w:tcPr>
          <w:p>
            <w:pPr>
              <w:ind w:left="700"/>
              <w:spacing w:after="0" w:line="176" w:lineRule="exact"/>
              <w:rPr>
                <w:sz w:val="20"/>
                <w:szCs w:val="20"/>
                <w:color w:val="auto"/>
              </w:rPr>
            </w:pPr>
            <w:r>
              <w:rPr>
                <w:rFonts w:ascii="Arial" w:cs="Arial" w:eastAsia="Arial" w:hAnsi="Arial"/>
                <w:sz w:val="16"/>
                <w:szCs w:val="16"/>
                <w:color w:val="auto"/>
              </w:rPr>
              <w:t>Total</w:t>
            </w:r>
          </w:p>
        </w:tc>
        <w:tc>
          <w:tcPr>
            <w:tcW w:w="26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305</w:t>
            </w:r>
          </w:p>
        </w:tc>
      </w:tr>
      <w:tr>
        <w:trPr>
          <w:trHeight w:val="164"/>
        </w:trPr>
        <w:tc>
          <w:tcPr>
            <w:tcW w:w="3940" w:type="dxa"/>
            <w:vAlign w:val="bottom"/>
          </w:tcPr>
          <w:p>
            <w:pPr>
              <w:spacing w:after="0" w:line="164" w:lineRule="exact"/>
              <w:rPr>
                <w:sz w:val="20"/>
                <w:szCs w:val="20"/>
                <w:color w:val="auto"/>
              </w:rPr>
            </w:pPr>
            <w:r>
              <w:rPr>
                <w:rFonts w:ascii="Arial" w:cs="Arial" w:eastAsia="Arial" w:hAnsi="Arial"/>
                <w:sz w:val="16"/>
                <w:szCs w:val="16"/>
                <w:color w:val="auto"/>
              </w:rPr>
              <w:t>Auction contracts:</w:t>
            </w:r>
          </w:p>
        </w:tc>
        <w:tc>
          <w:tcPr>
            <w:tcW w:w="26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Edegel S.A.A.</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2012 to 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166</w:t>
            </w: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EnerSur S.A.</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2012</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226</w:t>
            </w: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Kallpa Generación S.A.</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Thermal</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r>
      <w:tr>
        <w:trPr>
          <w:trHeight w:val="164"/>
        </w:trPr>
        <w:tc>
          <w:tcPr>
            <w:tcW w:w="3940" w:type="dxa"/>
            <w:vAlign w:val="bottom"/>
          </w:tcPr>
          <w:p>
            <w:pPr>
              <w:ind w:left="520"/>
              <w:spacing w:after="0" w:line="164" w:lineRule="exact"/>
              <w:rPr>
                <w:sz w:val="20"/>
                <w:szCs w:val="20"/>
                <w:color w:val="auto"/>
              </w:rPr>
            </w:pPr>
            <w:r>
              <w:rPr>
                <w:rFonts w:ascii="Arial" w:cs="Arial" w:eastAsia="Arial" w:hAnsi="Arial"/>
                <w:sz w:val="16"/>
                <w:szCs w:val="16"/>
                <w:color w:val="auto"/>
              </w:rPr>
              <w:t>Chinango S.A.C.</w:t>
            </w:r>
          </w:p>
        </w:tc>
        <w:tc>
          <w:tcPr>
            <w:tcW w:w="2680" w:type="dxa"/>
            <w:vAlign w:val="bottom"/>
          </w:tcPr>
          <w:p>
            <w:pPr>
              <w:ind w:left="940"/>
              <w:spacing w:after="0" w:line="164" w:lineRule="exact"/>
              <w:rPr>
                <w:sz w:val="20"/>
                <w:szCs w:val="20"/>
                <w:color w:val="auto"/>
              </w:rPr>
            </w:pPr>
            <w:r>
              <w:rPr>
                <w:rFonts w:ascii="Arial" w:cs="Arial" w:eastAsia="Arial" w:hAnsi="Arial"/>
                <w:sz w:val="16"/>
                <w:szCs w:val="16"/>
                <w:color w:val="auto"/>
              </w:rPr>
              <w:t>Hydro</w:t>
            </w:r>
          </w:p>
        </w:tc>
        <w:tc>
          <w:tcPr>
            <w:tcW w:w="3320" w:type="dxa"/>
            <w:vAlign w:val="bottom"/>
          </w:tcPr>
          <w:p>
            <w:pPr>
              <w:ind w:left="660"/>
              <w:spacing w:after="0" w:line="164"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64" w:lineRule="exact"/>
              <w:rPr>
                <w:sz w:val="20"/>
                <w:szCs w:val="20"/>
                <w:color w:val="auto"/>
              </w:rPr>
            </w:pPr>
            <w:r>
              <w:rPr>
                <w:rFonts w:ascii="Arial" w:cs="Arial" w:eastAsia="Arial" w:hAnsi="Arial"/>
                <w:sz w:val="16"/>
                <w:szCs w:val="16"/>
                <w:color w:val="auto"/>
              </w:rPr>
              <w:t>12</w:t>
            </w:r>
          </w:p>
        </w:tc>
      </w:tr>
      <w:tr>
        <w:trPr>
          <w:trHeight w:val="187"/>
        </w:trPr>
        <w:tc>
          <w:tcPr>
            <w:tcW w:w="3940" w:type="dxa"/>
            <w:vAlign w:val="bottom"/>
          </w:tcPr>
          <w:p>
            <w:pPr>
              <w:ind w:left="520"/>
              <w:spacing w:after="0"/>
              <w:rPr>
                <w:sz w:val="20"/>
                <w:szCs w:val="20"/>
                <w:color w:val="auto"/>
              </w:rPr>
            </w:pPr>
            <w:r>
              <w:rPr>
                <w:rFonts w:ascii="Arial" w:cs="Arial" w:eastAsia="Arial" w:hAnsi="Arial"/>
                <w:sz w:val="16"/>
                <w:szCs w:val="16"/>
                <w:color w:val="auto"/>
              </w:rPr>
              <w:t>Termoselva S.R.L.</w:t>
            </w:r>
          </w:p>
        </w:tc>
        <w:tc>
          <w:tcPr>
            <w:tcW w:w="2680" w:type="dxa"/>
            <w:vAlign w:val="bottom"/>
          </w:tcPr>
          <w:p>
            <w:pPr>
              <w:ind w:left="940"/>
              <w:spacing w:after="0"/>
              <w:rPr>
                <w:sz w:val="20"/>
                <w:szCs w:val="20"/>
                <w:color w:val="auto"/>
              </w:rPr>
            </w:pPr>
            <w:r>
              <w:rPr>
                <w:rFonts w:ascii="Arial" w:cs="Arial" w:eastAsia="Arial" w:hAnsi="Arial"/>
                <w:sz w:val="16"/>
                <w:szCs w:val="16"/>
                <w:color w:val="auto"/>
              </w:rPr>
              <w:t>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76"/>
        </w:trPr>
        <w:tc>
          <w:tcPr>
            <w:tcW w:w="3940" w:type="dxa"/>
            <w:vAlign w:val="bottom"/>
          </w:tcPr>
          <w:p>
            <w:pPr>
              <w:ind w:left="520"/>
              <w:spacing w:after="0" w:line="176" w:lineRule="exact"/>
              <w:rPr>
                <w:sz w:val="20"/>
                <w:szCs w:val="20"/>
                <w:color w:val="auto"/>
              </w:rPr>
            </w:pPr>
            <w:r>
              <w:rPr>
                <w:rFonts w:ascii="Arial" w:cs="Arial" w:eastAsia="Arial" w:hAnsi="Arial"/>
                <w:sz w:val="16"/>
                <w:szCs w:val="16"/>
                <w:color w:val="auto"/>
              </w:rPr>
              <w:t>DE-Egenor S. en C. por A.</w:t>
            </w:r>
          </w:p>
        </w:tc>
        <w:tc>
          <w:tcPr>
            <w:tcW w:w="2680" w:type="dxa"/>
            <w:vAlign w:val="bottom"/>
          </w:tcPr>
          <w:p>
            <w:pPr>
              <w:ind w:left="940"/>
              <w:spacing w:after="0" w:line="176" w:lineRule="exact"/>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line="176" w:lineRule="exact"/>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94"/>
        </w:trPr>
        <w:tc>
          <w:tcPr>
            <w:tcW w:w="3940" w:type="dxa"/>
            <w:vAlign w:val="bottom"/>
          </w:tcPr>
          <w:p>
            <w:pPr>
              <w:ind w:left="520"/>
              <w:spacing w:after="0"/>
              <w:rPr>
                <w:sz w:val="20"/>
                <w:szCs w:val="20"/>
                <w:color w:val="auto"/>
              </w:rPr>
            </w:pPr>
            <w:r>
              <w:rPr>
                <w:rFonts w:ascii="Arial" w:cs="Arial" w:eastAsia="Arial" w:hAnsi="Arial"/>
                <w:sz w:val="16"/>
                <w:szCs w:val="16"/>
                <w:color w:val="auto"/>
              </w:rPr>
              <w:t>Eepsa S.A.</w:t>
            </w:r>
          </w:p>
        </w:tc>
        <w:tc>
          <w:tcPr>
            <w:tcW w:w="2680" w:type="dxa"/>
            <w:vAlign w:val="bottom"/>
          </w:tcPr>
          <w:p>
            <w:pPr>
              <w:ind w:left="940"/>
              <w:spacing w:after="0"/>
              <w:rPr>
                <w:sz w:val="20"/>
                <w:szCs w:val="20"/>
                <w:color w:val="auto"/>
              </w:rPr>
            </w:pPr>
            <w:r>
              <w:rPr>
                <w:rFonts w:ascii="Arial" w:cs="Arial" w:eastAsia="Arial" w:hAnsi="Arial"/>
                <w:sz w:val="16"/>
                <w:szCs w:val="16"/>
                <w:color w:val="auto"/>
              </w:rPr>
              <w:t>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83"/>
        </w:trPr>
        <w:tc>
          <w:tcPr>
            <w:tcW w:w="3940" w:type="dxa"/>
            <w:vAlign w:val="bottom"/>
          </w:tcPr>
          <w:p>
            <w:pPr>
              <w:ind w:left="700"/>
              <w:spacing w:after="0" w:line="176" w:lineRule="exact"/>
              <w:rPr>
                <w:sz w:val="20"/>
                <w:szCs w:val="20"/>
                <w:color w:val="auto"/>
              </w:rPr>
            </w:pPr>
            <w:r>
              <w:rPr>
                <w:rFonts w:ascii="Arial" w:cs="Arial" w:eastAsia="Arial" w:hAnsi="Arial"/>
                <w:sz w:val="16"/>
                <w:szCs w:val="16"/>
                <w:color w:val="auto"/>
              </w:rPr>
              <w:t>Total</w:t>
            </w:r>
          </w:p>
        </w:tc>
        <w:tc>
          <w:tcPr>
            <w:tcW w:w="26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556</w:t>
            </w:r>
          </w:p>
        </w:tc>
      </w:tr>
      <w:tr>
        <w:trPr>
          <w:trHeight w:val="195"/>
        </w:trPr>
        <w:tc>
          <w:tcPr>
            <w:tcW w:w="3940" w:type="dxa"/>
            <w:vAlign w:val="bottom"/>
          </w:tcPr>
          <w:p>
            <w:pPr>
              <w:spacing w:after="0"/>
              <w:rPr>
                <w:sz w:val="20"/>
                <w:szCs w:val="20"/>
                <w:color w:val="auto"/>
              </w:rPr>
            </w:pPr>
            <w:r>
              <w:rPr>
                <w:rFonts w:ascii="Arial" w:cs="Arial" w:eastAsia="Arial" w:hAnsi="Arial"/>
                <w:sz w:val="16"/>
                <w:szCs w:val="16"/>
                <w:color w:val="auto"/>
              </w:rPr>
              <w:t>TOTAL CONTRACTED</w:t>
            </w:r>
          </w:p>
        </w:tc>
        <w:tc>
          <w:tcPr>
            <w:tcW w:w="26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20" w:hanging="512"/>
        <w:spacing w:after="0"/>
        <w:tabs>
          <w:tab w:leader="none" w:pos="5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covering 2012 - 2013.</w:t>
      </w:r>
    </w:p>
    <w:p>
      <w:pPr>
        <w:spacing w:after="0" w:line="13" w:lineRule="exact"/>
        <w:rPr>
          <w:rFonts w:ascii="Arial" w:cs="Arial" w:eastAsia="Arial" w:hAnsi="Arial"/>
          <w:sz w:val="14"/>
          <w:szCs w:val="14"/>
          <w:i w:val="1"/>
          <w:iCs w:val="1"/>
          <w:color w:val="auto"/>
        </w:rPr>
      </w:pPr>
    </w:p>
    <w:p>
      <w:pPr>
        <w:ind w:left="520" w:hanging="512"/>
        <w:spacing w:after="0"/>
        <w:tabs>
          <w:tab w:leader="none" w:pos="5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with fuel sources that include natural gas, coal or diesel are collectively referred to as thermal.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Power Generation System</w:t>
      </w:r>
    </w:p>
    <w:p>
      <w:pPr>
        <w:spacing w:after="0" w:line="20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Sistema Eléctrico Interconectado Nacional (SEIN) is the Peruvian national interconnected system. Peru also has several isolated regional and smaller systems that provide electricity to specific areas. The OSINERGMIN is an autonomous public regulatory entity that controls and enforces compliance with legal and technical regulations related to electrical activities, sets tariffs and supervises the bidding processes required by distribution companies to purchase energy from generators.</w:t>
      </w:r>
    </w:p>
    <w:p>
      <w:pPr>
        <w:spacing w:after="0" w:line="175"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The Committee of Economic Operation of the System (Comité de Operación Económica del Sistema Interconectado Nacional, or COES) coordinates the operation and dispatch of electricity of the SEIN, and manages the short-term market. The COES oversees generation, transmission and distribution companies, as well unregulated customers with a demand higher than 200 kW.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System and Access</w:t>
      </w:r>
    </w:p>
    <w:p>
      <w:pPr>
        <w:spacing w:after="0" w:line="20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Transmission lines in Peru are divided into principal and secondary systems. The principal system lines are accessible by all generators and allow the flow of energy through the national grid. The secondary system lines connect principal transmission with the network of distribution companies or connect directly to certain final customers. The transmission company receives tariff revenues and collects tolls based on a charge per unit of electricity.</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REGULATION – UTILITIES</w:t>
      </w:r>
    </w:p>
    <w:p>
      <w:pPr>
        <w:spacing w:after="0" w:line="23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provide information concerning rates and regulation applicable to the Sempra Utilities and Sempra Pipelines &amp; Storage’s utilities in “Management’s Discussion and Analysis of Financial Condition and Results of Operations” and in Notes 1 and 14 of the Notes to Consolidated Financial Statements in the Annual Report.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GLOBAL</w:t>
      </w:r>
    </w:p>
    <w:p>
      <w:pPr>
        <w:spacing w:after="0" w:line="23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Sempra Global is a holding company for most of our subsidiaries that are not subject to California utility regulation. Sempra Global includes Sempra Generation, Sempra Pipelines &amp; Storage and Sempra LNG. In addition to the discussion of Sempra Pipelines and Storage’s South American utilities above, we provide descriptions of these business units and information concerning their operations under “Management’s Discussion and Analysis of Financial Condition and Results of Operations” and in Notes 1, 3, 4, 15, and 16 of the Notes to Consolidated Financial Statements in the Annual Report.</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Sempra Energy’s non-utility businesses are among many others in the energy industry providing similar products and services. They are engaged in highly competitive activities that require significant capital investments and highly skilled and experienced personnel. Many of their competitors may have significantly greater financial, personnel and other resources than Sempra Global.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Generation</w:t>
      </w:r>
    </w:p>
    <w:p>
      <w:pPr>
        <w:sectPr>
          <w:pgSz w:w="11900" w:h="16838" w:orient="portrait"/>
          <w:cols w:equalWidth="0" w:num="1">
            <w:col w:w="11420"/>
          </w:cols>
          <w:pgMar w:left="240" w:top="125" w:right="239" w:bottom="0" w:gutter="0" w:footer="0" w:header="0"/>
        </w:sectPr>
      </w:pPr>
    </w:p>
    <w:bookmarkStart w:id="13" w:name="page14"/>
    <w:bookmarkEnd w:id="13"/>
    <w:p>
      <w:pPr>
        <w:ind w:right="100"/>
        <w:spacing w:after="0" w:line="273" w:lineRule="auto"/>
        <w:rPr>
          <w:sz w:val="20"/>
          <w:szCs w:val="20"/>
          <w:color w:val="auto"/>
        </w:rPr>
      </w:pPr>
      <w:r>
        <w:rPr>
          <w:rFonts w:ascii="Arial" w:cs="Arial" w:eastAsia="Arial" w:hAnsi="Arial"/>
          <w:sz w:val="17"/>
          <w:szCs w:val="17"/>
          <w:color w:val="auto"/>
        </w:rPr>
        <w:t>For sales of non-contracted power, Sempra Generation is subject to competition from energy marketers, utilities, industrial companies and other independent power producers. For a number of years, natural gas has been the fuel of choice for new power generation facilities for economic, operational and environmental reasons. While natural gas-fired facilities will continue to be an important part of the nation’s generation portfolio, some regulated utilities are now constructing units powered by renewable resources, often with subsidies or under legislative mandate. These utilities may have a lower cost of capital than most independent power producers and often are able to recover fixed costs through rate base mechanisms. This recovery allows them to build, buy and upgrade generation without relying exclusively on market clearing prices to recover their investments.</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When Sempra Generation sells power not subject to long-term contract commitments, it is exposed to market fluctuations in prices based on a number of factors, including the amount of capacity available to meet demand, the price and availability of fuel, and the presence of transmission constraints. Additionally, generation from Sempra Generation’s renewable energy assets is exposed to fluctuations in naturally occurring conditions such as wind, weather and hours of sunlight. Some of Sempra Generation’s competitors, such as electric utilities and generation companies, have their own generation capacity, including natural gas, coal and nuclear generation. These companies, generally larger than Sempra Generation, may have a lower cost of capital and may have competitive advantages as a result of their scale and the location of their generation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Sempra Generation’s competitors include</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80" w:type="dxa"/>
            <w:vAlign w:val="bottom"/>
          </w:tcPr>
          <w:p>
            <w:pPr>
              <w:ind w:left="100"/>
              <w:spacing w:after="0"/>
              <w:rPr>
                <w:sz w:val="20"/>
                <w:szCs w:val="20"/>
                <w:color w:val="auto"/>
              </w:rPr>
            </w:pPr>
            <w:r>
              <w:rPr>
                <w:rFonts w:ascii="Arial" w:cs="Arial" w:eastAsia="Arial" w:hAnsi="Arial"/>
                <w:sz w:val="18"/>
                <w:szCs w:val="18"/>
                <w:color w:val="auto"/>
              </w:rPr>
              <w:t>Calpine</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GenOn Energy</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80" w:type="dxa"/>
            <w:vAlign w:val="bottom"/>
          </w:tcPr>
          <w:p>
            <w:pPr>
              <w:ind w:left="100"/>
              <w:spacing w:after="0"/>
              <w:rPr>
                <w:sz w:val="20"/>
                <w:szCs w:val="20"/>
                <w:color w:val="auto"/>
              </w:rPr>
            </w:pPr>
            <w:r>
              <w:rPr>
                <w:rFonts w:ascii="Arial" w:cs="Arial" w:eastAsia="Arial" w:hAnsi="Arial"/>
                <w:sz w:val="18"/>
                <w:szCs w:val="18"/>
                <w:color w:val="auto"/>
              </w:rPr>
              <w:t>Dynegy</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w w:val="88"/>
              </w:rPr>
              <w:t>NextEra Energy Resources</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80" w:type="dxa"/>
            <w:vAlign w:val="bottom"/>
          </w:tcPr>
          <w:p>
            <w:pPr>
              <w:ind w:left="100"/>
              <w:spacing w:after="0"/>
              <w:rPr>
                <w:sz w:val="20"/>
                <w:szCs w:val="20"/>
                <w:color w:val="auto"/>
              </w:rPr>
            </w:pPr>
            <w:r>
              <w:rPr>
                <w:rFonts w:ascii="Arial" w:cs="Arial" w:eastAsia="Arial" w:hAnsi="Arial"/>
                <w:sz w:val="18"/>
                <w:szCs w:val="18"/>
                <w:color w:val="auto"/>
              </w:rPr>
              <w:t>Edison Mission Energy</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NRG Energy</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Pipelines &amp; Storage</w:t>
      </w:r>
    </w:p>
    <w:p>
      <w:pPr>
        <w:spacing w:after="0" w:line="205"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Within its market area, Sempra Pipelines &amp; Storage’s natural gas storage facilities and pipelines compete with other regulated and unregulated storage facilities and pipelines. It competes primarily on the basis of price (in terms of storage and transportation fees), available capacity, and connections to downstream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Sempra Pipelines &amp; Storage’s competitors include</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AES Corporation</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3600" w:type="dxa"/>
            <w:vAlign w:val="bottom"/>
          </w:tcPr>
          <w:p>
            <w:pPr>
              <w:ind w:left="100"/>
              <w:spacing w:after="0"/>
              <w:rPr>
                <w:sz w:val="20"/>
                <w:szCs w:val="20"/>
                <w:color w:val="auto"/>
              </w:rPr>
            </w:pPr>
            <w:r>
              <w:rPr>
                <w:rFonts w:ascii="Arial" w:cs="Arial" w:eastAsia="Arial" w:hAnsi="Arial"/>
                <w:sz w:val="18"/>
                <w:szCs w:val="18"/>
                <w:color w:val="auto"/>
              </w:rPr>
              <w:t>Iberdrola</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Boardwalk Pipeline Partners</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3600" w:type="dxa"/>
            <w:vAlign w:val="bottom"/>
          </w:tcPr>
          <w:p>
            <w:pPr>
              <w:ind w:left="100"/>
              <w:spacing w:after="0"/>
              <w:rPr>
                <w:sz w:val="20"/>
                <w:szCs w:val="20"/>
                <w:color w:val="auto"/>
              </w:rPr>
            </w:pPr>
            <w:r>
              <w:rPr>
                <w:rFonts w:ascii="Arial" w:cs="Arial" w:eastAsia="Arial" w:hAnsi="Arial"/>
                <w:sz w:val="18"/>
                <w:szCs w:val="18"/>
                <w:color w:val="auto"/>
              </w:rPr>
              <w:t>Kinder Morgan</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Duke Energy</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3600" w:type="dxa"/>
            <w:vAlign w:val="bottom"/>
          </w:tcPr>
          <w:p>
            <w:pPr>
              <w:ind w:left="100"/>
              <w:spacing w:after="0"/>
              <w:rPr>
                <w:sz w:val="20"/>
                <w:szCs w:val="20"/>
                <w:color w:val="auto"/>
              </w:rPr>
            </w:pPr>
            <w:r>
              <w:rPr>
                <w:rFonts w:ascii="Arial" w:cs="Arial" w:eastAsia="Arial" w:hAnsi="Arial"/>
                <w:sz w:val="18"/>
                <w:szCs w:val="18"/>
                <w:color w:val="auto"/>
              </w:rPr>
              <w:t>Plains All-American</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El Paso</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3600" w:type="dxa"/>
            <w:vAlign w:val="bottom"/>
          </w:tcPr>
          <w:p>
            <w:pPr>
              <w:ind w:left="100"/>
              <w:spacing w:after="0"/>
              <w:rPr>
                <w:sz w:val="20"/>
                <w:szCs w:val="20"/>
                <w:color w:val="auto"/>
              </w:rPr>
            </w:pPr>
            <w:r>
              <w:rPr>
                <w:rFonts w:ascii="Arial" w:cs="Arial" w:eastAsia="Arial" w:hAnsi="Arial"/>
                <w:sz w:val="18"/>
                <w:szCs w:val="18"/>
                <w:color w:val="auto"/>
              </w:rPr>
              <w:t>Spectra Energy</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Endesa</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3600" w:type="dxa"/>
            <w:vAlign w:val="bottom"/>
          </w:tcPr>
          <w:p>
            <w:pPr>
              <w:ind w:left="100"/>
              <w:spacing w:after="0"/>
              <w:rPr>
                <w:sz w:val="20"/>
                <w:szCs w:val="20"/>
                <w:color w:val="auto"/>
              </w:rPr>
            </w:pPr>
            <w:r>
              <w:rPr>
                <w:rFonts w:ascii="Arial" w:cs="Arial" w:eastAsia="Arial" w:hAnsi="Arial"/>
                <w:sz w:val="18"/>
                <w:szCs w:val="18"/>
                <w:color w:val="auto"/>
              </w:rPr>
              <w:t>TransCanada</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Energy Transfer Partners</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3600" w:type="dxa"/>
            <w:vAlign w:val="bottom"/>
          </w:tcPr>
          <w:p>
            <w:pPr>
              <w:ind w:left="100"/>
              <w:spacing w:after="0"/>
              <w:rPr>
                <w:sz w:val="20"/>
                <w:szCs w:val="20"/>
                <w:color w:val="auto"/>
              </w:rPr>
            </w:pPr>
            <w:r>
              <w:rPr>
                <w:rFonts w:ascii="Arial" w:cs="Arial" w:eastAsia="Arial" w:hAnsi="Arial"/>
                <w:sz w:val="18"/>
                <w:szCs w:val="18"/>
                <w:color w:val="auto"/>
              </w:rPr>
              <w:t>The Williams Companies</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Enterprise Product Partners</w:t>
            </w:r>
          </w:p>
        </w:tc>
        <w:tc>
          <w:tcPr>
            <w:tcW w:w="5400" w:type="dxa"/>
            <w:vAlign w:val="bottom"/>
            <w:gridSpan w:val="2"/>
          </w:tcPr>
          <w:p>
            <w:pPr>
              <w:ind w:left="1600"/>
              <w:spacing w:after="0"/>
              <w:rPr>
                <w:sz w:val="20"/>
                <w:szCs w:val="20"/>
                <w:color w:val="auto"/>
              </w:rPr>
            </w:pPr>
            <w:r>
              <w:rPr>
                <w:rFonts w:ascii="Arial" w:cs="Arial" w:eastAsia="Arial" w:hAnsi="Arial"/>
                <w:sz w:val="18"/>
                <w:szCs w:val="18"/>
                <w:color w:val="auto"/>
                <w:w w:val="89"/>
              </w:rPr>
              <w:t>§   Various independent midstream asset developers</w:t>
            </w:r>
          </w:p>
        </w:tc>
      </w:tr>
    </w:tbl>
    <w:p>
      <w:pPr>
        <w:spacing w:after="0" w:line="202"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Iberdrola Renewables (Enstor)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New supplies to meet North America’s natural gas demand may be developed from a combination of the following sources:</w:t>
      </w:r>
    </w:p>
    <w:p>
      <w:pPr>
        <w:spacing w:after="0" w:line="225" w:lineRule="exact"/>
        <w:rPr>
          <w:sz w:val="20"/>
          <w:szCs w:val="20"/>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existing producing basins in the United States, Canada and Mexico;</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frontier basins in Alaska, Canada, and offshore North America;</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areas currently restricted from exploration and development due to public policies, such as areas in the Rocky Mountains and offshore Atlantic, Pacific and Gulf of Mexico coasts;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inaccessible or uneconomic natural gas reserves through hydraulic fracturing (natural gas recovery from shale formations) and other new exploration, drilling and production techniques;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LNG imported into LNG terminals in operation or under development in the United States, Canada and Mexico;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biogas recovery from landfills and livestock operations.</w:t>
      </w:r>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addition, the demand for energy currently met by natural gas could be met by other energy forms such as coal, hydroelectric, oil, wind, solar, geothermal, biomass and nuclear energy. Sempra LNG will, therefore, face competition from companies that supply each of these energy sources.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Sempra LNG currently competes with other companies that operate LNG receiving terminals and purchase and sell LNG. As of December 31, 2011, there were 14 existing and operating LNG receipt terminals in North America. There is one additional LNG receipt terminal currently under construction in North America. Worldwide, there are 87 existing and operating LNG receipt terminals in 25 countries. There are also other proposed LNG receipt terminals worldwide with which, if developed, Sempra LNG would compete to be the most economical delivery point for LNG supply of both long-term contracted and spot volumes.</w:t>
      </w:r>
    </w:p>
    <w:p>
      <w:pPr>
        <w:sectPr>
          <w:pgSz w:w="11900" w:h="16838" w:orient="portrait"/>
          <w:cols w:equalWidth="0" w:num="1">
            <w:col w:w="11420"/>
          </w:cols>
          <w:pgMar w:left="240" w:top="125"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Sempra LNG’s major domestic and international competitors include the following companies and their related LNG affiliates: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BG</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w w:val="95"/>
              </w:rPr>
              <w:t>Excelerate Energy</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BP</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w w:val="86"/>
              </w:rPr>
              <w:t>Gas Natural Fenosa</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Cheniere Energy</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GDF Suez</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Chevron</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OAO Gazprom</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ConocoPhillips</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Repsol</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Dominion Resources</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w w:val="97"/>
              </w:rPr>
              <w:t>Royal Dutch Shell</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El Paso</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Southern Union</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Eni</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Statoil</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discuss environmental issues affecting us in Notes 14 and 15 of the Notes to Consolidated Financial Statements in the Annual Report. You should read the following additional information in conjunction with those discussions.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Hazardous Substances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1994, the CPUC approved the Hazardous Waste Collaborative mechanism, allowing California’s IOUs to recover hazardous waste cleanup costs for certain sites, including those related to certain Superfund sites. This mechanism permits the Sempra Utilities to recover in rates 90 percent of hazardous waste cleanup costs and related third-party litigation costs, and 70 percent of the related insurance-litigation expenses. In addition, the Sempra Utilities have the opportunity to retain a percentage of any recoveries from insurance carriers and other third parties to offset the cleanup and associated litigation costs not recovered in rates.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At December 31, 2011, we had accrued estimated remaining investigation and remediation liabilities of $0.6 million at SDG&amp;E and $23.4 million at SoCalGas, both related to hazardous waste sites for which the Hazardous Waste Collaborative mechanism authorizes us to recover 90 percent of the costs. The accruals include costs for numerous locations, most of which had been manufactured-gas plants. This estimated cost excludes remediation costs of $1 million associated with SDG&amp;E’s former fossil-fuel power plants and other locations for which the cleanup costs are not being recovered in rates. We believe that any costs not ultimately recovered through rates, insurance or other means will not have a material adverse effect on the consolidated results of operations, cash flows or financial condition of Sempra Energy, SDG&amp;E or SoCalGas.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record estimated liabilities for environmental remediation when amounts are probable and estimable. In addition, we record amounts authorized to be recovered in rates under the Hazardous Waste Collaborative mechanism as regulatory assets.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Air and Water Quality</w:t>
      </w:r>
    </w:p>
    <w:p>
      <w:pPr>
        <w:spacing w:after="0" w:line="2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electric and natural gas industries are subject to increasingly stringent air-quality and greenhouse gas standards, such as those established by the United States Environmental Protection Agency (EPA) and the CARB. We discuss these standards in “Government Regulation – California Utility Regulation” above. The Sempra Utilities generally recover in rates the costs to comply with these standards.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connection with the issuance of operating permits, SDG&amp;E and the other owners of SONGS have an agreement with the California Coastal Commission to mitigate environmental impacts to the marine environment attributed to the cooling-water discharge from SONGS. SDG&amp;E’s share of the mitigation costs is estimated to be $55 million, of which $38 million had been incurred through December 31, 2011, and $17 million is accrued for the remaining costs through 2050. In 2008, an artificial kelp reef project was completed. The remaining costs are to complete a wetlands project and maintain both projects through 2050.</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Age(1)</w:t>
            </w:r>
          </w:p>
        </w:tc>
        <w:tc>
          <w:tcPr>
            <w:tcW w:w="6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Position(1)</w:t>
            </w:r>
          </w:p>
        </w:tc>
      </w:tr>
      <w:tr>
        <w:trPr>
          <w:trHeight w:val="167"/>
        </w:trPr>
        <w:tc>
          <w:tcPr>
            <w:tcW w:w="3860" w:type="dxa"/>
            <w:vAlign w:val="bottom"/>
          </w:tcPr>
          <w:p>
            <w:pPr>
              <w:spacing w:after="0"/>
              <w:rPr>
                <w:sz w:val="20"/>
                <w:szCs w:val="20"/>
                <w:color w:val="auto"/>
              </w:rPr>
            </w:pPr>
            <w:r>
              <w:rPr>
                <w:rFonts w:ascii="Arial" w:cs="Arial" w:eastAsia="Arial" w:hAnsi="Arial"/>
                <w:sz w:val="14"/>
                <w:szCs w:val="14"/>
                <w:color w:val="auto"/>
              </w:rPr>
              <w:t>Donald E. Felsinger</w:t>
            </w:r>
          </w:p>
        </w:tc>
        <w:tc>
          <w:tcPr>
            <w:tcW w:w="1200" w:type="dxa"/>
            <w:vAlign w:val="bottom"/>
          </w:tcPr>
          <w:p>
            <w:pPr>
              <w:ind w:left="560"/>
              <w:spacing w:after="0"/>
              <w:rPr>
                <w:sz w:val="20"/>
                <w:szCs w:val="20"/>
                <w:color w:val="auto"/>
              </w:rPr>
            </w:pPr>
            <w:r>
              <w:rPr>
                <w:rFonts w:ascii="Arial" w:cs="Arial" w:eastAsia="Arial" w:hAnsi="Arial"/>
                <w:sz w:val="14"/>
                <w:szCs w:val="14"/>
                <w:color w:val="auto"/>
              </w:rPr>
              <w:t>64</w:t>
            </w:r>
          </w:p>
        </w:tc>
        <w:tc>
          <w:tcPr>
            <w:tcW w:w="6360" w:type="dxa"/>
            <w:vAlign w:val="bottom"/>
          </w:tcPr>
          <w:p>
            <w:pPr>
              <w:ind w:left="200"/>
              <w:spacing w:after="0"/>
              <w:rPr>
                <w:sz w:val="20"/>
                <w:szCs w:val="20"/>
                <w:color w:val="auto"/>
              </w:rPr>
            </w:pPr>
            <w:r>
              <w:rPr>
                <w:rFonts w:ascii="Arial" w:cs="Arial" w:eastAsia="Arial" w:hAnsi="Arial"/>
                <w:sz w:val="14"/>
                <w:szCs w:val="14"/>
                <w:color w:val="auto"/>
              </w:rPr>
              <w:t>Executive Chairman</w:t>
            </w: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Debra L. Reed</w:t>
            </w:r>
          </w:p>
        </w:tc>
        <w:tc>
          <w:tcPr>
            <w:tcW w:w="1200" w:type="dxa"/>
            <w:vAlign w:val="bottom"/>
          </w:tcPr>
          <w:p>
            <w:pPr>
              <w:ind w:left="560"/>
              <w:spacing w:after="0"/>
              <w:rPr>
                <w:sz w:val="20"/>
                <w:szCs w:val="20"/>
                <w:color w:val="auto"/>
              </w:rPr>
            </w:pPr>
            <w:r>
              <w:rPr>
                <w:rFonts w:ascii="Arial" w:cs="Arial" w:eastAsia="Arial" w:hAnsi="Arial"/>
                <w:sz w:val="14"/>
                <w:szCs w:val="14"/>
                <w:color w:val="auto"/>
              </w:rPr>
              <w:t>55</w:t>
            </w:r>
          </w:p>
        </w:tc>
        <w:tc>
          <w:tcPr>
            <w:tcW w:w="6360" w:type="dxa"/>
            <w:vAlign w:val="bottom"/>
          </w:tcPr>
          <w:p>
            <w:pPr>
              <w:ind w:left="200"/>
              <w:spacing w:after="0"/>
              <w:rPr>
                <w:sz w:val="20"/>
                <w:szCs w:val="20"/>
                <w:color w:val="auto"/>
              </w:rPr>
            </w:pPr>
            <w:r>
              <w:rPr>
                <w:rFonts w:ascii="Arial" w:cs="Arial" w:eastAsia="Arial" w:hAnsi="Arial"/>
                <w:sz w:val="14"/>
                <w:szCs w:val="14"/>
                <w:color w:val="auto"/>
              </w:rPr>
              <w:t>Chief Executive Officer</w:t>
            </w: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Mark A. Snell</w:t>
            </w:r>
          </w:p>
        </w:tc>
        <w:tc>
          <w:tcPr>
            <w:tcW w:w="1200" w:type="dxa"/>
            <w:vAlign w:val="bottom"/>
          </w:tcPr>
          <w:p>
            <w:pPr>
              <w:ind w:left="560"/>
              <w:spacing w:after="0"/>
              <w:rPr>
                <w:sz w:val="20"/>
                <w:szCs w:val="20"/>
                <w:color w:val="auto"/>
              </w:rPr>
            </w:pPr>
            <w:r>
              <w:rPr>
                <w:rFonts w:ascii="Arial" w:cs="Arial" w:eastAsia="Arial" w:hAnsi="Arial"/>
                <w:sz w:val="14"/>
                <w:szCs w:val="14"/>
                <w:color w:val="auto"/>
              </w:rPr>
              <w:t>55</w:t>
            </w:r>
          </w:p>
        </w:tc>
        <w:tc>
          <w:tcPr>
            <w:tcW w:w="6360" w:type="dxa"/>
            <w:vAlign w:val="bottom"/>
          </w:tcPr>
          <w:p>
            <w:pPr>
              <w:ind w:left="200"/>
              <w:spacing w:after="0"/>
              <w:rPr>
                <w:sz w:val="20"/>
                <w:szCs w:val="20"/>
                <w:color w:val="auto"/>
              </w:rPr>
            </w:pPr>
            <w:r>
              <w:rPr>
                <w:rFonts w:ascii="Arial" w:cs="Arial" w:eastAsia="Arial" w:hAnsi="Arial"/>
                <w:sz w:val="14"/>
                <w:szCs w:val="14"/>
                <w:color w:val="auto"/>
              </w:rPr>
              <w:t>President</w:t>
            </w: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Javade Chaudhri</w:t>
            </w:r>
          </w:p>
        </w:tc>
        <w:tc>
          <w:tcPr>
            <w:tcW w:w="1200" w:type="dxa"/>
            <w:vAlign w:val="bottom"/>
          </w:tcPr>
          <w:p>
            <w:pPr>
              <w:ind w:left="560"/>
              <w:spacing w:after="0"/>
              <w:rPr>
                <w:sz w:val="20"/>
                <w:szCs w:val="20"/>
                <w:color w:val="auto"/>
              </w:rPr>
            </w:pPr>
            <w:r>
              <w:rPr>
                <w:rFonts w:ascii="Arial" w:cs="Arial" w:eastAsia="Arial" w:hAnsi="Arial"/>
                <w:sz w:val="14"/>
                <w:szCs w:val="14"/>
                <w:color w:val="auto"/>
              </w:rPr>
              <w:t>59</w:t>
            </w:r>
          </w:p>
        </w:tc>
        <w:tc>
          <w:tcPr>
            <w:tcW w:w="6360" w:type="dxa"/>
            <w:vAlign w:val="bottom"/>
          </w:tcPr>
          <w:p>
            <w:pPr>
              <w:ind w:left="200"/>
              <w:spacing w:after="0"/>
              <w:rPr>
                <w:sz w:val="20"/>
                <w:szCs w:val="20"/>
                <w:color w:val="auto"/>
              </w:rPr>
            </w:pPr>
            <w:r>
              <w:rPr>
                <w:rFonts w:ascii="Arial" w:cs="Arial" w:eastAsia="Arial" w:hAnsi="Arial"/>
                <w:sz w:val="14"/>
                <w:szCs w:val="14"/>
                <w:color w:val="auto"/>
              </w:rPr>
              <w:t>Executive Vice President and General Counsel</w:t>
            </w: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Joseph A. Householder</w:t>
            </w:r>
          </w:p>
        </w:tc>
        <w:tc>
          <w:tcPr>
            <w:tcW w:w="1200" w:type="dxa"/>
            <w:vAlign w:val="bottom"/>
          </w:tcPr>
          <w:p>
            <w:pPr>
              <w:ind w:left="560"/>
              <w:spacing w:after="0"/>
              <w:rPr>
                <w:sz w:val="20"/>
                <w:szCs w:val="20"/>
                <w:color w:val="auto"/>
              </w:rPr>
            </w:pPr>
            <w:r>
              <w:rPr>
                <w:rFonts w:ascii="Arial" w:cs="Arial" w:eastAsia="Arial" w:hAnsi="Arial"/>
                <w:sz w:val="14"/>
                <w:szCs w:val="14"/>
                <w:color w:val="auto"/>
              </w:rPr>
              <w:t>56</w:t>
            </w:r>
          </w:p>
        </w:tc>
        <w:tc>
          <w:tcPr>
            <w:tcW w:w="6360" w:type="dxa"/>
            <w:vAlign w:val="bottom"/>
          </w:tcPr>
          <w:p>
            <w:pPr>
              <w:ind w:left="200"/>
              <w:spacing w:after="0"/>
              <w:rPr>
                <w:sz w:val="20"/>
                <w:szCs w:val="20"/>
                <w:color w:val="auto"/>
              </w:rPr>
            </w:pPr>
            <w:r>
              <w:rPr>
                <w:rFonts w:ascii="Arial" w:cs="Arial" w:eastAsia="Arial" w:hAnsi="Arial"/>
                <w:sz w:val="14"/>
                <w:szCs w:val="14"/>
                <w:color w:val="auto"/>
              </w:rPr>
              <w:t>Executive Vice President, Chief Financial Officer and Chief Accounting Officer</w:t>
            </w:r>
          </w:p>
        </w:tc>
      </w:tr>
      <w:tr>
        <w:trPr>
          <w:trHeight w:val="148"/>
        </w:trPr>
        <w:tc>
          <w:tcPr>
            <w:tcW w:w="3860" w:type="dxa"/>
            <w:vAlign w:val="bottom"/>
          </w:tcPr>
          <w:p>
            <w:pPr>
              <w:spacing w:after="0" w:line="148" w:lineRule="exact"/>
              <w:rPr>
                <w:sz w:val="20"/>
                <w:szCs w:val="20"/>
                <w:color w:val="auto"/>
              </w:rPr>
            </w:pPr>
            <w:r>
              <w:rPr>
                <w:rFonts w:ascii="Arial" w:cs="Arial" w:eastAsia="Arial" w:hAnsi="Arial"/>
                <w:sz w:val="14"/>
                <w:szCs w:val="14"/>
                <w:color w:val="auto"/>
              </w:rPr>
              <w:t>G. Joyce Rowland</w:t>
            </w:r>
          </w:p>
        </w:tc>
        <w:tc>
          <w:tcPr>
            <w:tcW w:w="1200" w:type="dxa"/>
            <w:vAlign w:val="bottom"/>
          </w:tcPr>
          <w:p>
            <w:pPr>
              <w:ind w:left="560"/>
              <w:spacing w:after="0" w:line="148" w:lineRule="exact"/>
              <w:rPr>
                <w:sz w:val="20"/>
                <w:szCs w:val="20"/>
                <w:color w:val="auto"/>
              </w:rPr>
            </w:pPr>
            <w:r>
              <w:rPr>
                <w:rFonts w:ascii="Arial" w:cs="Arial" w:eastAsia="Arial" w:hAnsi="Arial"/>
                <w:sz w:val="14"/>
                <w:szCs w:val="14"/>
                <w:color w:val="auto"/>
              </w:rPr>
              <w:t>57</w:t>
            </w:r>
          </w:p>
        </w:tc>
        <w:tc>
          <w:tcPr>
            <w:tcW w:w="6360" w:type="dxa"/>
            <w:vAlign w:val="bottom"/>
          </w:tcPr>
          <w:p>
            <w:pPr>
              <w:ind w:left="200"/>
              <w:spacing w:after="0" w:line="148" w:lineRule="exact"/>
              <w:rPr>
                <w:sz w:val="20"/>
                <w:szCs w:val="20"/>
                <w:color w:val="auto"/>
              </w:rPr>
            </w:pPr>
            <w:r>
              <w:rPr>
                <w:rFonts w:ascii="Arial" w:cs="Arial" w:eastAsia="Arial" w:hAnsi="Arial"/>
                <w:sz w:val="14"/>
                <w:szCs w:val="14"/>
                <w:color w:val="auto"/>
              </w:rPr>
              <w:t>Senior Vice President – Human Resources, Diversity and Inclusion</w:t>
            </w:r>
          </w:p>
        </w:tc>
      </w:tr>
      <w:tr>
        <w:trPr>
          <w:trHeight w:val="186"/>
        </w:trPr>
        <w:tc>
          <w:tcPr>
            <w:tcW w:w="3860" w:type="dxa"/>
            <w:vAlign w:val="bottom"/>
          </w:tcPr>
          <w:p>
            <w:pPr>
              <w:spacing w:after="0"/>
              <w:rPr>
                <w:sz w:val="20"/>
                <w:szCs w:val="20"/>
                <w:color w:val="auto"/>
              </w:rPr>
            </w:pPr>
            <w:r>
              <w:rPr>
                <w:rFonts w:ascii="Arial" w:cs="Arial" w:eastAsia="Arial" w:hAnsi="Arial"/>
                <w:sz w:val="14"/>
                <w:szCs w:val="14"/>
                <w:i w:val="1"/>
                <w:iCs w:val="1"/>
                <w:color w:val="auto"/>
              </w:rPr>
              <w:t>(1) Ages and positions are as of February 28, 2012.</w:t>
            </w:r>
          </w:p>
        </w:tc>
        <w:tc>
          <w:tcPr>
            <w:tcW w:w="1200" w:type="dxa"/>
            <w:vAlign w:val="bottom"/>
          </w:tcPr>
          <w:p>
            <w:pPr>
              <w:spacing w:after="0"/>
              <w:rPr>
                <w:sz w:val="16"/>
                <w:szCs w:val="16"/>
                <w:color w:val="auto"/>
              </w:rPr>
            </w:pPr>
          </w:p>
        </w:tc>
        <w:tc>
          <w:tcPr>
            <w:tcW w:w="6360" w:type="dxa"/>
            <w:vAlign w:val="bottom"/>
          </w:tcPr>
          <w:p>
            <w:pPr>
              <w:spacing w:after="0"/>
              <w:rPr>
                <w:sz w:val="16"/>
                <w:szCs w:val="16"/>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Each executive officer has been an officer of Sempra Energy or its subsidiaries for more than the last five years.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w:t>
      </w:r>
    </w:p>
    <w:p>
      <w:pPr>
        <w:spacing w:after="0" w:line="224" w:lineRule="exact"/>
        <w:rPr>
          <w:sz w:val="20"/>
          <w:szCs w:val="20"/>
          <w:color w:val="auto"/>
        </w:rPr>
      </w:pPr>
    </w:p>
    <w:p>
      <w:pPr>
        <w:spacing w:after="0"/>
        <w:tabs>
          <w:tab w:leader="none" w:pos="4400" w:val="left"/>
          <w:tab w:leader="none" w:pos="51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Age(1)</w:t>
      </w:r>
      <w:r>
        <w:rPr>
          <w:sz w:val="20"/>
          <w:szCs w:val="20"/>
          <w:color w:val="auto"/>
        </w:rPr>
        <w:tab/>
      </w:r>
      <w:r>
        <w:rPr>
          <w:rFonts w:ascii="Arial" w:cs="Arial" w:eastAsia="Arial" w:hAnsi="Arial"/>
          <w:sz w:val="14"/>
          <w:szCs w:val="14"/>
          <w:color w:val="auto"/>
        </w:rPr>
        <w:t>Position(1)</w:t>
      </w:r>
    </w:p>
    <w:p>
      <w:pPr>
        <w:sectPr>
          <w:pgSz w:w="11900" w:h="16838" w:orient="portrait"/>
          <w:cols w:equalWidth="0" w:num="1">
            <w:col w:w="11420"/>
          </w:cols>
          <w:pgMar w:left="240" w:top="328" w:right="239" w:bottom="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Jessie J. Knight, Jr.</w:t>
            </w:r>
          </w:p>
        </w:tc>
        <w:tc>
          <w:tcPr>
            <w:tcW w:w="2020" w:type="dxa"/>
            <w:vAlign w:val="bottom"/>
          </w:tcPr>
          <w:p>
            <w:pPr>
              <w:jc w:val="right"/>
              <w:ind w:right="208"/>
              <w:spacing w:after="0"/>
              <w:rPr>
                <w:sz w:val="20"/>
                <w:szCs w:val="20"/>
                <w:color w:val="auto"/>
              </w:rPr>
            </w:pPr>
            <w:r>
              <w:rPr>
                <w:rFonts w:ascii="Arial" w:cs="Arial" w:eastAsia="Arial" w:hAnsi="Arial"/>
                <w:sz w:val="14"/>
                <w:szCs w:val="14"/>
                <w:color w:val="auto"/>
              </w:rPr>
              <w:t>61</w:t>
            </w:r>
          </w:p>
        </w:tc>
        <w:tc>
          <w:tcPr>
            <w:tcW w:w="5940" w:type="dxa"/>
            <w:vAlign w:val="bottom"/>
          </w:tcPr>
          <w:p>
            <w:pPr>
              <w:ind w:left="260"/>
              <w:spacing w:after="0"/>
              <w:rPr>
                <w:sz w:val="20"/>
                <w:szCs w:val="20"/>
                <w:color w:val="auto"/>
              </w:rPr>
            </w:pPr>
            <w:r>
              <w:rPr>
                <w:rFonts w:ascii="Arial" w:cs="Arial" w:eastAsia="Arial" w:hAnsi="Arial"/>
                <w:sz w:val="14"/>
                <w:szCs w:val="14"/>
                <w:color w:val="auto"/>
              </w:rPr>
              <w:t>Chairman and Chief Executive Officer</w:t>
            </w: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Michael R. Niggli</w:t>
            </w:r>
          </w:p>
        </w:tc>
        <w:tc>
          <w:tcPr>
            <w:tcW w:w="2020" w:type="dxa"/>
            <w:vAlign w:val="bottom"/>
          </w:tcPr>
          <w:p>
            <w:pPr>
              <w:jc w:val="right"/>
              <w:ind w:right="208"/>
              <w:spacing w:after="0"/>
              <w:rPr>
                <w:sz w:val="20"/>
                <w:szCs w:val="20"/>
                <w:color w:val="auto"/>
              </w:rPr>
            </w:pPr>
            <w:r>
              <w:rPr>
                <w:rFonts w:ascii="Arial" w:cs="Arial" w:eastAsia="Arial" w:hAnsi="Arial"/>
                <w:sz w:val="14"/>
                <w:szCs w:val="14"/>
                <w:color w:val="auto"/>
              </w:rPr>
              <w:t>62</w:t>
            </w:r>
          </w:p>
        </w:tc>
        <w:tc>
          <w:tcPr>
            <w:tcW w:w="5940" w:type="dxa"/>
            <w:vAlign w:val="bottom"/>
          </w:tcPr>
          <w:p>
            <w:pPr>
              <w:ind w:left="260"/>
              <w:spacing w:after="0"/>
              <w:rPr>
                <w:sz w:val="20"/>
                <w:szCs w:val="20"/>
                <w:color w:val="auto"/>
              </w:rPr>
            </w:pPr>
            <w:r>
              <w:rPr>
                <w:rFonts w:ascii="Arial" w:cs="Arial" w:eastAsia="Arial" w:hAnsi="Arial"/>
                <w:sz w:val="14"/>
                <w:szCs w:val="14"/>
                <w:color w:val="auto"/>
              </w:rPr>
              <w:t>President and Chief Operating Officer</w:t>
            </w: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James P. Avery</w:t>
            </w:r>
          </w:p>
        </w:tc>
        <w:tc>
          <w:tcPr>
            <w:tcW w:w="2020" w:type="dxa"/>
            <w:vAlign w:val="bottom"/>
          </w:tcPr>
          <w:p>
            <w:pPr>
              <w:jc w:val="right"/>
              <w:ind w:right="208"/>
              <w:spacing w:after="0"/>
              <w:rPr>
                <w:sz w:val="20"/>
                <w:szCs w:val="20"/>
                <w:color w:val="auto"/>
              </w:rPr>
            </w:pPr>
            <w:r>
              <w:rPr>
                <w:rFonts w:ascii="Arial" w:cs="Arial" w:eastAsia="Arial" w:hAnsi="Arial"/>
                <w:sz w:val="14"/>
                <w:szCs w:val="14"/>
                <w:color w:val="auto"/>
              </w:rPr>
              <w:t>55</w:t>
            </w:r>
          </w:p>
        </w:tc>
        <w:tc>
          <w:tcPr>
            <w:tcW w:w="5940" w:type="dxa"/>
            <w:vAlign w:val="bottom"/>
          </w:tcPr>
          <w:p>
            <w:pPr>
              <w:ind w:left="260"/>
              <w:spacing w:after="0"/>
              <w:rPr>
                <w:sz w:val="20"/>
                <w:szCs w:val="20"/>
                <w:color w:val="auto"/>
              </w:rPr>
            </w:pPr>
            <w:r>
              <w:rPr>
                <w:rFonts w:ascii="Arial" w:cs="Arial" w:eastAsia="Arial" w:hAnsi="Arial"/>
                <w:sz w:val="14"/>
                <w:szCs w:val="14"/>
                <w:color w:val="auto"/>
              </w:rPr>
              <w:t>Senior Vice President – Power Supply</w:t>
            </w: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J. Chris Baker</w:t>
            </w:r>
          </w:p>
        </w:tc>
        <w:tc>
          <w:tcPr>
            <w:tcW w:w="2020" w:type="dxa"/>
            <w:vAlign w:val="bottom"/>
          </w:tcPr>
          <w:p>
            <w:pPr>
              <w:jc w:val="right"/>
              <w:ind w:right="208"/>
              <w:spacing w:after="0"/>
              <w:rPr>
                <w:sz w:val="20"/>
                <w:szCs w:val="20"/>
                <w:color w:val="auto"/>
              </w:rPr>
            </w:pPr>
            <w:r>
              <w:rPr>
                <w:rFonts w:ascii="Arial" w:cs="Arial" w:eastAsia="Arial" w:hAnsi="Arial"/>
                <w:sz w:val="14"/>
                <w:szCs w:val="14"/>
                <w:color w:val="auto"/>
              </w:rPr>
              <w:t>52</w:t>
            </w:r>
          </w:p>
        </w:tc>
        <w:tc>
          <w:tcPr>
            <w:tcW w:w="5940" w:type="dxa"/>
            <w:vAlign w:val="bottom"/>
          </w:tcPr>
          <w:p>
            <w:pPr>
              <w:ind w:left="260"/>
              <w:spacing w:after="0"/>
              <w:rPr>
                <w:sz w:val="20"/>
                <w:szCs w:val="20"/>
                <w:color w:val="auto"/>
              </w:rPr>
            </w:pPr>
            <w:r>
              <w:rPr>
                <w:rFonts w:ascii="Arial" w:cs="Arial" w:eastAsia="Arial" w:hAnsi="Arial"/>
                <w:sz w:val="14"/>
                <w:szCs w:val="14"/>
                <w:color w:val="auto"/>
              </w:rPr>
              <w:t>Senior Vice President – Support Services and Chief Information Officer</w:t>
            </w: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Lee Schavrien</w:t>
            </w:r>
          </w:p>
        </w:tc>
        <w:tc>
          <w:tcPr>
            <w:tcW w:w="2020" w:type="dxa"/>
            <w:vAlign w:val="bottom"/>
          </w:tcPr>
          <w:p>
            <w:pPr>
              <w:jc w:val="right"/>
              <w:ind w:right="208"/>
              <w:spacing w:after="0"/>
              <w:rPr>
                <w:sz w:val="20"/>
                <w:szCs w:val="20"/>
                <w:color w:val="auto"/>
              </w:rPr>
            </w:pPr>
            <w:r>
              <w:rPr>
                <w:rFonts w:ascii="Arial" w:cs="Arial" w:eastAsia="Arial" w:hAnsi="Arial"/>
                <w:sz w:val="14"/>
                <w:szCs w:val="14"/>
                <w:color w:val="auto"/>
              </w:rPr>
              <w:t>57</w:t>
            </w:r>
          </w:p>
        </w:tc>
        <w:tc>
          <w:tcPr>
            <w:tcW w:w="5940" w:type="dxa"/>
            <w:vAlign w:val="bottom"/>
          </w:tcPr>
          <w:p>
            <w:pPr>
              <w:ind w:left="260"/>
              <w:spacing w:after="0"/>
              <w:rPr>
                <w:sz w:val="20"/>
                <w:szCs w:val="20"/>
                <w:color w:val="auto"/>
              </w:rPr>
            </w:pPr>
            <w:r>
              <w:rPr>
                <w:rFonts w:ascii="Arial" w:cs="Arial" w:eastAsia="Arial" w:hAnsi="Arial"/>
                <w:sz w:val="14"/>
                <w:szCs w:val="14"/>
                <w:color w:val="auto"/>
              </w:rPr>
              <w:t>Senior Vice President – Finance, Regulatory and Legislative Affairs</w:t>
            </w: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W. Davis Smith</w:t>
            </w:r>
          </w:p>
        </w:tc>
        <w:tc>
          <w:tcPr>
            <w:tcW w:w="2020" w:type="dxa"/>
            <w:vAlign w:val="bottom"/>
          </w:tcPr>
          <w:p>
            <w:pPr>
              <w:jc w:val="right"/>
              <w:ind w:right="208"/>
              <w:spacing w:after="0"/>
              <w:rPr>
                <w:sz w:val="20"/>
                <w:szCs w:val="20"/>
                <w:color w:val="auto"/>
              </w:rPr>
            </w:pPr>
            <w:r>
              <w:rPr>
                <w:rFonts w:ascii="Arial" w:cs="Arial" w:eastAsia="Arial" w:hAnsi="Arial"/>
                <w:sz w:val="14"/>
                <w:szCs w:val="14"/>
                <w:color w:val="auto"/>
              </w:rPr>
              <w:t>62</w:t>
            </w:r>
          </w:p>
        </w:tc>
        <w:tc>
          <w:tcPr>
            <w:tcW w:w="5940" w:type="dxa"/>
            <w:vAlign w:val="bottom"/>
          </w:tcPr>
          <w:p>
            <w:pPr>
              <w:ind w:left="260"/>
              <w:spacing w:after="0"/>
              <w:rPr>
                <w:sz w:val="20"/>
                <w:szCs w:val="20"/>
                <w:color w:val="auto"/>
              </w:rPr>
            </w:pPr>
            <w:r>
              <w:rPr>
                <w:rFonts w:ascii="Arial" w:cs="Arial" w:eastAsia="Arial" w:hAnsi="Arial"/>
                <w:sz w:val="14"/>
                <w:szCs w:val="14"/>
                <w:color w:val="auto"/>
              </w:rPr>
              <w:t>Senior Vice President and General Counsel</w:t>
            </w:r>
          </w:p>
        </w:tc>
      </w:tr>
      <w:tr>
        <w:trPr>
          <w:trHeight w:val="172"/>
        </w:trPr>
        <w:tc>
          <w:tcPr>
            <w:tcW w:w="2840" w:type="dxa"/>
            <w:vAlign w:val="bottom"/>
          </w:tcPr>
          <w:p>
            <w:pPr>
              <w:spacing w:after="0"/>
              <w:rPr>
                <w:sz w:val="20"/>
                <w:szCs w:val="20"/>
                <w:color w:val="auto"/>
              </w:rPr>
            </w:pPr>
            <w:r>
              <w:rPr>
                <w:rFonts w:ascii="Arial" w:cs="Arial" w:eastAsia="Arial" w:hAnsi="Arial"/>
                <w:sz w:val="14"/>
                <w:szCs w:val="14"/>
                <w:color w:val="auto"/>
              </w:rPr>
              <w:t>Robert M. Schlax</w:t>
            </w:r>
          </w:p>
        </w:tc>
        <w:tc>
          <w:tcPr>
            <w:tcW w:w="2020" w:type="dxa"/>
            <w:vAlign w:val="bottom"/>
          </w:tcPr>
          <w:p>
            <w:pPr>
              <w:jc w:val="right"/>
              <w:ind w:right="208"/>
              <w:spacing w:after="0"/>
              <w:rPr>
                <w:sz w:val="20"/>
                <w:szCs w:val="20"/>
                <w:color w:val="auto"/>
              </w:rPr>
            </w:pPr>
            <w:r>
              <w:rPr>
                <w:rFonts w:ascii="Arial" w:cs="Arial" w:eastAsia="Arial" w:hAnsi="Arial"/>
                <w:sz w:val="14"/>
                <w:szCs w:val="14"/>
                <w:color w:val="auto"/>
              </w:rPr>
              <w:t>56</w:t>
            </w:r>
          </w:p>
        </w:tc>
        <w:tc>
          <w:tcPr>
            <w:tcW w:w="5940" w:type="dxa"/>
            <w:vAlign w:val="bottom"/>
          </w:tcPr>
          <w:p>
            <w:pPr>
              <w:ind w:left="260"/>
              <w:spacing w:after="0"/>
              <w:rPr>
                <w:sz w:val="20"/>
                <w:szCs w:val="20"/>
                <w:color w:val="auto"/>
              </w:rPr>
            </w:pPr>
            <w:r>
              <w:rPr>
                <w:rFonts w:ascii="Arial" w:cs="Arial" w:eastAsia="Arial" w:hAnsi="Arial"/>
                <w:sz w:val="14"/>
                <w:szCs w:val="14"/>
                <w:color w:val="auto"/>
              </w:rPr>
              <w:t>Vice President, Controller, Chief Financial Officer, Chief Accounting Officer and Treasurer</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Michael W. Allman</w:t>
            </w: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51</w:t>
            </w:r>
          </w:p>
        </w:tc>
        <w:tc>
          <w:tcPr>
            <w:tcW w:w="5940" w:type="dxa"/>
            <w:vAlign w:val="bottom"/>
          </w:tcPr>
          <w:p>
            <w:pPr>
              <w:ind w:left="260"/>
              <w:spacing w:after="0"/>
              <w:rPr>
                <w:sz w:val="20"/>
                <w:szCs w:val="20"/>
                <w:color w:val="auto"/>
              </w:rPr>
            </w:pPr>
            <w:r>
              <w:rPr>
                <w:rFonts w:ascii="Arial" w:cs="Arial" w:eastAsia="Arial" w:hAnsi="Arial"/>
                <w:sz w:val="14"/>
                <w:szCs w:val="14"/>
                <w:color w:val="auto"/>
              </w:rPr>
              <w:t>Chairman, President and Chief Executive Officer</w:t>
            </w: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Anne S. Smith</w:t>
            </w: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58</w:t>
            </w:r>
          </w:p>
        </w:tc>
        <w:tc>
          <w:tcPr>
            <w:tcW w:w="5940" w:type="dxa"/>
            <w:vAlign w:val="bottom"/>
          </w:tcPr>
          <w:p>
            <w:pPr>
              <w:ind w:left="260"/>
              <w:spacing w:after="0"/>
              <w:rPr>
                <w:sz w:val="20"/>
                <w:szCs w:val="20"/>
                <w:color w:val="auto"/>
              </w:rPr>
            </w:pPr>
            <w:r>
              <w:rPr>
                <w:rFonts w:ascii="Arial" w:cs="Arial" w:eastAsia="Arial" w:hAnsi="Arial"/>
                <w:sz w:val="14"/>
                <w:szCs w:val="14"/>
                <w:color w:val="auto"/>
              </w:rPr>
              <w:t>Chief Operating Officer</w:t>
            </w: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J. Chris Baker</w:t>
            </w: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52</w:t>
            </w:r>
          </w:p>
        </w:tc>
        <w:tc>
          <w:tcPr>
            <w:tcW w:w="5940" w:type="dxa"/>
            <w:vAlign w:val="bottom"/>
          </w:tcPr>
          <w:p>
            <w:pPr>
              <w:ind w:left="260"/>
              <w:spacing w:after="0"/>
              <w:rPr>
                <w:sz w:val="20"/>
                <w:szCs w:val="20"/>
                <w:color w:val="auto"/>
              </w:rPr>
            </w:pPr>
            <w:r>
              <w:rPr>
                <w:rFonts w:ascii="Arial" w:cs="Arial" w:eastAsia="Arial" w:hAnsi="Arial"/>
                <w:sz w:val="14"/>
                <w:szCs w:val="14"/>
                <w:color w:val="auto"/>
              </w:rPr>
              <w:t>Senior Vice President – Support Services and Chief Information Officer</w:t>
            </w: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Erbin B. Keith</w:t>
            </w: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51</w:t>
            </w:r>
          </w:p>
        </w:tc>
        <w:tc>
          <w:tcPr>
            <w:tcW w:w="5940" w:type="dxa"/>
            <w:vAlign w:val="bottom"/>
          </w:tcPr>
          <w:p>
            <w:pPr>
              <w:ind w:left="260"/>
              <w:spacing w:after="0"/>
              <w:rPr>
                <w:sz w:val="20"/>
                <w:szCs w:val="20"/>
                <w:color w:val="auto"/>
              </w:rPr>
            </w:pPr>
            <w:r>
              <w:rPr>
                <w:rFonts w:ascii="Arial" w:cs="Arial" w:eastAsia="Arial" w:hAnsi="Arial"/>
                <w:sz w:val="14"/>
                <w:szCs w:val="14"/>
                <w:color w:val="auto"/>
              </w:rPr>
              <w:t>Senior Vice President – External Affairs and General Counsel</w:t>
            </w: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Lee Schavrien</w:t>
            </w: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57</w:t>
            </w:r>
          </w:p>
        </w:tc>
        <w:tc>
          <w:tcPr>
            <w:tcW w:w="5940" w:type="dxa"/>
            <w:vAlign w:val="bottom"/>
          </w:tcPr>
          <w:p>
            <w:pPr>
              <w:ind w:left="260"/>
              <w:spacing w:after="0"/>
              <w:rPr>
                <w:sz w:val="20"/>
                <w:szCs w:val="20"/>
                <w:color w:val="auto"/>
              </w:rPr>
            </w:pPr>
            <w:r>
              <w:rPr>
                <w:rFonts w:ascii="Arial" w:cs="Arial" w:eastAsia="Arial" w:hAnsi="Arial"/>
                <w:sz w:val="14"/>
                <w:szCs w:val="14"/>
                <w:color w:val="auto"/>
              </w:rPr>
              <w:t>Senior Vice President – Finance, Regulatory and Legislative Affairs</w:t>
            </w: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Robert M. Schlax</w:t>
            </w: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56</w:t>
            </w:r>
          </w:p>
        </w:tc>
        <w:tc>
          <w:tcPr>
            <w:tcW w:w="5940" w:type="dxa"/>
            <w:vAlign w:val="bottom"/>
          </w:tcPr>
          <w:p>
            <w:pPr>
              <w:ind w:left="260"/>
              <w:spacing w:after="0"/>
              <w:rPr>
                <w:sz w:val="20"/>
                <w:szCs w:val="20"/>
                <w:color w:val="auto"/>
              </w:rPr>
            </w:pPr>
            <w:r>
              <w:rPr>
                <w:rFonts w:ascii="Arial" w:cs="Arial" w:eastAsia="Arial" w:hAnsi="Arial"/>
                <w:sz w:val="14"/>
                <w:szCs w:val="14"/>
                <w:color w:val="auto"/>
              </w:rPr>
              <w:t>Vice President, Controller, Chief Financial Officer, Chief Accounting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Ages and positions are as of February 28, 2012.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Each executive officer of SDG&amp;E and SoCalGas has been an officer or employee of Sempra Energy or its subsidiaries for more than the last five years.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Employees of Registrants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each company had the following number of employees: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December 31,</w:t>
            </w:r>
          </w:p>
        </w:tc>
        <w:tc>
          <w:tcPr>
            <w:tcW w:w="1680" w:type="dxa"/>
            <w:vAlign w:val="bottom"/>
            <w:tcBorders>
              <w:bottom w:val="single" w:sz="8" w:color="auto"/>
            </w:tcBorders>
          </w:tcPr>
          <w:p>
            <w:pPr>
              <w:spacing w:after="0"/>
              <w:rPr>
                <w:sz w:val="14"/>
                <w:szCs w:val="14"/>
                <w:color w:val="auto"/>
              </w:rPr>
            </w:pPr>
          </w:p>
        </w:tc>
      </w:tr>
      <w:tr>
        <w:trPr>
          <w:trHeight w:val="183"/>
        </w:trPr>
        <w:tc>
          <w:tcPr>
            <w:tcW w:w="820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1540" w:type="dxa"/>
            <w:vAlign w:val="bottom"/>
          </w:tcPr>
          <w:p>
            <w:pPr>
              <w:spacing w:after="0"/>
              <w:rPr>
                <w:sz w:val="15"/>
                <w:szCs w:val="15"/>
                <w:color w:val="auto"/>
              </w:rPr>
            </w:pPr>
          </w:p>
        </w:tc>
        <w:tc>
          <w:tcPr>
            <w:tcW w:w="1680" w:type="dxa"/>
            <w:vAlign w:val="bottom"/>
          </w:tcPr>
          <w:p>
            <w:pPr>
              <w:jc w:val="right"/>
              <w:ind w:right="981"/>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818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40" w:type="dxa"/>
            <w:vAlign w:val="bottom"/>
            <w:tcBorders>
              <w:top w:val="single" w:sz="8" w:color="auto"/>
            </w:tcBorders>
          </w:tcPr>
          <w:p>
            <w:pPr>
              <w:jc w:val="right"/>
              <w:ind w:right="701"/>
              <w:spacing w:after="0" w:line="164" w:lineRule="exact"/>
              <w:rPr>
                <w:sz w:val="20"/>
                <w:szCs w:val="20"/>
                <w:color w:val="auto"/>
              </w:rPr>
            </w:pPr>
            <w:r>
              <w:rPr>
                <w:rFonts w:ascii="Arial" w:cs="Arial" w:eastAsia="Arial" w:hAnsi="Arial"/>
                <w:sz w:val="16"/>
                <w:szCs w:val="16"/>
                <w:color w:val="auto"/>
              </w:rPr>
              <w:t>17,483</w:t>
            </w:r>
          </w:p>
        </w:tc>
        <w:tc>
          <w:tcPr>
            <w:tcW w:w="16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13,504</w:t>
            </w:r>
          </w:p>
        </w:tc>
      </w:tr>
      <w:tr>
        <w:trPr>
          <w:trHeight w:val="176"/>
        </w:trPr>
        <w:tc>
          <w:tcPr>
            <w:tcW w:w="8200" w:type="dxa"/>
            <w:vAlign w:val="bottom"/>
            <w:gridSpan w:val="3"/>
          </w:tcPr>
          <w:p>
            <w:pPr>
              <w:spacing w:after="0" w:line="176" w:lineRule="exact"/>
              <w:rPr>
                <w:sz w:val="20"/>
                <w:szCs w:val="20"/>
                <w:color w:val="auto"/>
              </w:rPr>
            </w:pPr>
            <w:r>
              <w:rPr>
                <w:rFonts w:ascii="Arial" w:cs="Arial" w:eastAsia="Arial" w:hAnsi="Arial"/>
                <w:sz w:val="16"/>
                <w:szCs w:val="16"/>
                <w:color w:val="auto"/>
              </w:rPr>
              <w:t>SDG&amp;E</w:t>
            </w:r>
          </w:p>
        </w:tc>
        <w:tc>
          <w:tcPr>
            <w:tcW w:w="1540" w:type="dxa"/>
            <w:vAlign w:val="bottom"/>
          </w:tcPr>
          <w:p>
            <w:pPr>
              <w:jc w:val="right"/>
              <w:ind w:right="701"/>
              <w:spacing w:after="0" w:line="176" w:lineRule="exact"/>
              <w:rPr>
                <w:sz w:val="20"/>
                <w:szCs w:val="20"/>
                <w:color w:val="auto"/>
              </w:rPr>
            </w:pPr>
            <w:r>
              <w:rPr>
                <w:rFonts w:ascii="Arial" w:cs="Arial" w:eastAsia="Arial" w:hAnsi="Arial"/>
                <w:sz w:val="16"/>
                <w:szCs w:val="16"/>
                <w:color w:val="auto"/>
              </w:rPr>
              <w:t>5,008</w:t>
            </w:r>
          </w:p>
        </w:tc>
        <w:tc>
          <w:tcPr>
            <w:tcW w:w="1680" w:type="dxa"/>
            <w:vAlign w:val="bottom"/>
          </w:tcPr>
          <w:p>
            <w:pPr>
              <w:jc w:val="right"/>
              <w:spacing w:after="0" w:line="176" w:lineRule="exact"/>
              <w:rPr>
                <w:sz w:val="20"/>
                <w:szCs w:val="20"/>
                <w:color w:val="auto"/>
              </w:rPr>
            </w:pPr>
            <w:r>
              <w:rPr>
                <w:rFonts w:ascii="Arial" w:cs="Arial" w:eastAsia="Arial" w:hAnsi="Arial"/>
                <w:sz w:val="16"/>
                <w:szCs w:val="16"/>
                <w:color w:val="auto"/>
              </w:rPr>
              <w:t>4,970</w:t>
            </w:r>
          </w:p>
        </w:tc>
      </w:tr>
      <w:tr>
        <w:trPr>
          <w:trHeight w:val="194"/>
        </w:trPr>
        <w:tc>
          <w:tcPr>
            <w:tcW w:w="8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SoCalGas</w:t>
            </w:r>
          </w:p>
        </w:tc>
        <w:tc>
          <w:tcPr>
            <w:tcW w:w="154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7,370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7,067</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Labor Relations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Field, technical and most clerical employees at SoCalGas are represented by the Utility Workers Union of America or the International Chemical Workers Union Council (collectively “Union”) under a single collective bargaining agreement. The collective bargaining agreement for these employees covering wages, hours, working conditions, and medical and other benefit plans expired on October 14, 2011, with SoCalGas and the Union agreeing to continue operating under the terms and conditions of the expired contract while negotiating a new agreement. A tentative agreement was reached between SoCalGas and Union leadership on January 29, 2012, which is subject to ratification by the membership of the Union. SoCalGas anticipates this ratification may occur either late first or early second quarter of 2012.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Field employees and some clerical and technical employees at SDG&amp;E are represented by the International Brotherhood of Electrical Workers. Provisions of the collective bargaining agreement for these employees covering wages are in effect through August 31, 2014 and through August 31, 2015, for hours and working conditions. For these same employees, the agreement covering pension and savings plan benefits is in effect through December 4, 2012, and the agreement covering health and welfare benefits is in effect through December 31, 2013.</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Luz del Sur</w:t>
      </w: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Field, technical and administrative employees at Luz del Sur representing 39 percent of the total workforce are represented by the Unified Trade Union of Electricity Workers of Lima and Callao, and the Trade Union of Employees of Electrolima. The collective bargaining agreement covering these employees is also extended to 118 nonrepresented employees. It covers wages, working conditions, and medical and other benefit plans and is in effect through December 31, 2012.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Chilquinta Energía</w:t>
      </w: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Field, technical and administrative employees at Chilquinta Energía and its subsidiaries are represented by Labor Union Number 1 Chilquinta Energía, Litoral Labor Union, and Tecnored Labor Union Number 1. The collective bargaining agreements for employees represented by these unions cover wages, hours, working conditions and medical and other benefit plans and are in effect through various dates in 2013.</w:t>
      </w:r>
    </w:p>
    <w:p>
      <w:pPr>
        <w:spacing w:after="0" w:line="39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Professional employees at Chilquinta Energía are represented by Group of University Graduates of Chilquinta Energía. The collective bargaining agreement for these employees covers wages, hours, working conditions and medical and other benefit plans and is in effect through August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3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ectPr>
          <w:pgSz w:w="11900" w:h="16838" w:orient="portrait"/>
          <w:cols w:equalWidth="0" w:num="1">
            <w:col w:w="11420"/>
          </w:cols>
          <w:pgMar w:left="240" w:top="135" w:right="239" w:bottom="0" w:gutter="0" w:footer="0" w:header="0"/>
          <w:type w:val="continuous"/>
        </w:sectPr>
      </w:pPr>
    </w:p>
    <w:bookmarkStart w:id="16" w:name="page17"/>
    <w:bookmarkEnd w:id="16"/>
    <w:p>
      <w:pPr>
        <w:ind w:right="20"/>
        <w:spacing w:after="0" w:line="272" w:lineRule="auto"/>
        <w:rPr>
          <w:sz w:val="20"/>
          <w:szCs w:val="20"/>
          <w:color w:val="auto"/>
        </w:rPr>
      </w:pPr>
      <w:r>
        <w:rPr>
          <w:rFonts w:ascii="Arial" w:cs="Arial" w:eastAsia="Arial" w:hAnsi="Arial"/>
          <w:sz w:val="17"/>
          <w:szCs w:val="17"/>
          <w:i w:val="1"/>
          <w:iCs w:val="1"/>
          <w:color w:val="auto"/>
        </w:rPr>
        <w:t>When evaluating our company and its subsidiaries, you should consider carefully the following risk factors and all other information contained in this report. These risk factors could affect our actual results and cause such results to differ materially from those expressed in any forward-looking statements made by us or on our behalf. Other risks and uncertainties, in addition to those that are described below, may also materially impair our business operations. If any of the following occurs, our business, cash flows, results of operations and financial condition could be materially harmed. In addition, the trading price of our securities could substantially decline due to the occurrence of any of these risks. These risk factors should be read in conjunction with the other detailed information concerning our company set forth in the Notes to Consolidated Financial Statements and in “Management’s Discussion and Analysis of Financial Condition and Results of Operations” in the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Energy’s cash flows, ability to pay dividends and ability to meet its debt obligations largely depend on the performance of its subsidiaries.</w:t>
      </w:r>
    </w:p>
    <w:p>
      <w:pPr>
        <w:spacing w:after="0" w:line="24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Sempra Energy’s ability to pay dividends and meet its debt obligations depends almost entirely on cash flows from its subsidiaries and, in the short term, its ability to raise capital from external sources. In the long term, cash flows from the subsidiaries depend on their ability to generate operating cash flows in excess of their own capital expenditures and long-term debt obligations. In addition, the subsidiaries are separate and distinct legal entities and could be precluded from making such distributions under certain circumstances, including, without limitation, as a result of legislation, regulation, court order, contractual restrictions or in times of financial distress.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may be materially adversely affected by conditions in the financial markets and economic conditions generally.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businesses are capital intensive and we rely significantly on long-term debt to fund a portion of our capital expenditures and refund outstanding debt, and on short-term borrowings to fund a portion of day-to-day business operations.</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credit markets and financial services industry have experienced a period of extreme world-wide turmoil characterized by the bankruptcy, failure, collapse or sale of many financial institutions and by extraordinary levels of government intervention and proposals for further intervention and additional regulation.</w:t>
      </w:r>
    </w:p>
    <w:p>
      <w:pPr>
        <w:spacing w:after="0" w:line="12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Limitations on the availability of credit and increases in interest rates or credit spreads may materially adversely affect our liquidity, results of operations and financial condition, as well as our ability to meet contractual and other commitments. In difficult credit markets, we may find it necessary to fund our operations and capital expenditures at a higher cost or we may be unable to raise as much funding as we need to support business activities. This could cause us to reduce capital expenditures and could increase our cost of funding, both of which could significantly reduce our short-term and long-term profitability.</w:t>
      </w:r>
    </w:p>
    <w:p>
      <w:pPr>
        <w:spacing w:after="0" w:line="15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availability and cost of credit for our businesses may be greatly affected by credit ratings. If the credit ratings of SoCalGas or SDG&amp;E were to be reduced, their businesses could be materially adversely affected and any reduction in Sempra Energy’s ratings could materially adversely affect Sempra Energy and its non-utility subsidiaries.</w:t>
      </w:r>
    </w:p>
    <w:p>
      <w:pPr>
        <w:spacing w:after="0" w:line="38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Risks Related to All Sempra Energy Subsidiaries</w:t>
      </w:r>
    </w:p>
    <w:p>
      <w:pPr>
        <w:spacing w:after="0" w:line="2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businesses are subject to complex government regulations and may be materially adversely affected by changes in these regulations or in their interpretation or implementation.</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recent years, the regulatory environment that applies to the electric power and natural gas industries has undergone significant changes, on both federal and state levels. These changes have affected the nature of these industries and the manner in which their participants conduct their businesses. These changes are ongoing, and we cannot predict the future course of changes in this regulatory environment or the ultimate effect that this changing regulatory environment will have on our businesses. Moreover, existing regulations, laws and tariffs may be revised or reinterpreted, and new regulations, laws and tariffs may be adopted or become applicable to us and our facilities. Special tariffs may also be imposed on components used in our businesses that could increase costs if applicable. Our businesses are subject to increasingly complex accounting and tax requirements, and the regulations, laws and tariffs that affect us may change in response to economic or political conditions. Compliance with these requirements could increase our operating costs, and new tax legislation, regulations or other interpretations could materially affect our tax expense. Changes in regulations, laws and tariffs and changes in the way regulations, laws and tariffs are implemented and interpreted may have a material adverse effect on our businesses, cash flows, financial condition and results of operations.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operations are subject to rules relating to transactions among the Sempra Utilities and other Sempra Energy operations. These rules are commonly referred to as the Affiliate Transaction Rules. These businesses could be materially adversely affected by changes in these rules or by additional CPUC or FERC rules that further restrict our ability to sell electricity or natural gas, or to trade with the Sempra Utilities and with each other. Affiliate Transaction Rules also could require us to obtain prior approval from the CPUC before entering into any such transactions with the Sempra Utilities. Any such restrictions or approval requirements could materially adversely affect the LNG terminals, natural gas pipelines, electric generation facilities, or other operations of our subsidiaries, which could have a material adverse effect on our cash flows, financial condition and results of operations.</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Our businesses require numerous permits and other governmental approvals from various federal, state, local and foreign governmental agencies; any failure to obtain or maintain required permits or approvals could cause our sales to materially decline and/or our costs to materially increase, and otherwise materially adversely affect our businesses, cash flows, financial condition and results of operations.</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of our existing and planned development projects require multiple approvals. The acquisition, ownership and operation of LNG terminals, natural gas pipelines and storage facilities, and electric generation and transmission facilities require numerous permits, licenses, certificates and other approvals from federal, state, local and foreign governmental agencies. Once received, approvals may be subject to litigation, and projects may be delayed or approvals reversed in litigation. In addition, permits, licenses, certificates, and other approvals may be modified or rescinded by one or more of the governmental agencies and authorities that oversee our businesses. If there is a delay in obtaining any required regulatory approvals or if we fail to obtain or maintain any required approvals or to comply with any applicable laws or regulations, we may not be able to construct or operate our facilities, or we may be forced to incur additional costs. Any such delay or failure to obtain or maintain the necessary permits, licenses, certificates and other approvals could cause our sales to materially decline, and/or our costs to increase, and otherwise materially adversely affect our businesses.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businesses have significant environmental compliance costs, and future environmental compliance costs could have a material adverse effect on our businesses, cash flows, financial condition and results of operations.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subject to extensive federal, state, local and foreign statutes, rules and regulations relating to environmental protection, including, in particular, climate change and GHG emissions. We are required to obtain numerous governmental permits, licenses, certificates and other approvals to construct and operate our businesses. Additionally, to comply with these legal requirements, we must spend significant sums on environmental monitoring, pollution control equipment,</w:t>
      </w:r>
    </w:p>
    <w:p>
      <w:pPr>
        <w:sectPr>
          <w:pgSz w:w="11900" w:h="16838" w:orient="portrait"/>
          <w:cols w:equalWidth="0" w:num="1">
            <w:col w:w="11400"/>
          </w:cols>
          <w:pgMar w:left="240" w:top="341" w:right="259" w:bottom="0" w:gutter="0" w:footer="0" w:header="0"/>
        </w:sectPr>
      </w:pPr>
    </w:p>
    <w:bookmarkStart w:id="17" w:name="page18"/>
    <w:bookmarkEnd w:id="17"/>
    <w:p>
      <w:pPr>
        <w:ind w:right="160"/>
        <w:spacing w:after="0" w:line="279" w:lineRule="auto"/>
        <w:rPr>
          <w:sz w:val="20"/>
          <w:szCs w:val="20"/>
          <w:color w:val="auto"/>
        </w:rPr>
      </w:pPr>
      <w:r>
        <w:rPr>
          <w:rFonts w:ascii="Arial" w:cs="Arial" w:eastAsia="Arial" w:hAnsi="Arial"/>
          <w:sz w:val="17"/>
          <w:szCs w:val="17"/>
          <w:color w:val="auto"/>
        </w:rPr>
        <w:t>mitigation costs and emissions fees. In addition, we are generally responsible for all on-site liabilities associated with the environmental condition of our electric generation facilities and other energy projects, regardless of when the liabilities arose and whether they are known or unknown. If we fail to comply with applicable environmental laws, we may be subject to substantial penalties and fines and/or significant curtailments of our operations, which could materially adversely affect our businesses, cash flows, financial condition and results of operations.</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scope and effect of new environmental laws and regulations, including their effects on our current operations and future expansions, are difficult to predict. Increasing international, national, regional and state-level concerns as well as new or proposed legislation and regulation may have substantial negative effects on our operations, operating costs, and the scope and economics of proposed expansion. In particular, state-level laws and regulations, as well as proposed national and international legislation and regulation relating to the control and reduction of GHG emissions (including carbon dioxide, methane, nitrous oxide, hydrofluorocarbons, perfluorocarbons and sulfur hexafluoride), may materially limit or otherwise materially adversely affect our operations. The implementation of recent and proposed California and federal legislation and regulation may materially adversely affect our unregulated businesses by imposing, among other things, additional costs associated with emission limits, controls and the possible requirement of carbon taxes or</w:t>
      </w:r>
    </w:p>
    <w:p>
      <w:pPr>
        <w:spacing w:after="0" w:line="3" w:lineRule="exact"/>
        <w:rPr>
          <w:sz w:val="20"/>
          <w:szCs w:val="20"/>
          <w:color w:val="auto"/>
        </w:rPr>
      </w:pPr>
    </w:p>
    <w:p>
      <w:pPr>
        <w:jc w:val="both"/>
        <w:ind w:right="400"/>
        <w:spacing w:after="0" w:line="302" w:lineRule="auto"/>
        <w:rPr>
          <w:sz w:val="20"/>
          <w:szCs w:val="20"/>
          <w:color w:val="auto"/>
        </w:rPr>
      </w:pPr>
      <w:r>
        <w:rPr>
          <w:rFonts w:ascii="Arial" w:cs="Arial" w:eastAsia="Arial" w:hAnsi="Arial"/>
          <w:sz w:val="16"/>
          <w:szCs w:val="16"/>
          <w:color w:val="auto"/>
        </w:rPr>
        <w:t>the purchase of emissions credits. Similarly, the Sempra Utilities may be materially adversely affected if costs are not recoverable in rates. The effects of existing and proposed greenhouse gas emission reduction standards may cause rates to increase to levels that substantially reduce customer demand and growth. SDG&amp;E may also be subject to significant penalties and fines if certain mandated renewable energy goals are not met.</w:t>
      </w:r>
    </w:p>
    <w:p>
      <w:pPr>
        <w:spacing w:after="0" w:line="15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 addition, existing and future laws and regulation on mercury, nitrogen and sulfur oxides, particulates, or other emissions could result in requirements for additional pollution control equipment or emission fees and taxes that could materially adversely affect our businesses and profitability. Moreover, existing rules and regulations may be interpreted or revised in ways that may materially adversely affect our facilities, operations and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provide further discussion of these matters in Notes 14 and 15 of the Notes to Consolidated Financial Statements in the Annual Report.</w:t>
      </w:r>
    </w:p>
    <w:p>
      <w:pPr>
        <w:spacing w:after="0" w:line="225"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b w:val="1"/>
          <w:bCs w:val="1"/>
          <w:i w:val="1"/>
          <w:iCs w:val="1"/>
          <w:color w:val="auto"/>
        </w:rPr>
        <w:t>Natural disasters, catastrophic accidents or acts of terrorism could materially adversely affect our businesses, financial condition, results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Like other major industrial facilities, ours may be damaged by natural disasters, catastrophic accidents, or acts of terrorism. Such facilities include</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power generation plants</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chartered LNG tankers</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   electric transmission and distribution</w:t>
            </w:r>
          </w:p>
        </w:tc>
        <w:tc>
          <w:tcPr>
            <w:tcW w:w="3860" w:type="dxa"/>
            <w:vAlign w:val="bottom"/>
            <w:gridSpan w:val="2"/>
          </w:tcPr>
          <w:p>
            <w:pPr>
              <w:ind w:left="1200"/>
              <w:spacing w:after="0"/>
              <w:rPr>
                <w:sz w:val="20"/>
                <w:szCs w:val="20"/>
                <w:color w:val="auto"/>
              </w:rPr>
            </w:pPr>
            <w:r>
              <w:rPr>
                <w:rFonts w:ascii="Arial" w:cs="Arial" w:eastAsia="Arial" w:hAnsi="Arial"/>
                <w:sz w:val="18"/>
                <w:szCs w:val="18"/>
                <w:color w:val="auto"/>
                <w:w w:val="90"/>
              </w:rPr>
              <w:t>§   natural gas pipelines and storage</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LNG terminals and storage</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w w:val="95"/>
              </w:rPr>
              <w:t>nuclear waste storage facilities</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Such incidents could result in severe business disruptions, significant decreases in revenues, and/or significant additional costs to us. Any such incident could have a material adverse effect on our financial condition, results of operations and cash flows.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Depending on the nature and location of the facilities affected, any such incident also could cause catastrophic fires, leaks, radioactive releases, explosions, spills or other significant damage to natural resources or property belonging to third parties, or cause personal injuries or fatalities. Any of these consequences could lead to significant claims against us. Insurance coverage may significantly increase in cost or become unavailable for certain of these risks, and any insurance proceeds we receive may be insufficient to cover our losses or liabilities, which could materially adversely affect our businesses,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results of operations, financial condition, and cash flows may be materially adversely affected by the outcome of pending litigation against us.</w:t>
      </w:r>
    </w:p>
    <w:p>
      <w:pPr>
        <w:spacing w:after="0" w:line="26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Sempra Energy and its subsidiaries are defendants in numerous lawsuits. We have spent, and continue to spend, substantial amounts of money and time defending these lawsuits, and in related investigations and regulatory proceedings. In particular, SDG&amp;E is subject to numerous lawsuits arising out of San Diego County wildfires in 2007. We discuss this and other litigation in Note 15 of the Notes to Consolidated Financial Statements in the Annual Report. The uncertainties inherent in legal proceedings make it difficult to estimate with any degree of certainty the costs and effects of resolving these matters. In addition, California juries have demonstrated a willingness to grant large awards, including punitive damages, in personal injury, product liability, property damage and other claims. Accordingly, actual costs incurred may differ materially from insured or reserved amounts and may not be recoverable in whole or in part from our customers, which in each case could materially adversely affect our business, cash flows, results of operations and financial condition.</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discuss these proceedings in Note 15 of the Notes to Consolidated Financial Statements and in “Management’s Discussion and Analysis of Financial Condition and Results of Operations” in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business technologies present a risk for attacks on our information systems and the integrity of our energy grid.</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Cybersecurity and the protection of our operations and activities are a priority at Sempra Energy, SDG&amp;E and SoCalGas. The most significant cybersecurity risks to our businesses reside within the operations of our utilities. In addition to general information and cyber risks that all Fortune 500 corporations face (e.g. malware, malicious intent by insiders and inadvertent disclosure of sensitive information), the utility industry faces new cybersecurity risks associated with automated metering (virtually all of our SDG&amp;E customers have such metering) and with Smart Grid infrastructure. Deployment of these new business technologies represents a new and large-scale opportunity for attacks on the utilities’ information systems and, more importantly, on the integrity of the energy grid. While addressing these risks is the subject of significant ongoing activities across Sempra Energy’s businesses, we cannot ensure that a successful attack will not occur. Such an attack to our information systems, the integrity of the energy grid, or one of our facilities could have a material adverse effect on our businesses, cash flows, financial condition, and results of operations.</w:t>
      </w:r>
    </w:p>
    <w:p>
      <w:pPr>
        <w:spacing w:after="0" w:line="38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Risks Related to the Sempra Utilities</w:t>
      </w: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Sempra Utilities are subject to extensive regulation by state, federal and local legislative and regulatory authorities, which may materially adversely affect the operations, performance and growth of their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CPUC regulates the Sempra Utilities’ rates, except SDG&amp;E’s electric transmission rates which are regulated by the FERC. The CPUC also regulates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Sempra Utilities’:</w:t>
      </w:r>
    </w:p>
    <w:p>
      <w:pPr>
        <w:spacing w:after="0" w:line="211" w:lineRule="exact"/>
        <w:rPr>
          <w:sz w:val="20"/>
          <w:szCs w:val="20"/>
          <w:color w:val="auto"/>
        </w:rPr>
      </w:pPr>
    </w:p>
    <w:p>
      <w:pPr>
        <w:ind w:left="340"/>
        <w:spacing w:after="0"/>
        <w:tabs>
          <w:tab w:leader="none" w:pos="600" w:val="left"/>
          <w:tab w:leader="none" w:pos="5640" w:val="left"/>
          <w:tab w:leader="none" w:pos="5940" w:val="left"/>
        </w:tabs>
        <w:rPr>
          <w:sz w:val="20"/>
          <w:szCs w:val="20"/>
          <w:color w:val="auto"/>
        </w:rPr>
      </w:pPr>
      <w:r>
        <w:rPr>
          <w:rFonts w:ascii="Arial" w:cs="Arial" w:eastAsia="Arial" w:hAnsi="Arial"/>
          <w:sz w:val="18"/>
          <w:szCs w:val="18"/>
          <w:color w:val="auto"/>
        </w:rPr>
        <w:t>§</w:t>
        <w:tab/>
        <w:t>conditions of service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rates of depreciation</w:t>
      </w:r>
    </w:p>
    <w:p>
      <w:pPr>
        <w:sectPr>
          <w:pgSz w:w="11900" w:h="16838" w:orient="portrait"/>
          <w:cols w:equalWidth="0" w:num="1">
            <w:col w:w="11400"/>
          </w:cols>
          <w:pgMar w:left="240" w:top="125" w:right="259" w:bottom="0" w:gutter="0" w:footer="0" w:header="0"/>
        </w:sectPr>
      </w:pPr>
    </w:p>
    <w:bookmarkStart w:id="18" w:name="page19"/>
    <w:bookmarkEnd w:id="18"/>
    <w:p>
      <w:pPr>
        <w:ind w:left="340"/>
        <w:spacing w:after="0"/>
        <w:tabs>
          <w:tab w:leader="none" w:pos="600" w:val="left"/>
        </w:tabs>
        <w:rPr>
          <w:sz w:val="20"/>
          <w:szCs w:val="20"/>
          <w:color w:val="auto"/>
        </w:rPr>
      </w:pPr>
      <w:r>
        <w:rPr>
          <w:rFonts w:ascii="Arial" w:cs="Arial" w:eastAsia="Arial" w:hAnsi="Arial"/>
          <w:sz w:val="16"/>
          <w:szCs w:val="16"/>
          <w:color w:val="auto"/>
        </w:rPr>
        <w:t>§</w:t>
        <w:tab/>
        <w:t>capital structure</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w:t>
        <w:tab/>
        <w:t>long-term resource procurement</w:t>
      </w:r>
    </w:p>
    <w:p>
      <w:pPr>
        <w:spacing w:after="0" w:line="200" w:lineRule="exact"/>
        <w:rPr>
          <w:sz w:val="20"/>
          <w:szCs w:val="20"/>
          <w:color w:val="auto"/>
        </w:rPr>
      </w:pPr>
    </w:p>
    <w:p>
      <w:pPr>
        <w:sectPr>
          <w:pgSz w:w="11900" w:h="16838" w:orient="portrait"/>
          <w:cols w:equalWidth="0" w:num="2">
            <w:col w:w="4940" w:space="720"/>
            <w:col w:w="5760"/>
          </w:cols>
          <w:pgMar w:left="240" w:top="341" w:right="239" w:bottom="0" w:gutter="0" w:footer="0" w:header="0"/>
        </w:sectPr>
      </w:pPr>
    </w:p>
    <w:p>
      <w:pPr>
        <w:spacing w:after="0" w:line="48"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color w:val="auto"/>
        </w:rPr>
        <w:t>§</w:t>
        <w:tab/>
        <w:t>rates of return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180"/>
        <w:spacing w:after="0"/>
        <w:tabs>
          <w:tab w:leader="none" w:pos="180" w:val="left"/>
        </w:tabs>
        <w:rPr>
          <w:sz w:val="20"/>
          <w:szCs w:val="20"/>
          <w:color w:val="auto"/>
        </w:rPr>
      </w:pPr>
      <w:r>
        <w:rPr>
          <w:rFonts w:ascii="Arial" w:cs="Arial" w:eastAsia="Arial" w:hAnsi="Arial"/>
          <w:sz w:val="18"/>
          <w:szCs w:val="18"/>
          <w:color w:val="auto"/>
        </w:rPr>
        <w:t>§</w:t>
        <w:tab/>
        <w:t>sales of securities</w:t>
      </w:r>
    </w:p>
    <w:p>
      <w:pPr>
        <w:spacing w:after="0" w:line="200" w:lineRule="exact"/>
        <w:rPr>
          <w:sz w:val="20"/>
          <w:szCs w:val="20"/>
          <w:color w:val="auto"/>
        </w:rPr>
      </w:pPr>
    </w:p>
    <w:p>
      <w:pPr>
        <w:sectPr>
          <w:pgSz w:w="11900" w:h="16838" w:orient="portrait"/>
          <w:cols w:equalWidth="0" w:num="2">
            <w:col w:w="4940" w:space="720"/>
            <w:col w:w="5760"/>
          </w:cols>
          <w:pgMar w:left="240" w:top="341" w:right="239" w:bottom="0" w:gutter="0" w:footer="0" w:header="0"/>
          <w:type w:val="continuous"/>
        </w:sectPr>
      </w:pPr>
    </w:p>
    <w:p>
      <w:pPr>
        <w:spacing w:after="0" w:line="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CPUC conducts various reviews and audits of utility performance, compliance with CPUC regulations and standards, affiliate relationships and other matters. These reviews and audits may result in disallowances, fines and penalties that could materially adversely affect results of operations and cash flows. SoCalGas and SDG&amp;E may be subject to penalties or fines related to their operation of natural gas pipelines under new regulations concerning natural gas pipeline safety, which could have a material adverse effect on their results of operations, financial condition and cash flows. We discuss various CPUC proceedings relating to the Sempra Utilities’ rates, costs, incentive mechanisms, and performance-based regulation in Note 14 of the Notes to Consolidated Financial Statements and in “Management’s Discussion and Analysis of Financial Condition and Results of Operations” in the Annual Report.</w:t>
      </w:r>
    </w:p>
    <w:p>
      <w:pPr>
        <w:spacing w:after="0" w:line="16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Sempra Utilities may spend significant amounts of money related to a major capital project prior to receiving regulatory approval. If the project does not receive regulatory approval, if the regulatory approval is conditioned on major changes, or if management decides not to proceed with the project, they may be unable to recover all amounts spent for that project, which could materially adversely affect their businesses, financial condition, results of operations and cash flows.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CPUC periodically approves the Sempra Utilities’ rates based on authorized capital expenditures, operating costs and an authorized rate of return on investment. If actual capital expenditures and operating costs were to exceed the amount approved by the CPUC, results of operations and cash flows could be materially adversely affected. Changes in interest rates may trigger mechanisms which determine the Sempra Utilities’ authorized rates of return, changes in which could materially adversely affect results of operations and cash flows, as we discuss under “Cost of Capital” in Note 14 of the Notes to Consolidated Financial Statements in the Annual Report.</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CPUC applies performance-based measures and incentive mechanisms to all California utilities. Under these, earnings potential above authorized base margins is tied to achieving or exceeding specific performance and operating goals, rather than relying solely on expanding utility plant (rate base) to increase earnings. At the Sempra Utilities, the areas that are eligible for incentives are operational activities such as employee safety, energy efficiency programs and, at SoCalGas, natural gas procurement and unbundled natural gas storage and system operator hub services. Although the Sempra Utilities have received incentive awards in the past, there can be no assurance that they will receive awards in the future, or that any future awards earned would be in amounts comparable to prior periods. Additionally, if the Sempra Utilities fail to achieve certain minimum performance levels established under such mechanisms, they may be assessed financial disallowances, penalties and fines which could have a material negative effect on their results of operations, financial condition and cash flows.</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FERC regulates electric transmission rates, the transmission and wholesale sales of electricity in interstate commerce, transmission access, the rates of return on transmission investments, and other similar matters involving SDG&amp;E.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Sempra Utilities may be materially adversely affected by new regulations, decisions, orders or interpretations of the CPUC, the FERC or other regulatory bodies. New legislation, regulations, decisions, orders or interpretations could change how they operate, could affect their ability to recover various costs through rates or adjustment mechanisms, or could require them to incur substantial additional expenses.</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construction and expansion of the Sempra Utilities’ natural gas pipelines, SoCalGas’ storage facilities, and SDG&amp;E’s electric transmission and distribution facilities require numerous permits, licenses and other approvals from federal, state and local governmental agencies. If there are delays in obtaining these approvals, or failure to obtain or maintain these approvals, or to comply with applicable laws or regulations, the Sempra Utilities’ business, cash flows, results of operations and financial condition could be materially adversely affected. Coordinating these projects so that they are on time and within budget requires superior execution from our employees and contractors, cooperation of third parties and the absence of litigation and regulatory delay. In the event that one or more of these major projects is delayed or experiences significant cost overruns, this could have a material adverse effect on the Sempra Utilities’ businesses,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2007 Wildfire Litigation Costs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SDG&amp;E is subject to numerous lawsuits arising out of the San Diego County wildfires in 2007. It expects that substantially all reasonably incurred costs of resolving 2007 wildfire claims that exceed its liability insurance coverage and any amounts recovered from other potentially responsible parties will be recovered from utility customers. At December 31, 2011, SDG&amp;E’s Consolidated Balance Sheet includes a regulatory asset of $594 million associated with these costs. However, recovery from customers will require future regulatory actions, and a failure to obtain all or a significant portion of the expected recovery, or any negative assessment of the likelihood of recovery, would likely have a material adverse effect on Sempra Energy’s and SDG&amp;E’s cash flows, financial condition and results of operations. In addition, SDG&amp;E’s cash flows may be materially adversely affected due to the timing differences between resolution of claims and the recoveries from other potentially responsible parties and utility customers, which may extend over a number of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SDG&amp;E may incur substantial costs and liabilities as a result of its ownership of nuclear facilities.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SDG&amp;E has a 20-percent ownership interest in SONGS, a 2,150-MW nuclear generating facility near San Clemente, California, operated by Southern California Edison Company. The NRC has broad authority under federal law to impose licensing and safety-related requirements for the operation of nuclear generation facilities. SDG&amp;E’s ownership interest in SONGS subjects it to the risks of nuclear generation, which include</w:t>
      </w:r>
    </w:p>
    <w:p>
      <w:pPr>
        <w:spacing w:after="0" w:line="166" w:lineRule="exact"/>
        <w:rPr>
          <w:sz w:val="20"/>
          <w:szCs w:val="20"/>
          <w:color w:val="auto"/>
        </w:rPr>
      </w:pPr>
    </w:p>
    <w:p>
      <w:pPr>
        <w:jc w:val="both"/>
        <w:ind w:left="340" w:hanging="188"/>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that a natural disaster such as an earthquake or tsunami could cause a catastrophic failure of the safety systems in place that are designed to prevent the release of radioactive material. If such a failure were to occur, a substantial amount of radiation could be released and cause catastrophic harm to human health and the environment;</w:t>
      </w:r>
    </w:p>
    <w:p>
      <w:pPr>
        <w:spacing w:after="0" w:line="208"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harmful effects on the environment and human health resulting from the operation of nuclear facilities and the storage, handling and disposal of radioactive materials;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limitations on the amounts and types of insurance commercially available to cover losses that might arise in connection with nuclear operations;</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uncertainties with respect to the technological and financial aspects of equipment maintenance, and the decommissioning of nuclear plants;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substantial increase in oversight and new and more onerous regulations due to the nuclear disaster at Japan’s Fukushima Daiichi plant in early 2011.</w:t>
      </w:r>
    </w:p>
    <w:p>
      <w:pPr>
        <w:sectPr>
          <w:pgSz w:w="11900" w:h="16838" w:orient="portrait"/>
          <w:cols w:equalWidth="0" w:num="1">
            <w:col w:w="11420"/>
          </w:cols>
          <w:pgMar w:left="240" w:top="341" w:right="239" w:bottom="0" w:gutter="0" w:footer="0" w:header="0"/>
          <w:type w:val="continuous"/>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The occurrence of any of these events could have a material adverse effect on SDG&amp;E’s and Sempra Energy’s businesses, cash flows, financial condition and results of operations.</w:t>
      </w:r>
    </w:p>
    <w:p>
      <w:pPr>
        <w:spacing w:after="0" w:line="378"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Risks Related to our Generation, LNG, Pipelines &amp; Storage and Other Businesses</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businesses are exposed to market risks, including fluctuations in commodity prices, and our financial condition, results of operations, cash flows and liquidity may be materially adversely affected by these risks.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Sempra Generation generates electricity that it sells under long-term contracts and into the spot market or other competitive markets. It purchases natural gas to fuel its power plants and may also purchase electricity in the open market to satisfy its contractual obligations. As part of its risk management strategy, Sempra Generation may hedge a substantial portion of its electricity sales and natural gas purchases to manage its portfolio, which subjects us to the risk that the counterparty to such hedge may be unable to fulfill its obligations. Such a failure could materially adversely affect our businesses, cash flows, financial condition and results of operations.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buy energy-related commodities from time to time, for power plants or for LNG terminals to satisfy contractual obligations with customers, in regional markets and other competitive markets in which we compete. Our revenues and results of operations could be materially adversely affected if the prevailing market prices for electricity, natural gas, LNG or other commodities that we buy change in a direction or manner not anticipated and for which we had not provided adequately through purchase or sale commitments or other hedging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Unanticipated changes in market prices for energy-related commodities result from multiple factors, including:</w:t>
      </w:r>
    </w:p>
    <w:p>
      <w:pPr>
        <w:spacing w:after="0" w:line="225" w:lineRule="exact"/>
        <w:rPr>
          <w:sz w:val="20"/>
          <w:szCs w:val="20"/>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supply and demand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transmission or transportation constraints or inefficiencies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commodity production levels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by the Organization of the Petroleum Exporting Countries with respect to the supply of crude oil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foreign energy and environmental regulation and legislation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wars, embargoes and other catastrophic events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expropriation of assets by foreign countries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FERC has jurisdiction over wholesale power and transmission rates, independent system operators, and other entities that control transmission facilities or that administer wholesale power sales in some of the markets in which we operate. The FERC may impose additional price limitations, bidding rules and other mechanisms, or terminate existing price limitations from time to time. Any such action by the FERC may result in prices for electricity changing in an unanticipated direction or manner and, as a result, may have a material adverse effect on our businesses, financial condition, cash flows and results of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When our businesses enter into fixed-price long-term contracts to provide services or commodities, we are exposed to inflationary pressures such as rising commodity prices, and interest rate risks.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Sempra Generation, Sempra Pipelines &amp; Storage and Sempra LNG generally endeavor to secure long-term contracts with customers for services and commodities to optimize the use of their facilities, reduce volatility in earnings, and support the construction of new infrastructure. However, if these contracts are at fixed prices, the profitability of the contract may be materially adversely affected by inflationary pressures, including rising operational costs, costs of labor, materials, equipment and commodities, and rising interest rates that affect financing costs. We may try to mitigate these risks by using variable pricing tied to market indices, anticipating an escalation in costs when bidding on projects, providing for cost escalation or entering into hedges. However, these measures, if implemented, may not ensure that the increase in revenues they provide will fully offset increases in operating expenses and/or financing costs. The failure to so fully or substantially offset these increases could have a material adverse effect on our businesses, financial condition, cash flows and results of operations.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Business development activities may not be successful and projects under construction may not commence operation as scheduled, which could increase our costs and impair our ability to recover our investments.</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acquisition, development, construction and expansion of LNG terminals, natural gas pipelines and storage facilities, electric generation facilities, and other energy infrastructure projects involve numerous risks. We may be required to spend significant sums for preliminary engineering, permitting, fuel supply, resource exploration, legal, and other expenses before we can determine whether a project is feasible, economically attractive, or capable of being built.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Success in developing a particular project is contingent upon, among other things:</w:t>
      </w:r>
    </w:p>
    <w:p>
      <w:pPr>
        <w:spacing w:after="0" w:line="225" w:lineRule="exact"/>
        <w:rPr>
          <w:sz w:val="20"/>
          <w:szCs w:val="20"/>
          <w:color w:val="auto"/>
        </w:rPr>
      </w:pPr>
    </w:p>
    <w:p>
      <w:pPr>
        <w:ind w:left="340" w:hanging="1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negotiation of satisfactory engineering, procurement and construction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negotiation of supply and natural gas sales agreements or firm capacity service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required governmental permits</w:t>
      </w:r>
    </w:p>
    <w:p>
      <w:pPr>
        <w:sectPr>
          <w:pgSz w:w="11900" w:h="16838" w:orient="portrait"/>
          <w:cols w:equalWidth="0" w:num="1">
            <w:col w:w="11400"/>
          </w:cols>
          <w:pgMar w:left="240" w:top="125" w:right="259" w:bottom="0" w:gutter="0" w:footer="0" w:header="0"/>
        </w:sectPr>
      </w:pPr>
    </w:p>
    <w:bookmarkStart w:id="20" w:name="page21"/>
    <w:bookmarkEnd w:id="20"/>
    <w:p>
      <w:pPr>
        <w:ind w:left="160"/>
        <w:spacing w:after="0"/>
        <w:rPr>
          <w:sz w:val="20"/>
          <w:szCs w:val="20"/>
          <w:color w:val="auto"/>
        </w:rPr>
      </w:pPr>
      <w:r>
        <w:rPr>
          <w:rFonts w:ascii="Arial" w:cs="Arial" w:eastAsia="Arial" w:hAnsi="Arial"/>
          <w:sz w:val="18"/>
          <w:szCs w:val="18"/>
          <w:color w:val="auto"/>
        </w:rPr>
        <w:t>§ timely implementation and satisfactory completion of construction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Successful completion of a particular project may be materially adversely affected by:</w:t>
      </w:r>
    </w:p>
    <w:p>
      <w:pPr>
        <w:spacing w:after="0" w:line="225" w:lineRule="exact"/>
        <w:rPr>
          <w:sz w:val="20"/>
          <w:szCs w:val="20"/>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engineering problems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construction delays and contractor performance shortfalls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equipment unavailability or delay and cost increases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and geological conditions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are unable to complete the development of a facility or if we have substantial delays or cost overruns, we may not be able to recover all or any part of our investment in the project.</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operation of existing and future facilities also involves many risks, including the breakdown or failure of generation or regasification and storage facilities or other equipment or processes, labor disputes, fuel interruption, and operating performance below expected levels. In addition, weather-related incidents and other natural disasters can disrupt generation, regasification, storage and transmission systems. The occurrence of any of these events could lead to operating facilities below expected capacity levels, which may result in lost revenues or increased expenses, including higher maintenance costs and penalties. Such occurrences could materially adversely affect our businesses, financial condition, cash flows and results of operations.</w:t>
      </w:r>
    </w:p>
    <w:p>
      <w:pPr>
        <w:spacing w:after="0" w:line="14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may elect not to, or may not be able to, enter into long-term supply and sales agreements or long-term firm capacity agreements for our projects, which would subject our revenues to increased volatility and our businesses to increased competition.</w:t>
      </w:r>
    </w:p>
    <w:p>
      <w:pPr>
        <w:spacing w:after="0" w:line="14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electric generation and wholesale power sales industries have become highly competitive. As more plants are built and competitive pressures increase, wholesale electricity prices may become more volatile. Without the benefit of long-term power sales agreements, our revenues may be subject to increased price volatility. The 10-year power sales agreement between Sempra Generation and the DWR, which comprised 6 percent of our revenues in 2011, 8 percent in 2010 and 9 percent in 2009, expired September 30, 2011. As a result, we may be unable to sell the power that Sempra Generation’s facilities are capable of producing, which could materially adversely affect our businesses, financial condition, results of operations and cash flows.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Sempra LNG utilizes its terminals by entering into long-term capacity agreements. Under these agreements, customers pay Sempra LNG capacity reservation and usage fees to receive, store and regasify the customer’s LNG. Sempra LNG also may enter into short-term and/or long-term supply agreements to purchase LNG to be received, stored and regasified at its terminals for sale to other parties. The long-term supply agreement contracts are expected to reduce our exposure to changes in natural gas prices through corresponding natural gas sales agreements or by tying LNG supply prices to prevailing natural gas market price indices. However, if Sempra LNG is unable to obtain sufficient long-term agreements or if the counterparties, customers or suppliers to one or more of the key agreements for the LNG facilities were to fail to perform or become unable to meet their contractual obligations on a timely basis, it could have a material adverse effect on our business, results of operations, cash flows and financial condition. In addition, reduced availability of LNG to the United States and Mexico due to inadequate supplies, increased demand and higher prices in other countries, abundant domestic supplies of natural gas and/or delays in the development of liquefaction capability at our own receipt terminals, or worldwide, are likely to delay attainment of full-capacity utilization at our facilities. Our potential LNG suppliers also may be subject to international political and economic pressures and risks, which may also affect the supply of LNG.</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Sempra Pipelines &amp; Storage’s natural gas pipeline operations are dependent on demand for and supply of LNG and/or natural gas from their transportation customers, which may include Sempra LNG facilities.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provide information about these matters in “Management’s Discussion and Analysis of Financial Condition and Results of Operations” and in Note 15 of the Notes to Consolidated Financial Statements in the Annual Report.</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Our businesses depend on counterparties, business partners, customers, and suppliers performing in accordance with their agreements. If they fail to so perform, we could incur substantial expenses and business disruptions and be exposed to commodity price risk and volatility, which could materially adversely affect our businesses, financial condition, cash flows and results of operations.</w:t>
      </w:r>
    </w:p>
    <w:p>
      <w:pPr>
        <w:spacing w:after="0" w:line="1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exposed to the risk that counterparties, business partners, customers, and suppliers that owe money or commodities as a result of market transactions or other long-term agreements will not perform their obligations in accordance with such agreements. Should they fail to so perform, we may be required to acquire alternative hedging arrangements or to honor the underlying commitment at then-current market prices. In such event, we may incur additional losses to the extent of amounts already paid to such counterparties or suppliers. In addition, many of our agreements are essential to the conduct and growth of our businesses. The failure of any of the parties to perform in accordance with these agreements could materially adversely affect our businesses, results of operations, cash flows and financial condition. Finally, we often extend credit to counterparties and customers. While we perform significant credit analyses prior to extending credit, we are exposed to the risk that we may not be able to collect amounts owed to us.</w:t>
      </w:r>
    </w:p>
    <w:p>
      <w:pPr>
        <w:spacing w:after="0" w:line="16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Sempra LNG’s obligations and those of its suppliers for LNG supplies are contractually subject to (1) suspension or termination for “force majeure” events beyond the control of the parties; and (2) substantial limitations of remedies for other failures to perform, including limitations on damages to amounts that could be substantially less than those necessary to provide full recovery of costs for breach of the agreements.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transportation assets and services, much of which we do not own or control, to deliver electricity and natural gas.</w:t>
      </w:r>
    </w:p>
    <w:p>
      <w:pPr>
        <w:sectPr>
          <w:pgSz w:w="11900" w:h="16838" w:orient="portrait"/>
          <w:cols w:equalWidth="0" w:num="1">
            <w:col w:w="11420"/>
          </w:cols>
          <w:pgMar w:left="240" w:top="368"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We depend on electric transmission lines, natural gas pipelines, and other transportation facilities owned and operated by third parties to:</w:t>
      </w:r>
    </w:p>
    <w:p>
      <w:pPr>
        <w:spacing w:after="0" w:line="225" w:lineRule="exact"/>
        <w:rPr>
          <w:sz w:val="20"/>
          <w:szCs w:val="20"/>
          <w:color w:val="auto"/>
        </w:rPr>
      </w:pPr>
    </w:p>
    <w:p>
      <w:pPr>
        <w:ind w:left="340" w:hanging="18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the electricity and natural gas we sell to wholesale markets,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supply natural gas to our electric generation facilities,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retail energy services to customers.</w:t>
      </w:r>
    </w:p>
    <w:p>
      <w:pPr>
        <w:spacing w:after="0" w:line="2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Sempra Pipelines &amp; Storage also depends on natural gas pipelines to interconnect with their ultimate source or customers of the commodities they are transporting. Sempra LNG also relies on specialized ships to transport LNG to its facilities and on natural gas pipelines to transport natural gas for customers of the facilities. Sempra Generation relies on transmission lines to sell electricity to its customers. If transportation is disrupted, or if capacity is inadequate, we may be unable to sell and deliver our commodities, electricity and other services to some or all of our customers. As a result, we may be responsible for damages incurred by our customers, such as the additional cost of acquiring alternative natural gas supplies at then-current spot market rates, which could have a material adverse effect on our businesses, financial condition, cash flows and results of operations.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cannot and do not attempt to fully hedge our assets or contract positions against changes in commodity prices. Our hedging procedures may not work as planned.</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reduce financial exposure related to commodity price fluctuations, we may enter into contracts to hedge our known or anticipated purchase and sale commitments, inventories of natural gas and LNG, electric generation capacity, and natural gas storage and pipeline capacity. As part of this strategy, we may use forward contracts, physical purchase and sales contracts, futures, financial swaps, and options. We do not hedge the entire exposure to market price volatility of our assets or our contract positions, and the coverage will vary over time. To the extent we have unhedged positions, or if our hedging strategies do not work as planned, fluctuating commodity prices could have a material adverse effect on our businesses, results of operations, cash flows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 may not prevent losses.</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Although we have in place risk management systems and control systems that use advanced methodologies to quantify and manage risk, these systems may not always prevent material losses. Risk management procedures may not always be followed as required by the companies or may not always work as planned. In addition, daily value-at-risk and loss limits are based on historic price movements. If prices significantly or persistently deviate from historic prices, the limits may not protect us from significant losses. As a result of these and other factors, there is no assurance that our risk management procedures will prevent losses that would materially adversely affect our businesses, results of operations, cash flows and financial condition.</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international businesses are exposed to different local, regulatory and business risks and challenges, which could have a material adverse effect on our financial condition, cash flows and results of operations.</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own or have interests in electricity generation and transmission, natural gas distribution and transportation, and LNG terminal projects in Mexico, and electricity and natural gas distribution businesses in Argentina, Chile and Peru. Developing infrastructure projects, owning energy assets, and operating businesses in foreign jurisdictions subject us to significant political, legal and financial risks that vary by country, including:</w:t>
      </w:r>
    </w:p>
    <w:p>
      <w:pPr>
        <w:spacing w:after="0" w:line="166" w:lineRule="exact"/>
        <w:rPr>
          <w:sz w:val="20"/>
          <w:szCs w:val="20"/>
          <w:color w:val="auto"/>
        </w:rPr>
      </w:pPr>
    </w:p>
    <w:p>
      <w:pPr>
        <w:ind w:left="340" w:hanging="188"/>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foreign laws and regulations, including tax and environmental laws and regulations, and U.S. laws and regulations related to foreign operations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 rates of inflation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volatility in exchange rates between the U.S. dollar and currencies of the countries in which we operate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 policies or personnel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U.S. company ownership in foreign countries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permitting and regulatory compliance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labor supply and labor relations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rulings by foreign courts or tribunals, challenges to permits and approvals, difficulty in enforcing contractual and property rights, and unsettled property rights and titles in Mexico and other foreign jurisdictions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expropriation of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political, economic and business conditions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international businesses also are subject to foreign currency risks. These risks arise from both volatility in foreign currency exchange and inflation rates and devaluations of foreign currencies. In such cases, an appreciation of the U.S. dollar against a local currency could materially reduce the amount of cash and income received from those foreign subsidiaries. Fluctuations in foreign currency exchange and inflation rates may result in significantly increased taxes in foreign countries and materially adversely affect our businesses, cash flows and results of operations.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discuss litigation related to Sempra LNG’s Energía Costa Azul LNG terminal in Note 15 of the Notes to Consolidated Financial Statements in the Annual Report.</w:t>
      </w:r>
    </w:p>
    <w:p>
      <w:pPr>
        <w:sectPr>
          <w:pgSz w:w="11900" w:h="16838" w:orient="portrait"/>
          <w:cols w:equalWidth="0" w:num="1">
            <w:col w:w="11420"/>
          </w:cols>
          <w:pgMar w:left="240" w:top="341" w:right="239" w:bottom="166" w:gutter="0" w:footer="0" w:header="0"/>
        </w:sectPr>
      </w:pPr>
    </w:p>
    <w:bookmarkStart w:id="22" w:name="page23"/>
    <w:bookmarkEnd w:id="22"/>
    <w:p>
      <w:pPr>
        <w:ind w:left="4900"/>
        <w:spacing w:after="0"/>
        <w:rPr>
          <w:sz w:val="20"/>
          <w:szCs w:val="20"/>
          <w:color w:val="auto"/>
        </w:rPr>
      </w:pPr>
      <w:r>
        <w:rPr>
          <w:rFonts w:ascii="Arial" w:cs="Arial" w:eastAsia="Arial" w:hAnsi="Arial"/>
          <w:sz w:val="18"/>
          <w:szCs w:val="18"/>
          <w:b w:val="1"/>
          <w:bCs w:val="1"/>
          <w:color w:val="auto"/>
        </w:rPr>
        <w:t>Other Risks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Energy has substantial investments and other obligations in businesses that it does not control or manage.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Sempra Energy is a partner with RBS in RBS Sempra Commodities, a commodities-marketing firm, which divested substantially all of its businesses and assets in 2010 and early 2011, as we discuss above under “Description of Business – RBS Sempra Commodities LLP.” Our remaining investment in the partnership is $126 million at December 31, 2011. We expect the partnership to distribute substantially all of this amount to us in the first half of 2012. Minor amounts may be retained by the partnership beyond 2012 to help offset unanticipated future general and administrative costs necessary to complete the dissolution of the partnership. We have guaranteed various obligations of businesses previously owned and operated by RBS Sempra Commodities, as we discuss in Note 5 of the Notes to Consolidated Financial Statements in the Annual Report. The failure to collect all or a substantial portion of our remaining investment in the partnership could have a corresponding effect on our cash flows, financial condition and results of operations.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described above, SDG&amp;E holds a 20-percent ownership interest in SONGS, which is operated by Edison. We also own a 25-percent interest in Rockies Express Pipeline LLC (Rockies Express), a joint venture which completed construction in 2009 of a 1,679-mile natural gas pipeline at a cost of $6.8 billion. Our investment in Rockies Express is $800 million at December 31, 2011. Rockies Express is controlled by Kinder Morgan Energy Partners, which holds a 50-percent interest. Sempra Generation has investments in several joint ventures to develop and operate renewable generation facilities. We also have smaller investments in other entities that we do not control or manage, or in which we share control, totaling $713 million at December 31, 2011. We continue to make such investments.</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limited influence over these and other businesses in which we do not have a controlling interest. In addition to the other risks inherent in these businesses, if their management were to fail to perform adequately or the other investors in the businesses were unable or otherwise failed to perform their obligations to provide capital and credit support for these businesses, it could have a material adverse effect on our results of operations, financial position and cash flows.</w:t>
      </w:r>
    </w:p>
    <w:p>
      <w:pPr>
        <w:sectPr>
          <w:pgSz w:w="11900" w:h="16838" w:orient="portrait"/>
          <w:cols w:equalWidth="0" w:num="1">
            <w:col w:w="11360"/>
          </w:cols>
          <w:pgMar w:left="240" w:top="118" w:right="299" w:bottom="1440" w:gutter="0" w:footer="0" w:header="0"/>
        </w:sectPr>
      </w:pPr>
    </w:p>
    <w:bookmarkStart w:id="23" w:name="page24"/>
    <w:bookmarkEnd w:id="2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1B. UNRESOLVED STAFF COMMENTS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ITEM 2. PROPERTIES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PROPERTIES – SDG&amp;E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SDG&amp;E owns and operates four natural gas-fired power plants:</w:t>
      </w:r>
    </w:p>
    <w:p>
      <w:pPr>
        <w:spacing w:after="0" w:line="225" w:lineRule="exact"/>
        <w:rPr>
          <w:sz w:val="20"/>
          <w:szCs w:val="20"/>
          <w:color w:val="auto"/>
        </w:rPr>
      </w:pPr>
    </w:p>
    <w:p>
      <w:pPr>
        <w:ind w:left="300" w:hanging="260"/>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560-MW electric generation facility (the Palomar generation facility) in Escondido, California</w:t>
      </w:r>
    </w:p>
    <w:p>
      <w:pPr>
        <w:spacing w:after="0" w:line="252" w:lineRule="exact"/>
        <w:rPr>
          <w:rFonts w:ascii="Arial" w:cs="Arial" w:eastAsia="Arial" w:hAnsi="Arial"/>
          <w:sz w:val="18"/>
          <w:szCs w:val="18"/>
          <w:color w:val="auto"/>
        </w:rPr>
      </w:pPr>
    </w:p>
    <w:p>
      <w:pPr>
        <w:ind w:left="300" w:hanging="260"/>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495-MW electric generation facility (the Desert Star generation facility) in Boulder City, Nevada</w:t>
      </w:r>
    </w:p>
    <w:p>
      <w:pPr>
        <w:spacing w:after="0" w:line="252" w:lineRule="exact"/>
        <w:rPr>
          <w:rFonts w:ascii="Arial" w:cs="Arial" w:eastAsia="Arial" w:hAnsi="Arial"/>
          <w:sz w:val="18"/>
          <w:szCs w:val="18"/>
          <w:color w:val="auto"/>
        </w:rPr>
      </w:pPr>
    </w:p>
    <w:p>
      <w:pPr>
        <w:ind w:left="380" w:hanging="273"/>
        <w:spacing w:after="0"/>
        <w:tabs>
          <w:tab w:leader="none" w:pos="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47.6-MW electric generation peaking facility (the Miramar I generation facility) in San Diego, California</w:t>
      </w:r>
    </w:p>
    <w:p>
      <w:pPr>
        <w:spacing w:after="0" w:line="252" w:lineRule="exact"/>
        <w:rPr>
          <w:rFonts w:ascii="Arial" w:cs="Arial" w:eastAsia="Arial" w:hAnsi="Arial"/>
          <w:sz w:val="18"/>
          <w:szCs w:val="18"/>
          <w:color w:val="auto"/>
        </w:rPr>
      </w:pPr>
    </w:p>
    <w:p>
      <w:pPr>
        <w:ind w:left="380" w:hanging="273"/>
        <w:spacing w:after="0"/>
        <w:tabs>
          <w:tab w:leader="none" w:pos="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48.6-MW electric generation peaking facility (the Miramar II generation facility) in San Diego, California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SDG&amp;E purchased the 495-MW Desert Star (formerly El Dorado) natural gas-fired power plant from Sempra Generation in October 2011.</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January 1, 2012, SDG&amp;E purchased a fifth natural gas-fired power plant, the 52-MW Cuyamaca Peak Energy Plant (formerly CalPeak El Cajon Energy Facility) located in El Cajon, California from CalPeak Power-El Cajon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SDG&amp;E’s interest in SONGS is described above in Item 1 under “Electric Utility Operations – SDG&amp;E.”</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December 31, 2011, SDG&amp;E’s electric transmission and distribution facilities included substations, and overhead and underground lines. These electric facilities are located in San Diego, Imperial and Orange counties of California, and in Arizona and Nevada. The facilities consist of 1,896 miles of transmission lines and 22,449 miles of distribution lines. Periodically, various areas of the service territory require expansion to accommodate customer growth.</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SDG&amp;E expects to complete construction of the Sunrise Powerlink electric transmission line in the second half of 2012. The Sunrise Powerlink is a new 117-mile, 500-kV electric transmission line that is designed to deliver up to 1,000 MW of energy from the Imperial Valley to the San Diego region.</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PROPERTIES – SEMPRA UTILITIES</w:t>
      </w:r>
    </w:p>
    <w:p>
      <w:pPr>
        <w:spacing w:after="0" w:line="23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December 31, 2011, SDG&amp;E’s natural gas facilities consisted of the Moreno and Rainbow compressor stations, 168 miles of transmission pipelines, 8,490 miles of distribution mains and 6,388 miles of service lines.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December 31, 2011, SoCalGas’ natural gas facilities included 2,960 miles of transmission and storage pipelines, 49,773 miles of distribution pipelines and 48,572 miles of service pipelines. They also included 11 transmission compressor stations and 4 underground natural gas storage reservoirs with a combined working capacity of 134 billion cubic feet (Bcf).</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PROPERTIES – SEMPRA GLOBAL</w:t>
      </w:r>
    </w:p>
    <w:p>
      <w:pPr>
        <w:spacing w:after="0" w:line="2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31, 2011, Sempra Generation operates or owns interests in power plants and renewable generation facilities in North America with a total capacity of 2,200 MW. We provide additional information in “Management’s Discussion and Analysis of Financial Condition and Results of Operations” and in Notes 3 and 4 of the Notes to Consolidated Financial Statements in the Annual Report.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Sempra Generation leases or owns property in Arizona, California, Nevada, and Mexico for potential development of solar and wind electric generation facilities.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2011, Sempra Pipelines &amp; Storage’s operations in Mexico included 1,903 miles of distribution pipelines, 224 miles of transmission pipelines and 3 compressor stations.</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2006, Sempra Pipelines &amp; Storage and ProLiance Transportation and Storage, LLC acquired three existing salt caverns representing 10 Bcf to 12 Bcf of potential natural gas storage capacity in Cameron Parish, Louisiana, with plans for development of a natural gas storage facility.</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Sempra Pipelines &amp; Storage operates Mobile Gas, a natural gas distribution utility located in Mobile and Baldwin counties in Alabama. Its property consists of distribution mains, service lines and regulating equipment.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Sempra Pipelines &amp; Storage operates Chilquinta Energía located in Valparaiso, Chile. Its property consists of 9,622 miles of distribution lines, 339 miles of transmission lines and 45 substations.</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Sempra Pipelines &amp; Storage operates Luz del Sur located in Lima, Peru. Its property consists of 11,806 miles of distribution lines and 173 miles of transmission lines.</w:t>
      </w:r>
    </w:p>
    <w:p>
      <w:pPr>
        <w:sectPr>
          <w:pgSz w:w="11900" w:h="16838" w:orient="portrait"/>
          <w:cols w:equalWidth="0" w:num="1">
            <w:col w:w="11420"/>
          </w:cols>
          <w:pgMar w:left="240" w:top="973" w:right="239" w:bottom="18"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t>In Washington County, Alabama, Sempra Pipelines &amp; Storage operates a 15.5 Bcf natural gas storage facility under a land lease, with current plans to expand total working capacity to 21 Bcf to be in-service in 2013. Sempra Pipelines &amp; Storage also owns land in Simpson County, Mississippi, on which it operates a 7.5 Bcf natural gas storage facility, with current plans to develop natural gas storage with additional working capacity of 15 Bcf to be in-service in 2012 and 2013. Portions of both these properties are currently under construction.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Sempra LNG operates its Energía Costa Azul LNG terminal on land it owns in Baja California, Mexico and has a land lease in Hackberry, Louisiana, where it operates its Cameron LNG terminal. Sempra LNG also owns land in Port Arthur, Texas, for potential development.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PROPERTIES</w:t>
      </w:r>
    </w:p>
    <w:p>
      <w:pPr>
        <w:spacing w:after="0" w:line="2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Sempra Energy occupies its 19-story corporate headquarters building in San Diego, California, pursuant to an operating lease that expires in 2015. The lease has two five-year renewal options.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SoCalGas leases approximately one-fourth of a 52-story office building in downtown Los Angeles, California, pursuant to an operating lease expiring in 2026. The lease has four five-year renewal options.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SDG&amp;E occupies a six-building office complex in San Diego pursuant to two separate operating leases, both ending in December 2017. One lease has four five-year renewal options and the other lease has three five-year renewal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Sempra Global leases office facilities at various locations in the U.S., Mexico, Chile and Peru, with the leases ending from 2012 to 2035.</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Sempra Energy, SDG&amp;E and SoCalGas own or lease other land, easements, rights of way, warehouses, offices, operating and maintenance centers, shops, service facilities and equipment necessary to conduct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ITEM 3. LEGAL PROCEEDINGS</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14 and 15 of the Notes to Consolidated Financial Statements, or (2) referred to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ITEM 4. MINE SAFETY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125" w:right="259" w:bottom="1440" w:gutter="0" w:footer="0" w:header="0"/>
        </w:sectPr>
      </w:pPr>
    </w:p>
    <w:bookmarkStart w:id="25" w:name="page26"/>
    <w:bookmarkEnd w:id="25"/>
    <w:p>
      <w:pPr>
        <w:spacing w:after="0"/>
        <w:rPr>
          <w:sz w:val="20"/>
          <w:szCs w:val="20"/>
          <w:color w:val="auto"/>
        </w:rPr>
      </w:pPr>
      <w:r>
        <w:rPr>
          <w:rFonts w:ascii="Arial" w:cs="Arial" w:eastAsia="Arial" w:hAnsi="Arial"/>
          <w:sz w:val="23"/>
          <w:szCs w:val="23"/>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ITEM 5. MARKET FOR REGISTRANT’S COMMON EQUITY, RELATED STOCKHOLDER MATTERS AND ISSUER PURCHASES OF EQUITY SECURITIES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RELATED SHAREHOLDER MATTERS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related shareholder, and dividend restriction information required by Item 5 is included in “Common Stock Data” in the Annual Report.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EQUITY COMPENSATION PLANS</w:t>
      </w:r>
    </w:p>
    <w:p>
      <w:pPr>
        <w:spacing w:after="0" w:line="23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Sempra Energy has long term incentive plans that permit the grant of a wide variety of equity and equity-based incentive awards to directors, officers and key employees. At December 31, 2011, outstanding awards consisted of stock options, restricted stock, and restricted stock units held by 331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equity compensation plans at December 31, 2011.</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Number of shares to</w:t>
            </w: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be issued upon</w:t>
            </w: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Number of</w:t>
            </w: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exercise of</w:t>
            </w:r>
          </w:p>
        </w:tc>
        <w:tc>
          <w:tcPr>
            <w:tcW w:w="2240" w:type="dxa"/>
            <w:vAlign w:val="bottom"/>
            <w:gridSpan w:val="2"/>
          </w:tcPr>
          <w:p>
            <w:pPr>
              <w:jc w:val="right"/>
              <w:ind w:right="401"/>
              <w:spacing w:after="0"/>
              <w:rPr>
                <w:sz w:val="20"/>
                <w:szCs w:val="20"/>
                <w:color w:val="auto"/>
              </w:rPr>
            </w:pPr>
            <w:r>
              <w:rPr>
                <w:rFonts w:ascii="Arial" w:cs="Arial" w:eastAsia="Arial" w:hAnsi="Arial"/>
                <w:sz w:val="14"/>
                <w:szCs w:val="14"/>
                <w:color w:val="auto"/>
              </w:rPr>
              <w:t>Weighted-average</w:t>
            </w:r>
          </w:p>
        </w:tc>
        <w:tc>
          <w:tcPr>
            <w:tcW w:w="1920" w:type="dxa"/>
            <w:vAlign w:val="bottom"/>
          </w:tcPr>
          <w:p>
            <w:pPr>
              <w:jc w:val="right"/>
              <w:spacing w:after="0"/>
              <w:rPr>
                <w:sz w:val="20"/>
                <w:szCs w:val="20"/>
                <w:color w:val="auto"/>
              </w:rPr>
            </w:pPr>
            <w:r>
              <w:rPr>
                <w:rFonts w:ascii="Arial" w:cs="Arial" w:eastAsia="Arial" w:hAnsi="Arial"/>
                <w:sz w:val="14"/>
                <w:szCs w:val="14"/>
                <w:color w:val="auto"/>
              </w:rPr>
              <w:t>additional</w:t>
            </w: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outstanding</w:t>
            </w:r>
          </w:p>
        </w:tc>
        <w:tc>
          <w:tcPr>
            <w:tcW w:w="700" w:type="dxa"/>
            <w:vAlign w:val="bottom"/>
          </w:tcPr>
          <w:p>
            <w:pPr>
              <w:spacing w:after="0"/>
              <w:rPr>
                <w:sz w:val="14"/>
                <w:szCs w:val="14"/>
                <w:color w:val="auto"/>
              </w:rPr>
            </w:pPr>
          </w:p>
        </w:tc>
        <w:tc>
          <w:tcPr>
            <w:tcW w:w="1540" w:type="dxa"/>
            <w:vAlign w:val="bottom"/>
          </w:tcPr>
          <w:p>
            <w:pPr>
              <w:jc w:val="right"/>
              <w:ind w:right="401"/>
              <w:spacing w:after="0"/>
              <w:rPr>
                <w:sz w:val="20"/>
                <w:szCs w:val="20"/>
                <w:color w:val="auto"/>
              </w:rPr>
            </w:pPr>
            <w:r>
              <w:rPr>
                <w:rFonts w:ascii="Arial" w:cs="Arial" w:eastAsia="Arial" w:hAnsi="Arial"/>
                <w:sz w:val="14"/>
                <w:szCs w:val="14"/>
                <w:color w:val="auto"/>
              </w:rPr>
              <w:t>exercise price of</w:t>
            </w:r>
          </w:p>
        </w:tc>
        <w:tc>
          <w:tcPr>
            <w:tcW w:w="1920" w:type="dxa"/>
            <w:vAlign w:val="bottom"/>
          </w:tcPr>
          <w:p>
            <w:pPr>
              <w:jc w:val="right"/>
              <w:spacing w:after="0"/>
              <w:rPr>
                <w:sz w:val="20"/>
                <w:szCs w:val="20"/>
                <w:color w:val="auto"/>
              </w:rPr>
            </w:pPr>
            <w:r>
              <w:rPr>
                <w:rFonts w:ascii="Arial" w:cs="Arial" w:eastAsia="Arial" w:hAnsi="Arial"/>
                <w:sz w:val="14"/>
                <w:szCs w:val="14"/>
                <w:color w:val="auto"/>
              </w:rPr>
              <w:t>shares remaining</w:t>
            </w: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options, warrants</w:t>
            </w:r>
          </w:p>
        </w:tc>
        <w:tc>
          <w:tcPr>
            <w:tcW w:w="2240" w:type="dxa"/>
            <w:vAlign w:val="bottom"/>
            <w:gridSpan w:val="2"/>
          </w:tcPr>
          <w:p>
            <w:pPr>
              <w:jc w:val="right"/>
              <w:ind w:right="401"/>
              <w:spacing w:after="0"/>
              <w:rPr>
                <w:sz w:val="20"/>
                <w:szCs w:val="20"/>
                <w:color w:val="auto"/>
              </w:rPr>
            </w:pPr>
            <w:r>
              <w:rPr>
                <w:rFonts w:ascii="Arial" w:cs="Arial" w:eastAsia="Arial" w:hAnsi="Arial"/>
                <w:sz w:val="14"/>
                <w:szCs w:val="14"/>
                <w:color w:val="auto"/>
              </w:rPr>
              <w:t>outstanding options,</w:t>
            </w:r>
          </w:p>
        </w:tc>
        <w:tc>
          <w:tcPr>
            <w:tcW w:w="1920" w:type="dxa"/>
            <w:vAlign w:val="bottom"/>
          </w:tcPr>
          <w:p>
            <w:pPr>
              <w:jc w:val="right"/>
              <w:spacing w:after="0"/>
              <w:rPr>
                <w:sz w:val="20"/>
                <w:szCs w:val="20"/>
                <w:color w:val="auto"/>
              </w:rPr>
            </w:pPr>
            <w:r>
              <w:rPr>
                <w:rFonts w:ascii="Arial" w:cs="Arial" w:eastAsia="Arial" w:hAnsi="Arial"/>
                <w:sz w:val="14"/>
                <w:szCs w:val="14"/>
                <w:color w:val="auto"/>
              </w:rPr>
              <w:t>available for future</w:t>
            </w:r>
          </w:p>
        </w:tc>
      </w:tr>
      <w:tr>
        <w:trPr>
          <w:trHeight w:val="164"/>
        </w:trPr>
        <w:tc>
          <w:tcPr>
            <w:tcW w:w="20" w:type="dxa"/>
            <w:vAlign w:val="bottom"/>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jc w:val="right"/>
              <w:ind w:right="405"/>
              <w:spacing w:after="0" w:line="157" w:lineRule="exact"/>
              <w:rPr>
                <w:sz w:val="20"/>
                <w:szCs w:val="20"/>
                <w:color w:val="auto"/>
              </w:rPr>
            </w:pPr>
            <w:r>
              <w:rPr>
                <w:rFonts w:ascii="Arial" w:cs="Arial" w:eastAsia="Arial" w:hAnsi="Arial"/>
                <w:sz w:val="14"/>
                <w:szCs w:val="14"/>
                <w:color w:val="auto"/>
              </w:rPr>
              <w:t>and rights(A)</w:t>
            </w:r>
          </w:p>
        </w:tc>
        <w:tc>
          <w:tcPr>
            <w:tcW w:w="2240" w:type="dxa"/>
            <w:vAlign w:val="bottom"/>
            <w:tcBorders>
              <w:bottom w:val="single" w:sz="8" w:color="auto"/>
            </w:tcBorders>
            <w:gridSpan w:val="2"/>
          </w:tcPr>
          <w:p>
            <w:pPr>
              <w:jc w:val="right"/>
              <w:ind w:right="401"/>
              <w:spacing w:after="0" w:line="157" w:lineRule="exact"/>
              <w:rPr>
                <w:sz w:val="20"/>
                <w:szCs w:val="20"/>
                <w:color w:val="auto"/>
              </w:rPr>
            </w:pPr>
            <w:r>
              <w:rPr>
                <w:rFonts w:ascii="Arial" w:cs="Arial" w:eastAsia="Arial" w:hAnsi="Arial"/>
                <w:sz w:val="14"/>
                <w:szCs w:val="14"/>
                <w:color w:val="auto"/>
              </w:rPr>
              <w:t>warrants and rights</w:t>
            </w:r>
          </w:p>
        </w:tc>
        <w:tc>
          <w:tcPr>
            <w:tcW w:w="1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issuance</w:t>
            </w:r>
          </w:p>
        </w:tc>
      </w:tr>
      <w:tr>
        <w:trPr>
          <w:trHeight w:val="164"/>
        </w:trPr>
        <w:tc>
          <w:tcPr>
            <w:tcW w:w="20" w:type="dxa"/>
            <w:vAlign w:val="bottom"/>
          </w:tcPr>
          <w:p>
            <w:pPr>
              <w:spacing w:after="0"/>
              <w:rPr>
                <w:sz w:val="14"/>
                <w:szCs w:val="14"/>
                <w:color w:val="auto"/>
              </w:rPr>
            </w:pPr>
          </w:p>
        </w:tc>
        <w:tc>
          <w:tcPr>
            <w:tcW w:w="4220" w:type="dxa"/>
            <w:vAlign w:val="bottom"/>
          </w:tcPr>
          <w:p>
            <w:pPr>
              <w:spacing w:after="0" w:line="164" w:lineRule="exact"/>
              <w:rPr>
                <w:sz w:val="20"/>
                <w:szCs w:val="20"/>
                <w:color w:val="auto"/>
              </w:rPr>
            </w:pPr>
            <w:r>
              <w:rPr>
                <w:rFonts w:ascii="Arial" w:cs="Arial" w:eastAsia="Arial" w:hAnsi="Arial"/>
                <w:sz w:val="16"/>
                <w:szCs w:val="16"/>
                <w:color w:val="auto"/>
              </w:rPr>
              <w:t>Equity compensation plans approved</w:t>
            </w:r>
          </w:p>
        </w:tc>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160"/>
              <w:spacing w:after="0" w:line="176" w:lineRule="exact"/>
              <w:rPr>
                <w:sz w:val="20"/>
                <w:szCs w:val="20"/>
                <w:color w:val="auto"/>
              </w:rPr>
            </w:pPr>
            <w:r>
              <w:rPr>
                <w:rFonts w:ascii="Arial" w:cs="Arial" w:eastAsia="Arial" w:hAnsi="Arial"/>
                <w:sz w:val="16"/>
                <w:szCs w:val="16"/>
                <w:color w:val="auto"/>
              </w:rPr>
              <w:t>by shareholders:</w:t>
            </w:r>
          </w:p>
        </w:tc>
        <w:tc>
          <w:tcPr>
            <w:tcW w:w="3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340"/>
              <w:spacing w:after="0"/>
              <w:rPr>
                <w:sz w:val="20"/>
                <w:szCs w:val="20"/>
                <w:color w:val="auto"/>
              </w:rPr>
            </w:pPr>
            <w:r>
              <w:rPr>
                <w:rFonts w:ascii="Arial" w:cs="Arial" w:eastAsia="Arial" w:hAnsi="Arial"/>
                <w:sz w:val="16"/>
                <w:szCs w:val="16"/>
                <w:color w:val="auto"/>
              </w:rPr>
              <w:t>2008 Long Term Incentive Plan</w:t>
            </w:r>
          </w:p>
        </w:tc>
        <w:tc>
          <w:tcPr>
            <w:tcW w:w="3020" w:type="dxa"/>
            <w:vAlign w:val="bottom"/>
          </w:tcPr>
          <w:p>
            <w:pPr>
              <w:jc w:val="right"/>
              <w:ind w:right="465"/>
              <w:spacing w:after="0"/>
              <w:rPr>
                <w:sz w:val="20"/>
                <w:szCs w:val="20"/>
                <w:color w:val="auto"/>
              </w:rPr>
            </w:pPr>
            <w:r>
              <w:rPr>
                <w:rFonts w:ascii="Arial" w:cs="Arial" w:eastAsia="Arial" w:hAnsi="Arial"/>
                <w:sz w:val="16"/>
                <w:szCs w:val="16"/>
                <w:color w:val="auto"/>
              </w:rPr>
              <w:t>4,615,821</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41"/>
              <w:spacing w:after="0"/>
              <w:rPr>
                <w:sz w:val="20"/>
                <w:szCs w:val="20"/>
                <w:color w:val="auto"/>
              </w:rPr>
            </w:pPr>
            <w:r>
              <w:rPr>
                <w:rFonts w:ascii="Arial" w:cs="Arial" w:eastAsia="Arial" w:hAnsi="Arial"/>
                <w:sz w:val="16"/>
                <w:szCs w:val="16"/>
                <w:color w:val="auto"/>
              </w:rPr>
              <w:t>47.85</w:t>
            </w:r>
          </w:p>
        </w:tc>
        <w:tc>
          <w:tcPr>
            <w:tcW w:w="1920" w:type="dxa"/>
            <w:vAlign w:val="bottom"/>
          </w:tcPr>
          <w:p>
            <w:pPr>
              <w:ind w:left="480"/>
              <w:spacing w:after="0"/>
              <w:rPr>
                <w:sz w:val="20"/>
                <w:szCs w:val="20"/>
                <w:color w:val="auto"/>
              </w:rPr>
            </w:pPr>
            <w:r>
              <w:rPr>
                <w:rFonts w:ascii="Arial" w:cs="Arial" w:eastAsia="Arial" w:hAnsi="Arial"/>
                <w:sz w:val="16"/>
                <w:szCs w:val="16"/>
                <w:color w:val="auto"/>
              </w:rPr>
              <w:t>2,314,475 (B)</w:t>
            </w:r>
          </w:p>
        </w:tc>
      </w:tr>
      <w:tr>
        <w:trPr>
          <w:trHeight w:val="332"/>
        </w:trPr>
        <w:tc>
          <w:tcPr>
            <w:tcW w:w="424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w:t>
            </w:r>
          </w:p>
        </w:tc>
        <w:tc>
          <w:tcPr>
            <w:tcW w:w="3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160"/>
              <w:spacing w:after="0" w:line="176" w:lineRule="exact"/>
              <w:rPr>
                <w:sz w:val="20"/>
                <w:szCs w:val="20"/>
                <w:color w:val="auto"/>
              </w:rPr>
            </w:pPr>
            <w:r>
              <w:rPr>
                <w:rFonts w:ascii="Arial" w:cs="Arial" w:eastAsia="Arial" w:hAnsi="Arial"/>
                <w:sz w:val="16"/>
                <w:szCs w:val="16"/>
                <w:color w:val="auto"/>
              </w:rPr>
              <w:t>by shareholders:</w:t>
            </w:r>
          </w:p>
        </w:tc>
        <w:tc>
          <w:tcPr>
            <w:tcW w:w="3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340"/>
              <w:spacing w:after="0" w:line="176" w:lineRule="exact"/>
              <w:rPr>
                <w:sz w:val="20"/>
                <w:szCs w:val="20"/>
                <w:color w:val="auto"/>
              </w:rPr>
            </w:pPr>
            <w:r>
              <w:rPr>
                <w:rFonts w:ascii="Arial" w:cs="Arial" w:eastAsia="Arial" w:hAnsi="Arial"/>
                <w:sz w:val="16"/>
                <w:szCs w:val="16"/>
                <w:color w:val="auto"/>
              </w:rPr>
              <w:t>2008 Long Term Incentive Plan for</w:t>
            </w:r>
          </w:p>
        </w:tc>
        <w:tc>
          <w:tcPr>
            <w:tcW w:w="3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520"/>
              <w:spacing w:after="0" w:line="176" w:lineRule="exact"/>
              <w:rPr>
                <w:sz w:val="20"/>
                <w:szCs w:val="20"/>
                <w:color w:val="auto"/>
              </w:rPr>
            </w:pPr>
            <w:r>
              <w:rPr>
                <w:rFonts w:ascii="Arial" w:cs="Arial" w:eastAsia="Arial" w:hAnsi="Arial"/>
                <w:sz w:val="16"/>
                <w:szCs w:val="16"/>
                <w:color w:val="auto"/>
              </w:rPr>
              <w:t>EnergySouth, Inc. Employees and</w:t>
            </w:r>
          </w:p>
        </w:tc>
        <w:tc>
          <w:tcPr>
            <w:tcW w:w="3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42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Other Eligible Individuals(C)</w:t>
            </w:r>
          </w:p>
        </w:tc>
        <w:tc>
          <w:tcPr>
            <w:tcW w:w="302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color w:val="auto"/>
              </w:rPr>
              <w:t>15,150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49.44</w:t>
            </w:r>
          </w:p>
        </w:tc>
        <w:tc>
          <w:tcPr>
            <w:tcW w:w="19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color w:val="auto"/>
              </w:rPr>
              <w:t>240,952 (D)</w:t>
            </w:r>
          </w:p>
        </w:tc>
      </w:tr>
      <w:tr>
        <w:trPr>
          <w:trHeight w:val="195"/>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Total</w:t>
            </w:r>
          </w:p>
        </w:tc>
        <w:tc>
          <w:tcPr>
            <w:tcW w:w="3020" w:type="dxa"/>
            <w:vAlign w:val="bottom"/>
          </w:tcPr>
          <w:p>
            <w:pPr>
              <w:jc w:val="right"/>
              <w:ind w:right="465"/>
              <w:spacing w:after="0"/>
              <w:rPr>
                <w:sz w:val="20"/>
                <w:szCs w:val="20"/>
                <w:color w:val="auto"/>
              </w:rPr>
            </w:pPr>
            <w:r>
              <w:rPr>
                <w:rFonts w:ascii="Arial" w:cs="Arial" w:eastAsia="Arial" w:hAnsi="Arial"/>
                <w:sz w:val="16"/>
                <w:szCs w:val="16"/>
                <w:color w:val="auto"/>
              </w:rPr>
              <w:t>4,630,971</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41"/>
              <w:spacing w:after="0"/>
              <w:rPr>
                <w:sz w:val="20"/>
                <w:szCs w:val="20"/>
                <w:color w:val="auto"/>
              </w:rPr>
            </w:pPr>
            <w:r>
              <w:rPr>
                <w:rFonts w:ascii="Arial" w:cs="Arial" w:eastAsia="Arial" w:hAnsi="Arial"/>
                <w:sz w:val="16"/>
                <w:szCs w:val="16"/>
                <w:color w:val="auto"/>
              </w:rPr>
              <w:t>47.85</w:t>
            </w:r>
          </w:p>
        </w:tc>
        <w:tc>
          <w:tcPr>
            <w:tcW w:w="1920" w:type="dxa"/>
            <w:vAlign w:val="bottom"/>
          </w:tcPr>
          <w:p>
            <w:pPr>
              <w:ind w:left="480"/>
              <w:spacing w:after="0"/>
              <w:rPr>
                <w:sz w:val="20"/>
                <w:szCs w:val="20"/>
                <w:color w:val="auto"/>
              </w:rPr>
            </w:pPr>
            <w:r>
              <w:rPr>
                <w:rFonts w:ascii="Arial" w:cs="Arial" w:eastAsia="Arial" w:hAnsi="Arial"/>
                <w:sz w:val="16"/>
                <w:szCs w:val="16"/>
                <w:color w:val="auto"/>
              </w:rPr>
              <w:t>2,555,427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60" w:right="360" w:hanging="417"/>
        <w:spacing w:after="0" w:line="251" w:lineRule="auto"/>
        <w:tabs>
          <w:tab w:leader="none" w:pos="66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Consists solely of options to purchase shares of our common stock, all of which were granted at an exercise price of 100% of the grant date fair market value of the shares subject to the option.</w:t>
      </w:r>
    </w:p>
    <w:p>
      <w:pPr>
        <w:ind w:left="660" w:right="80" w:hanging="417"/>
        <w:spacing w:after="0" w:line="241" w:lineRule="auto"/>
        <w:tabs>
          <w:tab w:leader="none" w:pos="66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available for future issuance is increased by the number of shares withheld to satisfy tax withholding obligations relating to stock option and other plan awards and by the number of shares subject to awards that lapse, expire or are otherwise terminated or are settled other than by the issuance of shares.</w:t>
      </w:r>
    </w:p>
    <w:p>
      <w:pPr>
        <w:ind w:left="660" w:right="300" w:hanging="421"/>
        <w:spacing w:after="0" w:line="241" w:lineRule="auto"/>
        <w:tabs>
          <w:tab w:leader="none" w:pos="66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Adopted in connection with our acquisition of EnergySouth, Inc. in October 2008 to utilize shares remaining available under the 2008 Incentive Plan of EnergySouth, Inc., which had been previously approved by EnergySouth, Inc. shareholders.</w:t>
      </w:r>
    </w:p>
    <w:p>
      <w:pPr>
        <w:ind w:left="660" w:hanging="421"/>
        <w:spacing w:after="0"/>
        <w:tabs>
          <w:tab w:leader="none" w:pos="66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available for future issuance is increased by the number of shares subject to awards that terminate without the issuance of shares.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discussion of share-based compensation in Note 9 of the Notes to Consolidated Financial Statements in the Annual Report.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September 11, 2007, the Sempra Energy board of directors authorized the repurchase of Sempra Energy common stock provided that the amounts spent for such purpose do not exceed the greater of $2 billion or amounts spent to purchase no more than 40 million shares.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2008, we expended $1 billion to purchase a total of 18,416,241 shares. No shares were repurchased under this authorization during 2009.</w:t>
      </w:r>
    </w:p>
    <w:p>
      <w:pPr>
        <w:spacing w:after="0" w:line="2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2010, we entered into a Collared Accelerated Share Acquisition Program with JPMorgan Chase Bank, National Association, under which we prepaid $500 million to repurchase shares of our common stock. We received 8,078,000 shares in 2010 and 1,496,435 shares in March 2011. We discuss this program, which was completed in March 2011, in Note 13 of the Notes to Consolidated Financial Statements in the Annual Report.</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Therefore, approximately $500 million remains authorized by the board for the purchase of additional shares, not to exceed approximately 12 million shares. We also may, from time to time, purchase shares of our common stock from restricted stock plan participants who elect to sell a sufficient number of vesting restricted shares to meet minimum statutory tax withholding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ITEM 6. SELECTED FINANCIAL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6 is included in “Five-Year Summaries”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ITEM 7. MANAGEMENT</w:t>
      </w:r>
      <w:r>
        <w:rPr>
          <w:rFonts w:ascii="Arial" w:cs="Arial" w:eastAsia="Arial" w:hAnsi="Arial"/>
          <w:sz w:val="21"/>
          <w:szCs w:val="21"/>
          <w:color w:val="auto"/>
        </w:rPr>
        <w:t>’</w:t>
      </w:r>
      <w:r>
        <w:rPr>
          <w:rFonts w:ascii="Arial" w:cs="Arial" w:eastAsia="Arial" w:hAnsi="Arial"/>
          <w:sz w:val="20"/>
          <w:szCs w:val="20"/>
          <w:color w:val="auto"/>
        </w:rPr>
        <w:t>S DISCUSSION AND ANALYSIS OF FINANCIAL CONDITION AND RESULTS OF OPERATIONS</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Item 7 is set forth under “Management’s Discussion and Analysis of Financial Condition and Results of Operations” in the Annual Report, on pages 2 through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35" w:right="239" w:bottom="329"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t>ITEM 7A. QUANTITATIVE AND QUALITATIVE DISCLOSURES ABOUT MARKET RISK</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7A is set forth under “Management’s Discussion and Analysis of Financial Condition and Results of Operations – Market Risk”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ITEM 8. FINANCIAL STATEMENTS AND SUPPLEMENTARY DATA</w:t>
      </w:r>
    </w:p>
    <w:p>
      <w:pPr>
        <w:spacing w:after="0" w:line="1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required by Item 8 is set forth on pages 75 through 203 of the Annual Report. Item 15(a)1 of Part IV of this report includes a listing of financial statements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ITEM 9. CHANGES IN AND DISAGREEMENTS WITH ACCOUNTANTS ON ACCOUNTING AND FINANCIAL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ITEM 9A. 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9A is provided in “Controls and Procedures”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ITEM 9B.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240" w:top="135" w:right="419" w:bottom="1440" w:gutter="0" w:footer="0" w:header="0"/>
        </w:sectPr>
      </w:pPr>
    </w:p>
    <w:bookmarkStart w:id="27" w:name="page28"/>
    <w:bookmarkEnd w:id="27"/>
    <w:p>
      <w:pPr>
        <w:spacing w:after="0"/>
        <w:rPr>
          <w:sz w:val="20"/>
          <w:szCs w:val="20"/>
          <w:color w:val="auto"/>
        </w:rPr>
      </w:pPr>
      <w:r>
        <w:rPr>
          <w:rFonts w:ascii="Arial" w:cs="Arial" w:eastAsia="Arial" w:hAnsi="Arial"/>
          <w:sz w:val="23"/>
          <w:szCs w:val="23"/>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ITEM 10. DIRECTORS, EXECUTIVE OFFICERS AND CORPORATE GOVERNANCE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provide the information required by Item 10 with respect to executive officers for Sempra Energy in Part I, Item 1. Business under “Executive Officers of the Registrants – Sempra Energy.” All other information required by Item 10 is incorporated by reference from “Corporate Governance” and “Share Ownership” in the Proxy Statement prepared for the May 2012 annual meeting of shareholders.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AND SOCALGAS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We provide the information required by Item 10 with respect to executive officers for SDG&amp;E and SoCalGas in Part I, Item 1. Business under “Executive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Officers of the Registrants – SDG&amp;E and SoCalGas.” All other information required by Item 10 is incorporated by reference from the companies’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Statements prepared for their June 2012 annual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ITEM 11. EXECUTIVE COMPENSATION</w:t>
      </w:r>
    </w:p>
    <w:p>
      <w:pPr>
        <w:spacing w:after="0" w:line="19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information required by Item 11 is incorporated by reference from “Corporate Governance” and “Executive Compensation,” including “Compensation Discussion and Analysis” and “Compensation Committee Report” in the Proxy Statement prepared for the May 2012 annual meeting of shareholders for Sempra Energy and from the Information Statements prepared for the June 2012 annual meetings of shareholders for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520"/>
        <w:spacing w:after="0" w:line="236" w:lineRule="auto"/>
        <w:rPr>
          <w:sz w:val="20"/>
          <w:szCs w:val="20"/>
          <w:color w:val="auto"/>
        </w:rPr>
      </w:pPr>
      <w:r>
        <w:rPr>
          <w:rFonts w:ascii="Arial" w:cs="Arial" w:eastAsia="Arial" w:hAnsi="Arial"/>
          <w:sz w:val="20"/>
          <w:szCs w:val="20"/>
          <w:color w:val="auto"/>
        </w:rPr>
        <w:t>ITEM 12. SECURITY OWNERSHIP OF CERTAIN BENEFICIAL OWNERS AND MANAGEMENT AND RELATED STOCKHOLDER MATTERS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securities authorized for issuance under equity compensation plans as required by Item 12 is included in Item 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security ownership information required by Item 12 is incorporated by reference from “Share Ownership” in the Proxy Statement prepared for the May 2012 annual meeting of shareholders for Sempra Energy and from the Information Statements prepared for the June 2012 annual meetings of shareholders for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ITEM 13. CERTAIN RELATIONSHIPS AND RELATED TRANSACTIONS, AND DIRECTOR INDEPENDENCE</w:t>
      </w:r>
    </w:p>
    <w:p>
      <w:pPr>
        <w:spacing w:after="0" w:line="1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Item 13 is incorporated by reference from “Corporate Governance” in the Proxy Statement prepared for the May 2012 annual meeting of shareholders for Sempra Energy and from the Information Statements prepared for the June 2012 annual meetings of shareholders for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ITEM 14. PRINCIPAL ACCOUNTANT FEES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principal accountant fees and services, as required by Item 14, is incorporated by reference from “Proposals To Be Voted On - Proposal</w:t>
      </w:r>
    </w:p>
    <w:p>
      <w:pPr>
        <w:spacing w:after="0" w:line="46" w:lineRule="exact"/>
        <w:rPr>
          <w:sz w:val="20"/>
          <w:szCs w:val="20"/>
          <w:color w:val="auto"/>
        </w:rPr>
      </w:pPr>
    </w:p>
    <w:p>
      <w:pPr>
        <w:ind w:right="340" w:firstLine="8"/>
        <w:spacing w:after="0" w:line="323" w:lineRule="auto"/>
        <w:tabs>
          <w:tab w:leader="none" w:pos="1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Ratification of Independent Registered Public Accounting Firm” in the Proxy Statement prepared for the May 2012 annual meeting of shareholders for Sempra Energy and from the Information Statements prepared for the June 2012 annual meetings of shareholders for SDG&amp;E and SoCalGas.</w:t>
      </w:r>
    </w:p>
    <w:p>
      <w:pPr>
        <w:sectPr>
          <w:pgSz w:w="11900" w:h="16838" w:orient="portrait"/>
          <w:cols w:equalWidth="0" w:num="1">
            <w:col w:w="11420"/>
          </w:cols>
          <w:pgMar w:left="240" w:top="535" w:right="239" w:bottom="1440" w:gutter="0" w:footer="0" w:header="0"/>
        </w:sectPr>
      </w:pPr>
    </w:p>
    <w:bookmarkStart w:id="28" w:name="page29"/>
    <w:bookmarkEnd w:id="28"/>
    <w:p>
      <w:pPr>
        <w:spacing w:after="0"/>
        <w:rPr>
          <w:sz w:val="20"/>
          <w:szCs w:val="20"/>
          <w:color w:val="auto"/>
        </w:rPr>
      </w:pPr>
      <w:r>
        <w:rPr>
          <w:rFonts w:ascii="Arial" w:cs="Arial" w:eastAsia="Arial" w:hAnsi="Arial"/>
          <w:sz w:val="23"/>
          <w:szCs w:val="23"/>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ITEM 15. EXHIBITS AND FINANCIAL STATEMENT SCHEDULES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Page in Annual Report(1)</w:t>
            </w:r>
          </w:p>
        </w:tc>
      </w:tr>
      <w:tr>
        <w:trPr>
          <w:trHeight w:val="365"/>
        </w:trPr>
        <w:tc>
          <w:tcPr>
            <w:tcW w:w="6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jc w:val="center"/>
              <w:ind w:left="42"/>
              <w:spacing w:after="0"/>
              <w:rPr>
                <w:sz w:val="20"/>
                <w:szCs w:val="20"/>
                <w:color w:val="auto"/>
              </w:rPr>
            </w:pPr>
            <w:r>
              <w:rPr>
                <w:rFonts w:ascii="Arial" w:cs="Arial" w:eastAsia="Arial" w:hAnsi="Arial"/>
                <w:sz w:val="14"/>
                <w:szCs w:val="14"/>
                <w:b w:val="1"/>
                <w:bCs w:val="1"/>
                <w:color w:val="auto"/>
              </w:rPr>
              <w:t>San Diego</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Southern California Gas</w:t>
            </w:r>
          </w:p>
        </w:tc>
      </w:tr>
      <w:tr>
        <w:trPr>
          <w:trHeight w:val="190"/>
        </w:trPr>
        <w:tc>
          <w:tcPr>
            <w:tcW w:w="6360" w:type="dxa"/>
            <w:vAlign w:val="bottom"/>
          </w:tcPr>
          <w:p>
            <w:pPr>
              <w:spacing w:after="0"/>
              <w:rPr>
                <w:sz w:val="16"/>
                <w:szCs w:val="16"/>
                <w:color w:val="auto"/>
              </w:rPr>
            </w:pPr>
          </w:p>
        </w:tc>
        <w:tc>
          <w:tcPr>
            <w:tcW w:w="1460" w:type="dxa"/>
            <w:vAlign w:val="bottom"/>
          </w:tcPr>
          <w:p>
            <w:pPr>
              <w:jc w:val="center"/>
              <w:ind w:left="40"/>
              <w:spacing w:after="0"/>
              <w:rPr>
                <w:sz w:val="20"/>
                <w:szCs w:val="20"/>
                <w:color w:val="auto"/>
              </w:rPr>
            </w:pPr>
            <w:r>
              <w:rPr>
                <w:rFonts w:ascii="Arial" w:cs="Arial" w:eastAsia="Arial" w:hAnsi="Arial"/>
                <w:sz w:val="14"/>
                <w:szCs w:val="14"/>
                <w:b w:val="1"/>
                <w:bCs w:val="1"/>
                <w:color w:val="auto"/>
              </w:rPr>
              <w:t>Sempra Energy</w:t>
            </w:r>
          </w:p>
        </w:tc>
        <w:tc>
          <w:tcPr>
            <w:tcW w:w="1860" w:type="dxa"/>
            <w:vAlign w:val="bottom"/>
          </w:tcPr>
          <w:p>
            <w:pPr>
              <w:jc w:val="center"/>
              <w:ind w:left="42"/>
              <w:spacing w:after="0"/>
              <w:rPr>
                <w:sz w:val="20"/>
                <w:szCs w:val="20"/>
                <w:color w:val="auto"/>
              </w:rPr>
            </w:pPr>
            <w:r>
              <w:rPr>
                <w:rFonts w:ascii="Arial" w:cs="Arial" w:eastAsia="Arial" w:hAnsi="Arial"/>
                <w:sz w:val="14"/>
                <w:szCs w:val="14"/>
                <w:b w:val="1"/>
                <w:bCs w:val="1"/>
                <w:color w:val="auto"/>
              </w:rPr>
              <w:t>Gas &amp; Electric Company</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r>
      <w:tr>
        <w:trPr>
          <w:trHeight w:val="384"/>
        </w:trPr>
        <w:tc>
          <w:tcPr>
            <w:tcW w:w="6360" w:type="dxa"/>
            <w:vAlign w:val="bottom"/>
          </w:tcPr>
          <w:p>
            <w:pPr>
              <w:spacing w:after="0"/>
              <w:rPr>
                <w:sz w:val="20"/>
                <w:szCs w:val="20"/>
                <w:color w:val="auto"/>
              </w:rPr>
            </w:pPr>
            <w:r>
              <w:rPr>
                <w:rFonts w:ascii="Arial" w:cs="Arial" w:eastAsia="Arial" w:hAnsi="Arial"/>
                <w:sz w:val="16"/>
                <w:szCs w:val="16"/>
                <w:color w:val="auto"/>
              </w:rPr>
              <w:t>Management’s Report On Internal Control Over Financial Reporting</w:t>
            </w:r>
          </w:p>
        </w:tc>
        <w:tc>
          <w:tcPr>
            <w:tcW w:w="1460" w:type="dxa"/>
            <w:vAlign w:val="bottom"/>
          </w:tcPr>
          <w:p>
            <w:pPr>
              <w:jc w:val="center"/>
              <w:ind w:left="40"/>
              <w:spacing w:after="0"/>
              <w:rPr>
                <w:sz w:val="20"/>
                <w:szCs w:val="20"/>
                <w:color w:val="auto"/>
              </w:rPr>
            </w:pPr>
            <w:r>
              <w:rPr>
                <w:rFonts w:ascii="Arial" w:cs="Arial" w:eastAsia="Arial" w:hAnsi="Arial"/>
                <w:sz w:val="16"/>
                <w:szCs w:val="16"/>
                <w:color w:val="auto"/>
              </w:rPr>
              <w:t>68</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68</w:t>
            </w:r>
          </w:p>
        </w:tc>
        <w:tc>
          <w:tcPr>
            <w:tcW w:w="1740" w:type="dxa"/>
            <w:vAlign w:val="bottom"/>
          </w:tcPr>
          <w:p>
            <w:pPr>
              <w:jc w:val="center"/>
              <w:spacing w:after="0"/>
              <w:rPr>
                <w:sz w:val="20"/>
                <w:szCs w:val="20"/>
                <w:color w:val="auto"/>
              </w:rPr>
            </w:pPr>
            <w:r>
              <w:rPr>
                <w:rFonts w:ascii="Arial" w:cs="Arial" w:eastAsia="Arial" w:hAnsi="Arial"/>
                <w:sz w:val="16"/>
                <w:szCs w:val="16"/>
                <w:color w:val="auto"/>
              </w:rPr>
              <w:t>68</w:t>
            </w:r>
          </w:p>
        </w:tc>
      </w:tr>
      <w:tr>
        <w:trPr>
          <w:trHeight w:val="392"/>
        </w:trPr>
        <w:tc>
          <w:tcPr>
            <w:tcW w:w="636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1460" w:type="dxa"/>
            <w:vAlign w:val="bottom"/>
          </w:tcPr>
          <w:p>
            <w:pPr>
              <w:jc w:val="center"/>
              <w:ind w:left="40"/>
              <w:spacing w:after="0"/>
              <w:rPr>
                <w:sz w:val="20"/>
                <w:szCs w:val="20"/>
                <w:color w:val="auto"/>
              </w:rPr>
            </w:pPr>
            <w:r>
              <w:rPr>
                <w:rFonts w:ascii="Arial" w:cs="Arial" w:eastAsia="Arial" w:hAnsi="Arial"/>
                <w:sz w:val="16"/>
                <w:szCs w:val="16"/>
                <w:color w:val="auto"/>
              </w:rPr>
              <w:t>69</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71</w:t>
            </w:r>
          </w:p>
        </w:tc>
        <w:tc>
          <w:tcPr>
            <w:tcW w:w="1740" w:type="dxa"/>
            <w:vAlign w:val="bottom"/>
          </w:tcPr>
          <w:p>
            <w:pPr>
              <w:jc w:val="center"/>
              <w:spacing w:after="0"/>
              <w:rPr>
                <w:sz w:val="20"/>
                <w:szCs w:val="20"/>
                <w:color w:val="auto"/>
              </w:rPr>
            </w:pPr>
            <w:r>
              <w:rPr>
                <w:rFonts w:ascii="Arial" w:cs="Arial" w:eastAsia="Arial" w:hAnsi="Arial"/>
                <w:sz w:val="16"/>
                <w:szCs w:val="16"/>
                <w:color w:val="auto"/>
              </w:rPr>
              <w:t>73</w:t>
            </w:r>
          </w:p>
        </w:tc>
      </w:tr>
      <w:tr>
        <w:trPr>
          <w:trHeight w:val="373"/>
        </w:trPr>
        <w:tc>
          <w:tcPr>
            <w:tcW w:w="6360" w:type="dxa"/>
            <w:vAlign w:val="bottom"/>
          </w:tcPr>
          <w:p>
            <w:pPr>
              <w:spacing w:after="0"/>
              <w:rPr>
                <w:sz w:val="20"/>
                <w:szCs w:val="20"/>
                <w:color w:val="auto"/>
              </w:rPr>
            </w:pPr>
            <w:r>
              <w:rPr>
                <w:rFonts w:ascii="Arial" w:cs="Arial" w:eastAsia="Arial" w:hAnsi="Arial"/>
                <w:sz w:val="16"/>
                <w:szCs w:val="16"/>
                <w:color w:val="auto"/>
              </w:rPr>
              <w:t>Consolidated Statements of Operations for the years ended December 31, 2011, 2010</w:t>
            </w: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5"/>
        </w:trPr>
        <w:tc>
          <w:tcPr>
            <w:tcW w:w="6360" w:type="dxa"/>
            <w:vAlign w:val="bottom"/>
          </w:tcPr>
          <w:p>
            <w:pPr>
              <w:ind w:left="180"/>
              <w:spacing w:after="0"/>
              <w:rPr>
                <w:sz w:val="20"/>
                <w:szCs w:val="20"/>
                <w:color w:val="auto"/>
              </w:rPr>
            </w:pPr>
            <w:r>
              <w:rPr>
                <w:rFonts w:ascii="Arial" w:cs="Arial" w:eastAsia="Arial" w:hAnsi="Arial"/>
                <w:sz w:val="16"/>
                <w:szCs w:val="16"/>
                <w:color w:val="auto"/>
              </w:rPr>
              <w:t>and 2009</w:t>
            </w:r>
          </w:p>
        </w:tc>
        <w:tc>
          <w:tcPr>
            <w:tcW w:w="1460" w:type="dxa"/>
            <w:vAlign w:val="bottom"/>
          </w:tcPr>
          <w:p>
            <w:pPr>
              <w:jc w:val="center"/>
              <w:ind w:left="40"/>
              <w:spacing w:after="0"/>
              <w:rPr>
                <w:sz w:val="20"/>
                <w:szCs w:val="20"/>
                <w:color w:val="auto"/>
              </w:rPr>
            </w:pPr>
            <w:r>
              <w:rPr>
                <w:rFonts w:ascii="Arial" w:cs="Arial" w:eastAsia="Arial" w:hAnsi="Arial"/>
                <w:sz w:val="16"/>
                <w:szCs w:val="16"/>
                <w:color w:val="auto"/>
              </w:rPr>
              <w:t>75</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82</w:t>
            </w:r>
          </w:p>
        </w:tc>
        <w:tc>
          <w:tcPr>
            <w:tcW w:w="1740" w:type="dxa"/>
            <w:vAlign w:val="bottom"/>
          </w:tcPr>
          <w:p>
            <w:pPr>
              <w:jc w:val="center"/>
              <w:spacing w:after="0"/>
              <w:rPr>
                <w:sz w:val="20"/>
                <w:szCs w:val="20"/>
                <w:color w:val="auto"/>
              </w:rPr>
            </w:pPr>
            <w:r>
              <w:rPr>
                <w:rFonts w:ascii="Arial" w:cs="Arial" w:eastAsia="Arial" w:hAnsi="Arial"/>
                <w:sz w:val="16"/>
                <w:szCs w:val="16"/>
                <w:color w:val="auto"/>
              </w:rPr>
              <w:t>88</w:t>
            </w:r>
          </w:p>
        </w:tc>
      </w:tr>
      <w:tr>
        <w:trPr>
          <w:trHeight w:val="392"/>
        </w:trPr>
        <w:tc>
          <w:tcPr>
            <w:tcW w:w="6360" w:type="dxa"/>
            <w:vAlign w:val="bottom"/>
          </w:tcPr>
          <w:p>
            <w:pPr>
              <w:spacing w:after="0"/>
              <w:rPr>
                <w:sz w:val="20"/>
                <w:szCs w:val="20"/>
                <w:color w:val="auto"/>
              </w:rPr>
            </w:pPr>
            <w:r>
              <w:rPr>
                <w:rFonts w:ascii="Arial" w:cs="Arial" w:eastAsia="Arial" w:hAnsi="Arial"/>
                <w:sz w:val="16"/>
                <w:szCs w:val="16"/>
                <w:color w:val="auto"/>
              </w:rPr>
              <w:t>Consolidated Balance Sheets at December 31, 2011 and 2010</w:t>
            </w:r>
          </w:p>
        </w:tc>
        <w:tc>
          <w:tcPr>
            <w:tcW w:w="1460" w:type="dxa"/>
            <w:vAlign w:val="bottom"/>
          </w:tcPr>
          <w:p>
            <w:pPr>
              <w:jc w:val="center"/>
              <w:ind w:left="40"/>
              <w:spacing w:after="0"/>
              <w:rPr>
                <w:sz w:val="20"/>
                <w:szCs w:val="20"/>
                <w:color w:val="auto"/>
              </w:rPr>
            </w:pPr>
            <w:r>
              <w:rPr>
                <w:rFonts w:ascii="Arial" w:cs="Arial" w:eastAsia="Arial" w:hAnsi="Arial"/>
                <w:sz w:val="16"/>
                <w:szCs w:val="16"/>
                <w:color w:val="auto"/>
              </w:rPr>
              <w:t>76</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83</w:t>
            </w:r>
          </w:p>
        </w:tc>
        <w:tc>
          <w:tcPr>
            <w:tcW w:w="1740" w:type="dxa"/>
            <w:vAlign w:val="bottom"/>
          </w:tcPr>
          <w:p>
            <w:pPr>
              <w:jc w:val="center"/>
              <w:spacing w:after="0"/>
              <w:rPr>
                <w:sz w:val="20"/>
                <w:szCs w:val="20"/>
                <w:color w:val="auto"/>
              </w:rPr>
            </w:pPr>
            <w:r>
              <w:rPr>
                <w:rFonts w:ascii="Arial" w:cs="Arial" w:eastAsia="Arial" w:hAnsi="Arial"/>
                <w:sz w:val="16"/>
                <w:szCs w:val="16"/>
                <w:color w:val="auto"/>
              </w:rPr>
              <w:t>89</w:t>
            </w:r>
          </w:p>
        </w:tc>
      </w:tr>
      <w:tr>
        <w:trPr>
          <w:trHeight w:val="373"/>
        </w:trPr>
        <w:tc>
          <w:tcPr>
            <w:tcW w:w="6360" w:type="dxa"/>
            <w:vAlign w:val="bottom"/>
          </w:tcPr>
          <w:p>
            <w:pPr>
              <w:spacing w:after="0"/>
              <w:rPr>
                <w:sz w:val="20"/>
                <w:szCs w:val="20"/>
                <w:color w:val="auto"/>
              </w:rPr>
            </w:pPr>
            <w:r>
              <w:rPr>
                <w:rFonts w:ascii="Arial" w:cs="Arial" w:eastAsia="Arial" w:hAnsi="Arial"/>
                <w:sz w:val="16"/>
                <w:szCs w:val="16"/>
                <w:color w:val="auto"/>
              </w:rPr>
              <w:t>Consolidated Statements of Cash Flows for the years ended December 31, 2011, 2010</w:t>
            </w: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5"/>
        </w:trPr>
        <w:tc>
          <w:tcPr>
            <w:tcW w:w="6360" w:type="dxa"/>
            <w:vAlign w:val="bottom"/>
          </w:tcPr>
          <w:p>
            <w:pPr>
              <w:ind w:left="180"/>
              <w:spacing w:after="0"/>
              <w:rPr>
                <w:sz w:val="20"/>
                <w:szCs w:val="20"/>
                <w:color w:val="auto"/>
              </w:rPr>
            </w:pPr>
            <w:r>
              <w:rPr>
                <w:rFonts w:ascii="Arial" w:cs="Arial" w:eastAsia="Arial" w:hAnsi="Arial"/>
                <w:sz w:val="16"/>
                <w:szCs w:val="16"/>
                <w:color w:val="auto"/>
              </w:rPr>
              <w:t>and 2009</w:t>
            </w:r>
          </w:p>
        </w:tc>
        <w:tc>
          <w:tcPr>
            <w:tcW w:w="1460" w:type="dxa"/>
            <w:vAlign w:val="bottom"/>
          </w:tcPr>
          <w:p>
            <w:pPr>
              <w:jc w:val="center"/>
              <w:ind w:left="40"/>
              <w:spacing w:after="0"/>
              <w:rPr>
                <w:sz w:val="20"/>
                <w:szCs w:val="20"/>
                <w:color w:val="auto"/>
              </w:rPr>
            </w:pPr>
            <w:r>
              <w:rPr>
                <w:rFonts w:ascii="Arial" w:cs="Arial" w:eastAsia="Arial" w:hAnsi="Arial"/>
                <w:sz w:val="16"/>
                <w:szCs w:val="16"/>
                <w:color w:val="auto"/>
              </w:rPr>
              <w:t>78</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85</w:t>
            </w:r>
          </w:p>
        </w:tc>
        <w:tc>
          <w:tcPr>
            <w:tcW w:w="1740" w:type="dxa"/>
            <w:vAlign w:val="bottom"/>
          </w:tcPr>
          <w:p>
            <w:pPr>
              <w:jc w:val="center"/>
              <w:spacing w:after="0"/>
              <w:rPr>
                <w:sz w:val="20"/>
                <w:szCs w:val="20"/>
                <w:color w:val="auto"/>
              </w:rPr>
            </w:pPr>
            <w:r>
              <w:rPr>
                <w:rFonts w:ascii="Arial" w:cs="Arial" w:eastAsia="Arial" w:hAnsi="Arial"/>
                <w:sz w:val="16"/>
                <w:szCs w:val="16"/>
                <w:color w:val="auto"/>
              </w:rPr>
              <w:t>91</w:t>
            </w:r>
          </w:p>
        </w:tc>
      </w:tr>
      <w:tr>
        <w:trPr>
          <w:trHeight w:val="373"/>
        </w:trPr>
        <w:tc>
          <w:tcPr>
            <w:tcW w:w="6360" w:type="dxa"/>
            <w:vAlign w:val="bottom"/>
          </w:tcPr>
          <w:p>
            <w:pPr>
              <w:spacing w:after="0"/>
              <w:rPr>
                <w:sz w:val="20"/>
                <w:szCs w:val="20"/>
                <w:color w:val="auto"/>
              </w:rPr>
            </w:pPr>
            <w:r>
              <w:rPr>
                <w:rFonts w:ascii="Arial" w:cs="Arial" w:eastAsia="Arial" w:hAnsi="Arial"/>
                <w:sz w:val="16"/>
                <w:szCs w:val="16"/>
                <w:color w:val="auto"/>
              </w:rPr>
              <w:t>Consolidated Statements of Comprehensive Income and Changes in Equity for the</w:t>
            </w: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5"/>
        </w:trPr>
        <w:tc>
          <w:tcPr>
            <w:tcW w:w="6360" w:type="dxa"/>
            <w:vAlign w:val="bottom"/>
          </w:tcPr>
          <w:p>
            <w:pPr>
              <w:ind w:left="180"/>
              <w:spacing w:after="0"/>
              <w:rPr>
                <w:sz w:val="20"/>
                <w:szCs w:val="20"/>
                <w:color w:val="auto"/>
              </w:rPr>
            </w:pPr>
            <w:r>
              <w:rPr>
                <w:rFonts w:ascii="Arial" w:cs="Arial" w:eastAsia="Arial" w:hAnsi="Arial"/>
                <w:sz w:val="16"/>
                <w:szCs w:val="16"/>
                <w:color w:val="auto"/>
              </w:rPr>
              <w:t>years ended December 31, 2011, 2010 and 2009</w:t>
            </w:r>
          </w:p>
        </w:tc>
        <w:tc>
          <w:tcPr>
            <w:tcW w:w="1460" w:type="dxa"/>
            <w:vAlign w:val="bottom"/>
          </w:tcPr>
          <w:p>
            <w:pPr>
              <w:jc w:val="center"/>
              <w:ind w:left="40"/>
              <w:spacing w:after="0"/>
              <w:rPr>
                <w:sz w:val="20"/>
                <w:szCs w:val="20"/>
                <w:color w:val="auto"/>
              </w:rPr>
            </w:pPr>
            <w:r>
              <w:rPr>
                <w:rFonts w:ascii="Arial" w:cs="Arial" w:eastAsia="Arial" w:hAnsi="Arial"/>
                <w:sz w:val="16"/>
                <w:szCs w:val="16"/>
                <w:color w:val="auto"/>
              </w:rPr>
              <w:t>80</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87</w:t>
            </w:r>
          </w:p>
        </w:tc>
        <w:tc>
          <w:tcPr>
            <w:tcW w:w="174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392"/>
        </w:trPr>
        <w:tc>
          <w:tcPr>
            <w:tcW w:w="636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1460" w:type="dxa"/>
            <w:vAlign w:val="bottom"/>
          </w:tcPr>
          <w:p>
            <w:pPr>
              <w:jc w:val="center"/>
              <w:ind w:left="40"/>
              <w:spacing w:after="0"/>
              <w:rPr>
                <w:sz w:val="20"/>
                <w:szCs w:val="20"/>
                <w:color w:val="auto"/>
              </w:rPr>
            </w:pPr>
            <w:r>
              <w:rPr>
                <w:rFonts w:ascii="Arial" w:cs="Arial" w:eastAsia="Arial" w:hAnsi="Arial"/>
                <w:sz w:val="16"/>
                <w:szCs w:val="16"/>
                <w:color w:val="auto"/>
              </w:rPr>
              <w:t>93</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93</w:t>
            </w:r>
          </w:p>
        </w:tc>
        <w:tc>
          <w:tcPr>
            <w:tcW w:w="1740" w:type="dxa"/>
            <w:vAlign w:val="bottom"/>
          </w:tcPr>
          <w:p>
            <w:pPr>
              <w:jc w:val="center"/>
              <w:spacing w:after="0"/>
              <w:rPr>
                <w:sz w:val="20"/>
                <w:szCs w:val="20"/>
                <w:color w:val="auto"/>
              </w:rPr>
            </w:pPr>
            <w:r>
              <w:rPr>
                <w:rFonts w:ascii="Arial" w:cs="Arial" w:eastAsia="Arial" w:hAnsi="Arial"/>
                <w:sz w:val="16"/>
                <w:szCs w:val="16"/>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Incorporated by reference from the indicated pages of the 2011 Annual Report to Shareholders, filed as Exhibit 13.1.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Schedule I--Sempra Energy Condensed Financial Information of Parent may be found on page 43.</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other schedule for which provision is made in Regulation S-X is not required under the instructions contained therein, is inapplicable or the information is included in the Consolidated Financial Statements and Notes thereto in the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50 of this report.</w:t>
      </w:r>
    </w:p>
    <w:p>
      <w:pPr>
        <w:sectPr>
          <w:pgSz w:w="11900" w:h="16838" w:orient="portrait"/>
          <w:cols w:equalWidth="0" w:num="1">
            <w:col w:w="11420"/>
          </w:cols>
          <w:pgMar w:left="240" w:top="535" w:right="239" w:bottom="1440" w:gutter="0" w:footer="0" w:header="0"/>
        </w:sectPr>
      </w:pPr>
    </w:p>
    <w:bookmarkStart w:id="29" w:name="page30"/>
    <w:bookmarkEnd w:id="29"/>
    <w:p>
      <w:pPr>
        <w:ind w:right="960"/>
        <w:spacing w:after="0" w:line="260" w:lineRule="auto"/>
        <w:rPr>
          <w:sz w:val="20"/>
          <w:szCs w:val="20"/>
          <w:color w:val="auto"/>
        </w:rPr>
      </w:pPr>
      <w:r>
        <w:rPr>
          <w:rFonts w:ascii="Arial" w:cs="Arial" w:eastAsia="Arial" w:hAnsi="Arial"/>
          <w:sz w:val="23"/>
          <w:szCs w:val="23"/>
          <w:color w:val="auto"/>
        </w:rPr>
        <w:t>CONSENTS OF INDEPENDENT REGISTERED PUBLIC ACCOUNTING FIRM AND REPORT 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SEMPRA ENERGY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Sempra Energy:</w:t>
      </w: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333-176855 on Form S-3 and 333-56161, 333-50806, 333-49732, 333-121073, 333-128441, 333-151184, 333-155191, 333-129774 and 333-157567 on Form S-8 of our reports dated February 28, 2012, relating to the consolidated financial statements of Sempra Energy and subsidiaries (the “Company”), and the effectiveness of the Company’s internal control over financial reporting, incorporated by reference in this Annual Report on Form 10-K of Sempra Energy for the year ended December 31, 2011.</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audits of the financial statements referred to in our aforementioned report relating to the consolidated financial statements also included the financial statement schedule of the Company, listed in Item 15.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180"/>
          </w:cols>
          <w:pgMar w:left="240" w:top="535" w:right="479"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SAN DIEGO GAS &amp; ELECTRIC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San Diego Gas &amp; Electric Company:</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333-159046 on Form S-3 of our reports dated February 28, 2012, relating to the consolidated financial statements of San Diego Gas &amp; Electric Company (the “Company”), and the effectiveness of the Company’s internal control over financial reporting, incorporated by reference in this Annual Report on Form 10-K of San Diego Gas &amp; Electric Company for the year ended December 31, 2011.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220"/>
          </w:cols>
          <w:pgMar w:left="240" w:top="973" w:right="439" w:bottom="1440" w:gutter="0" w:footer="0" w:header="0"/>
        </w:sectPr>
      </w:pPr>
    </w:p>
    <w:bookmarkStart w:id="31" w:name="page32"/>
    <w:bookmarkEnd w:id="3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SOUTHERN CALIFORNIA GAS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Southern California Gas Company:</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333-159041 on Form S-3 of our reports dated February 28, 2012, relating to the consolidated financial statements of Southern California Gas Company and subsidiaries (the “Company”), and the effectiveness of the Company’s internal control over financial reporting, incorporated by reference in this Annual Report on Form 10-K of Southern California Gas Company for the year ended December 31, 2011.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220"/>
          </w:cols>
          <w:pgMar w:left="240" w:top="973" w:right="4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SCHEDULE I – SEMPRA ENERGY CONDENSED FINANCIAL INFORMATION OF PARENT</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tbl>
      <w:tblPr>
        <w:tblLayout w:type="fixed"/>
        <w:tblInd w:w="0" w:type="dxa"/>
        <w:tblCellMar>
          <w:top w:w="0" w:type="dxa"/>
          <w:left w:w="0" w:type="dxa"/>
          <w:bottom w:w="0" w:type="dxa"/>
          <w:right w:w="0" w:type="dxa"/>
        </w:tblCellMar>
      </w:tblPr>
      <w:tr>
        <w:trPr>
          <w:trHeight w:val="165"/>
        </w:trPr>
        <w:tc>
          <w:tcPr>
            <w:tcW w:w="64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60"/>
              <w:spacing w:after="0" w:line="159" w:lineRule="exact"/>
              <w:rPr>
                <w:sz w:val="20"/>
                <w:szCs w:val="20"/>
                <w:color w:val="auto"/>
              </w:rPr>
            </w:pPr>
            <w:r>
              <w:rPr>
                <w:rFonts w:ascii="Arial" w:cs="Arial" w:eastAsia="Arial" w:hAnsi="Arial"/>
                <w:sz w:val="14"/>
                <w:szCs w:val="14"/>
                <w:color w:val="auto"/>
              </w:rPr>
              <w:t>Years ended December 31,</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6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r>
      <w:tr>
        <w:trPr>
          <w:trHeight w:val="340"/>
        </w:trPr>
        <w:tc>
          <w:tcPr>
            <w:tcW w:w="6400" w:type="dxa"/>
            <w:vAlign w:val="bottom"/>
          </w:tcPr>
          <w:p>
            <w:pPr>
              <w:spacing w:after="0"/>
              <w:rPr>
                <w:sz w:val="20"/>
                <w:szCs w:val="20"/>
                <w:color w:val="auto"/>
              </w:rPr>
            </w:pPr>
            <w:r>
              <w:rPr>
                <w:rFonts w:ascii="Arial" w:cs="Arial" w:eastAsia="Arial" w:hAnsi="Arial"/>
                <w:sz w:val="16"/>
                <w:szCs w:val="16"/>
                <w:color w:val="auto"/>
              </w:rPr>
              <w:t>Interest income</w:t>
            </w:r>
          </w:p>
        </w:tc>
        <w:tc>
          <w:tcPr>
            <w:tcW w:w="10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109</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146</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24"/>
                <w:szCs w:val="24"/>
                <w:color w:val="auto"/>
              </w:rPr>
            </w:pP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5"/>
                <w:szCs w:val="15"/>
                <w:color w:val="auto"/>
              </w:rPr>
            </w:pPr>
          </w:p>
        </w:tc>
        <w:tc>
          <w:tcPr>
            <w:tcW w:w="8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(242)</w:t>
            </w:r>
          </w:p>
        </w:tc>
        <w:tc>
          <w:tcPr>
            <w:tcW w:w="380" w:type="dxa"/>
            <w:vAlign w:val="bottom"/>
          </w:tcPr>
          <w:p>
            <w:pPr>
              <w:spacing w:after="0"/>
              <w:rPr>
                <w:sz w:val="15"/>
                <w:szCs w:val="15"/>
                <w:color w:val="auto"/>
              </w:rPr>
            </w:pPr>
          </w:p>
        </w:tc>
        <w:tc>
          <w:tcPr>
            <w:tcW w:w="132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(265)</w:t>
            </w:r>
          </w:p>
        </w:tc>
        <w:tc>
          <w:tcPr>
            <w:tcW w:w="360" w:type="dxa"/>
            <w:vAlign w:val="bottom"/>
          </w:tcPr>
          <w:p>
            <w:pPr>
              <w:spacing w:after="0"/>
              <w:rPr>
                <w:sz w:val="15"/>
                <w:szCs w:val="15"/>
                <w:color w:val="auto"/>
              </w:rPr>
            </w:pPr>
          </w:p>
        </w:tc>
        <w:tc>
          <w:tcPr>
            <w:tcW w:w="11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(244)</w:t>
            </w: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6"/>
                <w:szCs w:val="16"/>
                <w:color w:val="auto"/>
              </w:rPr>
              <w:t>Operation and maintenance</w:t>
            </w:r>
          </w:p>
        </w:tc>
        <w:tc>
          <w:tcPr>
            <w:tcW w:w="1020" w:type="dxa"/>
            <w:vAlign w:val="bottom"/>
          </w:tcPr>
          <w:p>
            <w:pPr>
              <w:spacing w:after="0"/>
              <w:rPr>
                <w:sz w:val="15"/>
                <w:szCs w:val="15"/>
                <w:color w:val="auto"/>
              </w:rPr>
            </w:pPr>
          </w:p>
        </w:tc>
        <w:tc>
          <w:tcPr>
            <w:tcW w:w="8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(64)</w:t>
            </w:r>
          </w:p>
        </w:tc>
        <w:tc>
          <w:tcPr>
            <w:tcW w:w="380" w:type="dxa"/>
            <w:vAlign w:val="bottom"/>
          </w:tcPr>
          <w:p>
            <w:pPr>
              <w:spacing w:after="0"/>
              <w:rPr>
                <w:sz w:val="15"/>
                <w:szCs w:val="15"/>
                <w:color w:val="auto"/>
              </w:rPr>
            </w:pPr>
          </w:p>
        </w:tc>
        <w:tc>
          <w:tcPr>
            <w:tcW w:w="132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(59)</w:t>
            </w:r>
          </w:p>
        </w:tc>
        <w:tc>
          <w:tcPr>
            <w:tcW w:w="360" w:type="dxa"/>
            <w:vAlign w:val="bottom"/>
          </w:tcPr>
          <w:p>
            <w:pPr>
              <w:spacing w:after="0"/>
              <w:rPr>
                <w:sz w:val="15"/>
                <w:szCs w:val="15"/>
                <w:color w:val="auto"/>
              </w:rPr>
            </w:pPr>
          </w:p>
        </w:tc>
        <w:tc>
          <w:tcPr>
            <w:tcW w:w="11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(81)</w:t>
            </w: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6"/>
                <w:szCs w:val="16"/>
                <w:color w:val="auto"/>
              </w:rPr>
              <w:t>Other income, net</w:t>
            </w:r>
          </w:p>
        </w:tc>
        <w:tc>
          <w:tcPr>
            <w:tcW w:w="1020" w:type="dxa"/>
            <w:vAlign w:val="bottom"/>
          </w:tcPr>
          <w:p>
            <w:pPr>
              <w:spacing w:after="0"/>
              <w:rPr>
                <w:sz w:val="15"/>
                <w:szCs w:val="15"/>
                <w:color w:val="auto"/>
              </w:rPr>
            </w:pPr>
          </w:p>
        </w:tc>
        <w:tc>
          <w:tcPr>
            <w:tcW w:w="80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42</w:t>
            </w:r>
          </w:p>
        </w:tc>
        <w:tc>
          <w:tcPr>
            <w:tcW w:w="380" w:type="dxa"/>
            <w:vAlign w:val="bottom"/>
          </w:tcPr>
          <w:p>
            <w:pPr>
              <w:spacing w:after="0"/>
              <w:rPr>
                <w:sz w:val="15"/>
                <w:szCs w:val="15"/>
                <w:color w:val="auto"/>
              </w:rPr>
            </w:pPr>
          </w:p>
        </w:tc>
        <w:tc>
          <w:tcPr>
            <w:tcW w:w="1320" w:type="dxa"/>
            <w:vAlign w:val="bottom"/>
          </w:tcPr>
          <w:p>
            <w:pPr>
              <w:jc w:val="right"/>
              <w:ind w:right="160"/>
              <w:spacing w:after="0" w:line="176" w:lineRule="exact"/>
              <w:rPr>
                <w:sz w:val="20"/>
                <w:szCs w:val="20"/>
                <w:color w:val="auto"/>
              </w:rPr>
            </w:pPr>
            <w:r>
              <w:rPr>
                <w:rFonts w:ascii="Arial" w:cs="Arial" w:eastAsia="Arial" w:hAnsi="Arial"/>
                <w:sz w:val="16"/>
                <w:szCs w:val="16"/>
                <w:color w:val="auto"/>
              </w:rPr>
              <w:t>65</w:t>
            </w:r>
          </w:p>
        </w:tc>
        <w:tc>
          <w:tcPr>
            <w:tcW w:w="3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20" w:type="dxa"/>
            <w:vAlign w:val="bottom"/>
          </w:tcPr>
          <w:p>
            <w:pPr>
              <w:spacing w:after="0"/>
              <w:rPr>
                <w:sz w:val="15"/>
                <w:szCs w:val="15"/>
                <w:color w:val="auto"/>
              </w:rPr>
            </w:pPr>
          </w:p>
        </w:tc>
      </w:tr>
      <w:tr>
        <w:trPr>
          <w:trHeight w:val="194"/>
        </w:trPr>
        <w:tc>
          <w:tcPr>
            <w:tcW w:w="6400" w:type="dxa"/>
            <w:vAlign w:val="bottom"/>
          </w:tcPr>
          <w:p>
            <w:pPr>
              <w:spacing w:after="0"/>
              <w:rPr>
                <w:sz w:val="20"/>
                <w:szCs w:val="20"/>
                <w:color w:val="auto"/>
              </w:rPr>
            </w:pPr>
            <w:r>
              <w:rPr>
                <w:rFonts w:ascii="Arial" w:cs="Arial" w:eastAsia="Arial" w:hAnsi="Arial"/>
                <w:sz w:val="16"/>
                <w:szCs w:val="16"/>
                <w:color w:val="auto"/>
              </w:rPr>
              <w:t>Income tax benefits</w:t>
            </w:r>
          </w:p>
        </w:tc>
        <w:tc>
          <w:tcPr>
            <w:tcW w:w="10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82</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79</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6"/>
                <w:szCs w:val="16"/>
                <w:color w:val="auto"/>
              </w:rPr>
            </w:pPr>
          </w:p>
        </w:tc>
      </w:tr>
      <w:tr>
        <w:trPr>
          <w:trHeight w:val="164"/>
        </w:trPr>
        <w:tc>
          <w:tcPr>
            <w:tcW w:w="6400" w:type="dxa"/>
            <w:vAlign w:val="bottom"/>
          </w:tcPr>
          <w:p>
            <w:pPr>
              <w:ind w:left="180"/>
              <w:spacing w:after="0" w:line="164" w:lineRule="exact"/>
              <w:rPr>
                <w:sz w:val="20"/>
                <w:szCs w:val="20"/>
                <w:color w:val="auto"/>
              </w:rPr>
            </w:pPr>
            <w:r>
              <w:rPr>
                <w:rFonts w:ascii="Arial" w:cs="Arial" w:eastAsia="Arial" w:hAnsi="Arial"/>
                <w:sz w:val="16"/>
                <w:szCs w:val="16"/>
                <w:color w:val="auto"/>
              </w:rPr>
              <w:t>Loss before equity in earnings of subsidiaries</w:t>
            </w:r>
          </w:p>
        </w:tc>
        <w:tc>
          <w:tcPr>
            <w:tcW w:w="1020" w:type="dxa"/>
            <w:vAlign w:val="bottom"/>
          </w:tcPr>
          <w:p>
            <w:pPr>
              <w:spacing w:after="0"/>
              <w:rPr>
                <w:sz w:val="14"/>
                <w:szCs w:val="14"/>
                <w:color w:val="auto"/>
              </w:rPr>
            </w:pPr>
          </w:p>
        </w:tc>
        <w:tc>
          <w:tcPr>
            <w:tcW w:w="800" w:type="dxa"/>
            <w:vAlign w:val="bottom"/>
          </w:tcPr>
          <w:p>
            <w:pPr>
              <w:jc w:val="right"/>
              <w:ind w:right="60"/>
              <w:spacing w:after="0" w:line="164" w:lineRule="exact"/>
              <w:rPr>
                <w:sz w:val="20"/>
                <w:szCs w:val="20"/>
                <w:color w:val="auto"/>
              </w:rPr>
            </w:pPr>
            <w:r>
              <w:rPr>
                <w:rFonts w:ascii="Arial" w:cs="Arial" w:eastAsia="Arial" w:hAnsi="Arial"/>
                <w:sz w:val="16"/>
                <w:szCs w:val="16"/>
                <w:color w:val="auto"/>
              </w:rPr>
              <w:t>(73)</w:t>
            </w:r>
          </w:p>
        </w:tc>
        <w:tc>
          <w:tcPr>
            <w:tcW w:w="380" w:type="dxa"/>
            <w:vAlign w:val="bottom"/>
          </w:tcPr>
          <w:p>
            <w:pPr>
              <w:spacing w:after="0"/>
              <w:rPr>
                <w:sz w:val="14"/>
                <w:szCs w:val="14"/>
                <w:color w:val="auto"/>
              </w:rPr>
            </w:pPr>
          </w:p>
        </w:tc>
        <w:tc>
          <w:tcPr>
            <w:tcW w:w="132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(34)</w:t>
            </w:r>
          </w:p>
        </w:tc>
        <w:tc>
          <w:tcPr>
            <w:tcW w:w="36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(46)</w:t>
            </w:r>
          </w:p>
        </w:tc>
        <w:tc>
          <w:tcPr>
            <w:tcW w:w="20" w:type="dxa"/>
            <w:vAlign w:val="bottom"/>
          </w:tcPr>
          <w:p>
            <w:pPr>
              <w:spacing w:after="0"/>
              <w:rPr>
                <w:sz w:val="14"/>
                <w:szCs w:val="14"/>
                <w:color w:val="auto"/>
              </w:rPr>
            </w:pPr>
          </w:p>
        </w:tc>
      </w:tr>
      <w:tr>
        <w:trPr>
          <w:trHeight w:val="194"/>
        </w:trPr>
        <w:tc>
          <w:tcPr>
            <w:tcW w:w="6400" w:type="dxa"/>
            <w:vAlign w:val="bottom"/>
          </w:tcPr>
          <w:p>
            <w:pPr>
              <w:spacing w:after="0"/>
              <w:rPr>
                <w:sz w:val="20"/>
                <w:szCs w:val="20"/>
                <w:color w:val="auto"/>
              </w:rPr>
            </w:pPr>
            <w:r>
              <w:rPr>
                <w:rFonts w:ascii="Arial" w:cs="Arial" w:eastAsia="Arial" w:hAnsi="Arial"/>
                <w:sz w:val="16"/>
                <w:szCs w:val="16"/>
                <w:color w:val="auto"/>
              </w:rPr>
              <w:t>Equity in earnings of subsidiaries, net of income taxes</w:t>
            </w:r>
          </w:p>
        </w:tc>
        <w:tc>
          <w:tcPr>
            <w:tcW w:w="10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1,430</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773</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20" w:type="dxa"/>
            <w:vAlign w:val="bottom"/>
          </w:tcPr>
          <w:p>
            <w:pPr>
              <w:spacing w:after="0"/>
              <w:rPr>
                <w:sz w:val="16"/>
                <w:szCs w:val="16"/>
                <w:color w:val="auto"/>
              </w:rPr>
            </w:pPr>
          </w:p>
        </w:tc>
      </w:tr>
      <w:tr>
        <w:trPr>
          <w:trHeight w:val="183"/>
        </w:trPr>
        <w:tc>
          <w:tcPr>
            <w:tcW w:w="6400" w:type="dxa"/>
            <w:vAlign w:val="bottom"/>
          </w:tcPr>
          <w:p>
            <w:pPr>
              <w:ind w:left="180"/>
              <w:spacing w:after="0" w:line="176" w:lineRule="exact"/>
              <w:rPr>
                <w:sz w:val="20"/>
                <w:szCs w:val="20"/>
                <w:color w:val="auto"/>
              </w:rPr>
            </w:pPr>
            <w:r>
              <w:rPr>
                <w:rFonts w:ascii="Arial" w:cs="Arial" w:eastAsia="Arial" w:hAnsi="Arial"/>
                <w:sz w:val="16"/>
                <w:szCs w:val="16"/>
                <w:color w:val="auto"/>
              </w:rPr>
              <w:t>Net income/earnings</w:t>
            </w:r>
          </w:p>
        </w:tc>
        <w:tc>
          <w:tcPr>
            <w:tcW w:w="1020" w:type="dxa"/>
            <w:vAlign w:val="bottom"/>
            <w:tcBorders>
              <w:bottom w:val="single" w:sz="8" w:color="auto"/>
            </w:tcBorders>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1,357</w:t>
            </w:r>
          </w:p>
        </w:tc>
        <w:tc>
          <w:tcPr>
            <w:tcW w:w="3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6"/>
                <w:szCs w:val="16"/>
                <w:color w:val="auto"/>
              </w:rPr>
              <w:t>739</w:t>
            </w:r>
          </w:p>
        </w:tc>
        <w:tc>
          <w:tcPr>
            <w:tcW w:w="36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1,119</w:t>
            </w:r>
          </w:p>
        </w:tc>
        <w:tc>
          <w:tcPr>
            <w:tcW w:w="20" w:type="dxa"/>
            <w:vAlign w:val="bottom"/>
          </w:tcPr>
          <w:p>
            <w:pPr>
              <w:spacing w:after="0"/>
              <w:rPr>
                <w:sz w:val="15"/>
                <w:szCs w:val="15"/>
                <w:color w:val="auto"/>
              </w:rPr>
            </w:pPr>
          </w:p>
        </w:tc>
      </w:tr>
      <w:tr>
        <w:trPr>
          <w:trHeight w:val="385"/>
        </w:trPr>
        <w:tc>
          <w:tcPr>
            <w:tcW w:w="640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5.66</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3.02</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20" w:type="dxa"/>
            <w:vAlign w:val="bottom"/>
          </w:tcPr>
          <w:p>
            <w:pPr>
              <w:spacing w:after="0"/>
              <w:rPr>
                <w:sz w:val="24"/>
                <w:szCs w:val="24"/>
                <w:color w:val="auto"/>
              </w:rPr>
            </w:pPr>
          </w:p>
        </w:tc>
      </w:tr>
      <w:tr>
        <w:trPr>
          <w:trHeight w:val="183"/>
        </w:trPr>
        <w:tc>
          <w:tcPr>
            <w:tcW w:w="6400" w:type="dxa"/>
            <w:vAlign w:val="bottom"/>
          </w:tcPr>
          <w:p>
            <w:pPr>
              <w:ind w:left="180"/>
              <w:spacing w:after="0" w:line="176" w:lineRule="exact"/>
              <w:rPr>
                <w:sz w:val="20"/>
                <w:szCs w:val="20"/>
                <w:color w:val="auto"/>
              </w:rPr>
            </w:pPr>
            <w:r>
              <w:rPr>
                <w:rFonts w:ascii="Arial" w:cs="Arial" w:eastAsia="Arial" w:hAnsi="Arial"/>
                <w:sz w:val="16"/>
                <w:szCs w:val="16"/>
                <w:color w:val="auto"/>
              </w:rPr>
              <w:t>Weighted-average number of shares outstanding (thousands)</w:t>
            </w:r>
          </w:p>
        </w:tc>
        <w:tc>
          <w:tcPr>
            <w:tcW w:w="10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239,720</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6"/>
                <w:szCs w:val="16"/>
                <w:color w:val="auto"/>
              </w:rPr>
              <w:t>244,736</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243,339</w:t>
            </w:r>
          </w:p>
        </w:tc>
        <w:tc>
          <w:tcPr>
            <w:tcW w:w="20" w:type="dxa"/>
            <w:vAlign w:val="bottom"/>
          </w:tcPr>
          <w:p>
            <w:pPr>
              <w:spacing w:after="0"/>
              <w:rPr>
                <w:sz w:val="15"/>
                <w:szCs w:val="15"/>
                <w:color w:val="auto"/>
              </w:rPr>
            </w:pPr>
          </w:p>
        </w:tc>
      </w:tr>
      <w:tr>
        <w:trPr>
          <w:trHeight w:val="385"/>
        </w:trPr>
        <w:tc>
          <w:tcPr>
            <w:tcW w:w="64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5.62</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2.98</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20" w:type="dxa"/>
            <w:vAlign w:val="bottom"/>
          </w:tcPr>
          <w:p>
            <w:pPr>
              <w:spacing w:after="0"/>
              <w:rPr>
                <w:sz w:val="24"/>
                <w:szCs w:val="24"/>
                <w:color w:val="auto"/>
              </w:rPr>
            </w:pPr>
          </w:p>
        </w:tc>
      </w:tr>
      <w:tr>
        <w:trPr>
          <w:trHeight w:val="195"/>
        </w:trPr>
        <w:tc>
          <w:tcPr>
            <w:tcW w:w="6400" w:type="dxa"/>
            <w:vAlign w:val="bottom"/>
          </w:tcPr>
          <w:p>
            <w:pPr>
              <w:ind w:left="180"/>
              <w:spacing w:after="0"/>
              <w:rPr>
                <w:sz w:val="20"/>
                <w:szCs w:val="20"/>
                <w:color w:val="auto"/>
              </w:rPr>
            </w:pPr>
            <w:r>
              <w:rPr>
                <w:rFonts w:ascii="Arial" w:cs="Arial" w:eastAsia="Arial" w:hAnsi="Arial"/>
                <w:sz w:val="16"/>
                <w:szCs w:val="16"/>
                <w:color w:val="auto"/>
              </w:rPr>
              <w:t>Weighted-average number of shares outstanding (thousands)</w:t>
            </w:r>
          </w:p>
        </w:tc>
        <w:tc>
          <w:tcPr>
            <w:tcW w:w="1020" w:type="dxa"/>
            <w:vAlign w:val="bottom"/>
          </w:tcPr>
          <w:p>
            <w:pPr>
              <w:spacing w:after="0"/>
              <w:rPr>
                <w:sz w:val="16"/>
                <w:szCs w:val="16"/>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241,523</w:t>
            </w:r>
          </w:p>
        </w:tc>
        <w:tc>
          <w:tcPr>
            <w:tcW w:w="380" w:type="dxa"/>
            <w:vAlign w:val="bottom"/>
          </w:tcPr>
          <w:p>
            <w:pPr>
              <w:spacing w:after="0"/>
              <w:rPr>
                <w:sz w:val="16"/>
                <w:szCs w:val="16"/>
                <w:color w:val="auto"/>
              </w:rPr>
            </w:pP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247,942</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247,384</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124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6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6380" w:type="dxa"/>
            <w:vAlign w:val="bottom"/>
          </w:tcPr>
          <w:p>
            <w:pPr>
              <w:spacing w:after="0" w:line="164" w:lineRule="exact"/>
              <w:rPr>
                <w:sz w:val="20"/>
                <w:szCs w:val="20"/>
                <w:color w:val="auto"/>
              </w:rPr>
            </w:pPr>
            <w:r>
              <w:rPr>
                <w:rFonts w:ascii="Arial" w:cs="Arial" w:eastAsia="Arial" w:hAnsi="Arial"/>
                <w:sz w:val="16"/>
                <w:szCs w:val="16"/>
                <w:color w:val="auto"/>
              </w:rPr>
              <w:t>Assets:</w:t>
            </w: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Cash and cash equivalents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gridSpan w:val="2"/>
          </w:tcPr>
          <w:p>
            <w:pPr>
              <w:jc w:val="right"/>
              <w:ind w:right="24"/>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157</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Due from affiliates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Income taxes receivable</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190</w:t>
            </w:r>
          </w:p>
        </w:tc>
      </w:tr>
      <w:tr>
        <w:trPr>
          <w:trHeight w:val="194"/>
        </w:trPr>
        <w:tc>
          <w:tcPr>
            <w:tcW w:w="64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95"/>
        </w:trPr>
        <w:tc>
          <w:tcPr>
            <w:tcW w:w="20" w:type="dxa"/>
            <w:vAlign w:val="bottom"/>
          </w:tcPr>
          <w:p>
            <w:pPr>
              <w:spacing w:after="0"/>
              <w:rPr>
                <w:sz w:val="16"/>
                <w:szCs w:val="16"/>
                <w:color w:val="auto"/>
              </w:rPr>
            </w:pPr>
          </w:p>
        </w:tc>
        <w:tc>
          <w:tcPr>
            <w:tcW w:w="6380" w:type="dxa"/>
            <w:vAlign w:val="bottom"/>
          </w:tcPr>
          <w:p>
            <w:pPr>
              <w:ind w:left="160"/>
              <w:spacing w:after="0"/>
              <w:rPr>
                <w:sz w:val="20"/>
                <w:szCs w:val="20"/>
                <w:color w:val="auto"/>
              </w:rPr>
            </w:pPr>
            <w:r>
              <w:rPr>
                <w:rFonts w:ascii="Arial" w:cs="Arial" w:eastAsia="Arial" w:hAnsi="Arial"/>
                <w:sz w:val="16"/>
                <w:szCs w:val="16"/>
                <w:color w:val="auto"/>
              </w:rPr>
              <w:t>Total current assets</w:t>
            </w: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320"/>
        </w:trPr>
        <w:tc>
          <w:tcPr>
            <w:tcW w:w="6400" w:type="dxa"/>
            <w:vAlign w:val="bottom"/>
            <w:gridSpan w:val="2"/>
          </w:tcPr>
          <w:p>
            <w:pPr>
              <w:spacing w:after="0"/>
              <w:rPr>
                <w:sz w:val="20"/>
                <w:szCs w:val="20"/>
                <w:color w:val="auto"/>
              </w:rPr>
            </w:pPr>
            <w:r>
              <w:rPr>
                <w:rFonts w:ascii="Arial" w:cs="Arial" w:eastAsia="Arial" w:hAnsi="Arial"/>
                <w:sz w:val="16"/>
                <w:szCs w:val="16"/>
                <w:color w:val="auto"/>
              </w:rPr>
              <w:t>Investments in subsidiaries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12,272</w:t>
            </w: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11,484</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Due from affiliates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1,730</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1,683</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Deferred income taxes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1,200</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305</w:t>
            </w:r>
          </w:p>
        </w:tc>
      </w:tr>
      <w:tr>
        <w:trPr>
          <w:trHeight w:val="194"/>
        </w:trPr>
        <w:tc>
          <w:tcPr>
            <w:tcW w:w="640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r>
      <w:tr>
        <w:trPr>
          <w:trHeight w:val="183"/>
        </w:trPr>
        <w:tc>
          <w:tcPr>
            <w:tcW w:w="20" w:type="dxa"/>
            <w:vAlign w:val="bottom"/>
          </w:tcPr>
          <w:p>
            <w:pPr>
              <w:spacing w:after="0"/>
              <w:rPr>
                <w:sz w:val="15"/>
                <w:szCs w:val="15"/>
                <w:color w:val="auto"/>
              </w:rPr>
            </w:pPr>
          </w:p>
        </w:tc>
        <w:tc>
          <w:tcPr>
            <w:tcW w:w="6380" w:type="dxa"/>
            <w:vAlign w:val="bottom"/>
          </w:tcPr>
          <w:p>
            <w:pPr>
              <w:ind w:left="160"/>
              <w:spacing w:after="0" w:line="176" w:lineRule="exact"/>
              <w:rPr>
                <w:sz w:val="20"/>
                <w:szCs w:val="20"/>
                <w:color w:val="auto"/>
              </w:rPr>
            </w:pPr>
            <w:r>
              <w:rPr>
                <w:rFonts w:ascii="Arial" w:cs="Arial" w:eastAsia="Arial" w:hAnsi="Arial"/>
                <w:sz w:val="16"/>
                <w:szCs w:val="16"/>
                <w:color w:val="auto"/>
              </w:rPr>
              <w:t>Total assets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15,889</w:t>
            </w:r>
          </w:p>
        </w:tc>
        <w:tc>
          <w:tcPr>
            <w:tcW w:w="2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14,345</w:t>
            </w:r>
          </w:p>
        </w:tc>
      </w:tr>
      <w:tr>
        <w:trPr>
          <w:trHeight w:val="340"/>
        </w:trPr>
        <w:tc>
          <w:tcPr>
            <w:tcW w:w="6400" w:type="dxa"/>
            <w:vAlign w:val="bottom"/>
            <w:gridSpan w:val="2"/>
          </w:tcPr>
          <w:p>
            <w:pPr>
              <w:spacing w:after="0"/>
              <w:rPr>
                <w:sz w:val="20"/>
                <w:szCs w:val="20"/>
                <w:color w:val="auto"/>
              </w:rPr>
            </w:pPr>
            <w:r>
              <w:rPr>
                <w:rFonts w:ascii="Arial" w:cs="Arial" w:eastAsia="Arial" w:hAnsi="Arial"/>
                <w:sz w:val="16"/>
                <w:szCs w:val="16"/>
                <w:color w:val="auto"/>
              </w:rPr>
              <w:t>Liabilities and shareholders’ equity:</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Current portion of long-term debt</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gridSpan w:val="2"/>
          </w:tcPr>
          <w:p>
            <w:pPr>
              <w:jc w:val="right"/>
              <w:ind w:right="24"/>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Due to affiliates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1,014</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1,331</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Income taxes payable</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246</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6400" w:type="dxa"/>
            <w:vAlign w:val="bottom"/>
            <w:gridSpan w:val="2"/>
          </w:tcPr>
          <w:p>
            <w:pPr>
              <w:spacing w:after="0"/>
              <w:rPr>
                <w:sz w:val="20"/>
                <w:szCs w:val="20"/>
                <w:color w:val="auto"/>
              </w:rPr>
            </w:pPr>
            <w:r>
              <w:rPr>
                <w:rFonts w:ascii="Arial" w:cs="Arial" w:eastAsia="Arial" w:hAnsi="Arial"/>
                <w:sz w:val="16"/>
                <w:szCs w:val="16"/>
                <w:color w:val="auto"/>
              </w:rPr>
              <w:t>Other current liabilities</w:t>
            </w: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195"/>
        </w:trPr>
        <w:tc>
          <w:tcPr>
            <w:tcW w:w="20" w:type="dxa"/>
            <w:vAlign w:val="bottom"/>
          </w:tcPr>
          <w:p>
            <w:pPr>
              <w:spacing w:after="0"/>
              <w:rPr>
                <w:sz w:val="16"/>
                <w:szCs w:val="16"/>
                <w:color w:val="auto"/>
              </w:rPr>
            </w:pPr>
          </w:p>
        </w:tc>
        <w:tc>
          <w:tcPr>
            <w:tcW w:w="6380" w:type="dxa"/>
            <w:vAlign w:val="bottom"/>
          </w:tcPr>
          <w:p>
            <w:pPr>
              <w:ind w:left="160"/>
              <w:spacing w:after="0"/>
              <w:rPr>
                <w:sz w:val="20"/>
                <w:szCs w:val="20"/>
                <w:color w:val="auto"/>
              </w:rPr>
            </w:pPr>
            <w:r>
              <w:rPr>
                <w:rFonts w:ascii="Arial" w:cs="Arial" w:eastAsia="Arial" w:hAnsi="Arial"/>
                <w:sz w:val="16"/>
                <w:szCs w:val="16"/>
                <w:color w:val="auto"/>
              </w:rPr>
              <w:t>Total current liabilities</w:t>
            </w: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1,604</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320"/>
        </w:trPr>
        <w:tc>
          <w:tcPr>
            <w:tcW w:w="64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3,957</w:t>
            </w: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3,140</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Other long-term liabilities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490</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441</w:t>
            </w:r>
          </w:p>
        </w:tc>
      </w:tr>
      <w:tr>
        <w:trPr>
          <w:trHeight w:val="194"/>
        </w:trPr>
        <w:tc>
          <w:tcPr>
            <w:tcW w:w="640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9,838</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9,027</w:t>
            </w:r>
          </w:p>
        </w:tc>
      </w:tr>
      <w:tr>
        <w:trPr>
          <w:trHeight w:val="183"/>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15,889</w:t>
            </w:r>
          </w:p>
        </w:tc>
        <w:tc>
          <w:tcPr>
            <w:tcW w:w="2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14,345</w:t>
            </w:r>
          </w:p>
        </w:tc>
      </w:tr>
      <w:tr>
        <w:trPr>
          <w:trHeight w:val="186"/>
        </w:trPr>
        <w:tc>
          <w:tcPr>
            <w:tcW w:w="20" w:type="dxa"/>
            <w:vAlign w:val="bottom"/>
          </w:tcPr>
          <w:p>
            <w:pPr>
              <w:spacing w:after="0"/>
              <w:rPr>
                <w:sz w:val="16"/>
                <w:szCs w:val="16"/>
                <w:color w:val="auto"/>
              </w:rPr>
            </w:pPr>
          </w:p>
        </w:tc>
        <w:tc>
          <w:tcPr>
            <w:tcW w:w="638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Condensed Financial Information of Parent.</w:t>
            </w:r>
          </w:p>
        </w:tc>
        <w:tc>
          <w:tcPr>
            <w:tcW w:w="1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665"/>
        </w:trPr>
        <w:tc>
          <w:tcPr>
            <w:tcW w:w="20" w:type="dxa"/>
            <w:vAlign w:val="bottom"/>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SEMPRA ENERGY</w:t>
            </w:r>
          </w:p>
        </w:tc>
        <w:tc>
          <w:tcPr>
            <w:tcW w:w="1140" w:type="dxa"/>
            <w:vAlign w:val="bottom"/>
            <w:shd w:val="clear" w:color="auto" w:fill="C0C0C0"/>
          </w:tcPr>
          <w:p>
            <w:pPr>
              <w:spacing w:after="0"/>
              <w:rPr>
                <w:sz w:val="11"/>
                <w:szCs w:val="11"/>
                <w:color w:val="auto"/>
              </w:rPr>
            </w:pPr>
          </w:p>
        </w:tc>
        <w:tc>
          <w:tcPr>
            <w:tcW w:w="680" w:type="dxa"/>
            <w:vAlign w:val="bottom"/>
            <w:shd w:val="clear" w:color="auto" w:fill="C0C0C0"/>
          </w:tcPr>
          <w:p>
            <w:pPr>
              <w:spacing w:after="0"/>
              <w:rPr>
                <w:sz w:val="11"/>
                <w:szCs w:val="11"/>
                <w:color w:val="auto"/>
              </w:rPr>
            </w:pPr>
          </w:p>
        </w:tc>
        <w:tc>
          <w:tcPr>
            <w:tcW w:w="220" w:type="dxa"/>
            <w:vAlign w:val="bottom"/>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1280" w:type="dxa"/>
            <w:vAlign w:val="bottom"/>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1240" w:type="dxa"/>
            <w:vAlign w:val="bottom"/>
            <w:shd w:val="clear" w:color="auto" w:fill="C0C0C0"/>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CONDENSED STATEMENTS OF CASH FLOWS</w:t>
            </w:r>
          </w:p>
        </w:tc>
        <w:tc>
          <w:tcPr>
            <w:tcW w:w="1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240" w:type="dxa"/>
            <w:vAlign w:val="bottom"/>
            <w:shd w:val="clear" w:color="auto" w:fill="C0C0C0"/>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140" w:type="dxa"/>
            <w:vAlign w:val="bottom"/>
            <w:shd w:val="clear" w:color="auto" w:fill="C0C0C0"/>
          </w:tcPr>
          <w:p>
            <w:pPr>
              <w:spacing w:after="0"/>
              <w:rPr>
                <w:sz w:val="14"/>
                <w:szCs w:val="14"/>
                <w:color w:val="auto"/>
              </w:rPr>
            </w:pPr>
          </w:p>
        </w:tc>
        <w:tc>
          <w:tcPr>
            <w:tcW w:w="6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124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Years ended December 31,</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2009</w:t>
            </w:r>
          </w:p>
        </w:tc>
      </w:tr>
      <w:tr>
        <w:trPr>
          <w:trHeight w:val="358"/>
        </w:trPr>
        <w:tc>
          <w:tcPr>
            <w:tcW w:w="6400" w:type="dxa"/>
            <w:vAlign w:val="bottom"/>
            <w:gridSpan w:val="2"/>
          </w:tcPr>
          <w:p>
            <w:pPr>
              <w:spacing w:after="0"/>
              <w:rPr>
                <w:sz w:val="20"/>
                <w:szCs w:val="20"/>
                <w:color w:val="auto"/>
              </w:rPr>
            </w:pPr>
            <w:r>
              <w:rPr>
                <w:rFonts w:ascii="Arial" w:cs="Arial" w:eastAsia="Arial" w:hAnsi="Arial"/>
                <w:sz w:val="16"/>
                <w:szCs w:val="16"/>
                <w:color w:val="auto"/>
              </w:rPr>
              <w:t>Net cash (used in) provided by operating activities</w:t>
            </w:r>
          </w:p>
        </w:tc>
        <w:tc>
          <w:tcPr>
            <w:tcW w:w="114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(287)</w:t>
            </w:r>
          </w:p>
        </w:tc>
        <w:tc>
          <w:tcPr>
            <w:tcW w:w="40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340"/>
        </w:trPr>
        <w:tc>
          <w:tcPr>
            <w:tcW w:w="6400" w:type="dxa"/>
            <w:vAlign w:val="bottom"/>
            <w:gridSpan w:val="2"/>
          </w:tcPr>
          <w:p>
            <w:pPr>
              <w:spacing w:after="0"/>
              <w:rPr>
                <w:sz w:val="20"/>
                <w:szCs w:val="20"/>
                <w:color w:val="auto"/>
              </w:rPr>
            </w:pPr>
            <w:r>
              <w:rPr>
                <w:rFonts w:ascii="Arial" w:cs="Arial" w:eastAsia="Arial" w:hAnsi="Arial"/>
                <w:sz w:val="16"/>
                <w:szCs w:val="16"/>
                <w:color w:val="auto"/>
              </w:rPr>
              <w:t>Dividends received from subsidiaries</w:t>
            </w:r>
          </w:p>
        </w:tc>
        <w:tc>
          <w:tcPr>
            <w:tcW w:w="1140" w:type="dxa"/>
            <w:vAlign w:val="bottom"/>
          </w:tcPr>
          <w:p>
            <w:pPr>
              <w:spacing w:after="0"/>
              <w:rPr>
                <w:sz w:val="24"/>
                <w:szCs w:val="24"/>
                <w:color w:val="auto"/>
              </w:rPr>
            </w:pP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1140" w:type="dxa"/>
            <w:vAlign w:val="bottom"/>
          </w:tcPr>
          <w:p>
            <w:pPr>
              <w:spacing w:after="0"/>
              <w:rPr>
                <w:sz w:val="15"/>
                <w:szCs w:val="15"/>
                <w:color w:val="auto"/>
              </w:rPr>
            </w:pPr>
          </w:p>
        </w:tc>
        <w:tc>
          <w:tcPr>
            <w:tcW w:w="6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Proceeds from sale of short-term investments</w:t>
            </w:r>
          </w:p>
        </w:tc>
        <w:tc>
          <w:tcPr>
            <w:tcW w:w="1140" w:type="dxa"/>
            <w:vAlign w:val="bottom"/>
          </w:tcPr>
          <w:p>
            <w:pPr>
              <w:spacing w:after="0"/>
              <w:rPr>
                <w:sz w:val="15"/>
                <w:szCs w:val="15"/>
                <w:color w:val="auto"/>
              </w:rPr>
            </w:pPr>
          </w:p>
        </w:tc>
        <w:tc>
          <w:tcPr>
            <w:tcW w:w="6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152</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Purchase of trust assets</w:t>
            </w:r>
          </w:p>
        </w:tc>
        <w:tc>
          <w:tcPr>
            <w:tcW w:w="1140" w:type="dxa"/>
            <w:vAlign w:val="bottom"/>
          </w:tcPr>
          <w:p>
            <w:pPr>
              <w:spacing w:after="0"/>
              <w:rPr>
                <w:sz w:val="15"/>
                <w:szCs w:val="15"/>
                <w:color w:val="auto"/>
              </w:rPr>
            </w:pPr>
          </w:p>
        </w:tc>
        <w:tc>
          <w:tcPr>
            <w:tcW w:w="6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Proceeds from sales by trust</w:t>
            </w:r>
          </w:p>
        </w:tc>
        <w:tc>
          <w:tcPr>
            <w:tcW w:w="1140" w:type="dxa"/>
            <w:vAlign w:val="bottom"/>
          </w:tcPr>
          <w:p>
            <w:pPr>
              <w:spacing w:after="0"/>
              <w:rPr>
                <w:sz w:val="15"/>
                <w:szCs w:val="15"/>
                <w:color w:val="auto"/>
              </w:rPr>
            </w:pPr>
          </w:p>
        </w:tc>
        <w:tc>
          <w:tcPr>
            <w:tcW w:w="6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11</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6400" w:type="dxa"/>
            <w:vAlign w:val="bottom"/>
            <w:gridSpan w:val="2"/>
          </w:tcPr>
          <w:p>
            <w:pPr>
              <w:spacing w:after="0"/>
              <w:rPr>
                <w:sz w:val="20"/>
                <w:szCs w:val="20"/>
                <w:color w:val="auto"/>
              </w:rPr>
            </w:pPr>
            <w:r>
              <w:rPr>
                <w:rFonts w:ascii="Arial" w:cs="Arial" w:eastAsia="Arial" w:hAnsi="Arial"/>
                <w:sz w:val="16"/>
                <w:szCs w:val="16"/>
                <w:color w:val="auto"/>
              </w:rPr>
              <w:t>(Increase) decrease in loans to affiliates, net</w:t>
            </w: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(118)</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1,204</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r>
      <w:tr>
        <w:trPr>
          <w:trHeight w:val="183"/>
        </w:trPr>
        <w:tc>
          <w:tcPr>
            <w:tcW w:w="20" w:type="dxa"/>
            <w:vAlign w:val="bottom"/>
          </w:tcPr>
          <w:p>
            <w:pPr>
              <w:spacing w:after="0"/>
              <w:rPr>
                <w:sz w:val="15"/>
                <w:szCs w:val="15"/>
                <w:color w:val="auto"/>
              </w:rPr>
            </w:pPr>
          </w:p>
        </w:tc>
        <w:tc>
          <w:tcPr>
            <w:tcW w:w="6380" w:type="dxa"/>
            <w:vAlign w:val="bottom"/>
          </w:tcPr>
          <w:p>
            <w:pPr>
              <w:ind w:left="160"/>
              <w:spacing w:after="0" w:line="176" w:lineRule="exact"/>
              <w:rPr>
                <w:sz w:val="20"/>
                <w:szCs w:val="20"/>
                <w:color w:val="auto"/>
              </w:rPr>
            </w:pPr>
            <w:r>
              <w:rPr>
                <w:rFonts w:ascii="Arial" w:cs="Arial" w:eastAsia="Arial" w:hAnsi="Arial"/>
                <w:sz w:val="16"/>
                <w:szCs w:val="16"/>
                <w:color w:val="auto"/>
              </w:rPr>
              <w:t>Cash (used in) provided by investing activities</w:t>
            </w:r>
          </w:p>
        </w:tc>
        <w:tc>
          <w:tcPr>
            <w:tcW w:w="1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(65)</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0"/>
              <w:spacing w:after="0" w:line="176" w:lineRule="exact"/>
              <w:rPr>
                <w:sz w:val="20"/>
                <w:szCs w:val="20"/>
                <w:color w:val="auto"/>
              </w:rPr>
            </w:pPr>
            <w:r>
              <w:rPr>
                <w:rFonts w:ascii="Arial" w:cs="Arial" w:eastAsia="Arial" w:hAnsi="Arial"/>
                <w:sz w:val="16"/>
                <w:szCs w:val="16"/>
                <w:color w:val="auto"/>
              </w:rPr>
              <w:t>1,314</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(1,014)</w:t>
            </w:r>
          </w:p>
        </w:tc>
      </w:tr>
      <w:tr>
        <w:trPr>
          <w:trHeight w:val="340"/>
        </w:trPr>
        <w:tc>
          <w:tcPr>
            <w:tcW w:w="6400" w:type="dxa"/>
            <w:vAlign w:val="bottom"/>
            <w:gridSpan w:val="2"/>
          </w:tcPr>
          <w:p>
            <w:pPr>
              <w:spacing w:after="0"/>
              <w:rPr>
                <w:sz w:val="20"/>
                <w:szCs w:val="20"/>
                <w:color w:val="auto"/>
              </w:rPr>
            </w:pPr>
            <w:r>
              <w:rPr>
                <w:rFonts w:ascii="Arial" w:cs="Arial" w:eastAsia="Arial" w:hAnsi="Arial"/>
                <w:sz w:val="16"/>
                <w:szCs w:val="16"/>
                <w:color w:val="auto"/>
              </w:rPr>
              <w:t>Common stock dividends paid</w:t>
            </w:r>
          </w:p>
        </w:tc>
        <w:tc>
          <w:tcPr>
            <w:tcW w:w="1140" w:type="dxa"/>
            <w:vAlign w:val="bottom"/>
          </w:tcPr>
          <w:p>
            <w:pPr>
              <w:spacing w:after="0"/>
              <w:rPr>
                <w:sz w:val="24"/>
                <w:szCs w:val="24"/>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(364)</w:t>
            </w: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Issuances of common stock</w:t>
            </w:r>
          </w:p>
        </w:tc>
        <w:tc>
          <w:tcPr>
            <w:tcW w:w="1140" w:type="dxa"/>
            <w:vAlign w:val="bottom"/>
          </w:tcPr>
          <w:p>
            <w:pPr>
              <w:spacing w:after="0"/>
              <w:rPr>
                <w:sz w:val="15"/>
                <w:szCs w:val="15"/>
                <w:color w:val="auto"/>
              </w:rPr>
            </w:pPr>
          </w:p>
        </w:tc>
        <w:tc>
          <w:tcPr>
            <w:tcW w:w="6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40</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Repurchases of common stock</w:t>
            </w:r>
          </w:p>
        </w:tc>
        <w:tc>
          <w:tcPr>
            <w:tcW w:w="1140" w:type="dxa"/>
            <w:vAlign w:val="bottom"/>
          </w:tcPr>
          <w:p>
            <w:pPr>
              <w:spacing w:after="0"/>
              <w:rPr>
                <w:sz w:val="15"/>
                <w:szCs w:val="15"/>
                <w:color w:val="auto"/>
              </w:rPr>
            </w:pPr>
          </w:p>
        </w:tc>
        <w:tc>
          <w:tcPr>
            <w:tcW w:w="6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80"/>
              <w:spacing w:after="0" w:line="176" w:lineRule="exact"/>
              <w:rPr>
                <w:sz w:val="20"/>
                <w:szCs w:val="20"/>
                <w:color w:val="auto"/>
              </w:rPr>
            </w:pPr>
            <w:r>
              <w:rPr>
                <w:rFonts w:ascii="Arial" w:cs="Arial" w:eastAsia="Arial" w:hAnsi="Arial"/>
                <w:sz w:val="16"/>
                <w:szCs w:val="16"/>
                <w:color w:val="auto"/>
              </w:rPr>
              <w:t>(502)</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Issuances of long-term debt</w:t>
            </w:r>
          </w:p>
        </w:tc>
        <w:tc>
          <w:tcPr>
            <w:tcW w:w="1140" w:type="dxa"/>
            <w:vAlign w:val="bottom"/>
          </w:tcPr>
          <w:p>
            <w:pPr>
              <w:spacing w:after="0"/>
              <w:rPr>
                <w:sz w:val="15"/>
                <w:szCs w:val="15"/>
                <w:color w:val="auto"/>
              </w:rPr>
            </w:pPr>
          </w:p>
        </w:tc>
        <w:tc>
          <w:tcPr>
            <w:tcW w:w="6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799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40</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1,492</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Payments on long-term debt</w:t>
            </w:r>
          </w:p>
        </w:tc>
        <w:tc>
          <w:tcPr>
            <w:tcW w:w="1140" w:type="dxa"/>
            <w:vAlign w:val="bottom"/>
          </w:tcPr>
          <w:p>
            <w:pPr>
              <w:spacing w:after="0"/>
              <w:rPr>
                <w:sz w:val="15"/>
                <w:szCs w:val="15"/>
                <w:color w:val="auto"/>
              </w:rPr>
            </w:pPr>
          </w:p>
        </w:tc>
        <w:tc>
          <w:tcPr>
            <w:tcW w:w="6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80"/>
              <w:spacing w:after="0" w:line="176" w:lineRule="exact"/>
              <w:rPr>
                <w:sz w:val="20"/>
                <w:szCs w:val="20"/>
                <w:color w:val="auto"/>
              </w:rPr>
            </w:pPr>
            <w:r>
              <w:rPr>
                <w:rFonts w:ascii="Arial" w:cs="Arial" w:eastAsia="Arial" w:hAnsi="Arial"/>
                <w:sz w:val="16"/>
                <w:szCs w:val="16"/>
                <w:color w:val="auto"/>
              </w:rPr>
              <w:t>(565)</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(314)</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(Decrease) increase in loans from affiliates, net</w:t>
            </w:r>
          </w:p>
        </w:tc>
        <w:tc>
          <w:tcPr>
            <w:tcW w:w="1140" w:type="dxa"/>
            <w:vAlign w:val="bottom"/>
          </w:tcPr>
          <w:p>
            <w:pPr>
              <w:spacing w:after="0"/>
              <w:rPr>
                <w:sz w:val="15"/>
                <w:szCs w:val="15"/>
                <w:color w:val="auto"/>
              </w:rPr>
            </w:pPr>
          </w:p>
        </w:tc>
        <w:tc>
          <w:tcPr>
            <w:tcW w:w="6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(136)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80"/>
              <w:spacing w:after="0" w:line="176" w:lineRule="exact"/>
              <w:rPr>
                <w:sz w:val="20"/>
                <w:szCs w:val="20"/>
                <w:color w:val="auto"/>
              </w:rPr>
            </w:pPr>
            <w:r>
              <w:rPr>
                <w:rFonts w:ascii="Arial" w:cs="Arial" w:eastAsia="Arial" w:hAnsi="Arial"/>
                <w:sz w:val="16"/>
                <w:szCs w:val="16"/>
                <w:color w:val="auto"/>
              </w:rPr>
              <w:t>(40)</w:t>
            </w:r>
          </w:p>
        </w:tc>
        <w:tc>
          <w:tcPr>
            <w:tcW w:w="2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94"/>
        </w:trPr>
        <w:tc>
          <w:tcPr>
            <w:tcW w:w="6400" w:type="dxa"/>
            <w:vAlign w:val="bottom"/>
            <w:gridSpan w:val="2"/>
          </w:tcPr>
          <w:p>
            <w:pPr>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bl>
    <w:p>
      <w:pPr>
        <w:sectPr>
          <w:pgSz w:w="11900" w:h="16838" w:orient="portrait"/>
          <w:cols w:equalWidth="0" w:num="1">
            <w:col w:w="11420"/>
          </w:cols>
          <w:pgMar w:left="240" w:top="960"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ind w:left="180"/>
              <w:spacing w:after="0"/>
              <w:rPr>
                <w:sz w:val="20"/>
                <w:szCs w:val="20"/>
                <w:color w:val="auto"/>
              </w:rPr>
            </w:pPr>
            <w:r>
              <w:rPr>
                <w:rFonts w:ascii="Arial" w:cs="Arial" w:eastAsia="Arial" w:hAnsi="Arial"/>
                <w:sz w:val="16"/>
                <w:szCs w:val="16"/>
                <w:color w:val="auto"/>
              </w:rPr>
              <w:t>Cash provided by (used in) financing activities</w:t>
            </w:r>
          </w:p>
        </w:tc>
        <w:tc>
          <w:tcPr>
            <w:tcW w:w="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206</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(1,382)</w:t>
            </w: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r>
      <w:tr>
        <w:trPr>
          <w:trHeight w:val="340"/>
        </w:trPr>
        <w:tc>
          <w:tcPr>
            <w:tcW w:w="640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86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(146)</w:t>
            </w:r>
          </w:p>
        </w:tc>
        <w:tc>
          <w:tcPr>
            <w:tcW w:w="620" w:type="dxa"/>
            <w:vAlign w:val="bottom"/>
          </w:tcPr>
          <w:p>
            <w:pPr>
              <w:spacing w:after="0"/>
              <w:rPr>
                <w:sz w:val="24"/>
                <w:szCs w:val="24"/>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150</w:t>
            </w:r>
          </w:p>
        </w:tc>
        <w:tc>
          <w:tcPr>
            <w:tcW w:w="7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4"/>
        </w:trPr>
        <w:tc>
          <w:tcPr>
            <w:tcW w:w="64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157</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Cash and cash equivalents, December 31</w:t>
            </w:r>
          </w:p>
        </w:tc>
        <w:tc>
          <w:tcPr>
            <w:tcW w:w="8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157</w:t>
            </w:r>
          </w:p>
        </w:tc>
        <w:tc>
          <w:tcPr>
            <w:tcW w:w="7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INFORMATION OF PARENT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Basis of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Sempra Energy accounts for the earnings of its subsidiaries under the equity method in this unconsolidated financial information.</w:t>
      </w:r>
    </w:p>
    <w:p>
      <w:pPr>
        <w:spacing w:after="0" w:line="22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Other Income, Net, on the Condensed Statements of Operations includes $22 million, $35 million and $55 million of gains associated with investment earnings or losses on dedicated assets in support of our executive retirement and deferred compensation plans in 2011, 2010 and 2009,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nature as a holding company, Sempra Energy classifies dividends received from subsidiaries as an investing cash flow.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Long-Term Debt</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0" w:type="dxa"/>
            <w:vAlign w:val="bottom"/>
            <w:vMerge w:val="restart"/>
          </w:tcPr>
          <w:p>
            <w:pPr>
              <w:spacing w:after="0"/>
              <w:rPr>
                <w:sz w:val="20"/>
                <w:szCs w:val="20"/>
                <w:color w:val="auto"/>
              </w:rPr>
            </w:pPr>
            <w:r>
              <w:rPr>
                <w:rFonts w:ascii="Arial" w:cs="Arial" w:eastAsia="Arial" w:hAnsi="Arial"/>
                <w:sz w:val="16"/>
                <w:szCs w:val="16"/>
                <w:color w:val="auto"/>
              </w:rPr>
              <w:t>(Dollars in millions)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4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1340" w:type="dxa"/>
            <w:vAlign w:val="bottom"/>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72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340"/>
        </w:trPr>
        <w:tc>
          <w:tcPr>
            <w:tcW w:w="7200" w:type="dxa"/>
            <w:vAlign w:val="bottom"/>
          </w:tcPr>
          <w:p>
            <w:pPr>
              <w:spacing w:after="0"/>
              <w:rPr>
                <w:sz w:val="20"/>
                <w:szCs w:val="20"/>
                <w:color w:val="auto"/>
              </w:rPr>
            </w:pPr>
            <w:r>
              <w:rPr>
                <w:rFonts w:ascii="Arial" w:cs="Arial" w:eastAsia="Arial" w:hAnsi="Arial"/>
                <w:sz w:val="16"/>
                <w:szCs w:val="16"/>
                <w:color w:val="auto"/>
              </w:rPr>
              <w:t>6% Notes February 1, 2013</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76"/>
        </w:trPr>
        <w:tc>
          <w:tcPr>
            <w:tcW w:w="7200" w:type="dxa"/>
            <w:vAlign w:val="bottom"/>
          </w:tcPr>
          <w:p>
            <w:pPr>
              <w:spacing w:after="0" w:line="176" w:lineRule="exact"/>
              <w:rPr>
                <w:sz w:val="20"/>
                <w:szCs w:val="20"/>
                <w:color w:val="auto"/>
              </w:rPr>
            </w:pPr>
            <w:r>
              <w:rPr>
                <w:rFonts w:ascii="Arial" w:cs="Arial" w:eastAsia="Arial" w:hAnsi="Arial"/>
                <w:sz w:val="16"/>
                <w:szCs w:val="16"/>
                <w:color w:val="auto"/>
              </w:rPr>
              <w:t>8.9% Notes November 15, 2013, including $200 at variable rates after</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180"/>
              <w:spacing w:after="0" w:line="176" w:lineRule="exact"/>
              <w:rPr>
                <w:sz w:val="20"/>
                <w:szCs w:val="20"/>
                <w:color w:val="auto"/>
              </w:rPr>
            </w:pPr>
            <w:r>
              <w:rPr>
                <w:rFonts w:ascii="Arial" w:cs="Arial" w:eastAsia="Arial" w:hAnsi="Arial"/>
                <w:sz w:val="16"/>
                <w:szCs w:val="16"/>
                <w:color w:val="auto"/>
              </w:rPr>
              <w:t>fixed-to-floating rate swaps effective January 2011 (8.19% at December 31, 2011)</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250</w:t>
            </w:r>
          </w:p>
        </w:tc>
        <w:tc>
          <w:tcPr>
            <w:tcW w:w="22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76"/>
        </w:trPr>
        <w:tc>
          <w:tcPr>
            <w:tcW w:w="7200" w:type="dxa"/>
            <w:vAlign w:val="bottom"/>
          </w:tcPr>
          <w:p>
            <w:pPr>
              <w:spacing w:after="0" w:line="176" w:lineRule="exact"/>
              <w:rPr>
                <w:sz w:val="20"/>
                <w:szCs w:val="20"/>
                <w:color w:val="auto"/>
              </w:rPr>
            </w:pPr>
            <w:r>
              <w:rPr>
                <w:rFonts w:ascii="Arial" w:cs="Arial" w:eastAsia="Arial" w:hAnsi="Arial"/>
                <w:sz w:val="16"/>
                <w:szCs w:val="16"/>
                <w:color w:val="auto"/>
              </w:rPr>
              <w:t>2% Notes March 15, 2014</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500</w:t>
            </w:r>
          </w:p>
        </w:tc>
        <w:tc>
          <w:tcPr>
            <w:tcW w:w="22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7200" w:type="dxa"/>
            <w:vAlign w:val="bottom"/>
          </w:tcPr>
          <w:p>
            <w:pPr>
              <w:spacing w:after="0"/>
              <w:rPr>
                <w:sz w:val="20"/>
                <w:szCs w:val="20"/>
                <w:color w:val="auto"/>
              </w:rPr>
            </w:pPr>
            <w:r>
              <w:rPr>
                <w:rFonts w:ascii="Arial" w:cs="Arial" w:eastAsia="Arial" w:hAnsi="Arial"/>
                <w:sz w:val="16"/>
                <w:szCs w:val="16"/>
                <w:color w:val="auto"/>
              </w:rPr>
              <w:t>Notes at variable rates (1.22% at December 31, 2011) March 15, 2014</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200" w:type="dxa"/>
            <w:vAlign w:val="bottom"/>
          </w:tcPr>
          <w:p>
            <w:pPr>
              <w:spacing w:after="0"/>
              <w:rPr>
                <w:sz w:val="20"/>
                <w:szCs w:val="20"/>
                <w:color w:val="auto"/>
              </w:rPr>
            </w:pPr>
            <w:r>
              <w:rPr>
                <w:rFonts w:ascii="Arial" w:cs="Arial" w:eastAsia="Arial" w:hAnsi="Arial"/>
                <w:sz w:val="16"/>
                <w:szCs w:val="16"/>
                <w:color w:val="auto"/>
              </w:rPr>
              <w:t>6.5% Notes June 1, 2016, including $300 at variable rates after</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180"/>
              <w:spacing w:after="0" w:line="176" w:lineRule="exact"/>
              <w:rPr>
                <w:sz w:val="20"/>
                <w:szCs w:val="20"/>
                <w:color w:val="auto"/>
              </w:rPr>
            </w:pPr>
            <w:r>
              <w:rPr>
                <w:rFonts w:ascii="Arial" w:cs="Arial" w:eastAsia="Arial" w:hAnsi="Arial"/>
                <w:sz w:val="16"/>
                <w:szCs w:val="16"/>
                <w:color w:val="auto"/>
              </w:rPr>
              <w:t>fixed-to-floating rate swaps effective January 2011 (4.86% at December 31, 2011)</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750</w:t>
            </w:r>
          </w:p>
        </w:tc>
        <w:tc>
          <w:tcPr>
            <w:tcW w:w="22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76"/>
        </w:trPr>
        <w:tc>
          <w:tcPr>
            <w:tcW w:w="7200" w:type="dxa"/>
            <w:vAlign w:val="bottom"/>
          </w:tcPr>
          <w:p>
            <w:pPr>
              <w:spacing w:after="0" w:line="176" w:lineRule="exact"/>
              <w:rPr>
                <w:sz w:val="20"/>
                <w:szCs w:val="20"/>
                <w:color w:val="auto"/>
              </w:rPr>
            </w:pPr>
            <w:r>
              <w:rPr>
                <w:rFonts w:ascii="Arial" w:cs="Arial" w:eastAsia="Arial" w:hAnsi="Arial"/>
                <w:sz w:val="16"/>
                <w:szCs w:val="16"/>
                <w:color w:val="auto"/>
              </w:rPr>
              <w:t>6.15% Notes June 15, 2018</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500</w:t>
            </w:r>
          </w:p>
        </w:tc>
        <w:tc>
          <w:tcPr>
            <w:tcW w:w="22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76"/>
        </w:trPr>
        <w:tc>
          <w:tcPr>
            <w:tcW w:w="7200" w:type="dxa"/>
            <w:vAlign w:val="bottom"/>
          </w:tcPr>
          <w:p>
            <w:pPr>
              <w:spacing w:after="0" w:line="176" w:lineRule="exact"/>
              <w:rPr>
                <w:sz w:val="20"/>
                <w:szCs w:val="20"/>
                <w:color w:val="auto"/>
              </w:rPr>
            </w:pPr>
            <w:r>
              <w:rPr>
                <w:rFonts w:ascii="Arial" w:cs="Arial" w:eastAsia="Arial" w:hAnsi="Arial"/>
                <w:sz w:val="16"/>
                <w:szCs w:val="16"/>
                <w:color w:val="auto"/>
              </w:rPr>
              <w:t>9.8% Notes February 15, 2019</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500</w:t>
            </w:r>
          </w:p>
        </w:tc>
        <w:tc>
          <w:tcPr>
            <w:tcW w:w="22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76"/>
        </w:trPr>
        <w:tc>
          <w:tcPr>
            <w:tcW w:w="7200" w:type="dxa"/>
            <w:vAlign w:val="bottom"/>
          </w:tcPr>
          <w:p>
            <w:pPr>
              <w:spacing w:after="0" w:line="176" w:lineRule="exact"/>
              <w:rPr>
                <w:sz w:val="20"/>
                <w:szCs w:val="20"/>
                <w:color w:val="auto"/>
              </w:rPr>
            </w:pPr>
            <w:r>
              <w:rPr>
                <w:rFonts w:ascii="Arial" w:cs="Arial" w:eastAsia="Arial" w:hAnsi="Arial"/>
                <w:sz w:val="16"/>
                <w:szCs w:val="16"/>
                <w:color w:val="auto"/>
              </w:rPr>
              <w:t>6% Notes October 15, 2039</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750</w:t>
            </w:r>
          </w:p>
        </w:tc>
        <w:tc>
          <w:tcPr>
            <w:tcW w:w="22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76"/>
        </w:trPr>
        <w:tc>
          <w:tcPr>
            <w:tcW w:w="7200" w:type="dxa"/>
            <w:vAlign w:val="bottom"/>
          </w:tcPr>
          <w:p>
            <w:pPr>
              <w:spacing w:after="0" w:line="176" w:lineRule="exact"/>
              <w:rPr>
                <w:sz w:val="20"/>
                <w:szCs w:val="20"/>
                <w:color w:val="auto"/>
              </w:rPr>
            </w:pPr>
            <w:r>
              <w:rPr>
                <w:rFonts w:ascii="Arial" w:cs="Arial" w:eastAsia="Arial" w:hAnsi="Arial"/>
                <w:sz w:val="16"/>
                <w:szCs w:val="16"/>
                <w:color w:val="auto"/>
              </w:rPr>
              <w:t>Employee Stock Ownership Plan Bonds at variable rates payable on demand</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180"/>
              <w:spacing w:after="0" w:line="176" w:lineRule="exact"/>
              <w:rPr>
                <w:sz w:val="20"/>
                <w:szCs w:val="20"/>
                <w:color w:val="auto"/>
              </w:rPr>
            </w:pPr>
            <w:r>
              <w:rPr>
                <w:rFonts w:ascii="Arial" w:cs="Arial" w:eastAsia="Arial" w:hAnsi="Arial"/>
                <w:sz w:val="16"/>
                <w:szCs w:val="16"/>
                <w:color w:val="auto"/>
              </w:rPr>
              <w:t>(0.40% at December 31, 2011) November 1, 2014</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2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5"/>
        </w:trPr>
        <w:tc>
          <w:tcPr>
            <w:tcW w:w="7200" w:type="dxa"/>
            <w:vAlign w:val="bottom"/>
          </w:tcPr>
          <w:p>
            <w:pPr>
              <w:spacing w:after="0"/>
              <w:rPr>
                <w:sz w:val="20"/>
                <w:szCs w:val="20"/>
                <w:color w:val="auto"/>
              </w:rPr>
            </w:pPr>
            <w:r>
              <w:rPr>
                <w:rFonts w:ascii="Arial" w:cs="Arial" w:eastAsia="Arial" w:hAnsi="Arial"/>
                <w:sz w:val="16"/>
                <w:szCs w:val="16"/>
                <w:color w:val="auto"/>
              </w:rPr>
              <w:t>Market value adjustments for interest rate swaps, net</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7200" w:type="dxa"/>
            <w:vAlign w:val="bottom"/>
          </w:tcPr>
          <w:p>
            <w:pPr>
              <w:ind w:left="180"/>
              <w:spacing w:after="0" w:line="168" w:lineRule="exact"/>
              <w:rPr>
                <w:sz w:val="20"/>
                <w:szCs w:val="20"/>
                <w:color w:val="auto"/>
              </w:rPr>
            </w:pPr>
            <w:r>
              <w:rPr>
                <w:rFonts w:ascii="Arial" w:cs="Arial" w:eastAsia="Arial" w:hAnsi="Arial"/>
                <w:sz w:val="16"/>
                <w:szCs w:val="16"/>
                <w:color w:val="auto"/>
              </w:rPr>
              <w:t>(expire November 2013 and June 2016)</w:t>
            </w:r>
          </w:p>
        </w:tc>
        <w:tc>
          <w:tcPr>
            <w:tcW w:w="1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3,974</w:t>
            </w:r>
          </w:p>
        </w:tc>
        <w:tc>
          <w:tcPr>
            <w:tcW w:w="22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176"/>
        </w:trPr>
        <w:tc>
          <w:tcPr>
            <w:tcW w:w="7200" w:type="dxa"/>
            <w:vAlign w:val="bottom"/>
          </w:tcPr>
          <w:p>
            <w:pPr>
              <w:spacing w:after="0" w:line="176" w:lineRule="exact"/>
              <w:rPr>
                <w:sz w:val="20"/>
                <w:szCs w:val="20"/>
                <w:color w:val="auto"/>
              </w:rPr>
            </w:pPr>
            <w:r>
              <w:rPr>
                <w:rFonts w:ascii="Arial" w:cs="Arial" w:eastAsia="Arial" w:hAnsi="Arial"/>
                <w:sz w:val="16"/>
                <w:szCs w:val="16"/>
                <w:color w:val="auto"/>
              </w:rPr>
              <w:t>Current portion of long-term debt</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2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4"/>
        </w:trPr>
        <w:tc>
          <w:tcPr>
            <w:tcW w:w="7200" w:type="dxa"/>
            <w:vAlign w:val="bottom"/>
          </w:tcPr>
          <w:p>
            <w:pPr>
              <w:spacing w:after="0"/>
              <w:rPr>
                <w:sz w:val="20"/>
                <w:szCs w:val="20"/>
                <w:color w:val="auto"/>
              </w:rPr>
            </w:pPr>
            <w:r>
              <w:rPr>
                <w:rFonts w:ascii="Arial" w:cs="Arial" w:eastAsia="Arial" w:hAnsi="Arial"/>
                <w:sz w:val="16"/>
                <w:szCs w:val="16"/>
                <w:color w:val="auto"/>
              </w:rPr>
              <w:t>Unamortized discount on long-term debt</w:t>
            </w:r>
          </w:p>
        </w:tc>
        <w:tc>
          <w:tcPr>
            <w:tcW w:w="1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long-term debt</w:t>
            </w: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3,957</w:t>
            </w:r>
          </w:p>
        </w:tc>
        <w:tc>
          <w:tcPr>
            <w:tcW w:w="22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are $8 million in 2012, $650 million in 2013, $800 million in 2014, $750 million in 2016, and $1.8 billion thereafter.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Sempra Energy’s long-term debt is provided in Note 5 of the Notes to Consolidated Financial Statements in the Annual Report.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contingencies and guarantees related to Sempra Energy, refer to Notes 5 and 15 of the Notes to Consolidated Financial Statements in the Annual Report.</w:t>
      </w:r>
    </w:p>
    <w:p>
      <w:pPr>
        <w:sectPr>
          <w:pgSz w:w="11900" w:h="16838" w:orient="portrait"/>
          <w:cols w:equalWidth="0" w:num="1">
            <w:col w:w="11420"/>
          </w:cols>
          <w:pgMar w:left="240" w:top="12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Sempra Energy:</w:t>
      </w:r>
    </w:p>
    <w:p>
      <w:pPr>
        <w:spacing w:after="0" w:line="1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SIGNATURES</w:t>
      </w:r>
    </w:p>
    <w:p>
      <w:pPr>
        <w:spacing w:after="0" w:line="19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SEMPRA ENERGY,</w:t>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19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6350</wp:posOffset>
            </wp:positionV>
            <wp:extent cx="34220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Debra L. Reed</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Date: February 28, 2012</w:t>
      </w:r>
    </w:p>
    <w:p>
      <w:pPr>
        <w:spacing w:after="0" w:line="200" w:lineRule="exact"/>
        <w:rPr>
          <w:sz w:val="20"/>
          <w:szCs w:val="20"/>
          <w:color w:val="auto"/>
        </w:rPr>
      </w:pP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Name/Title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91"/>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Debra L. Reed</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Debra L. Reed</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190" w:lineRule="exact"/>
              <w:rPr>
                <w:sz w:val="20"/>
                <w:szCs w:val="20"/>
                <w:color w:val="auto"/>
              </w:rPr>
            </w:pPr>
            <w:r>
              <w:rPr>
                <w:rFonts w:ascii="Arial" w:cs="Arial" w:eastAsia="Arial" w:hAnsi="Arial"/>
                <w:sz w:val="18"/>
                <w:szCs w:val="18"/>
                <w:color w:val="auto"/>
              </w:rPr>
              <w:t>Chief Executive Officer</w:t>
            </w:r>
          </w:p>
        </w:tc>
        <w:tc>
          <w:tcPr>
            <w:tcW w:w="4120" w:type="dxa"/>
            <w:vAlign w:val="bottom"/>
            <w:tcBorders>
              <w:bottom w:val="single" w:sz="8" w:color="auto"/>
            </w:tcBorders>
            <w:vMerge w:val="continue"/>
          </w:tcPr>
          <w:p>
            <w:pPr>
              <w:spacing w:after="0"/>
              <w:rPr>
                <w:sz w:val="17"/>
                <w:szCs w:val="17"/>
                <w:color w:val="auto"/>
              </w:rPr>
            </w:pPr>
          </w:p>
        </w:tc>
        <w:tc>
          <w:tcPr>
            <w:tcW w:w="2900" w:type="dxa"/>
            <w:vAlign w:val="bottom"/>
          </w:tcPr>
          <w:p>
            <w:pPr>
              <w:spacing w:after="0" w:line="190" w:lineRule="exact"/>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431"/>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Joseph A. Householder</w:t>
            </w:r>
          </w:p>
        </w:tc>
        <w:tc>
          <w:tcPr>
            <w:tcW w:w="4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w w:val="93"/>
              </w:rPr>
              <w:t>Executive Vice President, Chief Financial Officer and Chief</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Joseph A. Householder</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190" w:lineRule="exact"/>
              <w:rPr>
                <w:sz w:val="20"/>
                <w:szCs w:val="20"/>
                <w:color w:val="auto"/>
              </w:rPr>
            </w:pPr>
            <w:r>
              <w:rPr>
                <w:rFonts w:ascii="Arial" w:cs="Arial" w:eastAsia="Arial" w:hAnsi="Arial"/>
                <w:sz w:val="18"/>
                <w:szCs w:val="18"/>
                <w:color w:val="auto"/>
              </w:rPr>
              <w:t>Accounting Officer</w:t>
            </w:r>
          </w:p>
        </w:tc>
        <w:tc>
          <w:tcPr>
            <w:tcW w:w="4120" w:type="dxa"/>
            <w:vAlign w:val="bottom"/>
            <w:tcBorders>
              <w:bottom w:val="single" w:sz="8" w:color="auto"/>
            </w:tcBorders>
            <w:vMerge w:val="continue"/>
          </w:tcPr>
          <w:p>
            <w:pPr>
              <w:spacing w:after="0"/>
              <w:rPr>
                <w:sz w:val="17"/>
                <w:szCs w:val="17"/>
                <w:color w:val="auto"/>
              </w:rPr>
            </w:pPr>
          </w:p>
        </w:tc>
        <w:tc>
          <w:tcPr>
            <w:tcW w:w="2900" w:type="dxa"/>
            <w:vAlign w:val="bottom"/>
          </w:tcPr>
          <w:p>
            <w:pPr>
              <w:spacing w:after="0" w:line="190" w:lineRule="exact"/>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Donald E. Felsinger</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190" w:lineRule="exact"/>
              <w:rPr>
                <w:sz w:val="20"/>
                <w:szCs w:val="20"/>
                <w:color w:val="auto"/>
              </w:rPr>
            </w:pPr>
            <w:r>
              <w:rPr>
                <w:rFonts w:ascii="Arial" w:cs="Arial" w:eastAsia="Arial" w:hAnsi="Arial"/>
                <w:sz w:val="18"/>
                <w:szCs w:val="18"/>
                <w:color w:val="auto"/>
              </w:rPr>
              <w:t>Donald E. Felsinger, Executive Chairman</w:t>
            </w:r>
          </w:p>
        </w:tc>
        <w:tc>
          <w:tcPr>
            <w:tcW w:w="4120" w:type="dxa"/>
            <w:vAlign w:val="bottom"/>
            <w:tcBorders>
              <w:bottom w:val="single" w:sz="8" w:color="auto"/>
            </w:tcBorders>
            <w:vMerge w:val="continue"/>
          </w:tcPr>
          <w:p>
            <w:pPr>
              <w:spacing w:after="0"/>
              <w:rPr>
                <w:sz w:val="17"/>
                <w:szCs w:val="17"/>
                <w:color w:val="auto"/>
              </w:rPr>
            </w:pPr>
          </w:p>
        </w:tc>
        <w:tc>
          <w:tcPr>
            <w:tcW w:w="2900" w:type="dxa"/>
            <w:vAlign w:val="bottom"/>
          </w:tcPr>
          <w:p>
            <w:pPr>
              <w:spacing w:after="0" w:line="190" w:lineRule="exact"/>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Alan L. Boeckmann,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Boeckmann</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James G. Brocksmith, Jr.,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 Brocksmith, Jr.</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Wilford D. Godbold, Jr.,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Wilford D. Godbold, Jr.</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William D. Jones,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D. Jones</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William G. Ouchi, Ph.D.,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Ouchi</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Carlos Ruiz,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Ruiz</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William C. Rusnack,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Rusnack</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William P. Rutledge,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Rutledge</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Lynn Schenk,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Schenk</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Luis M. Téllez, Ph.D.,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M. Téllez</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1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SIGNATURES</w:t>
      </w:r>
    </w:p>
    <w:p>
      <w:pPr>
        <w:spacing w:after="0" w:line="19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SAN DIEGO GAS &amp; ELECTRIC COMPANY,</w:t>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513" w:right="239" w:bottom="0" w:gutter="0" w:footer="0" w:header="0"/>
        </w:sectPr>
      </w:pPr>
    </w:p>
    <w:bookmarkStart w:id="35" w:name="page36"/>
    <w:bookmarkEnd w:id="35"/>
    <w:p>
      <w:pPr>
        <w:ind w:left="5360"/>
        <w:spacing w:after="0"/>
        <w:rPr>
          <w:sz w:val="20"/>
          <w:szCs w:val="20"/>
          <w:color w:val="auto"/>
        </w:rPr>
      </w:pPr>
      <w:r>
        <w:rPr>
          <w:rFonts w:ascii="Arial" w:cs="Arial" w:eastAsia="Arial" w:hAnsi="Arial"/>
          <w:sz w:val="18"/>
          <w:szCs w:val="18"/>
          <w:color w:val="auto"/>
        </w:rPr>
        <w:t>By: /s/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6350</wp:posOffset>
            </wp:positionV>
            <wp:extent cx="38506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50640" cy="1714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Jessie J. Knight, Jr.</w:t>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Chairman and Chief Executive Officer</w:t>
      </w:r>
    </w:p>
    <w:p>
      <w:pPr>
        <w:spacing w:after="0" w:line="20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February 28, 2012</w:t>
      </w:r>
    </w:p>
    <w:p>
      <w:pPr>
        <w:spacing w:after="0" w:line="3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5" w:lineRule="exact"/>
        <w:rPr>
          <w:sz w:val="20"/>
          <w:szCs w:val="20"/>
          <w:color w:val="auto"/>
        </w:rPr>
      </w:pPr>
    </w:p>
    <w:p>
      <w:pPr>
        <w:spacing w:after="0"/>
        <w:tabs>
          <w:tab w:leader="none" w:pos="4380" w:val="left"/>
          <w:tab w:leader="none" w:pos="8500" w:val="left"/>
        </w:tabs>
        <w:rPr>
          <w:sz w:val="20"/>
          <w:szCs w:val="20"/>
          <w:color w:val="auto"/>
        </w:rPr>
      </w:pPr>
      <w:r>
        <w:rPr>
          <w:rFonts w:ascii="Arial" w:cs="Arial" w:eastAsia="Arial" w:hAnsi="Arial"/>
          <w:sz w:val="18"/>
          <w:szCs w:val="18"/>
          <w:b w:val="1"/>
          <w:bCs w:val="1"/>
          <w:color w:val="auto"/>
        </w:rPr>
        <w:t>Name/Title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9"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Jessie J. Knight, Jr.</w:t>
      </w:r>
    </w:p>
    <w:p>
      <w:pPr>
        <w:spacing w:after="0"/>
        <w:rPr>
          <w:sz w:val="20"/>
          <w:szCs w:val="20"/>
          <w:color w:val="auto"/>
        </w:rPr>
      </w:pPr>
      <w:r>
        <w:rPr>
          <w:rFonts w:ascii="Arial" w:cs="Arial" w:eastAsia="Arial" w:hAnsi="Arial"/>
          <w:sz w:val="18"/>
          <w:szCs w:val="18"/>
          <w:color w:val="auto"/>
        </w:rPr>
        <w:t>Chairman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Robert M. Schlax</w:t>
      </w:r>
    </w:p>
    <w:p>
      <w:pPr>
        <w:spacing w:after="0" w:line="243" w:lineRule="auto"/>
        <w:rPr>
          <w:sz w:val="20"/>
          <w:szCs w:val="20"/>
          <w:color w:val="auto"/>
        </w:rPr>
      </w:pPr>
      <w:r>
        <w:rPr>
          <w:rFonts w:ascii="Arial" w:cs="Arial" w:eastAsia="Arial" w:hAnsi="Arial"/>
          <w:sz w:val="18"/>
          <w:szCs w:val="18"/>
          <w:color w:val="auto"/>
        </w:rPr>
        <w:t>Vice President, Controller, Chief Financial Officer and Chief Accounting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Jessie J. Knight, Jr.,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2615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2615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2615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2012</w:t>
      </w:r>
    </w:p>
    <w:p>
      <w:pPr>
        <w:spacing w:after="0" w:line="223" w:lineRule="exact"/>
        <w:rPr>
          <w:sz w:val="20"/>
          <w:szCs w:val="20"/>
          <w:color w:val="auto"/>
        </w:rPr>
      </w:pPr>
    </w:p>
    <w:p>
      <w:pPr>
        <w:sectPr>
          <w:pgSz w:w="11900" w:h="16838" w:orient="portrait"/>
          <w:cols w:equalWidth="0" w:num="3">
            <w:col w:w="4400" w:space="0"/>
            <w:col w:w="3400" w:space="720"/>
            <w:col w:w="2900"/>
          </w:cols>
          <w:pgMar w:left="240" w:top="125" w:right="239" w:bottom="9" w:gutter="0" w:footer="0" w:header="0"/>
          <w:type w:val="continuous"/>
        </w:sect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Javade Chaudhri,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Javade Chaudhri</w:t>
            </w:r>
          </w:p>
        </w:tc>
        <w:tc>
          <w:tcPr>
            <w:tcW w:w="1320" w:type="dxa"/>
            <w:vAlign w:val="bottom"/>
          </w:tcPr>
          <w:p>
            <w:pPr>
              <w:spacing w:after="0"/>
              <w:rPr>
                <w:sz w:val="20"/>
                <w:szCs w:val="20"/>
                <w:color w:val="auto"/>
              </w:rPr>
            </w:pPr>
            <w:r>
              <w:rPr>
                <w:rFonts w:ascii="Arial" w:cs="Arial" w:eastAsia="Arial" w:hAnsi="Arial"/>
                <w:sz w:val="18"/>
                <w:szCs w:val="18"/>
                <w:color w:val="auto"/>
                <w:w w:val="88"/>
              </w:rPr>
              <w:t>February 28, 2012</w:t>
            </w: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Joseph A. Householder,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Householder</w:t>
            </w:r>
          </w:p>
        </w:tc>
        <w:tc>
          <w:tcPr>
            <w:tcW w:w="1320" w:type="dxa"/>
            <w:vAlign w:val="bottom"/>
          </w:tcPr>
          <w:p>
            <w:pPr>
              <w:spacing w:after="0"/>
              <w:rPr>
                <w:sz w:val="20"/>
                <w:szCs w:val="20"/>
                <w:color w:val="auto"/>
              </w:rPr>
            </w:pPr>
            <w:r>
              <w:rPr>
                <w:rFonts w:ascii="Arial" w:cs="Arial" w:eastAsia="Arial" w:hAnsi="Arial"/>
                <w:sz w:val="18"/>
                <w:szCs w:val="18"/>
                <w:color w:val="auto"/>
                <w:w w:val="88"/>
              </w:rPr>
              <w:t>February 28, 2012</w:t>
            </w: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Steven D. Davis,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Davis</w:t>
            </w:r>
          </w:p>
        </w:tc>
        <w:tc>
          <w:tcPr>
            <w:tcW w:w="1320" w:type="dxa"/>
            <w:vAlign w:val="bottom"/>
          </w:tcPr>
          <w:p>
            <w:pPr>
              <w:spacing w:after="0"/>
              <w:rPr>
                <w:sz w:val="20"/>
                <w:szCs w:val="20"/>
                <w:color w:val="auto"/>
              </w:rPr>
            </w:pPr>
            <w:r>
              <w:rPr>
                <w:rFonts w:ascii="Arial" w:cs="Arial" w:eastAsia="Arial" w:hAnsi="Arial"/>
                <w:sz w:val="18"/>
                <w:szCs w:val="18"/>
                <w:color w:val="auto"/>
                <w:w w:val="88"/>
              </w:rPr>
              <w:t>February 28, 2012</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1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SIGNATURES</w:t>
      </w:r>
    </w:p>
    <w:p>
      <w:pPr>
        <w:spacing w:after="0" w:line="19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SOUTHERN CALIFORNIA GAS COMPANY,</w:t>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(Registrant)</w:t>
      </w:r>
    </w:p>
    <w:p>
      <w:pPr>
        <w:spacing w:after="0" w:line="19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6350</wp:posOffset>
            </wp:positionV>
            <wp:extent cx="38417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41750" cy="1714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Michael W. Allman</w:t>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Chairman, President and Chief Executive Officer</w:t>
      </w:r>
    </w:p>
    <w:p>
      <w:pPr>
        <w:spacing w:after="0" w:line="20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February 28, 2012</w:t>
      </w:r>
    </w:p>
    <w:p>
      <w:pPr>
        <w:spacing w:after="0" w:line="3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Name/Title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Michael W. Allman</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Michael W. Allman</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190" w:lineRule="exact"/>
              <w:rPr>
                <w:sz w:val="20"/>
                <w:szCs w:val="20"/>
                <w:color w:val="auto"/>
              </w:rPr>
            </w:pPr>
            <w:r>
              <w:rPr>
                <w:rFonts w:ascii="Arial" w:cs="Arial" w:eastAsia="Arial" w:hAnsi="Arial"/>
                <w:sz w:val="18"/>
                <w:szCs w:val="18"/>
                <w:color w:val="auto"/>
              </w:rPr>
              <w:t>Chairman, President and Chief Executive Officer</w:t>
            </w:r>
          </w:p>
        </w:tc>
        <w:tc>
          <w:tcPr>
            <w:tcW w:w="4120" w:type="dxa"/>
            <w:vAlign w:val="bottom"/>
            <w:tcBorders>
              <w:bottom w:val="single" w:sz="8" w:color="auto"/>
            </w:tcBorders>
            <w:vMerge w:val="continue"/>
          </w:tcPr>
          <w:p>
            <w:pPr>
              <w:spacing w:after="0"/>
              <w:rPr>
                <w:sz w:val="17"/>
                <w:szCs w:val="17"/>
                <w:color w:val="auto"/>
              </w:rPr>
            </w:pPr>
          </w:p>
        </w:tc>
        <w:tc>
          <w:tcPr>
            <w:tcW w:w="2900" w:type="dxa"/>
            <w:vAlign w:val="bottom"/>
          </w:tcPr>
          <w:p>
            <w:pPr>
              <w:spacing w:after="0" w:line="190" w:lineRule="exact"/>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431"/>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Robert M. Schlax</w:t>
            </w:r>
          </w:p>
        </w:tc>
        <w:tc>
          <w:tcPr>
            <w:tcW w:w="4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w w:val="92"/>
              </w:rPr>
              <w:t>Vice President, Controller, Chief Financial Officer and Chief</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Robert M. Schlax</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190" w:lineRule="exact"/>
              <w:rPr>
                <w:sz w:val="20"/>
                <w:szCs w:val="20"/>
                <w:color w:val="auto"/>
              </w:rPr>
            </w:pPr>
            <w:r>
              <w:rPr>
                <w:rFonts w:ascii="Arial" w:cs="Arial" w:eastAsia="Arial" w:hAnsi="Arial"/>
                <w:sz w:val="18"/>
                <w:szCs w:val="18"/>
                <w:color w:val="auto"/>
              </w:rPr>
              <w:t>Accounting Officer</w:t>
            </w:r>
          </w:p>
        </w:tc>
        <w:tc>
          <w:tcPr>
            <w:tcW w:w="4120" w:type="dxa"/>
            <w:vAlign w:val="bottom"/>
            <w:tcBorders>
              <w:bottom w:val="single" w:sz="8" w:color="auto"/>
            </w:tcBorders>
            <w:vMerge w:val="continue"/>
          </w:tcPr>
          <w:p>
            <w:pPr>
              <w:spacing w:after="0"/>
              <w:rPr>
                <w:sz w:val="17"/>
                <w:szCs w:val="17"/>
                <w:color w:val="auto"/>
              </w:rPr>
            </w:pPr>
          </w:p>
        </w:tc>
        <w:tc>
          <w:tcPr>
            <w:tcW w:w="2900" w:type="dxa"/>
            <w:vAlign w:val="bottom"/>
          </w:tcPr>
          <w:p>
            <w:pPr>
              <w:spacing w:after="0" w:line="190" w:lineRule="exact"/>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Michael W. Allman</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190" w:lineRule="exact"/>
              <w:rPr>
                <w:sz w:val="20"/>
                <w:szCs w:val="20"/>
                <w:color w:val="auto"/>
              </w:rPr>
            </w:pPr>
            <w:r>
              <w:rPr>
                <w:rFonts w:ascii="Arial" w:cs="Arial" w:eastAsia="Arial" w:hAnsi="Arial"/>
                <w:sz w:val="18"/>
                <w:szCs w:val="18"/>
                <w:color w:val="auto"/>
              </w:rPr>
              <w:t>Michael W. Allman, Chairman</w:t>
            </w:r>
          </w:p>
        </w:tc>
        <w:tc>
          <w:tcPr>
            <w:tcW w:w="4120" w:type="dxa"/>
            <w:vAlign w:val="bottom"/>
            <w:tcBorders>
              <w:bottom w:val="single" w:sz="8" w:color="auto"/>
            </w:tcBorders>
            <w:vMerge w:val="continue"/>
          </w:tcPr>
          <w:p>
            <w:pPr>
              <w:spacing w:after="0"/>
              <w:rPr>
                <w:sz w:val="17"/>
                <w:szCs w:val="17"/>
                <w:color w:val="auto"/>
              </w:rPr>
            </w:pPr>
          </w:p>
        </w:tc>
        <w:tc>
          <w:tcPr>
            <w:tcW w:w="2900" w:type="dxa"/>
            <w:vAlign w:val="bottom"/>
          </w:tcPr>
          <w:p>
            <w:pPr>
              <w:spacing w:after="0" w:line="190" w:lineRule="exact"/>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2"/>
        </w:trPr>
        <w:tc>
          <w:tcPr>
            <w:tcW w:w="4400" w:type="dxa"/>
            <w:vAlign w:val="bottom"/>
          </w:tcPr>
          <w:p>
            <w:pPr>
              <w:spacing w:after="0"/>
              <w:rPr>
                <w:sz w:val="20"/>
                <w:szCs w:val="20"/>
                <w:color w:val="auto"/>
              </w:rPr>
            </w:pPr>
            <w:r>
              <w:rPr>
                <w:rFonts w:ascii="Arial" w:cs="Arial" w:eastAsia="Arial" w:hAnsi="Arial"/>
                <w:sz w:val="18"/>
                <w:szCs w:val="18"/>
                <w:color w:val="auto"/>
              </w:rPr>
              <w:t>Javade Chaudhri,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Javade Chaudhri</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48"/>
        </w:trPr>
        <w:tc>
          <w:tcPr>
            <w:tcW w:w="4400" w:type="dxa"/>
            <w:vAlign w:val="bottom"/>
          </w:tcPr>
          <w:p>
            <w:pPr>
              <w:spacing w:after="0"/>
              <w:rPr>
                <w:sz w:val="20"/>
                <w:szCs w:val="20"/>
                <w:color w:val="auto"/>
              </w:rPr>
            </w:pPr>
            <w:r>
              <w:rPr>
                <w:rFonts w:ascii="Arial" w:cs="Arial" w:eastAsia="Arial" w:hAnsi="Arial"/>
                <w:sz w:val="18"/>
                <w:szCs w:val="18"/>
                <w:color w:val="auto"/>
              </w:rPr>
              <w:t>Joseph A. Householder, Director</w:t>
            </w:r>
          </w:p>
        </w:tc>
        <w:tc>
          <w:tcPr>
            <w:tcW w:w="4120" w:type="dxa"/>
            <w:vAlign w:val="bottom"/>
          </w:tcPr>
          <w:p>
            <w:pPr>
              <w:spacing w:after="0"/>
              <w:rPr>
                <w:sz w:val="20"/>
                <w:szCs w:val="20"/>
                <w:color w:val="auto"/>
              </w:rPr>
            </w:pPr>
            <w:r>
              <w:rPr>
                <w:rFonts w:ascii="Arial" w:cs="Arial" w:eastAsia="Arial" w:hAnsi="Arial"/>
                <w:sz w:val="18"/>
                <w:szCs w:val="18"/>
                <w:color w:val="auto"/>
              </w:rPr>
              <w:t>/s/ Joseph A. Householder</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628"/>
        </w:trPr>
        <w:tc>
          <w:tcPr>
            <w:tcW w:w="4400" w:type="dxa"/>
            <w:vAlign w:val="bottom"/>
          </w:tcPr>
          <w:p>
            <w:pPr>
              <w:spacing w:after="0"/>
              <w:rPr>
                <w:sz w:val="20"/>
                <w:szCs w:val="20"/>
                <w:color w:val="auto"/>
              </w:rPr>
            </w:pPr>
            <w:r>
              <w:rPr>
                <w:rFonts w:ascii="Arial" w:cs="Arial" w:eastAsia="Arial" w:hAnsi="Arial"/>
                <w:sz w:val="18"/>
                <w:szCs w:val="18"/>
                <w:color w:val="auto"/>
              </w:rPr>
              <w:t>Steven D. Davis,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Davis</w:t>
            </w:r>
          </w:p>
        </w:tc>
        <w:tc>
          <w:tcPr>
            <w:tcW w:w="2900" w:type="dxa"/>
            <w:vAlign w:val="bottom"/>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9" w:gutter="0" w:footer="0" w:header="0"/>
          <w:type w:val="continuous"/>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EXHIBIT INDEX</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exhibits filed under the Registration Statements, Proxy Statements and Forms 8-K, 10-K and 10-Q that are incorporated herein by reference were filed under Commission File Number 1-14201 (Sempra Energy), Commission File Number 1-40 (Pacific Lighting Corporation), Commission File Number 1-3779 (San Diego Gas &amp; Electric Company) and/or Commission File Number 1-1402 (Southern California Gas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3 -- BYLAWS AND ARTICLES OF INCORPORATION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1500" w:right="280" w:hanging="314"/>
        <w:spacing w:after="0" w:line="262" w:lineRule="auto"/>
        <w:rPr>
          <w:sz w:val="20"/>
          <w:szCs w:val="20"/>
          <w:color w:val="auto"/>
        </w:rPr>
      </w:pPr>
      <w:r>
        <w:rPr>
          <w:rFonts w:ascii="Arial" w:cs="Arial" w:eastAsia="Arial" w:hAnsi="Arial"/>
          <w:sz w:val="18"/>
          <w:szCs w:val="18"/>
          <w:color w:val="auto"/>
        </w:rPr>
        <w:t>3.1 Amended and Restated Articles of Incorporation of Sempra Energy effective May 23, 2008 (Appendix B to the 2008 Sempra Energy Definitive Proxy Statement, filed on April 15, 2008).</w:t>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3.2 Amended Bylaws of Sempra Energy effective December 4, 2007 (Sempra Energy Form 8-K filed on December 5, 2007, Exhibit 3(ii)).</w:t>
      </w:r>
    </w:p>
    <w:p>
      <w:pPr>
        <w:spacing w:after="0" w:line="235" w:lineRule="exact"/>
        <w:rPr>
          <w:sz w:val="20"/>
          <w:szCs w:val="20"/>
          <w:color w:val="auto"/>
        </w:rPr>
      </w:pPr>
    </w:p>
    <w:p>
      <w:pPr>
        <w:ind w:left="1500" w:right="660" w:hanging="314"/>
        <w:spacing w:after="0" w:line="262" w:lineRule="auto"/>
        <w:rPr>
          <w:sz w:val="20"/>
          <w:szCs w:val="20"/>
          <w:color w:val="auto"/>
        </w:rPr>
      </w:pPr>
      <w:r>
        <w:rPr>
          <w:rFonts w:ascii="Arial" w:cs="Arial" w:eastAsia="Arial" w:hAnsi="Arial"/>
          <w:sz w:val="18"/>
          <w:szCs w:val="18"/>
          <w:color w:val="auto"/>
        </w:rPr>
        <w:t>3.3 Amended and Restated Bylaws of Sempra Energy effective May 26, 1998 (Registration Statement on Form S-8 Sempra Energy Registration Statement No. 333-56161 dated June 5, 1998, Exhibit 3.2).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3.4 Amended and Restated Bylaws of San Diego Gas &amp; Electric effective June 15, 2010 (Form 8-K filed on June 17, 2010, Exhibit 3).</w:t>
      </w:r>
    </w:p>
    <w:p>
      <w:pPr>
        <w:spacing w:after="0" w:line="223" w:lineRule="exact"/>
        <w:rPr>
          <w:sz w:val="20"/>
          <w:szCs w:val="20"/>
          <w:color w:val="auto"/>
        </w:rPr>
      </w:pPr>
    </w:p>
    <w:p>
      <w:pPr>
        <w:ind w:left="1500" w:right="220" w:hanging="314"/>
        <w:spacing w:after="0" w:line="262" w:lineRule="auto"/>
        <w:rPr>
          <w:sz w:val="20"/>
          <w:szCs w:val="20"/>
          <w:color w:val="auto"/>
        </w:rPr>
      </w:pPr>
      <w:r>
        <w:rPr>
          <w:rFonts w:ascii="Arial" w:cs="Arial" w:eastAsia="Arial" w:hAnsi="Arial"/>
          <w:sz w:val="18"/>
          <w:szCs w:val="18"/>
          <w:color w:val="auto"/>
        </w:rPr>
        <w:t>3.5 Amended and Restated Articles of Incorporation of San Diego Gas &amp; Electric Company effective November 10, 2006 (2006 SDG&amp;E Form 10-K, Exhibit 3.02).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3.6 Amended and Restated Bylaws of Southern California Gas Company effective June 14, 2010 (Form 8-K filed on June 17, 2010, Exhibit</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3.7 Restated Articles of Incorporation of Southern California Gas Company (1996 SoCalGas Form 10-K, Exhibit 3.01).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4 -- INSTRUMENTS DEFINING THE RIGHTS OF SECURITY HOLDERS, INCLUDING INDENTURES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companies agree to furnish a copy of each such instrument to the Commission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1500" w:right="200" w:hanging="314"/>
        <w:spacing w:after="0" w:line="262" w:lineRule="auto"/>
        <w:rPr>
          <w:sz w:val="20"/>
          <w:szCs w:val="20"/>
          <w:color w:val="auto"/>
        </w:rPr>
      </w:pPr>
      <w:r>
        <w:rPr>
          <w:rFonts w:ascii="Arial" w:cs="Arial" w:eastAsia="Arial" w:hAnsi="Arial"/>
          <w:sz w:val="18"/>
          <w:szCs w:val="18"/>
          <w:color w:val="auto"/>
        </w:rPr>
        <w:t>4.1 Description of rights of Sempra Energy Common Stock (Amended and Restated Articles of Incorporation of Sempra Energy effective May 23, 2008, Exhibit 3.1 above).</w:t>
      </w:r>
    </w:p>
    <w:p>
      <w:pPr>
        <w:spacing w:after="0" w:line="169" w:lineRule="exact"/>
        <w:rPr>
          <w:sz w:val="20"/>
          <w:szCs w:val="20"/>
          <w:color w:val="auto"/>
        </w:rPr>
      </w:pPr>
    </w:p>
    <w:p>
      <w:pPr>
        <w:ind w:left="1500" w:hanging="314"/>
        <w:spacing w:after="0" w:line="262" w:lineRule="auto"/>
        <w:rPr>
          <w:sz w:val="20"/>
          <w:szCs w:val="20"/>
          <w:color w:val="auto"/>
        </w:rPr>
      </w:pPr>
      <w:r>
        <w:rPr>
          <w:rFonts w:ascii="Arial" w:cs="Arial" w:eastAsia="Arial" w:hAnsi="Arial"/>
          <w:sz w:val="18"/>
          <w:szCs w:val="18"/>
          <w:color w:val="auto"/>
        </w:rPr>
        <w:t>4.2 Indenture dated as of February 23, 2000, between Sempra Energy and U.S. Bank Trust National Association, as Trustee (Sempra Energy Registration Statement on Form S-3 (No. 333-153425), filed on September 11, 2008, Exhibit 4.1).</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5" w:lineRule="exact"/>
        <w:rPr>
          <w:sz w:val="20"/>
          <w:szCs w:val="20"/>
          <w:color w:val="auto"/>
        </w:rPr>
      </w:pPr>
    </w:p>
    <w:p>
      <w:pPr>
        <w:ind w:left="1500" w:right="600" w:hanging="314"/>
        <w:spacing w:after="0" w:line="262" w:lineRule="auto"/>
        <w:rPr>
          <w:sz w:val="20"/>
          <w:szCs w:val="20"/>
          <w:color w:val="auto"/>
        </w:rPr>
      </w:pPr>
      <w:r>
        <w:rPr>
          <w:rFonts w:ascii="Arial" w:cs="Arial" w:eastAsia="Arial" w:hAnsi="Arial"/>
          <w:sz w:val="18"/>
          <w:szCs w:val="18"/>
          <w:color w:val="auto"/>
        </w:rPr>
        <w:t>4.3 Description of preferences of Cumulative Preferred Stock, Preference Stock (Cumulative) and Series Preference Stock (SDG&amp;E Amended and Restated Articles of Incorporation as of November 10, 2006, Exhibit 3.5 above).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5" w:lineRule="exact"/>
        <w:rPr>
          <w:sz w:val="20"/>
          <w:szCs w:val="20"/>
          <w:color w:val="auto"/>
        </w:rPr>
      </w:pPr>
    </w:p>
    <w:p>
      <w:pPr>
        <w:ind w:left="1500" w:right="40" w:hanging="314"/>
        <w:spacing w:after="0" w:line="262" w:lineRule="auto"/>
        <w:rPr>
          <w:sz w:val="20"/>
          <w:szCs w:val="20"/>
          <w:color w:val="auto"/>
        </w:rPr>
      </w:pPr>
      <w:r>
        <w:rPr>
          <w:rFonts w:ascii="Arial" w:cs="Arial" w:eastAsia="Arial" w:hAnsi="Arial"/>
          <w:sz w:val="18"/>
          <w:szCs w:val="18"/>
          <w:color w:val="auto"/>
        </w:rPr>
        <w:t>4.4 Description of preferences of Preferred Stock, Preference Stock and Series Preferred Stock (Southern California Gas Company Restated Articles of Incorporation, Exhibit 3.7 above).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San Diego Gas &amp; Electric Company</w:t>
      </w: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4.5 Mortgage and Deed of Trust dated July 1, 1940 (SDG&amp;E Registration Statement No. 2-49810, Exhibit 2A).</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4.6 Ninth Supplemental Indenture dated as of August 1, 1968 (SDG&amp;E Registration Statement No. 2-68420, Exhibit 2D).</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4.7 Sixteenth Supplemental Indenture dated August 28, 1975 (SDG&amp;E Registration Statement No. 2-68420, Exhibit 2E).</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4.8 Thirtieth Supplemental Indenture dated September 28, 1983 (SDG&amp;E Registration Statement No. 33-34017, Exhibit 4.3).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Southern California Gas Company</w:t>
      </w:r>
    </w:p>
    <w:p>
      <w:pPr>
        <w:spacing w:after="0" w:line="205" w:lineRule="exact"/>
        <w:rPr>
          <w:sz w:val="20"/>
          <w:szCs w:val="20"/>
          <w:color w:val="auto"/>
        </w:rPr>
      </w:pPr>
    </w:p>
    <w:p>
      <w:pPr>
        <w:ind w:left="1500" w:right="560" w:hanging="314"/>
        <w:spacing w:after="0" w:line="262" w:lineRule="auto"/>
        <w:rPr>
          <w:sz w:val="20"/>
          <w:szCs w:val="20"/>
          <w:color w:val="auto"/>
        </w:rPr>
      </w:pPr>
      <w:r>
        <w:rPr>
          <w:rFonts w:ascii="Arial" w:cs="Arial" w:eastAsia="Arial" w:hAnsi="Arial"/>
          <w:sz w:val="18"/>
          <w:szCs w:val="18"/>
          <w:color w:val="auto"/>
        </w:rPr>
        <w:t>4.9 First Mortgage Indenture of Southern California Gas Company to American Trust Company dated October 1, 1940 (Registration Statement No. 2-4504 filed by Southern California Gas Company on September 16, 1940, Exhibit B-4).</w:t>
      </w:r>
    </w:p>
    <w:p>
      <w:pPr>
        <w:spacing w:after="0" w:line="169" w:lineRule="exact"/>
        <w:rPr>
          <w:sz w:val="20"/>
          <w:szCs w:val="20"/>
          <w:color w:val="auto"/>
        </w:rPr>
      </w:pPr>
    </w:p>
    <w:p>
      <w:pPr>
        <w:ind w:left="1500" w:right="320" w:hanging="404"/>
        <w:spacing w:after="0" w:line="262" w:lineRule="auto"/>
        <w:rPr>
          <w:sz w:val="20"/>
          <w:szCs w:val="20"/>
          <w:color w:val="auto"/>
        </w:rPr>
      </w:pPr>
      <w:r>
        <w:rPr>
          <w:rFonts w:ascii="Arial" w:cs="Arial" w:eastAsia="Arial" w:hAnsi="Arial"/>
          <w:sz w:val="18"/>
          <w:szCs w:val="18"/>
          <w:color w:val="auto"/>
        </w:rPr>
        <w:t>4.10 Supplemental Indenture of Southern California Gas Company to American Trust Company dated as of August 1, 1955 (Registration Statement No. 2-11997 filed by Pacific Lighting Corporation on October 26, 1955, Exhibit 4.07).</w:t>
      </w:r>
    </w:p>
    <w:p>
      <w:pPr>
        <w:spacing w:after="0" w:line="169" w:lineRule="exact"/>
        <w:rPr>
          <w:sz w:val="20"/>
          <w:szCs w:val="20"/>
          <w:color w:val="auto"/>
        </w:rPr>
      </w:pPr>
    </w:p>
    <w:p>
      <w:pPr>
        <w:ind w:left="1500" w:right="520" w:hanging="397"/>
        <w:spacing w:after="0" w:line="262" w:lineRule="auto"/>
        <w:rPr>
          <w:sz w:val="20"/>
          <w:szCs w:val="20"/>
          <w:color w:val="auto"/>
        </w:rPr>
      </w:pPr>
      <w:r>
        <w:rPr>
          <w:rFonts w:ascii="Arial" w:cs="Arial" w:eastAsia="Arial" w:hAnsi="Arial"/>
          <w:sz w:val="18"/>
          <w:szCs w:val="18"/>
          <w:color w:val="auto"/>
        </w:rPr>
        <w:t>4.11 Supplemental Indenture of Southern California Gas Company to American Trust Company dated as of June 1, 1956 (Registration Statement No. 2-12456 filed by Southern California Gas Company on April 23, 1956, Exhibit 2.08).</w:t>
      </w:r>
    </w:p>
    <w:p>
      <w:pPr>
        <w:sectPr>
          <w:pgSz w:w="11900" w:h="16838" w:orient="portrait"/>
          <w:cols w:equalWidth="0" w:num="1">
            <w:col w:w="11340"/>
          </w:cols>
          <w:pgMar w:left="240" w:top="528" w:right="319" w:bottom="0" w:gutter="0" w:footer="0" w:header="0"/>
        </w:sectPr>
      </w:pPr>
    </w:p>
    <w:bookmarkStart w:id="38" w:name="page39"/>
    <w:bookmarkEnd w:id="38"/>
    <w:p>
      <w:pPr>
        <w:ind w:left="1500" w:right="100" w:hanging="404"/>
        <w:spacing w:after="0" w:line="262" w:lineRule="auto"/>
        <w:rPr>
          <w:sz w:val="20"/>
          <w:szCs w:val="20"/>
          <w:color w:val="auto"/>
        </w:rPr>
      </w:pPr>
      <w:r>
        <w:rPr>
          <w:rFonts w:ascii="Arial" w:cs="Arial" w:eastAsia="Arial" w:hAnsi="Arial"/>
          <w:sz w:val="18"/>
          <w:szCs w:val="18"/>
          <w:color w:val="auto"/>
        </w:rPr>
        <w:t>4.12 Supplemental Indenture of Southern California Gas Company to American Trust Company dated as of December 1, 1956 (2006 Sempra Energy Form 10-K, Exhibit 4.09).</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4.13 Supplemental Indenture of Southern California Gas Company to Wells Fargo Bank dated as of June 1, 1965 (2006 Sempra Energy Form</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10-K, Exhibit 4.10).</w:t>
      </w:r>
    </w:p>
    <w:p>
      <w:pPr>
        <w:spacing w:after="0" w:line="196" w:lineRule="exact"/>
        <w:rPr>
          <w:sz w:val="20"/>
          <w:szCs w:val="20"/>
          <w:color w:val="auto"/>
        </w:rPr>
      </w:pPr>
    </w:p>
    <w:p>
      <w:pPr>
        <w:ind w:left="1500" w:right="340" w:hanging="404"/>
        <w:spacing w:after="0" w:line="291" w:lineRule="auto"/>
        <w:rPr>
          <w:sz w:val="20"/>
          <w:szCs w:val="20"/>
          <w:color w:val="auto"/>
        </w:rPr>
      </w:pPr>
      <w:r>
        <w:rPr>
          <w:rFonts w:ascii="Arial" w:cs="Arial" w:eastAsia="Arial" w:hAnsi="Arial"/>
          <w:sz w:val="17"/>
          <w:szCs w:val="17"/>
          <w:color w:val="auto"/>
        </w:rPr>
        <w:t>4.14 Supplemental Indenture of Southern California Gas Company to Wells Fargo Bank, National Association dated as of August 1, 1972 (Registration Statement No. 2-59832 filed by Southern California Gas Company on September 6, 1977, Exhibit 2.19).</w:t>
      </w:r>
    </w:p>
    <w:p>
      <w:pPr>
        <w:spacing w:after="0" w:line="147" w:lineRule="exact"/>
        <w:rPr>
          <w:sz w:val="20"/>
          <w:szCs w:val="20"/>
          <w:color w:val="auto"/>
        </w:rPr>
      </w:pPr>
    </w:p>
    <w:p>
      <w:pPr>
        <w:ind w:left="1500" w:right="540" w:hanging="404"/>
        <w:spacing w:after="0" w:line="291" w:lineRule="auto"/>
        <w:rPr>
          <w:sz w:val="20"/>
          <w:szCs w:val="20"/>
          <w:color w:val="auto"/>
        </w:rPr>
      </w:pPr>
      <w:r>
        <w:rPr>
          <w:rFonts w:ascii="Arial" w:cs="Arial" w:eastAsia="Arial" w:hAnsi="Arial"/>
          <w:sz w:val="17"/>
          <w:szCs w:val="17"/>
          <w:color w:val="auto"/>
        </w:rPr>
        <w:t>4.15 Supplemental Indenture of Southern California Gas Company to Wells Fargo Bank, National Association dated as of May 1, 1976 (Registration Statement No. 2-56034 filed by Southern California Gas Company on April 14, 1976, Exhibit 2.20).</w:t>
      </w:r>
    </w:p>
    <w:p>
      <w:pPr>
        <w:spacing w:after="0" w:line="147" w:lineRule="exact"/>
        <w:rPr>
          <w:sz w:val="20"/>
          <w:szCs w:val="20"/>
          <w:color w:val="auto"/>
        </w:rPr>
      </w:pPr>
    </w:p>
    <w:p>
      <w:pPr>
        <w:ind w:left="1500" w:hanging="404"/>
        <w:spacing w:after="0" w:line="248" w:lineRule="auto"/>
        <w:rPr>
          <w:sz w:val="20"/>
          <w:szCs w:val="20"/>
          <w:color w:val="auto"/>
        </w:rPr>
      </w:pPr>
      <w:r>
        <w:rPr>
          <w:rFonts w:ascii="Arial" w:cs="Arial" w:eastAsia="Arial" w:hAnsi="Arial"/>
          <w:sz w:val="18"/>
          <w:szCs w:val="18"/>
          <w:color w:val="auto"/>
        </w:rPr>
        <w:t>4.16 Supplemental Indenture of Southern California Gas Company to Manufacturers Hanover Trust Company of California, successor to Wells Fargo Bank, National Association, and Crocker National Bank as Successor Trustee dated as of May 18, 1984 (Southern California Gas Company 1984 Form 10-K, Exhibit 4.29).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 San Diego Gas &amp; Electric Company / Southern California Gas Company</w:t>
      </w:r>
    </w:p>
    <w:p>
      <w:pPr>
        <w:spacing w:after="0" w:line="205" w:lineRule="exact"/>
        <w:rPr>
          <w:sz w:val="20"/>
          <w:szCs w:val="20"/>
          <w:color w:val="auto"/>
        </w:rPr>
      </w:pPr>
    </w:p>
    <w:p>
      <w:pPr>
        <w:ind w:left="1500" w:right="260" w:hanging="404"/>
        <w:spacing w:after="0" w:line="262" w:lineRule="auto"/>
        <w:rPr>
          <w:sz w:val="20"/>
          <w:szCs w:val="20"/>
          <w:color w:val="auto"/>
        </w:rPr>
      </w:pPr>
      <w:r>
        <w:rPr>
          <w:rFonts w:ascii="Arial" w:cs="Arial" w:eastAsia="Arial" w:hAnsi="Arial"/>
          <w:sz w:val="18"/>
          <w:szCs w:val="18"/>
          <w:color w:val="auto"/>
        </w:rPr>
        <w:t>10.1 Form of Continental Forge and California Class Action Price Reporting Settlement Agreement dated as of January 4, 2006 (Form 8-K filed on January 5, 2006, Exhibit 99.1).</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10.2 Form of Nevada Antitrust Settlement Agreement dated as of January 4, 2006 (Form 8-K filed on January 5, 2006, Exhibit 99.2).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205" w:lineRule="exact"/>
        <w:rPr>
          <w:sz w:val="20"/>
          <w:szCs w:val="20"/>
          <w:color w:val="auto"/>
        </w:rPr>
      </w:pPr>
    </w:p>
    <w:p>
      <w:pPr>
        <w:ind w:left="1500" w:right="160" w:hanging="404"/>
        <w:spacing w:after="0" w:line="262" w:lineRule="auto"/>
        <w:rPr>
          <w:sz w:val="20"/>
          <w:szCs w:val="20"/>
          <w:color w:val="auto"/>
        </w:rPr>
      </w:pPr>
      <w:r>
        <w:rPr>
          <w:rFonts w:ascii="Arial" w:cs="Arial" w:eastAsia="Arial" w:hAnsi="Arial"/>
          <w:sz w:val="18"/>
          <w:szCs w:val="18"/>
          <w:color w:val="auto"/>
        </w:rPr>
        <w:t>10.3 Indemnity Agreement, dated as of April 1, 2008, between Sempra Energy, Pacific Enterprises, Enova Corporation and The Royal Bank of Scotland plc (Sempra Energy March 31, 2008 Form 10-Q, Exhibit 10.2).</w:t>
      </w:r>
    </w:p>
    <w:p>
      <w:pPr>
        <w:spacing w:after="0" w:line="169" w:lineRule="exact"/>
        <w:rPr>
          <w:sz w:val="20"/>
          <w:szCs w:val="20"/>
          <w:color w:val="auto"/>
        </w:rPr>
      </w:pPr>
    </w:p>
    <w:p>
      <w:pPr>
        <w:ind w:left="1500" w:right="520" w:hanging="404"/>
        <w:spacing w:after="0" w:line="291" w:lineRule="auto"/>
        <w:rPr>
          <w:sz w:val="20"/>
          <w:szCs w:val="20"/>
          <w:color w:val="auto"/>
        </w:rPr>
      </w:pPr>
      <w:r>
        <w:rPr>
          <w:rFonts w:ascii="Arial" w:cs="Arial" w:eastAsia="Arial" w:hAnsi="Arial"/>
          <w:sz w:val="17"/>
          <w:szCs w:val="17"/>
          <w:color w:val="auto"/>
        </w:rPr>
        <w:t>10.4 First Amendment to Indemnity Agreement, dated as of March 30, 2009, by and among Sempra Energy, Pacific Enterprises, Enova Corporation and The Royal Bank of Scotland plc. (Sempra Energy March 31, 2009 Form 10-Q, Exhibit 10.3).</w:t>
      </w:r>
    </w:p>
    <w:p>
      <w:pPr>
        <w:spacing w:after="0" w:line="147" w:lineRule="exact"/>
        <w:rPr>
          <w:sz w:val="20"/>
          <w:szCs w:val="20"/>
          <w:color w:val="auto"/>
        </w:rPr>
      </w:pPr>
    </w:p>
    <w:p>
      <w:pPr>
        <w:ind w:left="1500" w:right="460" w:hanging="404"/>
        <w:spacing w:after="0" w:line="291" w:lineRule="auto"/>
        <w:rPr>
          <w:sz w:val="20"/>
          <w:szCs w:val="20"/>
          <w:color w:val="auto"/>
        </w:rPr>
      </w:pPr>
      <w:r>
        <w:rPr>
          <w:rFonts w:ascii="Arial" w:cs="Arial" w:eastAsia="Arial" w:hAnsi="Arial"/>
          <w:sz w:val="17"/>
          <w:szCs w:val="17"/>
          <w:color w:val="auto"/>
        </w:rPr>
        <w:t>10.5 Second Amendment to Indemnity Agreement, dated as of June 30, 2009, by and among Sempra Energy, Pacific Enterprises, Enova Corporation and The Royal Bank of Scotland plc. (Sempra Energy June 30, 2009 Form 10-Q, Exhibit 10.1).</w:t>
      </w:r>
    </w:p>
    <w:p>
      <w:pPr>
        <w:spacing w:after="0" w:line="147" w:lineRule="exact"/>
        <w:rPr>
          <w:sz w:val="20"/>
          <w:szCs w:val="20"/>
          <w:color w:val="auto"/>
        </w:rPr>
      </w:pPr>
    </w:p>
    <w:p>
      <w:pPr>
        <w:ind w:left="1500" w:right="260" w:hanging="404"/>
        <w:spacing w:after="0" w:line="262" w:lineRule="auto"/>
        <w:rPr>
          <w:sz w:val="20"/>
          <w:szCs w:val="20"/>
          <w:color w:val="auto"/>
        </w:rPr>
      </w:pPr>
      <w:r>
        <w:rPr>
          <w:rFonts w:ascii="Arial" w:cs="Arial" w:eastAsia="Arial" w:hAnsi="Arial"/>
          <w:sz w:val="18"/>
          <w:szCs w:val="18"/>
          <w:color w:val="auto"/>
        </w:rPr>
        <w:t>10.6 Third Amendment to Indemnity Agreement, dated as of December 3, 2009, by and among Sempra Energy, Pacific Enterprises, Enova Corporation and The Royal Bank of Scotland plc (2009 Sempra Energy Form 10-K, Exhibit 10.06).</w:t>
      </w:r>
    </w:p>
    <w:p>
      <w:pPr>
        <w:spacing w:after="0" w:line="169" w:lineRule="exact"/>
        <w:rPr>
          <w:sz w:val="20"/>
          <w:szCs w:val="20"/>
          <w:color w:val="auto"/>
        </w:rPr>
      </w:pPr>
    </w:p>
    <w:p>
      <w:pPr>
        <w:ind w:left="1500" w:right="20" w:hanging="404"/>
        <w:spacing w:after="0" w:line="262" w:lineRule="auto"/>
        <w:rPr>
          <w:sz w:val="20"/>
          <w:szCs w:val="20"/>
          <w:color w:val="auto"/>
        </w:rPr>
      </w:pPr>
      <w:r>
        <w:rPr>
          <w:rFonts w:ascii="Arial" w:cs="Arial" w:eastAsia="Arial" w:hAnsi="Arial"/>
          <w:sz w:val="18"/>
          <w:szCs w:val="18"/>
          <w:color w:val="auto"/>
        </w:rPr>
        <w:t>10.7 Fourth Amendment to Indemnity Agreement, dated as of April 15, 2011, by and among The Royal Bank of Scotland plc, Sempra Energy, Pacific Enterprises and Enova Corporation (Sempra Energy Form 8-K filed on April 21, 2011, Exhibit 10.2).</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10.8 Letter Agreement, dated as of April 15, 2011, by and among The Royal Bank of Scotland plc, Sempra Energy, Sempra Commodities, Inc.</w:t>
      </w:r>
    </w:p>
    <w:p>
      <w:pPr>
        <w:spacing w:after="0" w:line="6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Sempra Energy Holdings VII B.V. (Sempra Energy Form 8-K/A filed on April 21, 2011, Exhibit 10.1).</w:t>
      </w:r>
    </w:p>
    <w:p>
      <w:pPr>
        <w:spacing w:after="0" w:line="224" w:lineRule="exact"/>
        <w:rPr>
          <w:sz w:val="20"/>
          <w:szCs w:val="20"/>
          <w:color w:val="auto"/>
        </w:rPr>
      </w:pPr>
    </w:p>
    <w:p>
      <w:pPr>
        <w:ind w:left="1500" w:right="360" w:hanging="404"/>
        <w:spacing w:after="0" w:line="309" w:lineRule="auto"/>
        <w:rPr>
          <w:sz w:val="20"/>
          <w:szCs w:val="20"/>
          <w:color w:val="auto"/>
        </w:rPr>
      </w:pPr>
      <w:r>
        <w:rPr>
          <w:rFonts w:ascii="Arial" w:cs="Arial" w:eastAsia="Arial" w:hAnsi="Arial"/>
          <w:sz w:val="18"/>
          <w:szCs w:val="18"/>
          <w:color w:val="auto"/>
        </w:rPr>
        <w:t>10.9 Master Confirmation for Share Purchase Agreement, dated as of September 21, 2010, between Sempra Energy and JPMorgan Chase Bank, National Association. (Sempra Energy September 30, 2010 Form 10-Q, Exhibit 10.1).</w:t>
      </w:r>
    </w:p>
    <w:p>
      <w:pPr>
        <w:spacing w:after="0" w:line="142" w:lineRule="exact"/>
        <w:rPr>
          <w:sz w:val="20"/>
          <w:szCs w:val="20"/>
          <w:color w:val="auto"/>
        </w:rPr>
      </w:pPr>
    </w:p>
    <w:p>
      <w:pPr>
        <w:ind w:left="1500" w:right="200" w:hanging="494"/>
        <w:spacing w:after="0" w:line="248" w:lineRule="auto"/>
        <w:rPr>
          <w:sz w:val="20"/>
          <w:szCs w:val="20"/>
          <w:color w:val="auto"/>
        </w:rPr>
      </w:pPr>
      <w:r>
        <w:rPr>
          <w:rFonts w:ascii="Arial" w:cs="Arial" w:eastAsia="Arial" w:hAnsi="Arial"/>
          <w:sz w:val="18"/>
          <w:szCs w:val="18"/>
          <w:color w:val="auto"/>
        </w:rPr>
        <w:t>10.10 First Amendment to Purchase and Sale Agreement, dated as of June 30, 2010, entered into by and among J.P. Morgan Ventures Energy Corporation, Sempra Energy Trading LLC, RBS Sempra Commodities LLP, Sempra Energy and The Royal Bank of Scotland plc. (Sempra Energy June 30, 2010 Form 10-Q, Exhibit 10.1).</w:t>
      </w:r>
    </w:p>
    <w:p>
      <w:pPr>
        <w:spacing w:after="0" w:line="182" w:lineRule="exact"/>
        <w:rPr>
          <w:sz w:val="20"/>
          <w:szCs w:val="20"/>
          <w:color w:val="auto"/>
        </w:rPr>
      </w:pPr>
    </w:p>
    <w:p>
      <w:pPr>
        <w:ind w:left="1500" w:right="280" w:hanging="487"/>
        <w:spacing w:after="0" w:line="248" w:lineRule="auto"/>
        <w:rPr>
          <w:sz w:val="20"/>
          <w:szCs w:val="20"/>
          <w:color w:val="auto"/>
        </w:rPr>
      </w:pPr>
      <w:r>
        <w:rPr>
          <w:rFonts w:ascii="Arial" w:cs="Arial" w:eastAsia="Arial" w:hAnsi="Arial"/>
          <w:sz w:val="18"/>
          <w:szCs w:val="18"/>
          <w:color w:val="auto"/>
        </w:rPr>
        <w:t>10.11 Purchase and Sale Agreement, dated as of February 16, 2010, entered into by and among J.P. Morgan Ventures Energy Corporation, Sempra Energy Trading LLC, RBS Sempra Commodities LLP, Sempra Energy and The Royal Bank of Scotland plc. (Sempra Energy Form 8-K filed on February 19, 2010, Exhibit 10.1)</w:t>
      </w:r>
    </w:p>
    <w:p>
      <w:pPr>
        <w:spacing w:after="0" w:line="182" w:lineRule="exact"/>
        <w:rPr>
          <w:sz w:val="20"/>
          <w:szCs w:val="20"/>
          <w:color w:val="auto"/>
        </w:rPr>
      </w:pPr>
    </w:p>
    <w:p>
      <w:pPr>
        <w:ind w:left="1500" w:right="400" w:hanging="494"/>
        <w:spacing w:after="0" w:line="262" w:lineRule="auto"/>
        <w:rPr>
          <w:sz w:val="20"/>
          <w:szCs w:val="20"/>
          <w:color w:val="auto"/>
        </w:rPr>
      </w:pPr>
      <w:r>
        <w:rPr>
          <w:rFonts w:ascii="Arial" w:cs="Arial" w:eastAsia="Arial" w:hAnsi="Arial"/>
          <w:sz w:val="18"/>
          <w:szCs w:val="18"/>
          <w:color w:val="auto"/>
        </w:rPr>
        <w:t>10.12 Letter Agreement, dated as of February 16, 2010, entered into by and between Sempra Energy and The Royal Bank of Scotland plc. (Sempra Energy Form 8-K filed on February 19, 2010, Exhibit 10.2)</w:t>
      </w:r>
    </w:p>
    <w:p>
      <w:pPr>
        <w:spacing w:after="0" w:line="169" w:lineRule="exact"/>
        <w:rPr>
          <w:sz w:val="20"/>
          <w:szCs w:val="20"/>
          <w:color w:val="auto"/>
        </w:rPr>
      </w:pPr>
    </w:p>
    <w:p>
      <w:pPr>
        <w:ind w:left="1500" w:right="20" w:hanging="494"/>
        <w:spacing w:after="0" w:line="248" w:lineRule="auto"/>
        <w:rPr>
          <w:sz w:val="20"/>
          <w:szCs w:val="20"/>
          <w:color w:val="auto"/>
        </w:rPr>
      </w:pPr>
      <w:r>
        <w:rPr>
          <w:rFonts w:ascii="Arial" w:cs="Arial" w:eastAsia="Arial" w:hAnsi="Arial"/>
          <w:sz w:val="18"/>
          <w:szCs w:val="18"/>
          <w:color w:val="auto"/>
        </w:rPr>
        <w:t>10.13 Limited Liability Partnership Agreement, dated as of April 1, 2008, between Sempra Energy, Sempra Commodities, Inc., Sempra Energy Holdings, VII B.V., RBS Sempra Commodities LLP and The Royal Bank of Scotland plc (Sempra Energy March 31, 2008 Form 10-Q, Exhibit 10.1).</w:t>
      </w:r>
    </w:p>
    <w:p>
      <w:pPr>
        <w:spacing w:after="0" w:line="182" w:lineRule="exact"/>
        <w:rPr>
          <w:sz w:val="20"/>
          <w:szCs w:val="20"/>
          <w:color w:val="auto"/>
        </w:rPr>
      </w:pPr>
    </w:p>
    <w:p>
      <w:pPr>
        <w:ind w:left="1500" w:hanging="494"/>
        <w:spacing w:after="0" w:line="248" w:lineRule="auto"/>
        <w:rPr>
          <w:sz w:val="20"/>
          <w:szCs w:val="20"/>
          <w:color w:val="auto"/>
        </w:rPr>
      </w:pPr>
      <w:r>
        <w:rPr>
          <w:rFonts w:ascii="Arial" w:cs="Arial" w:eastAsia="Arial" w:hAnsi="Arial"/>
          <w:sz w:val="18"/>
          <w:szCs w:val="18"/>
          <w:color w:val="auto"/>
        </w:rPr>
        <w:t>10.14 First Amendment to Limited Liability Partnership Agreement, dated as of April 6, 2009 and effective as of November 14, 2008, by and among The Royal Bank of Scotland plc, Sempra Energy, Sempra Commodities, Inc., Sempra Energy Holdings VII B.V. and RBS Sempra Commodities LLP. (Sempra Energy March 31, 2009 Form 10-Q, Exhibit 10.4).</w:t>
      </w:r>
    </w:p>
    <w:p>
      <w:pPr>
        <w:spacing w:after="0" w:line="182" w:lineRule="exact"/>
        <w:rPr>
          <w:sz w:val="20"/>
          <w:szCs w:val="20"/>
          <w:color w:val="auto"/>
        </w:rPr>
      </w:pPr>
    </w:p>
    <w:p>
      <w:pPr>
        <w:jc w:val="both"/>
        <w:ind w:left="1500" w:right="120" w:hanging="494"/>
        <w:spacing w:after="0" w:line="248" w:lineRule="auto"/>
        <w:rPr>
          <w:sz w:val="20"/>
          <w:szCs w:val="20"/>
          <w:color w:val="auto"/>
        </w:rPr>
      </w:pPr>
      <w:r>
        <w:rPr>
          <w:rFonts w:ascii="Arial" w:cs="Arial" w:eastAsia="Arial" w:hAnsi="Arial"/>
          <w:sz w:val="18"/>
          <w:szCs w:val="18"/>
          <w:color w:val="auto"/>
        </w:rPr>
        <w:t>10.15 Second Amendment to Limited Liability Partnership Agreement, dated December 23, 2009, by and among The Royal Bank of Scotland plc, Sempra Energy, Sempra Commodities, Inc., Sempra Energy Holdings VII B.V. and RBS Sempra Commodities LLP (2009 Sempra Energy Form 10-K, Exhibit 10.11).</w:t>
      </w:r>
    </w:p>
    <w:p>
      <w:pPr>
        <w:spacing w:after="0" w:line="182" w:lineRule="exact"/>
        <w:rPr>
          <w:sz w:val="20"/>
          <w:szCs w:val="20"/>
          <w:color w:val="auto"/>
        </w:rPr>
      </w:pPr>
    </w:p>
    <w:p>
      <w:pPr>
        <w:ind w:left="1500" w:right="100" w:hanging="494"/>
        <w:spacing w:after="0" w:line="262" w:lineRule="auto"/>
        <w:rPr>
          <w:sz w:val="20"/>
          <w:szCs w:val="20"/>
          <w:color w:val="auto"/>
        </w:rPr>
      </w:pPr>
      <w:r>
        <w:rPr>
          <w:rFonts w:ascii="Arial" w:cs="Arial" w:eastAsia="Arial" w:hAnsi="Arial"/>
          <w:sz w:val="18"/>
          <w:szCs w:val="18"/>
          <w:color w:val="auto"/>
        </w:rPr>
        <w:t>10.16 Master Confirmation for Share Purchase Agreement, dated as of April 1, 2008, between Sempra Energy and Merrill Lynch International (June 30, 2008 Sempra Energy Form 10-Q, Exhibit 10.4).</w:t>
      </w:r>
    </w:p>
    <w:p>
      <w:pPr>
        <w:spacing w:after="0" w:line="169" w:lineRule="exact"/>
        <w:rPr>
          <w:sz w:val="20"/>
          <w:szCs w:val="20"/>
          <w:color w:val="auto"/>
        </w:rPr>
      </w:pPr>
    </w:p>
    <w:p>
      <w:pPr>
        <w:jc w:val="both"/>
        <w:ind w:left="1500" w:right="360" w:hanging="494"/>
        <w:spacing w:after="0" w:line="248" w:lineRule="auto"/>
        <w:rPr>
          <w:sz w:val="20"/>
          <w:szCs w:val="20"/>
          <w:color w:val="auto"/>
        </w:rPr>
      </w:pPr>
      <w:r>
        <w:rPr>
          <w:rFonts w:ascii="Arial" w:cs="Arial" w:eastAsia="Arial" w:hAnsi="Arial"/>
          <w:sz w:val="18"/>
          <w:szCs w:val="18"/>
          <w:color w:val="auto"/>
        </w:rPr>
        <w:t>10.17 First amendment to the Master Formation and Equity Interest Purchase Agreement, dated as of April 1, 2008, by and among Sempra Energy, Sempra Global, Sempra Energy Trading International, B.V. and The Royal Bank of Scotland plc (Sempra Energy March 31, 2008 Form 10-Q, Exhibit 10.3).</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10.18 Master Formation and Equity Interest Purchase Agreement, dated as of July 9, 2007, by and among Sempra Energy, Sempra Global,</w:t>
      </w:r>
    </w:p>
    <w:p>
      <w:pPr>
        <w:sectPr>
          <w:pgSz w:w="11900" w:h="16838" w:orient="portrait"/>
          <w:cols w:equalWidth="0" w:num="1">
            <w:col w:w="11400"/>
          </w:cols>
          <w:pgMar w:left="240" w:top="125" w:right="259" w:bottom="0" w:gutter="0" w:footer="0" w:header="0"/>
        </w:sectPr>
      </w:pPr>
    </w:p>
    <w:bookmarkStart w:id="39" w:name="page40"/>
    <w:bookmarkEnd w:id="39"/>
    <w:p>
      <w:pPr>
        <w:ind w:left="1500"/>
        <w:spacing w:after="0" w:line="262" w:lineRule="auto"/>
        <w:rPr>
          <w:sz w:val="20"/>
          <w:szCs w:val="20"/>
          <w:color w:val="auto"/>
        </w:rPr>
      </w:pPr>
      <w:r>
        <w:rPr>
          <w:rFonts w:ascii="Arial" w:cs="Arial" w:eastAsia="Arial" w:hAnsi="Arial"/>
          <w:sz w:val="18"/>
          <w:szCs w:val="18"/>
          <w:color w:val="auto"/>
        </w:rPr>
        <w:t>Sempra Energy Trading International, B.V. and The Royal Bank of Scotland plc (Sempra Energy Form 8-K filed on July 9, 2007, Exhibit 10.2).</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10.19 Energy Purchase Agreement between Sempra Energy Resources and the California Department of Water Resources, executed May 4,</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2001 (2001 Sempra Energy Form 10-K, Exhibit 10.01).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 San Diego Gas &amp; Electric Company</w:t>
      </w:r>
    </w:p>
    <w:p>
      <w:pPr>
        <w:spacing w:after="0" w:line="205" w:lineRule="exact"/>
        <w:rPr>
          <w:sz w:val="20"/>
          <w:szCs w:val="20"/>
          <w:color w:val="auto"/>
        </w:rPr>
      </w:pPr>
    </w:p>
    <w:p>
      <w:pPr>
        <w:ind w:left="1500" w:hanging="494"/>
        <w:spacing w:after="0" w:line="262" w:lineRule="auto"/>
        <w:rPr>
          <w:sz w:val="20"/>
          <w:szCs w:val="20"/>
          <w:color w:val="auto"/>
        </w:rPr>
      </w:pPr>
      <w:r>
        <w:rPr>
          <w:rFonts w:ascii="Arial" w:cs="Arial" w:eastAsia="Arial" w:hAnsi="Arial"/>
          <w:sz w:val="18"/>
          <w:szCs w:val="18"/>
          <w:color w:val="auto"/>
        </w:rPr>
        <w:t>10.20 Amended and Restated Operating Order between San Diego Gas &amp; Electric Company and the California Department of Water Resources effective March 10, 2011. (Sempra Energy March 31, 2011 Form 10-Q, Exhibit 10.4).</w:t>
      </w:r>
    </w:p>
    <w:p>
      <w:pPr>
        <w:spacing w:after="0" w:line="169" w:lineRule="exact"/>
        <w:rPr>
          <w:sz w:val="20"/>
          <w:szCs w:val="20"/>
          <w:color w:val="auto"/>
        </w:rPr>
      </w:pPr>
    </w:p>
    <w:p>
      <w:pPr>
        <w:ind w:left="1500" w:right="20" w:hanging="494"/>
        <w:spacing w:after="0" w:line="262" w:lineRule="auto"/>
        <w:rPr>
          <w:sz w:val="20"/>
          <w:szCs w:val="20"/>
          <w:color w:val="auto"/>
        </w:rPr>
      </w:pPr>
      <w:r>
        <w:rPr>
          <w:rFonts w:ascii="Arial" w:cs="Arial" w:eastAsia="Arial" w:hAnsi="Arial"/>
          <w:sz w:val="18"/>
          <w:szCs w:val="18"/>
          <w:color w:val="auto"/>
        </w:rPr>
        <w:t>10.21 Amended and Restated Servicing Order between San Diego Gas &amp; Electric Company and the California Department of Water Resources effective March 10, 2011. (Sempra Energy March 31, 2011 Form 10-Q, Exhibit 10.5).</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 San Diego Gas &amp; Electric Company / Southern California Gas Company</w:t>
      </w:r>
    </w:p>
    <w:p>
      <w:pPr>
        <w:spacing w:after="0" w:line="20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10.22 First Amendment to the Sempra Energy Employee and Director Savings Plan.</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10.23 Severance Pay Agreement between Sempra Energy and M. Javade Chaudhri.</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10.24 Severance Pay Agreement between Sempra Energy and Jessie J. Knight, Jr.</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10.25 Severance Pay Agreement between Sempra Energy and Michael W. Allman.</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10.26 Severance Pay Agreement between Sempra Energy and G. Joyce Rowland.</w:t>
      </w:r>
    </w:p>
    <w:p>
      <w:pPr>
        <w:spacing w:after="0" w:line="212" w:lineRule="exact"/>
        <w:rPr>
          <w:sz w:val="20"/>
          <w:szCs w:val="20"/>
          <w:color w:val="auto"/>
        </w:rPr>
      </w:pPr>
    </w:p>
    <w:p>
      <w:pPr>
        <w:ind w:left="1500" w:right="60" w:hanging="494"/>
        <w:spacing w:after="0" w:line="262" w:lineRule="auto"/>
        <w:rPr>
          <w:sz w:val="20"/>
          <w:szCs w:val="20"/>
          <w:color w:val="auto"/>
        </w:rPr>
      </w:pPr>
      <w:r>
        <w:rPr>
          <w:rFonts w:ascii="Arial" w:cs="Arial" w:eastAsia="Arial" w:hAnsi="Arial"/>
          <w:sz w:val="18"/>
          <w:szCs w:val="18"/>
          <w:color w:val="auto"/>
        </w:rPr>
        <w:t>10.27 Amended and Restated Sempra Energy Severance Pay Agreement between Sempra Energy and Debra L. Reed (Sempra Energy Form 8-K filed on July 1, 2011, Exhibit 10.1).</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10.28 Amendment to Severance Pay Agreement between Sempra Energy and Mark A. Snell (Sempra Energy Form 8-K filed on September 15,</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2011, Exhibit 10.1).</w:t>
      </w:r>
    </w:p>
    <w:p>
      <w:pPr>
        <w:spacing w:after="0" w:line="196" w:lineRule="exact"/>
        <w:rPr>
          <w:sz w:val="20"/>
          <w:szCs w:val="20"/>
          <w:color w:val="auto"/>
        </w:rPr>
      </w:pPr>
    </w:p>
    <w:p>
      <w:pPr>
        <w:ind w:left="1500" w:right="60" w:hanging="494"/>
        <w:spacing w:after="0" w:line="262" w:lineRule="auto"/>
        <w:rPr>
          <w:sz w:val="20"/>
          <w:szCs w:val="20"/>
          <w:color w:val="auto"/>
        </w:rPr>
      </w:pPr>
      <w:r>
        <w:rPr>
          <w:rFonts w:ascii="Arial" w:cs="Arial" w:eastAsia="Arial" w:hAnsi="Arial"/>
          <w:sz w:val="18"/>
          <w:szCs w:val="18"/>
          <w:color w:val="auto"/>
        </w:rPr>
        <w:t>10.29 Severance Pay Agreement between Sempra Energy and Joseph A. Householder (Sempra Energy Form 8-K filed on September 15, 2011, Exhibit 10.2).</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10.30 Amendment to the Amendment and Restatement of the Sempra Energy 2005 Deferred Compensation Plan. (2010 Sempra Energy Form</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10-K, Exhibit 10.20)</w:t>
      </w:r>
    </w:p>
    <w:p>
      <w:pPr>
        <w:spacing w:after="0" w:line="196" w:lineRule="exact"/>
        <w:rPr>
          <w:sz w:val="20"/>
          <w:szCs w:val="20"/>
          <w:color w:val="auto"/>
        </w:rPr>
      </w:pPr>
    </w:p>
    <w:p>
      <w:pPr>
        <w:ind w:left="1500" w:right="140" w:hanging="494"/>
        <w:spacing w:after="0" w:line="262" w:lineRule="auto"/>
        <w:rPr>
          <w:sz w:val="20"/>
          <w:szCs w:val="20"/>
          <w:color w:val="auto"/>
        </w:rPr>
      </w:pPr>
      <w:r>
        <w:rPr>
          <w:rFonts w:ascii="Arial" w:cs="Arial" w:eastAsia="Arial" w:hAnsi="Arial"/>
          <w:sz w:val="18"/>
          <w:szCs w:val="18"/>
          <w:color w:val="auto"/>
        </w:rPr>
        <w:t>10.31 Amendment to the Amended and Restated Sempra Energy Severance Pay Agreement between Sempra Energy and Donald E. Felsinger (see Exhibit 10.38 below) (2010 Sempra Energy Form 10-K, Exhibit 10.21).</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10.32 Form of Sempra Energy 2008 Long Term Incentive Plan, 2011 Performance-Based Restricted Stock Unit Award. (Sempra Energy March</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 2011 Form 10-Q, Exhibit 10.2).</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10.33 Form of Sempra Energy 2008 Long Term Incentive Plan, 2010 Performance-Based Restricted Stock Unit Award (Sempra Energy March</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 2010 Form 10-Q, Exhibit 10.1).</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10.34 Form of 2009 Sempra Energy Severance Pay Agreement (2009 Sempra Energy Form 10-K, Exhibit 10.18).</w:t>
      </w:r>
    </w:p>
    <w:p>
      <w:pPr>
        <w:spacing w:after="0" w:line="212" w:lineRule="exact"/>
        <w:rPr>
          <w:sz w:val="20"/>
          <w:szCs w:val="20"/>
          <w:color w:val="auto"/>
        </w:rPr>
      </w:pPr>
    </w:p>
    <w:p>
      <w:pPr>
        <w:ind w:left="1500" w:right="540" w:hanging="494"/>
        <w:spacing w:after="0" w:line="262" w:lineRule="auto"/>
        <w:rPr>
          <w:sz w:val="20"/>
          <w:szCs w:val="20"/>
          <w:color w:val="auto"/>
        </w:rPr>
      </w:pPr>
      <w:r>
        <w:rPr>
          <w:rFonts w:ascii="Arial" w:cs="Arial" w:eastAsia="Arial" w:hAnsi="Arial"/>
          <w:sz w:val="18"/>
          <w:szCs w:val="18"/>
          <w:color w:val="auto"/>
        </w:rPr>
        <w:t>10.35 Form of Sempra Energy 2008 Long Term Incentive Plan, 2009 Performance-Based Restricted Stock Unit Award (March 31, 2009 Sempra Energy Form 10-Q, Exhibit 10.1).</w:t>
      </w:r>
    </w:p>
    <w:p>
      <w:pPr>
        <w:spacing w:after="0" w:line="169" w:lineRule="exact"/>
        <w:rPr>
          <w:sz w:val="20"/>
          <w:szCs w:val="20"/>
          <w:color w:val="auto"/>
        </w:rPr>
      </w:pPr>
    </w:p>
    <w:p>
      <w:pPr>
        <w:ind w:left="1500" w:right="120" w:hanging="494"/>
        <w:spacing w:after="0" w:line="262" w:lineRule="auto"/>
        <w:rPr>
          <w:sz w:val="20"/>
          <w:szCs w:val="20"/>
          <w:color w:val="auto"/>
        </w:rPr>
      </w:pPr>
      <w:r>
        <w:rPr>
          <w:rFonts w:ascii="Arial" w:cs="Arial" w:eastAsia="Arial" w:hAnsi="Arial"/>
          <w:sz w:val="18"/>
          <w:szCs w:val="18"/>
          <w:color w:val="auto"/>
        </w:rPr>
        <w:t>10.36 Form of Sempra Energy 2008 Long Term Incentive Plan, 2009 Nonqualified Stock Option Agreement (March 31, 2009 Sempra Energy Form 10-Q, Exhibit 10.2).</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10.37 Sempra Energy 2008 Long Term Incentive Plan (Appendix A to the 2008 Sempra Energy Definitive Proxy Statement, filed on April 15,</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2008).</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10.38 Form of Indemnification Agreement with Directors and Executive Officers (June 30, 2008 Sempra Energy Form 10-Q, Exhibit 10.2).</w:t>
      </w:r>
    </w:p>
    <w:p>
      <w:pPr>
        <w:spacing w:after="0" w:line="223" w:lineRule="exact"/>
        <w:rPr>
          <w:sz w:val="20"/>
          <w:szCs w:val="20"/>
          <w:color w:val="auto"/>
        </w:rPr>
      </w:pPr>
    </w:p>
    <w:p>
      <w:pPr>
        <w:ind w:left="1500" w:right="80" w:hanging="494"/>
        <w:spacing w:after="0" w:line="262" w:lineRule="auto"/>
        <w:rPr>
          <w:sz w:val="20"/>
          <w:szCs w:val="20"/>
          <w:color w:val="auto"/>
        </w:rPr>
      </w:pPr>
      <w:r>
        <w:rPr>
          <w:rFonts w:ascii="Arial" w:cs="Arial" w:eastAsia="Arial" w:hAnsi="Arial"/>
          <w:sz w:val="18"/>
          <w:szCs w:val="18"/>
          <w:color w:val="auto"/>
        </w:rPr>
        <w:t>10.39 Form of Sempra Energy 2008 Long Term Incentive Plan, 2008 Performance-Based Restricted Stock Unit Award (June 30, 2008 Sempra Energy Form 10-Q, Exhibit 10.3).</w:t>
      </w:r>
    </w:p>
    <w:p>
      <w:pPr>
        <w:spacing w:after="0" w:line="169" w:lineRule="exact"/>
        <w:rPr>
          <w:sz w:val="20"/>
          <w:szCs w:val="20"/>
          <w:color w:val="auto"/>
        </w:rPr>
      </w:pPr>
    </w:p>
    <w:p>
      <w:pPr>
        <w:ind w:left="1500" w:right="260" w:hanging="494"/>
        <w:spacing w:after="0" w:line="262" w:lineRule="auto"/>
        <w:rPr>
          <w:sz w:val="20"/>
          <w:szCs w:val="20"/>
          <w:color w:val="auto"/>
        </w:rPr>
      </w:pPr>
      <w:r>
        <w:rPr>
          <w:rFonts w:ascii="Arial" w:cs="Arial" w:eastAsia="Arial" w:hAnsi="Arial"/>
          <w:sz w:val="18"/>
          <w:szCs w:val="18"/>
          <w:color w:val="auto"/>
        </w:rPr>
        <w:t>10.40 Form of Sempra Energy 2008 Long Term Incentive Plan, 2008 Nonqualified Stock Option Agreement (June 30, 2008 Sempra Energy Form 10-Q, Exhibit 10.4).</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10.41 Sempra Energy Amended and Restated Executive Life Insurance Plan (2008 Sempra Energy Form 10-K, Exhibit 10.15).</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10.42 Amendment and Restatement of the Sempra Energy Cash Balance Restoration Plan (2008 Sempra Energy Form 10-K, Exhibit 10.16).</w:t>
      </w:r>
    </w:p>
    <w:p>
      <w:pPr>
        <w:spacing w:after="0" w:line="23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10.43 Form of Amended and Restated Sempra Energy Severance Pay Agreement (2008 Sempra Energy Form 10-K, Exhibit 10.17).</w:t>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10.44 Amendment and Restatement of the Sempra Energy 2005 Deferred Compensation Plan (2008 Sempra Energy Form 10-K, Exhibit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10.18).</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10.45 Amendment and Restatement of the Sempra Energy Supplemental Executive Retirement Plan (2008 Sempra Energy Form 10-K, Exhibit</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10.19).</w:t>
      </w:r>
    </w:p>
    <w:p>
      <w:pPr>
        <w:sectPr>
          <w:pgSz w:w="11900" w:h="16838" w:orient="portrait"/>
          <w:cols w:equalWidth="0" w:num="1">
            <w:col w:w="11380"/>
          </w:cols>
          <w:pgMar w:left="240" w:top="125" w:right="279" w:bottom="0" w:gutter="0" w:footer="0" w:header="0"/>
        </w:sectPr>
      </w:pPr>
    </w:p>
    <w:bookmarkStart w:id="40" w:name="page41"/>
    <w:bookmarkEnd w:id="40"/>
    <w:p>
      <w:pPr>
        <w:ind w:left="1500" w:right="400" w:hanging="494"/>
        <w:spacing w:after="0" w:line="262" w:lineRule="auto"/>
        <w:rPr>
          <w:sz w:val="20"/>
          <w:szCs w:val="20"/>
          <w:color w:val="auto"/>
        </w:rPr>
      </w:pPr>
      <w:r>
        <w:rPr>
          <w:rFonts w:ascii="Arial" w:cs="Arial" w:eastAsia="Arial" w:hAnsi="Arial"/>
          <w:sz w:val="18"/>
          <w:szCs w:val="18"/>
          <w:color w:val="auto"/>
        </w:rPr>
        <w:t>10.46 Sempra Energy Executive Personal Financial Planning Program Policy Document (September 30, 2004 Sempra Energy Form 10-Q, Exhibit 10.11).</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10.47 2003 Sempra Energy Executive Incentive Plan B (2003 Sempra Energy Form 10-K, Exhibit 10.10).</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10.48 Sempra Energy Executive Incentive Plan effective January 1, 2003 (2002 Sempra Energy Form 10-K, Exhibit 10.09).</w:t>
      </w:r>
    </w:p>
    <w:p>
      <w:pPr>
        <w:spacing w:after="0" w:line="212" w:lineRule="exact"/>
        <w:rPr>
          <w:sz w:val="20"/>
          <w:szCs w:val="20"/>
          <w:color w:val="auto"/>
        </w:rPr>
      </w:pPr>
    </w:p>
    <w:p>
      <w:pPr>
        <w:ind w:left="1500" w:right="60" w:hanging="494"/>
        <w:spacing w:after="0" w:line="262" w:lineRule="auto"/>
        <w:rPr>
          <w:sz w:val="20"/>
          <w:szCs w:val="20"/>
          <w:color w:val="auto"/>
        </w:rPr>
      </w:pPr>
      <w:r>
        <w:rPr>
          <w:rFonts w:ascii="Arial" w:cs="Arial" w:eastAsia="Arial" w:hAnsi="Arial"/>
          <w:sz w:val="18"/>
          <w:szCs w:val="18"/>
          <w:color w:val="auto"/>
        </w:rPr>
        <w:t>10.49 Amended and Restated Sempra Energy Deferred Compensation and Excess Savings Plan (September 30, 2002 Sempra Energy Form 10-Q, Exhibit 10.3).</w:t>
      </w:r>
    </w:p>
    <w:p>
      <w:pPr>
        <w:spacing w:after="0" w:line="169" w:lineRule="exact"/>
        <w:rPr>
          <w:sz w:val="20"/>
          <w:szCs w:val="20"/>
          <w:color w:val="auto"/>
        </w:rPr>
      </w:pPr>
    </w:p>
    <w:p>
      <w:pPr>
        <w:ind w:left="1500" w:right="240" w:hanging="494"/>
        <w:spacing w:after="0" w:line="262" w:lineRule="auto"/>
        <w:rPr>
          <w:sz w:val="20"/>
          <w:szCs w:val="20"/>
          <w:color w:val="auto"/>
        </w:rPr>
      </w:pPr>
      <w:r>
        <w:rPr>
          <w:rFonts w:ascii="Arial" w:cs="Arial" w:eastAsia="Arial" w:hAnsi="Arial"/>
          <w:sz w:val="18"/>
          <w:szCs w:val="18"/>
          <w:color w:val="auto"/>
        </w:rPr>
        <w:t>10.50 Sempra Energy Employee Stock Ownership Plan and Trust Agreement effective January 1, 2001 (September 30, 2008 Sempra Energy Form 10-Q, Exhibit 10.1).</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10.51 Amendment to the Amended and Restated Sempra Energy Deferred Compensation and Excess Savings Plan (2008 Sempra Energy Form</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10-K, Exhibit 10.25).</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10.52 Sempra Energy Amended and Restated Executive Medical Plan. (2008 Sempra Energy Form 10-K, Exhibit 10.26).</w:t>
      </w:r>
    </w:p>
    <w:p>
      <w:pPr>
        <w:spacing w:after="0" w:line="212" w:lineRule="exact"/>
        <w:rPr>
          <w:sz w:val="20"/>
          <w:szCs w:val="20"/>
          <w:color w:val="auto"/>
        </w:rPr>
      </w:pPr>
    </w:p>
    <w:p>
      <w:pPr>
        <w:ind w:left="1500" w:right="180" w:hanging="494"/>
        <w:spacing w:after="0" w:line="244" w:lineRule="auto"/>
        <w:rPr>
          <w:sz w:val="20"/>
          <w:szCs w:val="20"/>
          <w:color w:val="auto"/>
        </w:rPr>
      </w:pPr>
      <w:r>
        <w:rPr>
          <w:rFonts w:ascii="Arial" w:cs="Arial" w:eastAsia="Arial" w:hAnsi="Arial"/>
          <w:sz w:val="18"/>
          <w:szCs w:val="18"/>
          <w:color w:val="auto"/>
        </w:rPr>
        <w:t>10.53 Form of Sempra Energy 1998 Long Term Incentive Plan, 2008 Performance-Based Restricted Stock Unit Award (2007 Sempra Energy Form 10-K, Exhibit 10.09).</w:t>
      </w:r>
    </w:p>
    <w:p>
      <w:pPr>
        <w:ind w:left="1500" w:right="100" w:hanging="494"/>
        <w:spacing w:after="0" w:line="243" w:lineRule="auto"/>
        <w:rPr>
          <w:sz w:val="20"/>
          <w:szCs w:val="20"/>
          <w:color w:val="auto"/>
        </w:rPr>
      </w:pPr>
      <w:r>
        <w:rPr>
          <w:rFonts w:ascii="Arial" w:cs="Arial" w:eastAsia="Arial" w:hAnsi="Arial"/>
          <w:sz w:val="18"/>
          <w:szCs w:val="18"/>
          <w:color w:val="auto"/>
        </w:rPr>
        <w:t>10.54 Form of Sempra Energy 1998 Long Term Incentive Plan, 2008 Non-Qualified Stock Option Agreement (2007 Sempra Energy Form 10-K, Exhibit 10.10).</w:t>
      </w:r>
    </w:p>
    <w:p>
      <w:pPr>
        <w:spacing w:after="0" w:line="18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10.55 Amended and Restated Sempra Energy 1998 Long-Term Incentive Plan (June 30, 2003 Sempra Energy Form 10-Q, Exhibit 10.2).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205" w:lineRule="exact"/>
        <w:rPr>
          <w:sz w:val="20"/>
          <w:szCs w:val="20"/>
          <w:color w:val="auto"/>
        </w:rPr>
      </w:pPr>
    </w:p>
    <w:p>
      <w:pPr>
        <w:ind w:left="1500" w:right="340" w:hanging="494"/>
        <w:spacing w:after="0" w:line="262" w:lineRule="auto"/>
        <w:rPr>
          <w:sz w:val="20"/>
          <w:szCs w:val="20"/>
          <w:color w:val="auto"/>
        </w:rPr>
      </w:pPr>
      <w:r>
        <w:rPr>
          <w:rFonts w:ascii="Arial" w:cs="Arial" w:eastAsia="Arial" w:hAnsi="Arial"/>
          <w:sz w:val="18"/>
          <w:szCs w:val="18"/>
          <w:color w:val="auto"/>
        </w:rPr>
        <w:t>10.56 Form of Sempra Energy 2008 Long Term Incentive Plan, 2010 Restricted Stock Unit Award for Sempra Energy’s Board of Directors (Sempra Energy June 30, 2010 Form 10-Q, Exhibit 10.2).</w:t>
      </w:r>
    </w:p>
    <w:p>
      <w:pPr>
        <w:spacing w:after="0" w:line="169" w:lineRule="exact"/>
        <w:rPr>
          <w:sz w:val="20"/>
          <w:szCs w:val="20"/>
          <w:color w:val="auto"/>
        </w:rPr>
      </w:pPr>
    </w:p>
    <w:p>
      <w:pPr>
        <w:ind w:left="1500" w:right="40" w:hanging="494"/>
        <w:spacing w:after="0" w:line="291" w:lineRule="auto"/>
        <w:rPr>
          <w:sz w:val="20"/>
          <w:szCs w:val="20"/>
          <w:color w:val="auto"/>
        </w:rPr>
      </w:pPr>
      <w:r>
        <w:rPr>
          <w:rFonts w:ascii="Arial" w:cs="Arial" w:eastAsia="Arial" w:hAnsi="Arial"/>
          <w:sz w:val="17"/>
          <w:szCs w:val="17"/>
          <w:color w:val="auto"/>
        </w:rPr>
        <w:t>10.57 Sempra Energy 2008 Long Term Incentive Plan for EnergySouth, Inc. Employees and Other Eligible Individuals (Registration Statement on Form S-8 Sempra Energy Registration Statement No. 333-155191 dated November 7, 2008, Exhibit 10.1).</w:t>
      </w:r>
    </w:p>
    <w:p>
      <w:pPr>
        <w:spacing w:after="0" w:line="147" w:lineRule="exact"/>
        <w:rPr>
          <w:sz w:val="20"/>
          <w:szCs w:val="20"/>
          <w:color w:val="auto"/>
        </w:rPr>
      </w:pPr>
    </w:p>
    <w:p>
      <w:pPr>
        <w:ind w:left="1500" w:right="440" w:hanging="494"/>
        <w:spacing w:after="0" w:line="262" w:lineRule="auto"/>
        <w:rPr>
          <w:sz w:val="20"/>
          <w:szCs w:val="20"/>
          <w:color w:val="auto"/>
        </w:rPr>
      </w:pPr>
      <w:r>
        <w:rPr>
          <w:rFonts w:ascii="Arial" w:cs="Arial" w:eastAsia="Arial" w:hAnsi="Arial"/>
          <w:sz w:val="18"/>
          <w:szCs w:val="18"/>
          <w:color w:val="auto"/>
        </w:rPr>
        <w:t>10.58 Form of Sempra Energy 2008 Non-Employee Directors’ Stock Plan, Nonqualified Stock Option Agreement (June 30, 2008 Sempra Energy Form 10-Q, Exhibit 10.5).</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10.59 Sempra Energy Amended and Restated Sempra Energy Retirement Plan for Directors (June 30, 2008 Sempra Energy Form 10-Q, Exhibit</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10.7).</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10.60 Form of Sempra Energy 1998 Non-Employee Directors’ Stock Plan Non-Qualified Stock Option Agreement (2006 Sempra Energy Form</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10-K, Exhibit 10.09).</w:t>
      </w:r>
    </w:p>
    <w:p>
      <w:pPr>
        <w:spacing w:after="0" w:line="196" w:lineRule="exact"/>
        <w:rPr>
          <w:sz w:val="20"/>
          <w:szCs w:val="20"/>
          <w:color w:val="auto"/>
        </w:rPr>
      </w:pPr>
    </w:p>
    <w:p>
      <w:pPr>
        <w:ind w:left="1500" w:right="100" w:hanging="494"/>
        <w:spacing w:after="0" w:line="262" w:lineRule="auto"/>
        <w:rPr>
          <w:sz w:val="20"/>
          <w:szCs w:val="20"/>
          <w:color w:val="auto"/>
        </w:rPr>
      </w:pPr>
      <w:r>
        <w:rPr>
          <w:rFonts w:ascii="Arial" w:cs="Arial" w:eastAsia="Arial" w:hAnsi="Arial"/>
          <w:sz w:val="18"/>
          <w:szCs w:val="18"/>
          <w:color w:val="auto"/>
        </w:rPr>
        <w:t>10.61 Sempra Energy 1998 Non-Employee Directors’ Stock Plan (Registration Statement on Form S-8 Sempra Energy Registration Statement No. 333-56161 dated June 5, 1998, Exhibit 4.2).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 San Diego Gas &amp; Electric Company</w:t>
      </w:r>
    </w:p>
    <w:p>
      <w:pPr>
        <w:spacing w:after="0" w:line="205" w:lineRule="exact"/>
        <w:rPr>
          <w:sz w:val="20"/>
          <w:szCs w:val="20"/>
          <w:color w:val="auto"/>
        </w:rPr>
      </w:pPr>
    </w:p>
    <w:p>
      <w:pPr>
        <w:ind w:left="1420" w:right="400" w:hanging="494"/>
        <w:spacing w:after="0" w:line="262" w:lineRule="auto"/>
        <w:rPr>
          <w:sz w:val="20"/>
          <w:szCs w:val="20"/>
          <w:color w:val="auto"/>
        </w:rPr>
      </w:pPr>
      <w:r>
        <w:rPr>
          <w:rFonts w:ascii="Arial" w:cs="Arial" w:eastAsia="Arial" w:hAnsi="Arial"/>
          <w:sz w:val="18"/>
          <w:szCs w:val="18"/>
          <w:color w:val="auto"/>
        </w:rPr>
        <w:t>10.62 Nuclear Facilities Qualified CPUC Decommissioning Master Trust Agreement for San Onofre Nuclear Generating Station, approved November 25, 1987 (1992 SDG&amp;E Form 10-K, Exhibit 10.7).</w:t>
      </w:r>
    </w:p>
    <w:p>
      <w:pPr>
        <w:spacing w:after="0" w:line="169" w:lineRule="exact"/>
        <w:rPr>
          <w:sz w:val="20"/>
          <w:szCs w:val="20"/>
          <w:color w:val="auto"/>
        </w:rPr>
      </w:pPr>
    </w:p>
    <w:p>
      <w:pPr>
        <w:ind w:left="1420" w:right="500" w:hanging="494"/>
        <w:spacing w:after="0" w:line="262" w:lineRule="auto"/>
        <w:rPr>
          <w:sz w:val="20"/>
          <w:szCs w:val="20"/>
          <w:color w:val="auto"/>
        </w:rPr>
      </w:pPr>
      <w:r>
        <w:rPr>
          <w:rFonts w:ascii="Arial" w:cs="Arial" w:eastAsia="Arial" w:hAnsi="Arial"/>
          <w:sz w:val="18"/>
          <w:szCs w:val="18"/>
          <w:color w:val="auto"/>
        </w:rPr>
        <w:t>10.63 Amendment No. 1 to the Qualified CPUC Decommissioning Master Trust Agreement dated September 22, 1994 (see Exhibit 10.62 above)(1994 SDG&amp;E Form 10-K, Exhibit 10.56).</w:t>
      </w:r>
    </w:p>
    <w:p>
      <w:pPr>
        <w:spacing w:after="0" w:line="169" w:lineRule="exact"/>
        <w:rPr>
          <w:sz w:val="20"/>
          <w:szCs w:val="20"/>
          <w:color w:val="auto"/>
        </w:rPr>
      </w:pPr>
    </w:p>
    <w:p>
      <w:pPr>
        <w:jc w:val="center"/>
        <w:ind w:left="660" w:right="520"/>
        <w:spacing w:after="0" w:line="291" w:lineRule="auto"/>
        <w:rPr>
          <w:sz w:val="20"/>
          <w:szCs w:val="20"/>
          <w:color w:val="auto"/>
        </w:rPr>
      </w:pPr>
      <w:r>
        <w:rPr>
          <w:rFonts w:ascii="Arial" w:cs="Arial" w:eastAsia="Arial" w:hAnsi="Arial"/>
          <w:sz w:val="17"/>
          <w:szCs w:val="17"/>
          <w:color w:val="auto"/>
        </w:rPr>
        <w:t>10.64 Second Amendment to the San Diego Gas &amp; Electric Company Nuclear Facilities Qualified CPUC Decommissioning Master Trust Agreement for San Onofre Nuclear Generating Station (see Exhibit 10.62 above)(1994 SDG&amp;E Form 10-K, Exhibit 10.57).</w:t>
      </w:r>
    </w:p>
    <w:p>
      <w:pPr>
        <w:spacing w:after="0" w:line="147" w:lineRule="exact"/>
        <w:rPr>
          <w:sz w:val="20"/>
          <w:szCs w:val="20"/>
          <w:color w:val="auto"/>
        </w:rPr>
      </w:pPr>
    </w:p>
    <w:p>
      <w:pPr>
        <w:ind w:left="1420" w:right="660" w:hanging="494"/>
        <w:spacing w:after="0" w:line="324" w:lineRule="auto"/>
        <w:rPr>
          <w:sz w:val="20"/>
          <w:szCs w:val="20"/>
          <w:color w:val="auto"/>
        </w:rPr>
      </w:pPr>
      <w:r>
        <w:rPr>
          <w:rFonts w:ascii="Arial" w:cs="Arial" w:eastAsia="Arial" w:hAnsi="Arial"/>
          <w:sz w:val="16"/>
          <w:szCs w:val="16"/>
          <w:color w:val="auto"/>
        </w:rPr>
        <w:t>10.65 Third Amendment to the San Diego Gas &amp; Electric Company Nuclear Facilities Qualified CPUC Decommissioning Master Trust Agreement for San Onofre Nuclear Generating Station (see Exhibit 10.62 above)(1996 SDG&amp;E Form 10-K, Exhibit 10.59).</w:t>
      </w:r>
    </w:p>
    <w:p>
      <w:pPr>
        <w:spacing w:after="0" w:line="124" w:lineRule="exact"/>
        <w:rPr>
          <w:sz w:val="20"/>
          <w:szCs w:val="20"/>
          <w:color w:val="auto"/>
        </w:rPr>
      </w:pPr>
    </w:p>
    <w:p>
      <w:pPr>
        <w:jc w:val="center"/>
        <w:ind w:left="600" w:right="580"/>
        <w:spacing w:after="0" w:line="291" w:lineRule="auto"/>
        <w:rPr>
          <w:sz w:val="20"/>
          <w:szCs w:val="20"/>
          <w:color w:val="auto"/>
        </w:rPr>
      </w:pPr>
      <w:r>
        <w:rPr>
          <w:rFonts w:ascii="Arial" w:cs="Arial" w:eastAsia="Arial" w:hAnsi="Arial"/>
          <w:sz w:val="17"/>
          <w:szCs w:val="17"/>
          <w:color w:val="auto"/>
        </w:rPr>
        <w:t>10.66 Fourth Amendment to the San Diego Gas &amp; Electric Company Nuclear Facilities Qualified CPUC Decommissioning Master Trust Agreement for San Onofre Nuclear Generating Station (see Exhibit 10.62 above)(1996 SDG&amp;E Form 10-K, Exhibit 10.60).</w:t>
      </w:r>
    </w:p>
    <w:p>
      <w:pPr>
        <w:spacing w:after="0" w:line="147" w:lineRule="exact"/>
        <w:rPr>
          <w:sz w:val="20"/>
          <w:szCs w:val="20"/>
          <w:color w:val="auto"/>
        </w:rPr>
      </w:pPr>
    </w:p>
    <w:p>
      <w:pPr>
        <w:ind w:left="1420" w:right="700" w:hanging="494"/>
        <w:spacing w:after="0" w:line="324" w:lineRule="auto"/>
        <w:rPr>
          <w:sz w:val="20"/>
          <w:szCs w:val="20"/>
          <w:color w:val="auto"/>
        </w:rPr>
      </w:pPr>
      <w:r>
        <w:rPr>
          <w:rFonts w:ascii="Arial" w:cs="Arial" w:eastAsia="Arial" w:hAnsi="Arial"/>
          <w:sz w:val="16"/>
          <w:szCs w:val="16"/>
          <w:color w:val="auto"/>
        </w:rPr>
        <w:t>10.67 Fifth Amendment to the San Diego Gas &amp; Electric Company Nuclear Facilities Qualified CPUC Decommissioning Master Trust Agreement for San Onofre Nuclear Generating Station (see Exhibit 10.62 above)(1999 SDG&amp;E Form 10-K, Exhibit 10.26).</w:t>
      </w:r>
    </w:p>
    <w:p>
      <w:pPr>
        <w:spacing w:after="0" w:line="124" w:lineRule="exact"/>
        <w:rPr>
          <w:sz w:val="20"/>
          <w:szCs w:val="20"/>
          <w:color w:val="auto"/>
        </w:rPr>
      </w:pPr>
    </w:p>
    <w:p>
      <w:pPr>
        <w:ind w:left="1420" w:right="680" w:hanging="494"/>
        <w:spacing w:after="0" w:line="324" w:lineRule="auto"/>
        <w:rPr>
          <w:sz w:val="20"/>
          <w:szCs w:val="20"/>
          <w:color w:val="auto"/>
        </w:rPr>
      </w:pPr>
      <w:r>
        <w:rPr>
          <w:rFonts w:ascii="Arial" w:cs="Arial" w:eastAsia="Arial" w:hAnsi="Arial"/>
          <w:sz w:val="16"/>
          <w:szCs w:val="16"/>
          <w:color w:val="auto"/>
        </w:rPr>
        <w:t>10.68 Sixth Amendment to the San Diego Gas &amp; Electric Company Nuclear Facilities Qualified CPUC Decommissioning Master Trust Agreement for San Onofre Nuclear Generating Station (see Exhibit 10.62 above)(1999 SDG&amp;E Form 10-K, Exhibit 10.27).</w:t>
      </w:r>
    </w:p>
    <w:p>
      <w:pPr>
        <w:spacing w:after="0" w:line="124" w:lineRule="exact"/>
        <w:rPr>
          <w:sz w:val="20"/>
          <w:szCs w:val="20"/>
          <w:color w:val="auto"/>
        </w:rPr>
      </w:pPr>
    </w:p>
    <w:p>
      <w:pPr>
        <w:ind w:left="1420" w:right="240" w:hanging="494"/>
        <w:spacing w:after="0" w:line="248" w:lineRule="auto"/>
        <w:rPr>
          <w:sz w:val="20"/>
          <w:szCs w:val="20"/>
          <w:color w:val="auto"/>
        </w:rPr>
      </w:pPr>
      <w:r>
        <w:rPr>
          <w:rFonts w:ascii="Arial" w:cs="Arial" w:eastAsia="Arial" w:hAnsi="Arial"/>
          <w:sz w:val="18"/>
          <w:szCs w:val="18"/>
          <w:color w:val="auto"/>
        </w:rPr>
        <w:t>10.69 Seventh Amendment to the San Diego Gas &amp; Electric Company Nuclear Facilities Qualified CPUC Decommissioning Master Trust Agreement for San Onofre Nuclear Generating Station dated December 24, 2003 (see Exhibit 10.62 above)(2003 Sempra Energy Form 10-K, Exhibit 10.42).</w:t>
      </w:r>
    </w:p>
    <w:p>
      <w:pPr>
        <w:spacing w:after="0" w:line="182" w:lineRule="exact"/>
        <w:rPr>
          <w:sz w:val="20"/>
          <w:szCs w:val="20"/>
          <w:color w:val="auto"/>
        </w:rPr>
      </w:pPr>
    </w:p>
    <w:p>
      <w:pPr>
        <w:ind w:left="1420" w:right="580" w:hanging="494"/>
        <w:spacing w:after="0" w:line="291" w:lineRule="auto"/>
        <w:rPr>
          <w:sz w:val="20"/>
          <w:szCs w:val="20"/>
          <w:color w:val="auto"/>
        </w:rPr>
      </w:pPr>
      <w:r>
        <w:rPr>
          <w:rFonts w:ascii="Arial" w:cs="Arial" w:eastAsia="Arial" w:hAnsi="Arial"/>
          <w:sz w:val="17"/>
          <w:szCs w:val="17"/>
          <w:color w:val="auto"/>
        </w:rPr>
        <w:t>10.70 Eighth Amendment to the San Diego Gas &amp; Electric Company Nuclear Facilities Qualified CPUC Decommissioning Master Trust Agreement for San Onofre Nuclear Generating Station dated October 12, 2011 (see Exhibit 10.62 above).</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10.71 Nuclear Facilities Non-Qualified CPUC Decommissioning Master Trust Agreement for San Onofre Nuclear Generating Station, approved</w:t>
      </w:r>
    </w:p>
    <w:p>
      <w:pPr>
        <w:sectPr>
          <w:pgSz w:w="11900" w:h="16838" w:orient="portrait"/>
          <w:cols w:equalWidth="0" w:num="1">
            <w:col w:w="11400"/>
          </w:cols>
          <w:pgMar w:left="240" w:top="341" w:right="259" w:bottom="0" w:gutter="0" w:footer="0" w:header="0"/>
        </w:sectPr>
      </w:pPr>
    </w:p>
    <w:bookmarkStart w:id="41" w:name="page42"/>
    <w:bookmarkEnd w:id="41"/>
    <w:p>
      <w:pPr>
        <w:ind w:left="1420"/>
        <w:spacing w:after="0"/>
        <w:rPr>
          <w:sz w:val="20"/>
          <w:szCs w:val="20"/>
          <w:color w:val="auto"/>
        </w:rPr>
      </w:pPr>
      <w:r>
        <w:rPr>
          <w:rFonts w:ascii="Arial" w:cs="Arial" w:eastAsia="Arial" w:hAnsi="Arial"/>
          <w:sz w:val="18"/>
          <w:szCs w:val="18"/>
          <w:color w:val="auto"/>
        </w:rPr>
        <w:t>November 25, 1987 (1992 SDG&amp;E Form 10-K, Exhibit 10.8).</w:t>
      </w:r>
    </w:p>
    <w:p>
      <w:pPr>
        <w:spacing w:after="0" w:line="212" w:lineRule="exact"/>
        <w:rPr>
          <w:sz w:val="20"/>
          <w:szCs w:val="20"/>
          <w:color w:val="auto"/>
        </w:rPr>
      </w:pPr>
    </w:p>
    <w:p>
      <w:pPr>
        <w:ind w:left="1420" w:right="280" w:hanging="494"/>
        <w:spacing w:after="0" w:line="291" w:lineRule="auto"/>
        <w:rPr>
          <w:sz w:val="20"/>
          <w:szCs w:val="20"/>
          <w:color w:val="auto"/>
        </w:rPr>
      </w:pPr>
      <w:r>
        <w:rPr>
          <w:rFonts w:ascii="Arial" w:cs="Arial" w:eastAsia="Arial" w:hAnsi="Arial"/>
          <w:sz w:val="17"/>
          <w:szCs w:val="17"/>
          <w:color w:val="auto"/>
        </w:rPr>
        <w:t>10.72 First Amendment to the San Diego Gas &amp; Electric Company Nuclear Facilities Non-Qualified CPUC Decommissioning Master Trust Agreement for San Onofre Nuclear Generating Station (see Exhibit 10.71 above)(1996 SDG&amp;E Form 10-K, Exhibit 10.62).</w:t>
      </w:r>
    </w:p>
    <w:p>
      <w:pPr>
        <w:spacing w:after="0" w:line="147" w:lineRule="exact"/>
        <w:rPr>
          <w:sz w:val="20"/>
          <w:szCs w:val="20"/>
          <w:color w:val="auto"/>
        </w:rPr>
      </w:pPr>
    </w:p>
    <w:p>
      <w:pPr>
        <w:ind w:left="1420" w:right="80" w:hanging="494"/>
        <w:spacing w:after="0" w:line="291" w:lineRule="auto"/>
        <w:rPr>
          <w:sz w:val="20"/>
          <w:szCs w:val="20"/>
          <w:color w:val="auto"/>
        </w:rPr>
      </w:pPr>
      <w:r>
        <w:rPr>
          <w:rFonts w:ascii="Arial" w:cs="Arial" w:eastAsia="Arial" w:hAnsi="Arial"/>
          <w:sz w:val="17"/>
          <w:szCs w:val="17"/>
          <w:color w:val="auto"/>
        </w:rPr>
        <w:t>10.73 Second Amendment to the San Diego Gas &amp; Electric Company Nuclear Facilities Non-Qualified CPUC Decommissioning Master Trust Agreement for San Onofre Nuclear Generating Station (see Exhibit 10.71 above)(1996 SDG&amp;E Form 10-K, Exhibit 10.63).</w:t>
      </w:r>
    </w:p>
    <w:p>
      <w:pPr>
        <w:spacing w:after="0" w:line="147" w:lineRule="exact"/>
        <w:rPr>
          <w:sz w:val="20"/>
          <w:szCs w:val="20"/>
          <w:color w:val="auto"/>
        </w:rPr>
      </w:pPr>
    </w:p>
    <w:p>
      <w:pPr>
        <w:ind w:left="1420" w:right="200" w:hanging="494"/>
        <w:spacing w:after="0" w:line="291" w:lineRule="auto"/>
        <w:rPr>
          <w:sz w:val="20"/>
          <w:szCs w:val="20"/>
          <w:color w:val="auto"/>
        </w:rPr>
      </w:pPr>
      <w:r>
        <w:rPr>
          <w:rFonts w:ascii="Arial" w:cs="Arial" w:eastAsia="Arial" w:hAnsi="Arial"/>
          <w:sz w:val="17"/>
          <w:szCs w:val="17"/>
          <w:color w:val="auto"/>
        </w:rPr>
        <w:t>10.74 Third Amendment to the San Diego Gas &amp; Electric Company Nuclear Facilities Non-Qualified CPUC Decommissioning Master Trust Agreement for San Onofre Nuclear Generating Station (see Exhibit 10.71 above)(1999 SDG&amp;E Form 10-K, Exhibit 10.31).</w:t>
      </w:r>
    </w:p>
    <w:p>
      <w:pPr>
        <w:spacing w:after="0" w:line="147" w:lineRule="exact"/>
        <w:rPr>
          <w:sz w:val="20"/>
          <w:szCs w:val="20"/>
          <w:color w:val="auto"/>
        </w:rPr>
      </w:pPr>
    </w:p>
    <w:p>
      <w:pPr>
        <w:ind w:left="1420" w:right="120" w:hanging="494"/>
        <w:spacing w:after="0" w:line="291" w:lineRule="auto"/>
        <w:rPr>
          <w:sz w:val="20"/>
          <w:szCs w:val="20"/>
          <w:color w:val="auto"/>
        </w:rPr>
      </w:pPr>
      <w:r>
        <w:rPr>
          <w:rFonts w:ascii="Arial" w:cs="Arial" w:eastAsia="Arial" w:hAnsi="Arial"/>
          <w:sz w:val="17"/>
          <w:szCs w:val="17"/>
          <w:color w:val="auto"/>
        </w:rPr>
        <w:t>10.75 Fourth Amendment to the San Diego Gas &amp; Electric Company Nuclear Facilities Non-Qualified CPUC Decommissioning Master Trust Agreement for San Onofre Nuclear Generating Station (see Exhibit 10.71 above)(1999 SDG&amp;E Form 10-K, Exhibit 10.32).</w:t>
      </w:r>
    </w:p>
    <w:p>
      <w:pPr>
        <w:spacing w:after="0" w:line="147" w:lineRule="exact"/>
        <w:rPr>
          <w:sz w:val="20"/>
          <w:szCs w:val="20"/>
          <w:color w:val="auto"/>
        </w:rPr>
      </w:pPr>
    </w:p>
    <w:p>
      <w:pPr>
        <w:ind w:left="1420" w:right="160" w:hanging="494"/>
        <w:spacing w:after="0" w:line="248" w:lineRule="auto"/>
        <w:rPr>
          <w:sz w:val="20"/>
          <w:szCs w:val="20"/>
          <w:color w:val="auto"/>
        </w:rPr>
      </w:pPr>
      <w:r>
        <w:rPr>
          <w:rFonts w:ascii="Arial" w:cs="Arial" w:eastAsia="Arial" w:hAnsi="Arial"/>
          <w:sz w:val="18"/>
          <w:szCs w:val="18"/>
          <w:color w:val="auto"/>
        </w:rPr>
        <w:t>10.76 Fifth Amendment to the San Diego Gas &amp; Electric Company Nuclear Facilities Non-Qualified CPUC Decommissioning Master Trust Agreement for San Onofre Nuclear Generating Station dated December 24, 2003 (see Exhibit 10.71 above)(2003 Sempra Energy Form 10-K, Exhibit 10.48).</w:t>
      </w:r>
    </w:p>
    <w:p>
      <w:pPr>
        <w:spacing w:after="0" w:line="182" w:lineRule="exact"/>
        <w:rPr>
          <w:sz w:val="20"/>
          <w:szCs w:val="20"/>
          <w:color w:val="auto"/>
        </w:rPr>
      </w:pPr>
    </w:p>
    <w:p>
      <w:pPr>
        <w:ind w:left="1420" w:right="220" w:hanging="494"/>
        <w:spacing w:after="0" w:line="262" w:lineRule="auto"/>
        <w:rPr>
          <w:sz w:val="20"/>
          <w:szCs w:val="20"/>
          <w:color w:val="auto"/>
        </w:rPr>
      </w:pPr>
      <w:r>
        <w:rPr>
          <w:rFonts w:ascii="Arial" w:cs="Arial" w:eastAsia="Arial" w:hAnsi="Arial"/>
          <w:sz w:val="18"/>
          <w:szCs w:val="18"/>
          <w:color w:val="auto"/>
        </w:rPr>
        <w:t>10.77 Sixth Amendment to the San Diego Gas &amp; Electric Company Nuclear Facilities Non-Qualified CPUC Decommissioning Master Trust Agreement for San Onofre Nuclear Generating Station dated October 12, 2011 (see Exhibit 10.71 above).</w:t>
      </w:r>
    </w:p>
    <w:p>
      <w:pPr>
        <w:spacing w:after="0" w:line="169" w:lineRule="exact"/>
        <w:rPr>
          <w:sz w:val="20"/>
          <w:szCs w:val="20"/>
          <w:color w:val="auto"/>
        </w:rPr>
      </w:pPr>
    </w:p>
    <w:p>
      <w:pPr>
        <w:ind w:left="1420" w:right="20" w:hanging="494"/>
        <w:spacing w:after="0" w:line="262" w:lineRule="auto"/>
        <w:rPr>
          <w:sz w:val="20"/>
          <w:szCs w:val="20"/>
          <w:color w:val="auto"/>
        </w:rPr>
      </w:pPr>
      <w:r>
        <w:rPr>
          <w:rFonts w:ascii="Arial" w:cs="Arial" w:eastAsia="Arial" w:hAnsi="Arial"/>
          <w:sz w:val="18"/>
          <w:szCs w:val="18"/>
          <w:color w:val="auto"/>
        </w:rPr>
        <w:t>10.78 Second Amended San Onofre Operating Agreement among Southern California Edison Company, SDG&amp;E, the City of Anaheim and the City of Riverside, dated February 26, 1987 (1990 SDG&amp;E Form 10-K, Exhibit 10.6).</w:t>
      </w:r>
    </w:p>
    <w:p>
      <w:pPr>
        <w:spacing w:after="0" w:line="169" w:lineRule="exact"/>
        <w:rPr>
          <w:sz w:val="20"/>
          <w:szCs w:val="20"/>
          <w:color w:val="auto"/>
        </w:rPr>
      </w:pPr>
    </w:p>
    <w:p>
      <w:pPr>
        <w:ind w:left="1420" w:hanging="494"/>
        <w:spacing w:after="0" w:line="248" w:lineRule="auto"/>
        <w:rPr>
          <w:sz w:val="20"/>
          <w:szCs w:val="20"/>
          <w:color w:val="auto"/>
        </w:rPr>
      </w:pPr>
      <w:r>
        <w:rPr>
          <w:rFonts w:ascii="Arial" w:cs="Arial" w:eastAsia="Arial" w:hAnsi="Arial"/>
          <w:sz w:val="18"/>
          <w:szCs w:val="18"/>
          <w:color w:val="auto"/>
        </w:rPr>
        <w:t>10.79 U. S. Department of Energy contract for disposal of spent nuclear fuel and/or high-level radioactive waste, entered into between the DOE and Southern California Edison Company, as agent for SDG&amp;E and others; Contract DE-CR01-83NE44418, dated June 10, 1983 (1988 SDG&amp;E Form 10-K, Exhibit 10N).</w:t>
      </w:r>
    </w:p>
    <w:p>
      <w:pPr>
        <w:spacing w:after="0" w:line="182" w:lineRule="exact"/>
        <w:rPr>
          <w:sz w:val="20"/>
          <w:szCs w:val="20"/>
          <w:color w:val="auto"/>
        </w:rPr>
      </w:pPr>
    </w:p>
    <w:p>
      <w:pPr>
        <w:ind w:left="1420" w:right="440" w:hanging="494"/>
        <w:spacing w:after="0" w:line="262" w:lineRule="auto"/>
        <w:rPr>
          <w:sz w:val="20"/>
          <w:szCs w:val="20"/>
          <w:color w:val="auto"/>
        </w:rPr>
      </w:pPr>
      <w:r>
        <w:rPr>
          <w:rFonts w:ascii="Arial" w:cs="Arial" w:eastAsia="Arial" w:hAnsi="Arial"/>
          <w:sz w:val="18"/>
          <w:szCs w:val="18"/>
          <w:color w:val="auto"/>
        </w:rPr>
        <w:t>10.80 San Onofre Unit No. 1 Decommissioning Agreement between Southern California Edison Company and San Diego Gas &amp; Electric Company dated March 23, 2000 (2009 Sempra Energy Form 10-K, Exhibit 10.62).</w:t>
      </w:r>
    </w:p>
    <w:p>
      <w:pPr>
        <w:spacing w:after="0" w:line="169" w:lineRule="exact"/>
        <w:rPr>
          <w:sz w:val="20"/>
          <w:szCs w:val="20"/>
          <w:color w:val="auto"/>
        </w:rPr>
      </w:pPr>
    </w:p>
    <w:p>
      <w:pPr>
        <w:ind w:left="1420" w:right="280" w:hanging="494"/>
        <w:spacing w:after="0" w:line="291" w:lineRule="auto"/>
        <w:rPr>
          <w:sz w:val="20"/>
          <w:szCs w:val="20"/>
          <w:color w:val="auto"/>
        </w:rPr>
      </w:pPr>
      <w:r>
        <w:rPr>
          <w:rFonts w:ascii="Arial" w:cs="Arial" w:eastAsia="Arial" w:hAnsi="Arial"/>
          <w:sz w:val="17"/>
          <w:szCs w:val="17"/>
          <w:color w:val="auto"/>
        </w:rPr>
        <w:t>10.81 First Amendment to the San Onofre Unit No. 1 Decommissioning Agreement between Southern California Edison Company and San Diego Gas &amp; Electric Company dated January 22, 2010 (2009 Sempra Energy Form 10-K, Exhibit 10.63).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1420" w:right="540" w:hanging="404"/>
        <w:spacing w:after="0" w:line="262" w:lineRule="auto"/>
        <w:rPr>
          <w:sz w:val="20"/>
          <w:szCs w:val="20"/>
          <w:color w:val="auto"/>
        </w:rPr>
      </w:pPr>
      <w:r>
        <w:rPr>
          <w:rFonts w:ascii="Arial" w:cs="Arial" w:eastAsia="Arial" w:hAnsi="Arial"/>
          <w:sz w:val="18"/>
          <w:szCs w:val="18"/>
          <w:color w:val="auto"/>
        </w:rPr>
        <w:t>12.1 Sempra Energy Computation of Ratio of Earnings to Combined Fixed Charges and Preferred Stock Dividends for the years ended December 31, 2011, 2010, 2009, 2008 and 2007.</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5" w:lineRule="exact"/>
        <w:rPr>
          <w:sz w:val="20"/>
          <w:szCs w:val="20"/>
          <w:color w:val="auto"/>
        </w:rPr>
      </w:pPr>
    </w:p>
    <w:p>
      <w:pPr>
        <w:ind w:left="1420" w:right="260" w:hanging="404"/>
        <w:spacing w:after="0" w:line="262" w:lineRule="auto"/>
        <w:rPr>
          <w:sz w:val="20"/>
          <w:szCs w:val="20"/>
          <w:color w:val="auto"/>
        </w:rPr>
      </w:pPr>
      <w:r>
        <w:rPr>
          <w:rFonts w:ascii="Arial" w:cs="Arial" w:eastAsia="Arial" w:hAnsi="Arial"/>
          <w:sz w:val="18"/>
          <w:szCs w:val="18"/>
          <w:color w:val="auto"/>
        </w:rPr>
        <w:t>12.2 San Diego Gas &amp; Electric Computation of Ratio of Earnings to Combined Fixed Charges and Preferred Stock Dividends for the years ended December 31, 2011, 2010, 2009, 2008 and 2007.</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5" w:lineRule="exact"/>
        <w:rPr>
          <w:sz w:val="20"/>
          <w:szCs w:val="20"/>
          <w:color w:val="auto"/>
        </w:rPr>
      </w:pPr>
    </w:p>
    <w:p>
      <w:pPr>
        <w:ind w:left="1420" w:right="60" w:hanging="404"/>
        <w:spacing w:after="0" w:line="262" w:lineRule="auto"/>
        <w:rPr>
          <w:sz w:val="20"/>
          <w:szCs w:val="20"/>
          <w:color w:val="auto"/>
        </w:rPr>
      </w:pPr>
      <w:r>
        <w:rPr>
          <w:rFonts w:ascii="Arial" w:cs="Arial" w:eastAsia="Arial" w:hAnsi="Arial"/>
          <w:sz w:val="18"/>
          <w:szCs w:val="18"/>
          <w:color w:val="auto"/>
        </w:rPr>
        <w:t>12.3 Southern California Gas Company Computation of Ratio of Earnings to Combined Fixed Charges and Preferred Stock Dividends for the years ended December 31, 2011, 2010, 2009, 2008 and 2007.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13 -- ANNUAL REPORT TO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San Diego Gas &amp; Electric Company / Southern California Gas Company</w:t>
      </w:r>
    </w:p>
    <w:p>
      <w:pPr>
        <w:spacing w:after="0" w:line="205" w:lineRule="exact"/>
        <w:rPr>
          <w:sz w:val="20"/>
          <w:szCs w:val="20"/>
          <w:color w:val="auto"/>
        </w:rPr>
      </w:pPr>
    </w:p>
    <w:p>
      <w:pPr>
        <w:ind w:left="1420" w:right="200" w:hanging="404"/>
        <w:spacing w:after="0" w:line="248" w:lineRule="auto"/>
        <w:rPr>
          <w:sz w:val="20"/>
          <w:szCs w:val="20"/>
          <w:color w:val="auto"/>
        </w:rPr>
      </w:pPr>
      <w:r>
        <w:rPr>
          <w:rFonts w:ascii="Arial" w:cs="Arial" w:eastAsia="Arial" w:hAnsi="Arial"/>
          <w:sz w:val="18"/>
          <w:szCs w:val="18"/>
          <w:color w:val="auto"/>
        </w:rPr>
        <w:t>13.1 Sempra Energy 2011 Annual Report to Shareholders. (Such report, except for the portions thereof which are expressly incorporated by reference in this Annual Report, is furnished for the information of the Securities and Exchange Commission and is not to be deemed “filed” as part of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14 -- CODE OF ETHICS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auto"/>
        </w:rPr>
        <w:t>San Diego Gas &amp; Electric Company / Southern California Gas Company</w:t>
      </w:r>
    </w:p>
    <w:p>
      <w:pPr>
        <w:spacing w:after="0" w:line="205" w:lineRule="exact"/>
        <w:rPr>
          <w:sz w:val="20"/>
          <w:szCs w:val="20"/>
          <w:color w:val="auto"/>
        </w:rPr>
      </w:pPr>
    </w:p>
    <w:p>
      <w:pPr>
        <w:ind w:left="1420" w:right="20" w:hanging="404"/>
        <w:spacing w:after="0" w:line="324" w:lineRule="auto"/>
        <w:rPr>
          <w:sz w:val="20"/>
          <w:szCs w:val="20"/>
          <w:color w:val="auto"/>
        </w:rPr>
      </w:pPr>
      <w:r>
        <w:rPr>
          <w:rFonts w:ascii="Arial" w:cs="Arial" w:eastAsia="Arial" w:hAnsi="Arial"/>
          <w:sz w:val="16"/>
          <w:szCs w:val="16"/>
          <w:color w:val="auto"/>
        </w:rPr>
        <w:t>14.1 Sempra Energy Code of Business Conduct and Ethics for Board of Directors and Senior Officers (also applies to directors and officers of San Diego Gas &amp; Electric Company and Southern California Gas Company) (2006 SDG&amp;E and SoCalGas Forms 10-K, Exhibit 14.01).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21 --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21.1 Sempra Energy Schedule of Significant Subsidiaries at December 31,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23 -- CONSENTS OF EXPERTS AND COUNSEL</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23.1 Consents of Independent Registered Public Accounting Firm and Report on Schedule, pages 40 through 42.</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23.2 Consent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ectPr>
          <w:pgSz w:w="11900" w:h="16838" w:orient="portrait"/>
          <w:cols w:equalWidth="0" w:num="1">
            <w:col w:w="11320"/>
          </w:cols>
          <w:pgMar w:left="240" w:top="125" w:right="339" w:bottom="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31.1 Statement of Sempra Energy’s Chief Executive Officer pursuant to Rules 13a-14 and 15d-14 of the Securities Exchange Act of 1934.</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31.2 Statement of Sempra Energy’s Chief Financial Officer pursuant to Rules 13a-14 and 15d-14 of the 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5" w:lineRule="exact"/>
        <w:rPr>
          <w:sz w:val="20"/>
          <w:szCs w:val="20"/>
          <w:color w:val="auto"/>
        </w:rPr>
      </w:pPr>
    </w:p>
    <w:p>
      <w:pPr>
        <w:ind w:left="1420" w:right="580" w:hanging="404"/>
        <w:spacing w:after="0" w:line="262"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169" w:lineRule="exact"/>
        <w:rPr>
          <w:sz w:val="20"/>
          <w:szCs w:val="20"/>
          <w:color w:val="auto"/>
        </w:rPr>
      </w:pPr>
    </w:p>
    <w:p>
      <w:pPr>
        <w:ind w:left="1420" w:right="640" w:hanging="404"/>
        <w:spacing w:after="0" w:line="262"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5" w:lineRule="exact"/>
        <w:rPr>
          <w:sz w:val="20"/>
          <w:szCs w:val="20"/>
          <w:color w:val="auto"/>
        </w:rPr>
      </w:pPr>
    </w:p>
    <w:p>
      <w:pPr>
        <w:ind w:left="1420" w:right="700" w:hanging="404"/>
        <w:spacing w:after="0" w:line="262"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169" w:lineRule="exact"/>
        <w:rPr>
          <w:sz w:val="20"/>
          <w:szCs w:val="20"/>
          <w:color w:val="auto"/>
        </w:rPr>
      </w:pPr>
    </w:p>
    <w:p>
      <w:pPr>
        <w:ind w:left="1420" w:hanging="404"/>
        <w:spacing w:after="0" w:line="262"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32.5 Statement of Southern California Gas Company’s Chief Executive Officer pursuant to 18 U.S.C. Sec. 1350.</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32.6 Statement of Southern California Gas Company’s Chief Financial Officer pursuant to 18 U.S.C. Sec. 1350.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99 – ADDITIONAL EXHIBITS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1420" w:right="680" w:hanging="404"/>
        <w:spacing w:after="0" w:line="262" w:lineRule="auto"/>
        <w:rPr>
          <w:sz w:val="20"/>
          <w:szCs w:val="20"/>
          <w:color w:val="auto"/>
        </w:rPr>
      </w:pPr>
      <w:r>
        <w:rPr>
          <w:rFonts w:ascii="Arial" w:cs="Arial" w:eastAsia="Arial" w:hAnsi="Arial"/>
          <w:sz w:val="18"/>
          <w:szCs w:val="18"/>
          <w:color w:val="auto"/>
        </w:rPr>
        <w:t>99.1 The unaudited consolidated financial statements of RBS Sempra Commodities LLP and Subsidiaries as of and for the year ended December 31, 2010 (Sempra Energy 2010 Form 10-K/A, Exhibit 99.1).</w:t>
      </w:r>
    </w:p>
    <w:p>
      <w:pPr>
        <w:spacing w:after="0" w:line="169" w:lineRule="exact"/>
        <w:rPr>
          <w:sz w:val="20"/>
          <w:szCs w:val="20"/>
          <w:color w:val="auto"/>
        </w:rPr>
      </w:pPr>
    </w:p>
    <w:p>
      <w:pPr>
        <w:ind w:left="1420" w:right="180" w:hanging="404"/>
        <w:spacing w:after="0" w:line="270" w:lineRule="auto"/>
        <w:rPr>
          <w:sz w:val="20"/>
          <w:szCs w:val="20"/>
          <w:color w:val="auto"/>
        </w:rPr>
      </w:pPr>
      <w:r>
        <w:rPr>
          <w:rFonts w:ascii="Arial" w:cs="Arial" w:eastAsia="Arial" w:hAnsi="Arial"/>
          <w:sz w:val="17"/>
          <w:szCs w:val="17"/>
          <w:color w:val="auto"/>
        </w:rPr>
        <w:t>99.2 The audited consolidated financial statements of RBS Sempra Commodities LLP and Subsidiaries as of December 31, 2009, and for the year ended December 31, 2009, and the period from April 1, 2008 (Date of Commencement) to December 31, 2008, and Report of Independent Registered Public Accounting Firm (Sempra Energy 2010 Form 10-K/A, Exhibit 99.2).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101.INS XBRL Instance Document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101.SCH XBRL Taxonomy Extension Schema Document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101.LAB XBRL Taxonomy Extension Label Linkbase Document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101.PRE XBRL Taxonomy Extension Presentation Linkbase Document</w:t>
      </w:r>
    </w:p>
    <w:p>
      <w:pPr>
        <w:sectPr>
          <w:pgSz w:w="11900" w:h="16838" w:orient="portrait"/>
          <w:cols w:equalWidth="0" w:num="1">
            <w:col w:w="11400"/>
          </w:cols>
          <w:pgMar w:left="240" w:top="339"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Annual Report</w:t>
            </w:r>
          </w:p>
        </w:tc>
        <w:tc>
          <w:tcPr>
            <w:tcW w:w="3820" w:type="dxa"/>
            <w:vAlign w:val="bottom"/>
          </w:tcPr>
          <w:p>
            <w:pPr>
              <w:ind w:left="400"/>
              <w:spacing w:after="0"/>
              <w:rPr>
                <w:sz w:val="20"/>
                <w:szCs w:val="20"/>
                <w:color w:val="auto"/>
              </w:rPr>
            </w:pPr>
            <w:r>
              <w:rPr>
                <w:rFonts w:ascii="Arial" w:cs="Arial" w:eastAsia="Arial" w:hAnsi="Arial"/>
                <w:sz w:val="14"/>
                <w:szCs w:val="14"/>
                <w:color w:val="auto"/>
              </w:rPr>
              <w:t>2011 Annual Report to Shareholders</w:t>
            </w:r>
          </w:p>
        </w:tc>
        <w:tc>
          <w:tcPr>
            <w:tcW w:w="2320" w:type="dxa"/>
            <w:vAlign w:val="bottom"/>
          </w:tcPr>
          <w:p>
            <w:pPr>
              <w:ind w:left="340"/>
              <w:spacing w:after="0"/>
              <w:rPr>
                <w:sz w:val="20"/>
                <w:szCs w:val="20"/>
                <w:color w:val="auto"/>
              </w:rPr>
            </w:pPr>
            <w:r>
              <w:rPr>
                <w:rFonts w:ascii="Arial" w:cs="Arial" w:eastAsia="Arial" w:hAnsi="Arial"/>
                <w:sz w:val="14"/>
                <w:szCs w:val="14"/>
                <w:color w:val="auto"/>
              </w:rPr>
              <w:t>LNG</w:t>
            </w:r>
          </w:p>
        </w:tc>
        <w:tc>
          <w:tcPr>
            <w:tcW w:w="3680" w:type="dxa"/>
            <w:vAlign w:val="bottom"/>
          </w:tcPr>
          <w:p>
            <w:pPr>
              <w:ind w:left="280"/>
              <w:spacing w:after="0"/>
              <w:rPr>
                <w:sz w:val="20"/>
                <w:szCs w:val="20"/>
                <w:color w:val="auto"/>
              </w:rPr>
            </w:pPr>
            <w:r>
              <w:rPr>
                <w:rFonts w:ascii="Arial" w:cs="Arial" w:eastAsia="Arial" w:hAnsi="Arial"/>
                <w:sz w:val="14"/>
                <w:szCs w:val="14"/>
                <w:color w:val="auto"/>
              </w:rPr>
              <w:t>Liquefied natural gas</w:t>
            </w:r>
          </w:p>
        </w:tc>
      </w:tr>
      <w:tr>
        <w:trPr>
          <w:trHeight w:val="206"/>
        </w:trPr>
        <w:tc>
          <w:tcPr>
            <w:tcW w:w="1600" w:type="dxa"/>
            <w:vAlign w:val="bottom"/>
          </w:tcPr>
          <w:p>
            <w:pPr>
              <w:spacing w:after="0"/>
              <w:rPr>
                <w:sz w:val="20"/>
                <w:szCs w:val="20"/>
                <w:color w:val="auto"/>
              </w:rPr>
            </w:pPr>
            <w:r>
              <w:rPr>
                <w:rFonts w:ascii="Arial" w:cs="Arial" w:eastAsia="Arial" w:hAnsi="Arial"/>
                <w:sz w:val="14"/>
                <w:szCs w:val="14"/>
                <w:color w:val="auto"/>
              </w:rPr>
              <w:t>Bcf</w:t>
            </w:r>
          </w:p>
        </w:tc>
        <w:tc>
          <w:tcPr>
            <w:tcW w:w="3820" w:type="dxa"/>
            <w:vAlign w:val="bottom"/>
          </w:tcPr>
          <w:p>
            <w:pPr>
              <w:ind w:left="400"/>
              <w:spacing w:after="0"/>
              <w:rPr>
                <w:sz w:val="20"/>
                <w:szCs w:val="20"/>
                <w:color w:val="auto"/>
              </w:rPr>
            </w:pPr>
            <w:r>
              <w:rPr>
                <w:rFonts w:ascii="Arial" w:cs="Arial" w:eastAsia="Arial" w:hAnsi="Arial"/>
                <w:sz w:val="14"/>
                <w:szCs w:val="14"/>
                <w:color w:val="auto"/>
              </w:rPr>
              <w:t>Billion cubic feet (of natural gas)</w:t>
            </w:r>
          </w:p>
        </w:tc>
        <w:tc>
          <w:tcPr>
            <w:tcW w:w="2320" w:type="dxa"/>
            <w:vAlign w:val="bottom"/>
          </w:tcPr>
          <w:p>
            <w:pPr>
              <w:ind w:left="340"/>
              <w:spacing w:after="0"/>
              <w:rPr>
                <w:sz w:val="20"/>
                <w:szCs w:val="20"/>
                <w:color w:val="auto"/>
              </w:rPr>
            </w:pPr>
            <w:r>
              <w:rPr>
                <w:rFonts w:ascii="Arial" w:cs="Arial" w:eastAsia="Arial" w:hAnsi="Arial"/>
                <w:sz w:val="14"/>
                <w:szCs w:val="14"/>
                <w:color w:val="auto"/>
              </w:rPr>
              <w:t>Luz del Sur</w:t>
            </w:r>
          </w:p>
        </w:tc>
        <w:tc>
          <w:tcPr>
            <w:tcW w:w="3680" w:type="dxa"/>
            <w:vAlign w:val="bottom"/>
          </w:tcPr>
          <w:p>
            <w:pPr>
              <w:ind w:left="280"/>
              <w:spacing w:after="0"/>
              <w:rPr>
                <w:sz w:val="20"/>
                <w:szCs w:val="20"/>
                <w:color w:val="auto"/>
              </w:rPr>
            </w:pPr>
            <w:r>
              <w:rPr>
                <w:rFonts w:ascii="Arial" w:cs="Arial" w:eastAsia="Arial" w:hAnsi="Arial"/>
                <w:sz w:val="14"/>
                <w:szCs w:val="14"/>
                <w:color w:val="auto"/>
              </w:rPr>
              <w:t>Luz del Sur S.A.A.</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CARB</w:t>
            </w:r>
          </w:p>
        </w:tc>
        <w:tc>
          <w:tcPr>
            <w:tcW w:w="3820" w:type="dxa"/>
            <w:vAlign w:val="bottom"/>
          </w:tcPr>
          <w:p>
            <w:pPr>
              <w:ind w:left="400"/>
              <w:spacing w:after="0"/>
              <w:rPr>
                <w:sz w:val="20"/>
                <w:szCs w:val="20"/>
                <w:color w:val="auto"/>
              </w:rPr>
            </w:pPr>
            <w:r>
              <w:rPr>
                <w:rFonts w:ascii="Arial" w:cs="Arial" w:eastAsia="Arial" w:hAnsi="Arial"/>
                <w:sz w:val="14"/>
                <w:szCs w:val="14"/>
                <w:color w:val="auto"/>
              </w:rPr>
              <w:t>California Air Resources Board</w:t>
            </w:r>
          </w:p>
        </w:tc>
        <w:tc>
          <w:tcPr>
            <w:tcW w:w="2320" w:type="dxa"/>
            <w:vAlign w:val="bottom"/>
          </w:tcPr>
          <w:p>
            <w:pPr>
              <w:ind w:left="340"/>
              <w:spacing w:after="0"/>
              <w:rPr>
                <w:sz w:val="20"/>
                <w:szCs w:val="20"/>
                <w:color w:val="auto"/>
              </w:rPr>
            </w:pPr>
            <w:r>
              <w:rPr>
                <w:rFonts w:ascii="Arial" w:cs="Arial" w:eastAsia="Arial" w:hAnsi="Arial"/>
                <w:sz w:val="14"/>
                <w:szCs w:val="14"/>
                <w:color w:val="auto"/>
              </w:rPr>
              <w:t>Mobile Gas</w:t>
            </w:r>
          </w:p>
        </w:tc>
        <w:tc>
          <w:tcPr>
            <w:tcW w:w="3680" w:type="dxa"/>
            <w:vAlign w:val="bottom"/>
          </w:tcPr>
          <w:p>
            <w:pPr>
              <w:ind w:left="280"/>
              <w:spacing w:after="0"/>
              <w:rPr>
                <w:sz w:val="20"/>
                <w:szCs w:val="20"/>
                <w:color w:val="auto"/>
              </w:rPr>
            </w:pPr>
            <w:r>
              <w:rPr>
                <w:rFonts w:ascii="Arial" w:cs="Arial" w:eastAsia="Arial" w:hAnsi="Arial"/>
                <w:sz w:val="14"/>
                <w:szCs w:val="14"/>
                <w:color w:val="auto"/>
              </w:rPr>
              <w:t>Mobile Gas Service Corporation</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CEC</w:t>
            </w:r>
          </w:p>
        </w:tc>
        <w:tc>
          <w:tcPr>
            <w:tcW w:w="3820" w:type="dxa"/>
            <w:vAlign w:val="bottom"/>
          </w:tcPr>
          <w:p>
            <w:pPr>
              <w:ind w:left="400"/>
              <w:spacing w:after="0"/>
              <w:rPr>
                <w:sz w:val="20"/>
                <w:szCs w:val="20"/>
                <w:color w:val="auto"/>
              </w:rPr>
            </w:pPr>
            <w:r>
              <w:rPr>
                <w:rFonts w:ascii="Arial" w:cs="Arial" w:eastAsia="Arial" w:hAnsi="Arial"/>
                <w:sz w:val="14"/>
                <w:szCs w:val="14"/>
                <w:color w:val="auto"/>
              </w:rPr>
              <w:t>California Energy Commission</w:t>
            </w:r>
          </w:p>
        </w:tc>
        <w:tc>
          <w:tcPr>
            <w:tcW w:w="2320" w:type="dxa"/>
            <w:vAlign w:val="bottom"/>
          </w:tcPr>
          <w:p>
            <w:pPr>
              <w:ind w:left="340"/>
              <w:spacing w:after="0"/>
              <w:rPr>
                <w:sz w:val="20"/>
                <w:szCs w:val="20"/>
                <w:color w:val="auto"/>
              </w:rPr>
            </w:pPr>
            <w:r>
              <w:rPr>
                <w:rFonts w:ascii="Arial" w:cs="Arial" w:eastAsia="Arial" w:hAnsi="Arial"/>
                <w:sz w:val="14"/>
                <w:szCs w:val="14"/>
                <w:color w:val="auto"/>
              </w:rPr>
              <w:t>MW</w:t>
            </w:r>
          </w:p>
        </w:tc>
        <w:tc>
          <w:tcPr>
            <w:tcW w:w="3680" w:type="dxa"/>
            <w:vAlign w:val="bottom"/>
          </w:tcPr>
          <w:p>
            <w:pPr>
              <w:ind w:left="280"/>
              <w:spacing w:after="0"/>
              <w:rPr>
                <w:sz w:val="20"/>
                <w:szCs w:val="20"/>
                <w:color w:val="auto"/>
              </w:rPr>
            </w:pPr>
            <w:r>
              <w:rPr>
                <w:rFonts w:ascii="Arial" w:cs="Arial" w:eastAsia="Arial" w:hAnsi="Arial"/>
                <w:sz w:val="14"/>
                <w:szCs w:val="14"/>
                <w:color w:val="auto"/>
              </w:rPr>
              <w:t>Megawatt</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Chilquinta Energía</w:t>
            </w:r>
          </w:p>
        </w:tc>
        <w:tc>
          <w:tcPr>
            <w:tcW w:w="3820" w:type="dxa"/>
            <w:vAlign w:val="bottom"/>
          </w:tcPr>
          <w:p>
            <w:pPr>
              <w:ind w:left="400"/>
              <w:spacing w:after="0"/>
              <w:rPr>
                <w:sz w:val="20"/>
                <w:szCs w:val="20"/>
                <w:color w:val="auto"/>
              </w:rPr>
            </w:pPr>
            <w:r>
              <w:rPr>
                <w:rFonts w:ascii="Arial" w:cs="Arial" w:eastAsia="Arial" w:hAnsi="Arial"/>
                <w:sz w:val="14"/>
                <w:szCs w:val="14"/>
                <w:color w:val="auto"/>
              </w:rPr>
              <w:t>Chilquinta Energía S.A.</w:t>
            </w:r>
          </w:p>
        </w:tc>
        <w:tc>
          <w:tcPr>
            <w:tcW w:w="2320" w:type="dxa"/>
            <w:vAlign w:val="bottom"/>
          </w:tcPr>
          <w:p>
            <w:pPr>
              <w:ind w:left="340"/>
              <w:spacing w:after="0"/>
              <w:rPr>
                <w:sz w:val="20"/>
                <w:szCs w:val="20"/>
                <w:color w:val="auto"/>
              </w:rPr>
            </w:pPr>
            <w:r>
              <w:rPr>
                <w:rFonts w:ascii="Arial" w:cs="Arial" w:eastAsia="Arial" w:hAnsi="Arial"/>
                <w:sz w:val="14"/>
                <w:szCs w:val="14"/>
                <w:color w:val="auto"/>
              </w:rPr>
              <w:t>NRC</w:t>
            </w:r>
          </w:p>
        </w:tc>
        <w:tc>
          <w:tcPr>
            <w:tcW w:w="3680" w:type="dxa"/>
            <w:vAlign w:val="bottom"/>
          </w:tcPr>
          <w:p>
            <w:pPr>
              <w:ind w:left="280"/>
              <w:spacing w:after="0"/>
              <w:rPr>
                <w:sz w:val="20"/>
                <w:szCs w:val="20"/>
                <w:color w:val="auto"/>
              </w:rPr>
            </w:pPr>
            <w:r>
              <w:rPr>
                <w:rFonts w:ascii="Arial" w:cs="Arial" w:eastAsia="Arial" w:hAnsi="Arial"/>
                <w:sz w:val="14"/>
                <w:szCs w:val="14"/>
                <w:color w:val="auto"/>
              </w:rPr>
              <w:t>Nuclear Regulatory Commission</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CNE</w:t>
            </w:r>
          </w:p>
        </w:tc>
        <w:tc>
          <w:tcPr>
            <w:tcW w:w="3820" w:type="dxa"/>
            <w:vAlign w:val="bottom"/>
          </w:tcPr>
          <w:p>
            <w:pPr>
              <w:ind w:left="400"/>
              <w:spacing w:after="0"/>
              <w:rPr>
                <w:sz w:val="20"/>
                <w:szCs w:val="20"/>
                <w:color w:val="auto"/>
              </w:rPr>
            </w:pPr>
            <w:r>
              <w:rPr>
                <w:rFonts w:ascii="Arial" w:cs="Arial" w:eastAsia="Arial" w:hAnsi="Arial"/>
                <w:sz w:val="14"/>
                <w:szCs w:val="14"/>
                <w:color w:val="auto"/>
              </w:rPr>
              <w:t>Comisión Nacional de Energía (National Energy</w:t>
            </w:r>
          </w:p>
        </w:tc>
        <w:tc>
          <w:tcPr>
            <w:tcW w:w="2320" w:type="dxa"/>
            <w:vAlign w:val="bottom"/>
          </w:tcPr>
          <w:p>
            <w:pPr>
              <w:ind w:left="340"/>
              <w:spacing w:after="0"/>
              <w:rPr>
                <w:sz w:val="20"/>
                <w:szCs w:val="20"/>
                <w:color w:val="auto"/>
              </w:rPr>
            </w:pPr>
            <w:r>
              <w:rPr>
                <w:rFonts w:ascii="Arial" w:cs="Arial" w:eastAsia="Arial" w:hAnsi="Arial"/>
                <w:sz w:val="14"/>
                <w:szCs w:val="14"/>
                <w:color w:val="auto"/>
              </w:rPr>
              <w:t>OSINERGMIN</w:t>
            </w:r>
          </w:p>
        </w:tc>
        <w:tc>
          <w:tcPr>
            <w:tcW w:w="3680" w:type="dxa"/>
            <w:vAlign w:val="bottom"/>
          </w:tcPr>
          <w:p>
            <w:pPr>
              <w:ind w:left="280"/>
              <w:spacing w:after="0"/>
              <w:rPr>
                <w:sz w:val="20"/>
                <w:szCs w:val="20"/>
                <w:color w:val="auto"/>
              </w:rPr>
            </w:pPr>
            <w:r>
              <w:rPr>
                <w:rFonts w:ascii="Arial" w:cs="Arial" w:eastAsia="Arial" w:hAnsi="Arial"/>
                <w:sz w:val="14"/>
                <w:szCs w:val="14"/>
                <w:color w:val="auto"/>
              </w:rPr>
              <w:t>Organismo Supervisor de la Inversión en Energía y</w:t>
            </w:r>
          </w:p>
        </w:tc>
      </w:tr>
      <w:tr>
        <w:trPr>
          <w:trHeight w:val="162"/>
        </w:trPr>
        <w:tc>
          <w:tcPr>
            <w:tcW w:w="1600" w:type="dxa"/>
            <w:vAlign w:val="bottom"/>
          </w:tcPr>
          <w:p>
            <w:pPr>
              <w:spacing w:after="0"/>
              <w:rPr>
                <w:sz w:val="14"/>
                <w:szCs w:val="14"/>
                <w:color w:val="auto"/>
              </w:rPr>
            </w:pPr>
          </w:p>
        </w:tc>
        <w:tc>
          <w:tcPr>
            <w:tcW w:w="3820" w:type="dxa"/>
            <w:vAlign w:val="bottom"/>
          </w:tcPr>
          <w:p>
            <w:pPr>
              <w:ind w:left="400"/>
              <w:spacing w:after="0"/>
              <w:rPr>
                <w:sz w:val="20"/>
                <w:szCs w:val="20"/>
                <w:color w:val="auto"/>
              </w:rPr>
            </w:pPr>
            <w:r>
              <w:rPr>
                <w:rFonts w:ascii="Arial" w:cs="Arial" w:eastAsia="Arial" w:hAnsi="Arial"/>
                <w:sz w:val="14"/>
                <w:szCs w:val="14"/>
                <w:color w:val="auto"/>
              </w:rPr>
              <w:t>Commission)</w:t>
            </w:r>
          </w:p>
        </w:tc>
        <w:tc>
          <w:tcPr>
            <w:tcW w:w="2320" w:type="dxa"/>
            <w:vAlign w:val="bottom"/>
          </w:tcPr>
          <w:p>
            <w:pPr>
              <w:spacing w:after="0"/>
              <w:rPr>
                <w:sz w:val="14"/>
                <w:szCs w:val="14"/>
                <w:color w:val="auto"/>
              </w:rPr>
            </w:pPr>
          </w:p>
        </w:tc>
        <w:tc>
          <w:tcPr>
            <w:tcW w:w="3680" w:type="dxa"/>
            <w:vAlign w:val="bottom"/>
          </w:tcPr>
          <w:p>
            <w:pPr>
              <w:ind w:left="280"/>
              <w:spacing w:after="0"/>
              <w:rPr>
                <w:sz w:val="20"/>
                <w:szCs w:val="20"/>
                <w:color w:val="auto"/>
              </w:rPr>
            </w:pPr>
            <w:r>
              <w:rPr>
                <w:rFonts w:ascii="Arial" w:cs="Arial" w:eastAsia="Arial" w:hAnsi="Arial"/>
                <w:sz w:val="14"/>
                <w:szCs w:val="14"/>
                <w:color w:val="auto"/>
              </w:rPr>
              <w:t>Minería (Energy and Mining Investment Supervisory</w:t>
            </w:r>
          </w:p>
        </w:tc>
      </w:tr>
      <w:tr>
        <w:trPr>
          <w:trHeight w:val="162"/>
        </w:trPr>
        <w:tc>
          <w:tcPr>
            <w:tcW w:w="16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80" w:type="dxa"/>
            <w:vAlign w:val="bottom"/>
          </w:tcPr>
          <w:p>
            <w:pPr>
              <w:ind w:left="280"/>
              <w:spacing w:after="0"/>
              <w:rPr>
                <w:sz w:val="20"/>
                <w:szCs w:val="20"/>
                <w:color w:val="auto"/>
              </w:rPr>
            </w:pPr>
            <w:r>
              <w:rPr>
                <w:rFonts w:ascii="Arial" w:cs="Arial" w:eastAsia="Arial" w:hAnsi="Arial"/>
                <w:sz w:val="14"/>
                <w:szCs w:val="14"/>
                <w:color w:val="auto"/>
              </w:rPr>
              <w:t>Body)</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CPUC</w:t>
            </w:r>
          </w:p>
        </w:tc>
        <w:tc>
          <w:tcPr>
            <w:tcW w:w="3820" w:type="dxa"/>
            <w:vAlign w:val="bottom"/>
          </w:tcPr>
          <w:p>
            <w:pPr>
              <w:ind w:left="400"/>
              <w:spacing w:after="0"/>
              <w:rPr>
                <w:sz w:val="20"/>
                <w:szCs w:val="20"/>
                <w:color w:val="auto"/>
              </w:rPr>
            </w:pPr>
            <w:r>
              <w:rPr>
                <w:rFonts w:ascii="Arial" w:cs="Arial" w:eastAsia="Arial" w:hAnsi="Arial"/>
                <w:sz w:val="14"/>
                <w:szCs w:val="14"/>
                <w:color w:val="auto"/>
              </w:rPr>
              <w:t>California Public Utilities Commission</w:t>
            </w:r>
          </w:p>
        </w:tc>
        <w:tc>
          <w:tcPr>
            <w:tcW w:w="2320" w:type="dxa"/>
            <w:vAlign w:val="bottom"/>
          </w:tcPr>
          <w:p>
            <w:pPr>
              <w:ind w:left="340"/>
              <w:spacing w:after="0"/>
              <w:rPr>
                <w:sz w:val="20"/>
                <w:szCs w:val="20"/>
                <w:color w:val="auto"/>
              </w:rPr>
            </w:pPr>
            <w:r>
              <w:rPr>
                <w:rFonts w:ascii="Arial" w:cs="Arial" w:eastAsia="Arial" w:hAnsi="Arial"/>
                <w:sz w:val="14"/>
                <w:szCs w:val="14"/>
                <w:color w:val="auto"/>
              </w:rPr>
              <w:t>PEMEX</w:t>
            </w:r>
          </w:p>
        </w:tc>
        <w:tc>
          <w:tcPr>
            <w:tcW w:w="3680" w:type="dxa"/>
            <w:vAlign w:val="bottom"/>
          </w:tcPr>
          <w:p>
            <w:pPr>
              <w:ind w:left="280"/>
              <w:spacing w:after="0"/>
              <w:rPr>
                <w:sz w:val="20"/>
                <w:szCs w:val="20"/>
                <w:color w:val="auto"/>
              </w:rPr>
            </w:pPr>
            <w:r>
              <w:rPr>
                <w:rFonts w:ascii="Arial" w:cs="Arial" w:eastAsia="Arial" w:hAnsi="Arial"/>
                <w:sz w:val="14"/>
                <w:szCs w:val="14"/>
                <w:color w:val="auto"/>
              </w:rPr>
              <w:t>Petroleos Mexicanos (Mexican state-owned oil</w:t>
            </w:r>
          </w:p>
        </w:tc>
      </w:tr>
      <w:tr>
        <w:trPr>
          <w:trHeight w:val="162"/>
        </w:trPr>
        <w:tc>
          <w:tcPr>
            <w:tcW w:w="16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80" w:type="dxa"/>
            <w:vAlign w:val="bottom"/>
          </w:tcPr>
          <w:p>
            <w:pPr>
              <w:ind w:left="280"/>
              <w:spacing w:after="0"/>
              <w:rPr>
                <w:sz w:val="20"/>
                <w:szCs w:val="20"/>
                <w:color w:val="auto"/>
              </w:rPr>
            </w:pPr>
            <w:r>
              <w:rPr>
                <w:rFonts w:ascii="Arial" w:cs="Arial" w:eastAsia="Arial" w:hAnsi="Arial"/>
                <w:sz w:val="14"/>
                <w:szCs w:val="14"/>
                <w:color w:val="auto"/>
              </w:rPr>
              <w:t>company)</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CRE</w:t>
            </w:r>
          </w:p>
        </w:tc>
        <w:tc>
          <w:tcPr>
            <w:tcW w:w="3820" w:type="dxa"/>
            <w:vAlign w:val="bottom"/>
          </w:tcPr>
          <w:p>
            <w:pPr>
              <w:ind w:left="400"/>
              <w:spacing w:after="0"/>
              <w:rPr>
                <w:sz w:val="20"/>
                <w:szCs w:val="20"/>
                <w:color w:val="auto"/>
              </w:rPr>
            </w:pPr>
            <w:r>
              <w:rPr>
                <w:rFonts w:ascii="Arial" w:cs="Arial" w:eastAsia="Arial" w:hAnsi="Arial"/>
                <w:sz w:val="14"/>
                <w:szCs w:val="14"/>
                <w:color w:val="auto"/>
              </w:rPr>
              <w:t>Comisión Reguladora de Energía (Energy</w:t>
            </w:r>
          </w:p>
        </w:tc>
        <w:tc>
          <w:tcPr>
            <w:tcW w:w="2320" w:type="dxa"/>
            <w:vAlign w:val="bottom"/>
          </w:tcPr>
          <w:p>
            <w:pPr>
              <w:ind w:left="340"/>
              <w:spacing w:after="0"/>
              <w:rPr>
                <w:sz w:val="20"/>
                <w:szCs w:val="20"/>
                <w:color w:val="auto"/>
              </w:rPr>
            </w:pPr>
            <w:r>
              <w:rPr>
                <w:rFonts w:ascii="Arial" w:cs="Arial" w:eastAsia="Arial" w:hAnsi="Arial"/>
                <w:sz w:val="14"/>
                <w:szCs w:val="14"/>
                <w:color w:val="auto"/>
              </w:rPr>
              <w:t>PGE</w:t>
            </w:r>
          </w:p>
        </w:tc>
        <w:tc>
          <w:tcPr>
            <w:tcW w:w="3680" w:type="dxa"/>
            <w:vAlign w:val="bottom"/>
          </w:tcPr>
          <w:p>
            <w:pPr>
              <w:ind w:left="280"/>
              <w:spacing w:after="0"/>
              <w:rPr>
                <w:sz w:val="20"/>
                <w:szCs w:val="20"/>
                <w:color w:val="auto"/>
              </w:rPr>
            </w:pPr>
            <w:r>
              <w:rPr>
                <w:rFonts w:ascii="Arial" w:cs="Arial" w:eastAsia="Arial" w:hAnsi="Arial"/>
                <w:sz w:val="14"/>
                <w:szCs w:val="14"/>
                <w:color w:val="auto"/>
              </w:rPr>
              <w:t>Portland General Electric Company</w:t>
            </w:r>
          </w:p>
        </w:tc>
      </w:tr>
      <w:tr>
        <w:trPr>
          <w:trHeight w:val="162"/>
        </w:trPr>
        <w:tc>
          <w:tcPr>
            <w:tcW w:w="1600" w:type="dxa"/>
            <w:vAlign w:val="bottom"/>
          </w:tcPr>
          <w:p>
            <w:pPr>
              <w:spacing w:after="0"/>
              <w:rPr>
                <w:sz w:val="14"/>
                <w:szCs w:val="14"/>
                <w:color w:val="auto"/>
              </w:rPr>
            </w:pPr>
          </w:p>
        </w:tc>
        <w:tc>
          <w:tcPr>
            <w:tcW w:w="3820" w:type="dxa"/>
            <w:vAlign w:val="bottom"/>
          </w:tcPr>
          <w:p>
            <w:pPr>
              <w:ind w:left="400"/>
              <w:spacing w:after="0"/>
              <w:rPr>
                <w:sz w:val="20"/>
                <w:szCs w:val="20"/>
                <w:color w:val="auto"/>
              </w:rPr>
            </w:pPr>
            <w:r>
              <w:rPr>
                <w:rFonts w:ascii="Arial" w:cs="Arial" w:eastAsia="Arial" w:hAnsi="Arial"/>
                <w:sz w:val="14"/>
                <w:szCs w:val="14"/>
                <w:color w:val="auto"/>
              </w:rPr>
              <w:t>Regulatory Commission)</w:t>
            </w:r>
          </w:p>
        </w:tc>
        <w:tc>
          <w:tcPr>
            <w:tcW w:w="232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DOE</w:t>
            </w:r>
          </w:p>
        </w:tc>
        <w:tc>
          <w:tcPr>
            <w:tcW w:w="3820" w:type="dxa"/>
            <w:vAlign w:val="bottom"/>
          </w:tcPr>
          <w:p>
            <w:pPr>
              <w:ind w:left="400"/>
              <w:spacing w:after="0"/>
              <w:rPr>
                <w:sz w:val="20"/>
                <w:szCs w:val="20"/>
                <w:color w:val="auto"/>
              </w:rPr>
            </w:pPr>
            <w:r>
              <w:rPr>
                <w:rFonts w:ascii="Arial" w:cs="Arial" w:eastAsia="Arial" w:hAnsi="Arial"/>
                <w:sz w:val="14"/>
                <w:szCs w:val="14"/>
                <w:color w:val="auto"/>
              </w:rPr>
              <w:t>U.S. Department of Energy</w:t>
            </w:r>
          </w:p>
        </w:tc>
        <w:tc>
          <w:tcPr>
            <w:tcW w:w="2320" w:type="dxa"/>
            <w:vAlign w:val="bottom"/>
          </w:tcPr>
          <w:p>
            <w:pPr>
              <w:ind w:left="340"/>
              <w:spacing w:after="0"/>
              <w:rPr>
                <w:sz w:val="20"/>
                <w:szCs w:val="20"/>
                <w:color w:val="auto"/>
              </w:rPr>
            </w:pPr>
            <w:r>
              <w:rPr>
                <w:rFonts w:ascii="Arial" w:cs="Arial" w:eastAsia="Arial" w:hAnsi="Arial"/>
                <w:sz w:val="14"/>
                <w:szCs w:val="14"/>
                <w:color w:val="auto"/>
              </w:rPr>
              <w:t>QFs</w:t>
            </w:r>
          </w:p>
        </w:tc>
        <w:tc>
          <w:tcPr>
            <w:tcW w:w="3680" w:type="dxa"/>
            <w:vAlign w:val="bottom"/>
          </w:tcPr>
          <w:p>
            <w:pPr>
              <w:ind w:left="280"/>
              <w:spacing w:after="0"/>
              <w:rPr>
                <w:sz w:val="20"/>
                <w:szCs w:val="20"/>
                <w:color w:val="auto"/>
              </w:rPr>
            </w:pPr>
            <w:r>
              <w:rPr>
                <w:rFonts w:ascii="Arial" w:cs="Arial" w:eastAsia="Arial" w:hAnsi="Arial"/>
                <w:sz w:val="14"/>
                <w:szCs w:val="14"/>
                <w:color w:val="auto"/>
              </w:rPr>
              <w:t>Qualifying Facilities</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DOT</w:t>
            </w:r>
          </w:p>
        </w:tc>
        <w:tc>
          <w:tcPr>
            <w:tcW w:w="3820" w:type="dxa"/>
            <w:vAlign w:val="bottom"/>
          </w:tcPr>
          <w:p>
            <w:pPr>
              <w:ind w:left="400"/>
              <w:spacing w:after="0"/>
              <w:rPr>
                <w:sz w:val="20"/>
                <w:szCs w:val="20"/>
                <w:color w:val="auto"/>
              </w:rPr>
            </w:pPr>
            <w:r>
              <w:rPr>
                <w:rFonts w:ascii="Arial" w:cs="Arial" w:eastAsia="Arial" w:hAnsi="Arial"/>
                <w:sz w:val="14"/>
                <w:szCs w:val="14"/>
                <w:color w:val="auto"/>
              </w:rPr>
              <w:t>Department of Transportation</w:t>
            </w:r>
          </w:p>
        </w:tc>
        <w:tc>
          <w:tcPr>
            <w:tcW w:w="2320" w:type="dxa"/>
            <w:vAlign w:val="bottom"/>
          </w:tcPr>
          <w:p>
            <w:pPr>
              <w:ind w:left="340"/>
              <w:spacing w:after="0"/>
              <w:rPr>
                <w:sz w:val="20"/>
                <w:szCs w:val="20"/>
                <w:color w:val="auto"/>
              </w:rPr>
            </w:pPr>
            <w:r>
              <w:rPr>
                <w:rFonts w:ascii="Arial" w:cs="Arial" w:eastAsia="Arial" w:hAnsi="Arial"/>
                <w:sz w:val="14"/>
                <w:szCs w:val="14"/>
                <w:color w:val="auto"/>
              </w:rPr>
              <w:t>RBS</w:t>
            </w:r>
          </w:p>
        </w:tc>
        <w:tc>
          <w:tcPr>
            <w:tcW w:w="3680" w:type="dxa"/>
            <w:vAlign w:val="bottom"/>
          </w:tcPr>
          <w:p>
            <w:pPr>
              <w:ind w:left="280"/>
              <w:spacing w:after="0"/>
              <w:rPr>
                <w:sz w:val="20"/>
                <w:szCs w:val="20"/>
                <w:color w:val="auto"/>
              </w:rPr>
            </w:pPr>
            <w:r>
              <w:rPr>
                <w:rFonts w:ascii="Arial" w:cs="Arial" w:eastAsia="Arial" w:hAnsi="Arial"/>
                <w:sz w:val="14"/>
                <w:szCs w:val="14"/>
                <w:color w:val="auto"/>
              </w:rPr>
              <w:t>The Royal Bank of Scotland plc</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DWR</w:t>
            </w:r>
          </w:p>
        </w:tc>
        <w:tc>
          <w:tcPr>
            <w:tcW w:w="3820" w:type="dxa"/>
            <w:vAlign w:val="bottom"/>
          </w:tcPr>
          <w:p>
            <w:pPr>
              <w:ind w:left="400"/>
              <w:spacing w:after="0"/>
              <w:rPr>
                <w:sz w:val="20"/>
                <w:szCs w:val="20"/>
                <w:color w:val="auto"/>
              </w:rPr>
            </w:pPr>
            <w:r>
              <w:rPr>
                <w:rFonts w:ascii="Arial" w:cs="Arial" w:eastAsia="Arial" w:hAnsi="Arial"/>
                <w:sz w:val="14"/>
                <w:szCs w:val="14"/>
                <w:color w:val="auto"/>
              </w:rPr>
              <w:t>Department of Water Resources</w:t>
            </w:r>
          </w:p>
        </w:tc>
        <w:tc>
          <w:tcPr>
            <w:tcW w:w="2320" w:type="dxa"/>
            <w:vAlign w:val="bottom"/>
          </w:tcPr>
          <w:p>
            <w:pPr>
              <w:ind w:left="340"/>
              <w:spacing w:after="0"/>
              <w:rPr>
                <w:sz w:val="20"/>
                <w:szCs w:val="20"/>
                <w:color w:val="auto"/>
              </w:rPr>
            </w:pPr>
            <w:r>
              <w:rPr>
                <w:rFonts w:ascii="Arial" w:cs="Arial" w:eastAsia="Arial" w:hAnsi="Arial"/>
                <w:sz w:val="14"/>
                <w:szCs w:val="14"/>
                <w:color w:val="auto"/>
              </w:rPr>
              <w:t>RBS Sempra Commodities</w:t>
            </w:r>
          </w:p>
        </w:tc>
        <w:tc>
          <w:tcPr>
            <w:tcW w:w="3680" w:type="dxa"/>
            <w:vAlign w:val="bottom"/>
          </w:tcPr>
          <w:p>
            <w:pPr>
              <w:ind w:left="280"/>
              <w:spacing w:after="0"/>
              <w:rPr>
                <w:sz w:val="20"/>
                <w:szCs w:val="20"/>
                <w:color w:val="auto"/>
              </w:rPr>
            </w:pPr>
            <w:r>
              <w:rPr>
                <w:rFonts w:ascii="Arial" w:cs="Arial" w:eastAsia="Arial" w:hAnsi="Arial"/>
                <w:sz w:val="14"/>
                <w:szCs w:val="14"/>
                <w:color w:val="auto"/>
              </w:rPr>
              <w:t>RBS Sempra Commodities LLP</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Edison</w:t>
            </w:r>
          </w:p>
        </w:tc>
        <w:tc>
          <w:tcPr>
            <w:tcW w:w="3820" w:type="dxa"/>
            <w:vAlign w:val="bottom"/>
          </w:tcPr>
          <w:p>
            <w:pPr>
              <w:ind w:left="400"/>
              <w:spacing w:after="0"/>
              <w:rPr>
                <w:sz w:val="20"/>
                <w:szCs w:val="20"/>
                <w:color w:val="auto"/>
              </w:rPr>
            </w:pPr>
            <w:r>
              <w:rPr>
                <w:rFonts w:ascii="Arial" w:cs="Arial" w:eastAsia="Arial" w:hAnsi="Arial"/>
                <w:sz w:val="14"/>
                <w:szCs w:val="14"/>
                <w:color w:val="auto"/>
              </w:rPr>
              <w:t>Southern California Edison Company</w:t>
            </w:r>
          </w:p>
        </w:tc>
        <w:tc>
          <w:tcPr>
            <w:tcW w:w="2320" w:type="dxa"/>
            <w:vAlign w:val="bottom"/>
          </w:tcPr>
          <w:p>
            <w:pPr>
              <w:ind w:left="340"/>
              <w:spacing w:after="0"/>
              <w:rPr>
                <w:sz w:val="20"/>
                <w:szCs w:val="20"/>
                <w:color w:val="auto"/>
              </w:rPr>
            </w:pPr>
            <w:r>
              <w:rPr>
                <w:rFonts w:ascii="Arial" w:cs="Arial" w:eastAsia="Arial" w:hAnsi="Arial"/>
                <w:sz w:val="14"/>
                <w:szCs w:val="14"/>
                <w:color w:val="auto"/>
              </w:rPr>
              <w:t>Rockies Express</w:t>
            </w:r>
          </w:p>
        </w:tc>
        <w:tc>
          <w:tcPr>
            <w:tcW w:w="3680" w:type="dxa"/>
            <w:vAlign w:val="bottom"/>
          </w:tcPr>
          <w:p>
            <w:pPr>
              <w:ind w:left="280"/>
              <w:spacing w:after="0"/>
              <w:rPr>
                <w:sz w:val="20"/>
                <w:szCs w:val="20"/>
                <w:color w:val="auto"/>
              </w:rPr>
            </w:pPr>
            <w:r>
              <w:rPr>
                <w:rFonts w:ascii="Arial" w:cs="Arial" w:eastAsia="Arial" w:hAnsi="Arial"/>
                <w:sz w:val="14"/>
                <w:szCs w:val="14"/>
                <w:color w:val="auto"/>
              </w:rPr>
              <w:t>Rockies Express Pipeline LLC</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EPA</w:t>
            </w:r>
          </w:p>
        </w:tc>
        <w:tc>
          <w:tcPr>
            <w:tcW w:w="3820" w:type="dxa"/>
            <w:vAlign w:val="bottom"/>
          </w:tcPr>
          <w:p>
            <w:pPr>
              <w:ind w:left="400"/>
              <w:spacing w:after="0"/>
              <w:rPr>
                <w:sz w:val="20"/>
                <w:szCs w:val="20"/>
                <w:color w:val="auto"/>
              </w:rPr>
            </w:pPr>
            <w:r>
              <w:rPr>
                <w:rFonts w:ascii="Arial" w:cs="Arial" w:eastAsia="Arial" w:hAnsi="Arial"/>
                <w:sz w:val="14"/>
                <w:szCs w:val="14"/>
                <w:color w:val="auto"/>
              </w:rPr>
              <w:t>Environmental Protection Agency</w:t>
            </w:r>
          </w:p>
        </w:tc>
        <w:tc>
          <w:tcPr>
            <w:tcW w:w="2320" w:type="dxa"/>
            <w:vAlign w:val="bottom"/>
          </w:tcPr>
          <w:p>
            <w:pPr>
              <w:ind w:left="340"/>
              <w:spacing w:after="0"/>
              <w:rPr>
                <w:sz w:val="20"/>
                <w:szCs w:val="20"/>
                <w:color w:val="auto"/>
              </w:rPr>
            </w:pPr>
            <w:r>
              <w:rPr>
                <w:rFonts w:ascii="Arial" w:cs="Arial" w:eastAsia="Arial" w:hAnsi="Arial"/>
                <w:sz w:val="14"/>
                <w:szCs w:val="14"/>
                <w:color w:val="auto"/>
              </w:rPr>
              <w:t>RPS</w:t>
            </w:r>
          </w:p>
        </w:tc>
        <w:tc>
          <w:tcPr>
            <w:tcW w:w="3680" w:type="dxa"/>
            <w:vAlign w:val="bottom"/>
          </w:tcPr>
          <w:p>
            <w:pPr>
              <w:ind w:left="280"/>
              <w:spacing w:after="0"/>
              <w:rPr>
                <w:sz w:val="20"/>
                <w:szCs w:val="20"/>
                <w:color w:val="auto"/>
              </w:rPr>
            </w:pPr>
            <w:r>
              <w:rPr>
                <w:rFonts w:ascii="Arial" w:cs="Arial" w:eastAsia="Arial" w:hAnsi="Arial"/>
                <w:sz w:val="14"/>
                <w:szCs w:val="14"/>
                <w:color w:val="auto"/>
              </w:rPr>
              <w:t>Renewables Portfolio Standard</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ERR</w:t>
            </w:r>
          </w:p>
        </w:tc>
        <w:tc>
          <w:tcPr>
            <w:tcW w:w="3820" w:type="dxa"/>
            <w:vAlign w:val="bottom"/>
          </w:tcPr>
          <w:p>
            <w:pPr>
              <w:ind w:left="400"/>
              <w:spacing w:after="0"/>
              <w:rPr>
                <w:sz w:val="20"/>
                <w:szCs w:val="20"/>
                <w:color w:val="auto"/>
              </w:rPr>
            </w:pPr>
            <w:r>
              <w:rPr>
                <w:rFonts w:ascii="Arial" w:cs="Arial" w:eastAsia="Arial" w:hAnsi="Arial"/>
                <w:sz w:val="14"/>
                <w:szCs w:val="14"/>
                <w:color w:val="auto"/>
              </w:rPr>
              <w:t>Eligible Renewable Energy Resource</w:t>
            </w:r>
          </w:p>
        </w:tc>
        <w:tc>
          <w:tcPr>
            <w:tcW w:w="2320" w:type="dxa"/>
            <w:vAlign w:val="bottom"/>
          </w:tcPr>
          <w:p>
            <w:pPr>
              <w:ind w:left="340"/>
              <w:spacing w:after="0"/>
              <w:rPr>
                <w:sz w:val="20"/>
                <w:szCs w:val="20"/>
                <w:color w:val="auto"/>
              </w:rPr>
            </w:pPr>
            <w:r>
              <w:rPr>
                <w:rFonts w:ascii="Arial" w:cs="Arial" w:eastAsia="Arial" w:hAnsi="Arial"/>
                <w:sz w:val="14"/>
                <w:szCs w:val="14"/>
                <w:color w:val="auto"/>
              </w:rPr>
              <w:t>SDG&amp;E</w:t>
            </w:r>
          </w:p>
        </w:tc>
        <w:tc>
          <w:tcPr>
            <w:tcW w:w="3680" w:type="dxa"/>
            <w:vAlign w:val="bottom"/>
          </w:tcPr>
          <w:p>
            <w:pPr>
              <w:ind w:left="280"/>
              <w:spacing w:after="0"/>
              <w:rPr>
                <w:sz w:val="20"/>
                <w:szCs w:val="20"/>
                <w:color w:val="auto"/>
              </w:rPr>
            </w:pPr>
            <w:r>
              <w:rPr>
                <w:rFonts w:ascii="Arial" w:cs="Arial" w:eastAsia="Arial" w:hAnsi="Arial"/>
                <w:sz w:val="14"/>
                <w:szCs w:val="14"/>
                <w:color w:val="auto"/>
              </w:rPr>
              <w:t>San Diego Gas &amp; Electric Company</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FERC</w:t>
            </w:r>
          </w:p>
        </w:tc>
        <w:tc>
          <w:tcPr>
            <w:tcW w:w="3820" w:type="dxa"/>
            <w:vAlign w:val="bottom"/>
          </w:tcPr>
          <w:p>
            <w:pPr>
              <w:ind w:left="400"/>
              <w:spacing w:after="0"/>
              <w:rPr>
                <w:sz w:val="20"/>
                <w:szCs w:val="20"/>
                <w:color w:val="auto"/>
              </w:rPr>
            </w:pPr>
            <w:r>
              <w:rPr>
                <w:rFonts w:ascii="Arial" w:cs="Arial" w:eastAsia="Arial" w:hAnsi="Arial"/>
                <w:sz w:val="14"/>
                <w:szCs w:val="14"/>
                <w:color w:val="auto"/>
              </w:rPr>
              <w:t>Federal Energy Regulatory Commission</w:t>
            </w:r>
          </w:p>
        </w:tc>
        <w:tc>
          <w:tcPr>
            <w:tcW w:w="2320" w:type="dxa"/>
            <w:vAlign w:val="bottom"/>
          </w:tcPr>
          <w:p>
            <w:pPr>
              <w:ind w:left="340"/>
              <w:spacing w:after="0"/>
              <w:rPr>
                <w:sz w:val="20"/>
                <w:szCs w:val="20"/>
                <w:color w:val="auto"/>
              </w:rPr>
            </w:pPr>
            <w:r>
              <w:rPr>
                <w:rFonts w:ascii="Arial" w:cs="Arial" w:eastAsia="Arial" w:hAnsi="Arial"/>
                <w:sz w:val="14"/>
                <w:szCs w:val="14"/>
                <w:color w:val="auto"/>
              </w:rPr>
              <w:t>SEC</w:t>
            </w:r>
          </w:p>
        </w:tc>
        <w:tc>
          <w:tcPr>
            <w:tcW w:w="3680" w:type="dxa"/>
            <w:vAlign w:val="bottom"/>
          </w:tcPr>
          <w:p>
            <w:pPr>
              <w:ind w:left="280"/>
              <w:spacing w:after="0"/>
              <w:rPr>
                <w:sz w:val="20"/>
                <w:szCs w:val="20"/>
                <w:color w:val="auto"/>
              </w:rPr>
            </w:pPr>
            <w:r>
              <w:rPr>
                <w:rFonts w:ascii="Arial" w:cs="Arial" w:eastAsia="Arial" w:hAnsi="Arial"/>
                <w:sz w:val="14"/>
                <w:szCs w:val="14"/>
                <w:color w:val="auto"/>
              </w:rPr>
              <w:t>Securities and Exchange Commission</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GHG</w:t>
            </w:r>
          </w:p>
        </w:tc>
        <w:tc>
          <w:tcPr>
            <w:tcW w:w="3820" w:type="dxa"/>
            <w:vAlign w:val="bottom"/>
          </w:tcPr>
          <w:p>
            <w:pPr>
              <w:ind w:left="400"/>
              <w:spacing w:after="0"/>
              <w:rPr>
                <w:sz w:val="20"/>
                <w:szCs w:val="20"/>
                <w:color w:val="auto"/>
              </w:rPr>
            </w:pPr>
            <w:r>
              <w:rPr>
                <w:rFonts w:ascii="Arial" w:cs="Arial" w:eastAsia="Arial" w:hAnsi="Arial"/>
                <w:sz w:val="14"/>
                <w:szCs w:val="14"/>
                <w:color w:val="auto"/>
              </w:rPr>
              <w:t>Greenhouse Gas</w:t>
            </w:r>
          </w:p>
        </w:tc>
        <w:tc>
          <w:tcPr>
            <w:tcW w:w="2320" w:type="dxa"/>
            <w:vAlign w:val="bottom"/>
          </w:tcPr>
          <w:p>
            <w:pPr>
              <w:ind w:left="340"/>
              <w:spacing w:after="0"/>
              <w:rPr>
                <w:sz w:val="20"/>
                <w:szCs w:val="20"/>
                <w:color w:val="auto"/>
              </w:rPr>
            </w:pPr>
            <w:r>
              <w:rPr>
                <w:rFonts w:ascii="Arial" w:cs="Arial" w:eastAsia="Arial" w:hAnsi="Arial"/>
                <w:sz w:val="14"/>
                <w:szCs w:val="14"/>
                <w:color w:val="auto"/>
              </w:rPr>
              <w:t>Sempra Utilities</w:t>
            </w:r>
          </w:p>
        </w:tc>
        <w:tc>
          <w:tcPr>
            <w:tcW w:w="3680" w:type="dxa"/>
            <w:vAlign w:val="bottom"/>
          </w:tcPr>
          <w:p>
            <w:pPr>
              <w:ind w:left="280"/>
              <w:spacing w:after="0"/>
              <w:rPr>
                <w:sz w:val="20"/>
                <w:szCs w:val="20"/>
                <w:color w:val="auto"/>
              </w:rPr>
            </w:pPr>
            <w:r>
              <w:rPr>
                <w:rFonts w:ascii="Arial" w:cs="Arial" w:eastAsia="Arial" w:hAnsi="Arial"/>
                <w:sz w:val="14"/>
                <w:szCs w:val="14"/>
                <w:color w:val="auto"/>
              </w:rPr>
              <w:t>San Diego Gas &amp; Electric Company and Southern</w:t>
            </w:r>
          </w:p>
        </w:tc>
      </w:tr>
      <w:tr>
        <w:trPr>
          <w:trHeight w:val="162"/>
        </w:trPr>
        <w:tc>
          <w:tcPr>
            <w:tcW w:w="16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80" w:type="dxa"/>
            <w:vAlign w:val="bottom"/>
          </w:tcPr>
          <w:p>
            <w:pPr>
              <w:ind w:left="280"/>
              <w:spacing w:after="0"/>
              <w:rPr>
                <w:sz w:val="20"/>
                <w:szCs w:val="20"/>
                <w:color w:val="auto"/>
              </w:rPr>
            </w:pPr>
            <w:r>
              <w:rPr>
                <w:rFonts w:ascii="Arial" w:cs="Arial" w:eastAsia="Arial" w:hAnsi="Arial"/>
                <w:sz w:val="14"/>
                <w:szCs w:val="14"/>
                <w:color w:val="auto"/>
              </w:rPr>
              <w:t>California Gas Company</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IOUs</w:t>
            </w:r>
          </w:p>
        </w:tc>
        <w:tc>
          <w:tcPr>
            <w:tcW w:w="3820" w:type="dxa"/>
            <w:vAlign w:val="bottom"/>
          </w:tcPr>
          <w:p>
            <w:pPr>
              <w:ind w:left="400"/>
              <w:spacing w:after="0"/>
              <w:rPr>
                <w:sz w:val="20"/>
                <w:szCs w:val="20"/>
                <w:color w:val="auto"/>
              </w:rPr>
            </w:pPr>
            <w:r>
              <w:rPr>
                <w:rFonts w:ascii="Arial" w:cs="Arial" w:eastAsia="Arial" w:hAnsi="Arial"/>
                <w:sz w:val="14"/>
                <w:szCs w:val="14"/>
                <w:color w:val="auto"/>
              </w:rPr>
              <w:t>Investor-Owned Utilities</w:t>
            </w:r>
          </w:p>
        </w:tc>
        <w:tc>
          <w:tcPr>
            <w:tcW w:w="2320" w:type="dxa"/>
            <w:vAlign w:val="bottom"/>
          </w:tcPr>
          <w:p>
            <w:pPr>
              <w:ind w:left="340"/>
              <w:spacing w:after="0"/>
              <w:rPr>
                <w:sz w:val="20"/>
                <w:szCs w:val="20"/>
                <w:color w:val="auto"/>
              </w:rPr>
            </w:pPr>
            <w:r>
              <w:rPr>
                <w:rFonts w:ascii="Arial" w:cs="Arial" w:eastAsia="Arial" w:hAnsi="Arial"/>
                <w:sz w:val="14"/>
                <w:szCs w:val="14"/>
                <w:color w:val="auto"/>
              </w:rPr>
              <w:t>SoCalGas</w:t>
            </w:r>
          </w:p>
        </w:tc>
        <w:tc>
          <w:tcPr>
            <w:tcW w:w="3680" w:type="dxa"/>
            <w:vAlign w:val="bottom"/>
          </w:tcPr>
          <w:p>
            <w:pPr>
              <w:ind w:left="280"/>
              <w:spacing w:after="0"/>
              <w:rPr>
                <w:sz w:val="20"/>
                <w:szCs w:val="20"/>
                <w:color w:val="auto"/>
              </w:rPr>
            </w:pPr>
            <w:r>
              <w:rPr>
                <w:rFonts w:ascii="Arial" w:cs="Arial" w:eastAsia="Arial" w:hAnsi="Arial"/>
                <w:sz w:val="14"/>
                <w:szCs w:val="14"/>
                <w:color w:val="auto"/>
              </w:rPr>
              <w:t>Southern California Gas Company</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ISFSI</w:t>
            </w:r>
          </w:p>
        </w:tc>
        <w:tc>
          <w:tcPr>
            <w:tcW w:w="3820" w:type="dxa"/>
            <w:vAlign w:val="bottom"/>
          </w:tcPr>
          <w:p>
            <w:pPr>
              <w:ind w:left="400"/>
              <w:spacing w:after="0"/>
              <w:rPr>
                <w:sz w:val="20"/>
                <w:szCs w:val="20"/>
                <w:color w:val="auto"/>
              </w:rPr>
            </w:pPr>
            <w:r>
              <w:rPr>
                <w:rFonts w:ascii="Arial" w:cs="Arial" w:eastAsia="Arial" w:hAnsi="Arial"/>
                <w:sz w:val="14"/>
                <w:szCs w:val="14"/>
                <w:color w:val="auto"/>
              </w:rPr>
              <w:t>Independent Spent Fuel Storage Installation</w:t>
            </w:r>
          </w:p>
        </w:tc>
        <w:tc>
          <w:tcPr>
            <w:tcW w:w="2320" w:type="dxa"/>
            <w:vAlign w:val="bottom"/>
          </w:tcPr>
          <w:p>
            <w:pPr>
              <w:ind w:left="340"/>
              <w:spacing w:after="0"/>
              <w:rPr>
                <w:sz w:val="20"/>
                <w:szCs w:val="20"/>
                <w:color w:val="auto"/>
              </w:rPr>
            </w:pPr>
            <w:r>
              <w:rPr>
                <w:rFonts w:ascii="Arial" w:cs="Arial" w:eastAsia="Arial" w:hAnsi="Arial"/>
                <w:sz w:val="14"/>
                <w:szCs w:val="14"/>
                <w:color w:val="auto"/>
              </w:rPr>
              <w:t>SONGS</w:t>
            </w:r>
          </w:p>
        </w:tc>
        <w:tc>
          <w:tcPr>
            <w:tcW w:w="3680" w:type="dxa"/>
            <w:vAlign w:val="bottom"/>
          </w:tcPr>
          <w:p>
            <w:pPr>
              <w:ind w:left="280"/>
              <w:spacing w:after="0"/>
              <w:rPr>
                <w:sz w:val="20"/>
                <w:szCs w:val="20"/>
                <w:color w:val="auto"/>
              </w:rPr>
            </w:pPr>
            <w:r>
              <w:rPr>
                <w:rFonts w:ascii="Arial" w:cs="Arial" w:eastAsia="Arial" w:hAnsi="Arial"/>
                <w:sz w:val="14"/>
                <w:szCs w:val="14"/>
                <w:color w:val="auto"/>
              </w:rPr>
              <w:t>San Onofre Nuclear Generating Station</w:t>
            </w:r>
          </w:p>
        </w:tc>
      </w:tr>
      <w:tr>
        <w:trPr>
          <w:trHeight w:val="164"/>
        </w:trPr>
        <w:tc>
          <w:tcPr>
            <w:tcW w:w="1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kV</w:t>
            </w:r>
          </w:p>
        </w:tc>
        <w:tc>
          <w:tcPr>
            <w:tcW w:w="3820" w:type="dxa"/>
            <w:vAlign w:val="bottom"/>
            <w:tcBorders>
              <w:bottom w:val="single" w:sz="8" w:color="auto"/>
            </w:tcBorders>
          </w:tcPr>
          <w:p>
            <w:pPr>
              <w:ind w:left="400"/>
              <w:spacing w:after="0" w:line="157" w:lineRule="exact"/>
              <w:rPr>
                <w:sz w:val="20"/>
                <w:szCs w:val="20"/>
                <w:color w:val="auto"/>
              </w:rPr>
            </w:pPr>
            <w:r>
              <w:rPr>
                <w:rFonts w:ascii="Arial" w:cs="Arial" w:eastAsia="Arial" w:hAnsi="Arial"/>
                <w:sz w:val="14"/>
                <w:szCs w:val="14"/>
                <w:color w:val="auto"/>
              </w:rPr>
              <w:t>Kilovolt</w:t>
            </w:r>
          </w:p>
        </w:tc>
        <w:tc>
          <w:tcPr>
            <w:tcW w:w="2320" w:type="dxa"/>
            <w:vAlign w:val="bottom"/>
            <w:tcBorders>
              <w:bottom w:val="single" w:sz="8" w:color="auto"/>
            </w:tcBorders>
          </w:tcPr>
          <w:p>
            <w:pPr>
              <w:ind w:left="340"/>
              <w:spacing w:after="0" w:line="157" w:lineRule="exact"/>
              <w:rPr>
                <w:sz w:val="20"/>
                <w:szCs w:val="20"/>
                <w:color w:val="auto"/>
              </w:rPr>
            </w:pPr>
            <w:r>
              <w:rPr>
                <w:rFonts w:ascii="Arial" w:cs="Arial" w:eastAsia="Arial" w:hAnsi="Arial"/>
                <w:sz w:val="14"/>
                <w:szCs w:val="14"/>
                <w:color w:val="auto"/>
              </w:rPr>
              <w:t>The Board</w:t>
            </w:r>
          </w:p>
        </w:tc>
        <w:tc>
          <w:tcPr>
            <w:tcW w:w="3680" w:type="dxa"/>
            <w:vAlign w:val="bottom"/>
            <w:tcBorders>
              <w:bottom w:val="single" w:sz="8" w:color="auto"/>
            </w:tcBorders>
          </w:tcPr>
          <w:p>
            <w:pPr>
              <w:ind w:left="280"/>
              <w:spacing w:after="0" w:line="157" w:lineRule="exact"/>
              <w:rPr>
                <w:sz w:val="20"/>
                <w:szCs w:val="20"/>
                <w:color w:val="auto"/>
              </w:rPr>
            </w:pPr>
            <w:r>
              <w:rPr>
                <w:rFonts w:ascii="Arial" w:cs="Arial" w:eastAsia="Arial" w:hAnsi="Arial"/>
                <w:sz w:val="14"/>
                <w:szCs w:val="14"/>
                <w:color w:val="auto"/>
              </w:rPr>
              <w:t>Sempra Energy’s board of directors</w:t>
            </w:r>
          </w:p>
        </w:tc>
      </w:tr>
    </w:tbl>
    <w:p>
      <w:pPr>
        <w:sectPr>
          <w:pgSz w:w="11900" w:h="16838" w:orient="portrait"/>
          <w:cols w:equalWidth="0" w:num="1">
            <w:col w:w="11420"/>
          </w:cols>
          <w:pgMar w:left="240" w:top="513" w:right="239" w:bottom="1440" w:gutter="0" w:footer="0" w:header="0"/>
        </w:sectPr>
      </w:pPr>
    </w:p>
    <w:bookmarkStart w:id="44" w:name="page45"/>
    <w:bookmarkEnd w:id="44"/>
    <w:p>
      <w:pPr>
        <w:spacing w:after="0" w:line="157"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25"/>
          <w:szCs w:val="25"/>
          <w:b w:val="1"/>
          <w:bCs w:val="1"/>
          <w:color w:val="auto"/>
        </w:rPr>
        <w:t>Exhibit 10.22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SEMPRA ENERGY</w:t>
      </w:r>
    </w:p>
    <w:p>
      <w:pPr>
        <w:jc w:val="center"/>
        <w:spacing w:after="0"/>
        <w:rPr>
          <w:sz w:val="20"/>
          <w:szCs w:val="20"/>
          <w:color w:val="auto"/>
        </w:rPr>
      </w:pPr>
      <w:r>
        <w:rPr>
          <w:rFonts w:ascii="Arial" w:cs="Arial" w:eastAsia="Arial" w:hAnsi="Arial"/>
          <w:sz w:val="22"/>
          <w:szCs w:val="22"/>
          <w:b w:val="1"/>
          <w:bCs w:val="1"/>
          <w:color w:val="auto"/>
        </w:rPr>
        <w:t>EMPLOYEE AND DIRECTOR SAVINGS PLAN</w:t>
      </w:r>
    </w:p>
    <w:p>
      <w:pPr>
        <w:spacing w:after="0" w:line="200" w:lineRule="exact"/>
        <w:rPr>
          <w:sz w:val="20"/>
          <w:szCs w:val="20"/>
          <w:color w:val="auto"/>
        </w:rPr>
      </w:pPr>
    </w:p>
    <w:p>
      <w:pPr>
        <w:spacing w:after="0" w:line="204"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Sempra Energy maintains the Sempra Energy Employee and Director Savings Plan (the “Plan”). In order to amend the Plan in certain respects, this First Amendment to the Plan is hereby adopted, effective as of January 1, 2012.</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Plan is hereby amended, effective January 1, 2012 as follows:</w:t>
      </w:r>
    </w:p>
    <w:p>
      <w:pPr>
        <w:spacing w:after="0" w:line="193"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 3.1(c)(1) and (2) of the Plan are hereby amended in their entirety to read as follows:</w:t>
      </w:r>
    </w:p>
    <w:p>
      <w:pPr>
        <w:spacing w:after="0" w:line="206" w:lineRule="exact"/>
        <w:rPr>
          <w:sz w:val="20"/>
          <w:szCs w:val="20"/>
          <w:color w:val="auto"/>
        </w:rPr>
      </w:pPr>
    </w:p>
    <w:p>
      <w:pPr>
        <w:ind w:left="660" w:right="200"/>
        <w:spacing w:after="0" w:line="251" w:lineRule="auto"/>
        <w:rPr>
          <w:sz w:val="20"/>
          <w:szCs w:val="20"/>
          <w:color w:val="auto"/>
        </w:rPr>
      </w:pPr>
      <w:r>
        <w:rPr>
          <w:rFonts w:ascii="Arial" w:cs="Arial" w:eastAsia="Arial" w:hAnsi="Arial"/>
          <w:sz w:val="22"/>
          <w:szCs w:val="22"/>
          <w:color w:val="auto"/>
        </w:rPr>
        <w:t>“(1) Each Participant who is a Manager shall be permitted to defer, in any whole percentage: (A) from 6% to 85% of Base Salary and (B) from 6% to 85% of his Bonus.</w:t>
      </w:r>
    </w:p>
    <w:p>
      <w:pPr>
        <w:spacing w:after="0" w:line="173" w:lineRule="exact"/>
        <w:rPr>
          <w:sz w:val="20"/>
          <w:szCs w:val="20"/>
          <w:color w:val="auto"/>
        </w:rPr>
      </w:pPr>
    </w:p>
    <w:p>
      <w:pPr>
        <w:ind w:left="660" w:right="140" w:hanging="4"/>
        <w:spacing w:after="0" w:line="258" w:lineRule="auto"/>
        <w:tabs>
          <w:tab w:leader="none" w:pos="966" w:val="left"/>
        </w:tabs>
        <w:numPr>
          <w:ilvl w:val="0"/>
          <w:numId w:val="29"/>
        </w:numPr>
        <w:rPr>
          <w:rFonts w:ascii="Arial" w:cs="Arial" w:eastAsia="Arial" w:hAnsi="Arial"/>
          <w:sz w:val="21"/>
          <w:szCs w:val="21"/>
          <w:color w:val="auto"/>
        </w:rPr>
      </w:pPr>
      <w:r>
        <w:rPr>
          <w:rFonts w:ascii="Arial" w:cs="Arial" w:eastAsia="Arial" w:hAnsi="Arial"/>
          <w:sz w:val="21"/>
          <w:szCs w:val="21"/>
          <w:color w:val="auto"/>
        </w:rPr>
        <w:t>Each Participant who is an Executive Officer shall be permitted to defer, in any whole percentage: (A) from 6% to 85% of Base Salary, (B) from 6% to 85% of his Bonus and (C) from 10% to 100% of his Restricted Stock Units, Stock Option Gains, Severance Payments and SERP Lump Sum, subject to Section 3.1(b).”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at San Diego, California this 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November, 2011.</w:t>
      </w:r>
    </w:p>
    <w:p>
      <w:pPr>
        <w:spacing w:after="0" w:line="9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SEMPRA ENERGY</w:t>
      </w:r>
    </w:p>
    <w:p>
      <w:pPr>
        <w:spacing w:after="0" w:line="206" w:lineRule="exact"/>
        <w:rPr>
          <w:sz w:val="20"/>
          <w:szCs w:val="20"/>
          <w:color w:val="auto"/>
        </w:rPr>
      </w:pPr>
    </w:p>
    <w:p>
      <w:pPr>
        <w:ind w:left="432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w:t>
      </w:r>
    </w:p>
    <w:p>
      <w:pPr>
        <w:spacing w:after="0" w:line="193" w:lineRule="exact"/>
        <w:rPr>
          <w:sz w:val="20"/>
          <w:szCs w:val="20"/>
          <w:color w:val="auto"/>
        </w:rPr>
      </w:pPr>
    </w:p>
    <w:p>
      <w:pPr>
        <w:ind w:left="4320"/>
        <w:spacing w:after="0"/>
        <w:tabs>
          <w:tab w:leader="none" w:pos="5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______________________________</w:t>
      </w:r>
    </w:p>
    <w:p>
      <w:pPr>
        <w:spacing w:after="0" w:line="193" w:lineRule="exact"/>
        <w:rPr>
          <w:sz w:val="20"/>
          <w:szCs w:val="20"/>
          <w:color w:val="auto"/>
        </w:rPr>
      </w:pPr>
    </w:p>
    <w:p>
      <w:pPr>
        <w:ind w:left="4320"/>
        <w:spacing w:after="0"/>
        <w:tabs>
          <w:tab w:leader="none" w:pos="51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______________________________</w:t>
      </w:r>
    </w:p>
    <w:p>
      <w:pPr>
        <w:sectPr>
          <w:pgSz w:w="11900" w:h="16838" w:orient="portrait"/>
          <w:cols w:equalWidth="0" w:num="1">
            <w:col w:w="11420"/>
          </w:cols>
          <w:pgMar w:left="240" w:top="36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5"/>
          <w:szCs w:val="25"/>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jc w:val="both"/>
        <w:ind w:right="560" w:firstLine="1297"/>
        <w:spacing w:after="0" w:line="335"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October 1, 2011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SEMPRA ENERGY, a California corporation (“</w:t>
      </w:r>
      <w:r>
        <w:rPr>
          <w:rFonts w:ascii="Arial" w:cs="Arial" w:eastAsia="Arial" w:hAnsi="Arial"/>
          <w:sz w:val="19"/>
          <w:szCs w:val="19"/>
          <w:u w:val="single" w:color="auto"/>
          <w:color w:val="auto"/>
        </w:rPr>
        <w:t>Sempra Energy</w:t>
      </w:r>
      <w:r>
        <w:rPr>
          <w:rFonts w:ascii="Arial" w:cs="Arial" w:eastAsia="Arial" w:hAnsi="Arial"/>
          <w:sz w:val="19"/>
          <w:szCs w:val="19"/>
          <w:color w:val="auto"/>
        </w:rPr>
        <w:t>”), and M. JAVADE CHAUDHRI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92" w:lineRule="exact"/>
        <w:rPr>
          <w:sz w:val="20"/>
          <w:szCs w:val="20"/>
          <w:color w:val="auto"/>
        </w:rPr>
      </w:pPr>
    </w:p>
    <w:p>
      <w:pPr>
        <w:ind w:right="14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Executive Vice President and Chief General Counsel;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assigned thereto in Section 2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has the meaning assigned thereto in Section 6(a) hereof.</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during all or any portion of one or two of the Bonus Fiscal</w:t>
      </w:r>
      <w:r>
        <w:rPr>
          <w:rFonts w:ascii="Arial" w:cs="Arial" w:eastAsia="Arial" w:hAnsi="Arial"/>
          <w:sz w:val="19"/>
          <w:szCs w:val="19"/>
          <w:i w:val="1"/>
          <w:iCs w:val="1"/>
          <w:color w:val="auto"/>
        </w:rPr>
        <w:t xml:space="preserve"> </w:t>
      </w:r>
      <w:r>
        <w:rPr>
          <w:rFonts w:ascii="Arial" w:cs="Arial" w:eastAsia="Arial" w:hAnsi="Arial"/>
          <w:sz w:val="19"/>
          <w:szCs w:val="19"/>
          <w:color w:val="auto"/>
        </w:rPr>
        <w:t>Years (but not three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all or any portion of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all or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has the meaning set forth in Rule 13d-3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120" w:firstLine="1305"/>
        <w:spacing w:after="0" w:line="276" w:lineRule="auto"/>
        <w:tabs>
          <w:tab w:leader="none" w:pos="1945" w:val="left"/>
        </w:tabs>
        <w:numPr>
          <w:ilvl w:val="1"/>
          <w:numId w:val="30"/>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74" w:lineRule="auto"/>
        <w:tabs>
          <w:tab w:leader="none" w:pos="1945" w:val="left"/>
        </w:tabs>
        <w:numPr>
          <w:ilvl w:val="1"/>
          <w:numId w:val="31"/>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3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 (b)</w:t>
      </w:r>
    </w:p>
    <w:p>
      <w:pPr>
        <w:sectPr>
          <w:pgSz w:w="11900" w:h="16838" w:orient="portrait"/>
          <w:cols w:equalWidth="0" w:num="1">
            <w:col w:w="11420"/>
          </w:cols>
          <w:pgMar w:left="240" w:top="360" w:right="239" w:bottom="0" w:gutter="0" w:footer="0" w:header="0"/>
        </w:sectPr>
      </w:pPr>
    </w:p>
    <w:bookmarkStart w:id="47" w:name="page48"/>
    <w:bookmarkEnd w:id="47"/>
    <w:p>
      <w:pPr>
        <w:ind w:right="100"/>
        <w:spacing w:after="0" w:line="329" w:lineRule="auto"/>
        <w:rPr>
          <w:sz w:val="20"/>
          <w:szCs w:val="20"/>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pacing w:after="0" w:line="104"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21" w:lineRule="exact"/>
        <w:rPr>
          <w:sz w:val="20"/>
          <w:szCs w:val="20"/>
          <w:color w:val="auto"/>
        </w:rPr>
      </w:pPr>
    </w:p>
    <w:p>
      <w:pPr>
        <w:ind w:right="20" w:firstLine="1305"/>
        <w:spacing w:after="0" w:line="297" w:lineRule="auto"/>
        <w:tabs>
          <w:tab w:leader="none" w:pos="1945" w:val="left"/>
        </w:tabs>
        <w:numPr>
          <w:ilvl w:val="0"/>
          <w:numId w:val="32"/>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32"/>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80" w:firstLine="2601"/>
        <w:spacing w:after="0"/>
        <w:tabs>
          <w:tab w:leader="none" w:pos="3241" w:val="left"/>
        </w:tabs>
        <w:numPr>
          <w:ilvl w:val="2"/>
          <w:numId w:val="32"/>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33"/>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firstLine="1953"/>
        <w:spacing w:after="0" w:line="249" w:lineRule="auto"/>
        <w:tabs>
          <w:tab w:leader="none" w:pos="2593" w:val="left"/>
        </w:tabs>
        <w:numPr>
          <w:ilvl w:val="1"/>
          <w:numId w:val="33"/>
        </w:numPr>
        <w:rPr>
          <w:rFonts w:ascii="Arial" w:cs="Arial" w:eastAsia="Arial" w:hAnsi="Arial"/>
          <w:sz w:val="21"/>
          <w:szCs w:val="21"/>
          <w:color w:val="auto"/>
        </w:rPr>
      </w:pPr>
      <w:r>
        <w:rPr>
          <w:rFonts w:ascii="Arial" w:cs="Arial" w:eastAsia="Arial" w:hAnsi="Arial"/>
          <w:sz w:val="21"/>
          <w:szCs w:val="21"/>
          <w:color w:val="auto"/>
        </w:rPr>
        <w:t>a merger or consolidation effected to implement a recapitalization of Sempra Energy (or similar transaction) in which no Person is or becomes the Beneficial Owner,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78" w:lineRule="exact"/>
        <w:rPr>
          <w:rFonts w:ascii="Arial" w:cs="Arial" w:eastAsia="Arial" w:hAnsi="Arial"/>
          <w:sz w:val="21"/>
          <w:szCs w:val="21"/>
          <w:color w:val="auto"/>
        </w:rPr>
      </w:pPr>
    </w:p>
    <w:p>
      <w:pPr>
        <w:jc w:val="both"/>
        <w:ind w:right="20" w:firstLine="1305"/>
        <w:spacing w:after="0" w:line="252" w:lineRule="auto"/>
        <w:tabs>
          <w:tab w:leader="none" w:pos="1945" w:val="left"/>
        </w:tabs>
        <w:numPr>
          <w:ilvl w:val="0"/>
          <w:numId w:val="34"/>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5(f) hereof.</w:t>
      </w:r>
    </w:p>
    <w:p>
      <w:pPr>
        <w:spacing w:after="0" w:line="206" w:lineRule="exact"/>
        <w:rPr>
          <w:sz w:val="20"/>
          <w:szCs w:val="20"/>
          <w:color w:val="auto"/>
        </w:rPr>
      </w:pPr>
    </w:p>
    <w:p>
      <w:pPr>
        <w:ind w:right="18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has the meaning set forth in the Company’s long-term disability plan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may not terminate the Executive’s employment hereunder by reason of Disability unless (i) at the time of</w:t>
      </w:r>
    </w:p>
    <w:p>
      <w:pPr>
        <w:sectPr>
          <w:pgSz w:w="11900" w:h="16838" w:orient="portrait"/>
          <w:cols w:equalWidth="0" w:num="1">
            <w:col w:w="11400"/>
          </w:cols>
          <w:pgMar w:left="240" w:top="118" w:right="259" w:bottom="0" w:gutter="0" w:footer="0" w:header="0"/>
        </w:sectPr>
      </w:pPr>
    </w:p>
    <w:bookmarkStart w:id="48" w:name="page49"/>
    <w:bookmarkEnd w:id="48"/>
    <w:p>
      <w:pPr>
        <w:ind w:right="340"/>
        <w:spacing w:after="0" w:line="251" w:lineRule="auto"/>
        <w:rPr>
          <w:sz w:val="20"/>
          <w:szCs w:val="20"/>
          <w:color w:val="auto"/>
        </w:rPr>
      </w:pP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40" w:firstLine="1305"/>
        <w:spacing w:after="0"/>
        <w:tabs>
          <w:tab w:leader="none" w:pos="1945" w:val="left"/>
        </w:tabs>
        <w:numPr>
          <w:ilvl w:val="0"/>
          <w:numId w:val="35"/>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jc w:val="both"/>
        <w:ind w:right="400" w:firstLine="1953"/>
        <w:spacing w:after="0"/>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120" w:firstLine="1953"/>
        <w:spacing w:after="0"/>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ind w:firstLine="1953"/>
        <w:spacing w:after="0"/>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35"/>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35"/>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right="300" w:firstLine="1953"/>
        <w:spacing w:after="0" w:line="251" w:lineRule="auto"/>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60" w:firstLine="1953"/>
        <w:spacing w:after="0" w:line="245" w:lineRule="auto"/>
        <w:tabs>
          <w:tab w:leader="none" w:pos="2593" w:val="left"/>
        </w:tabs>
        <w:numPr>
          <w:ilvl w:val="1"/>
          <w:numId w:val="35"/>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80" w:firstLine="1953"/>
        <w:spacing w:after="0" w:line="234" w:lineRule="auto"/>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ectPr>
          <w:pgSz w:w="11900" w:h="16838" w:orient="portrait"/>
          <w:cols w:equalWidth="0" w:num="1">
            <w:col w:w="11400"/>
          </w:cols>
          <w:pgMar w:left="240" w:top="118" w:right="259" w:bottom="0" w:gutter="0" w:footer="0" w:header="0"/>
        </w:sectPr>
      </w:pPr>
    </w:p>
    <w:bookmarkStart w:id="49" w:name="page50"/>
    <w:bookmarkEnd w:id="49"/>
    <w:p>
      <w:pPr>
        <w:ind w:right="20" w:firstLine="1953"/>
        <w:spacing w:after="0" w:line="241" w:lineRule="auto"/>
        <w:tabs>
          <w:tab w:leader="none" w:pos="25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0" w:lineRule="exact"/>
        <w:rPr>
          <w:rFonts w:ascii="Arial" w:cs="Arial" w:eastAsia="Arial" w:hAnsi="Arial"/>
          <w:sz w:val="22"/>
          <w:szCs w:val="22"/>
          <w:color w:val="auto"/>
        </w:rPr>
      </w:pPr>
    </w:p>
    <w:p>
      <w:pPr>
        <w:ind w:left="2600" w:hanging="647"/>
        <w:spacing w:after="0"/>
        <w:tabs>
          <w:tab w:leader="none" w:pos="26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right="7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of a termination of employment by the Company other than for Cause, death, or Disability, or (b) the Executive’s Separation from Service by reason of resignation of employment with the Company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3(a)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Accrued Obligations</w:t>
      </w:r>
      <w:r>
        <w:rPr>
          <w:rFonts w:ascii="Arial" w:cs="Arial" w:eastAsia="Arial" w:hAnsi="Arial"/>
          <w:sz w:val="22"/>
          <w:szCs w:val="22"/>
          <w:color w:val="auto"/>
        </w:rPr>
        <w:t>” has the meaning assigned thereto in Section 6(a)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6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Accrued Obligations</w:t>
      </w:r>
      <w:r>
        <w:rPr>
          <w:rFonts w:ascii="Arial" w:cs="Arial" w:eastAsia="Arial" w:hAnsi="Arial"/>
          <w:sz w:val="22"/>
          <w:szCs w:val="22"/>
          <w:color w:val="auto"/>
        </w:rPr>
        <w:t>” has the meaning assigned thereto in Section 5(a)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 Payments</w:t>
      </w:r>
      <w:r>
        <w:rPr>
          <w:rFonts w:ascii="Arial" w:cs="Arial" w:eastAsia="Arial" w:hAnsi="Arial"/>
          <w:sz w:val="22"/>
          <w:szCs w:val="22"/>
          <w:color w:val="auto"/>
        </w:rPr>
        <w:t>” means any of the following: (a) the Payment in Lieu of Notice, (b) the Pre-Change in Control Severance Payment, (c) the Post-Change in Control Severance Payment, (d) the Additional Post-Change in Control Severance Payment, (e) the Consulting Payment, (f) the payment under Section 6(b) (but only to the extent such payment or portion thereof is subject to Section 409A of the Code), (g) the financial planning services provided under Sections 5(e) and 6(f), and (h) the legal fees and expenses reimbursed under Section 15.</w:t>
      </w:r>
    </w:p>
    <w:p>
      <w:pPr>
        <w:spacing w:after="0" w:line="188"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2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with respect to the Executive (or another Service Provider), means the Executive’s (or such Service Provider’s) (a) termination of employment or (b) other termination or reduction in services, provided that such termination or reduction in clause (a) or (b) constitutes a “separation from service,” as defined in Treasury Regulation Section 1.409A-1(h), with respect to the Service Recipient.</w:t>
      </w:r>
    </w:p>
    <w:p>
      <w:pPr>
        <w:sectPr>
          <w:pgSz w:w="11900" w:h="16838" w:orient="portrait"/>
          <w:cols w:equalWidth="0" w:num="1">
            <w:col w:w="11420"/>
          </w:cols>
          <w:pgMar w:left="240" w:top="118" w:right="239" w:bottom="0" w:gutter="0" w:footer="0" w:header="0"/>
        </w:sectPr>
      </w:pPr>
    </w:p>
    <w:bookmarkStart w:id="50" w:name="page51"/>
    <w:bookmarkEnd w:id="5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6(b) hereof.</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the Executive or any other “service provider,” as defined in Treasury Regulation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1.409A-1(f).</w:t>
      </w:r>
    </w:p>
    <w:p>
      <w:pPr>
        <w:spacing w:after="0" w:line="188" w:lineRule="exact"/>
        <w:rPr>
          <w:sz w:val="20"/>
          <w:szCs w:val="20"/>
          <w:color w:val="auto"/>
        </w:rPr>
      </w:pPr>
    </w:p>
    <w:p>
      <w:pPr>
        <w:ind w:right="20"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with respect to the Executive, means Sempra Energy (if the Executive is employed by Sempra Energy), or the subsidiary of Sempra Energy employing the Executive,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21"/>
          <w:szCs w:val="21"/>
          <w:u w:val="single" w:color="auto"/>
          <w:color w:val="auto"/>
        </w:rPr>
        <w:t>Service Recipient</w:t>
      </w:r>
      <w:r>
        <w:rPr>
          <w:rFonts w:ascii="Arial" w:cs="Arial" w:eastAsia="Arial" w:hAnsi="Arial"/>
          <w:sz w:val="21"/>
          <w:szCs w:val="21"/>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77"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means a Service Provider who, as of the date of the Service Provider’s Separation from Service is a “</w:t>
      </w:r>
      <w:r>
        <w:rPr>
          <w:rFonts w:ascii="Arial" w:cs="Arial" w:eastAsia="Arial" w:hAnsi="Arial"/>
          <w:sz w:val="19"/>
          <w:szCs w:val="19"/>
          <w:u w:val="single" w:color="auto"/>
          <w:color w:val="auto"/>
        </w:rPr>
        <w:t>Key Employee</w:t>
      </w:r>
      <w:r>
        <w:rPr>
          <w:rFonts w:ascii="Arial" w:cs="Arial" w:eastAsia="Arial" w:hAnsi="Arial"/>
          <w:sz w:val="19"/>
          <w:szCs w:val="19"/>
          <w:color w:val="auto"/>
        </w:rPr>
        <w:t>” of the Service Recipient any stock of which is publicly traded on an established securities market or otherwise. For purposes of this definition,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(as defined above) as of a Specified Employee Identification Date, the Service Provider shall be treated as “</w:t>
      </w:r>
      <w:r>
        <w:rPr>
          <w:rFonts w:ascii="Arial" w:cs="Arial" w:eastAsia="Arial" w:hAnsi="Arial"/>
          <w:sz w:val="19"/>
          <w:szCs w:val="19"/>
          <w:u w:val="single" w:color="auto"/>
          <w:color w:val="auto"/>
        </w:rPr>
        <w:t>Key Employee</w:t>
      </w:r>
      <w:r>
        <w:rPr>
          <w:rFonts w:ascii="Arial" w:cs="Arial" w:eastAsia="Arial" w:hAnsi="Arial"/>
          <w:sz w:val="19"/>
          <w:szCs w:val="19"/>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w:t>
      </w:r>
    </w:p>
    <w:p>
      <w:pPr>
        <w:ind w:right="60"/>
        <w:spacing w:after="0" w:line="234" w:lineRule="auto"/>
        <w:rPr>
          <w:sz w:val="20"/>
          <w:szCs w:val="20"/>
          <w:color w:val="auto"/>
        </w:rPr>
      </w:pPr>
      <w:r>
        <w:rPr>
          <w:rFonts w:ascii="Arial" w:cs="Arial" w:eastAsia="Arial" w:hAnsi="Arial"/>
          <w:sz w:val="22"/>
          <w:szCs w:val="22"/>
          <w:color w:val="auto"/>
        </w:rPr>
        <w:t>1.415(c)-2(e), and were not using any of the elective special rules provided in Treasury Regulation Section 1.415(c)-2(g)), from the Service Recipient for such Testing Year. The “Specified Employees” shall be determined in accordance with Section 409A(a)(2) (B)(i) of the Code and Treasury Regulation Section 1.409A-1(i).</w:t>
      </w:r>
    </w:p>
    <w:p>
      <w:pPr>
        <w:spacing w:after="0" w:line="187" w:lineRule="exact"/>
        <w:rPr>
          <w:sz w:val="20"/>
          <w:szCs w:val="20"/>
          <w:color w:val="auto"/>
        </w:rPr>
      </w:pPr>
    </w:p>
    <w:p>
      <w:pPr>
        <w:jc w:val="both"/>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Effective Date</w:t>
      </w:r>
      <w:r>
        <w:rPr>
          <w:rFonts w:ascii="Arial" w:cs="Arial" w:eastAsia="Arial" w:hAnsi="Arial"/>
          <w:sz w:val="22"/>
          <w:szCs w:val="22"/>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86" w:lineRule="exact"/>
        <w:rPr>
          <w:sz w:val="20"/>
          <w:szCs w:val="20"/>
          <w:color w:val="auto"/>
        </w:rPr>
      </w:pPr>
    </w:p>
    <w:p>
      <w:pPr>
        <w:ind w:right="2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for purposes of Treasury Regulation Section 1.409A-1(i)(3), shall mean December 31. The “</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shall apply to all “nonqualified deferred compensation plans” (as defined in Treasury Regulation Section 1.409A-1(a)) of the Service Recipient and all affected Service Providers. The “</w:t>
      </w:r>
      <w:r>
        <w:rPr>
          <w:rFonts w:ascii="Arial" w:cs="Arial" w:eastAsia="Arial" w:hAnsi="Arial"/>
          <w:sz w:val="22"/>
          <w:szCs w:val="22"/>
          <w:u w:val="single" w:color="auto"/>
          <w:color w:val="auto"/>
        </w:rPr>
        <w:t>Specified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 Identification Date</w:t>
      </w:r>
      <w:r>
        <w:rPr>
          <w:rFonts w:ascii="Arial" w:cs="Arial" w:eastAsia="Arial" w:hAnsi="Arial"/>
          <w:sz w:val="22"/>
          <w:szCs w:val="22"/>
          <w:color w:val="auto"/>
        </w:rPr>
        <w:t>” may be changed by Sempra Energy, in its discretion, in accordance with Treasury Regulation Section 1.409A-1(i)(3).</w:t>
      </w:r>
    </w:p>
    <w:p>
      <w:pPr>
        <w:spacing w:after="0" w:line="188"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Year</w:t>
      </w:r>
      <w:r>
        <w:rPr>
          <w:rFonts w:ascii="Arial" w:cs="Arial" w:eastAsia="Arial" w:hAnsi="Arial"/>
          <w:sz w:val="22"/>
          <w:szCs w:val="22"/>
          <w:color w:val="auto"/>
        </w:rPr>
        <w:t>” shall mean the twelve (12) month period ending on the Specified Employee Identification Date, as determined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Underpayment</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u w:val="single" w:color="auto"/>
          <w:color w:val="auto"/>
        </w:rPr>
        <w:t>Sarbanes-Oxley Act of 2002</w:t>
      </w:r>
      <w:r>
        <w:rPr>
          <w:rFonts w:ascii="Arial" w:cs="Arial" w:eastAsia="Arial" w:hAnsi="Arial"/>
          <w:sz w:val="19"/>
          <w:szCs w:val="19"/>
          <w:color w:val="auto"/>
        </w:rPr>
        <w:t>. Notwithstanding anything herein to the contrary, if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in its good faith judgment, that any provision of this Agreement is likely to be interpreted as a personal loan prohibited by the Sarbanes-Oxley Act of 2002 and the rules and regulations promulgated thereunder (the “</w:t>
      </w:r>
      <w:r>
        <w:rPr>
          <w:rFonts w:ascii="Arial" w:cs="Arial" w:eastAsia="Arial" w:hAnsi="Arial"/>
          <w:sz w:val="19"/>
          <w:szCs w:val="19"/>
          <w:u w:val="single" w:color="auto"/>
          <w:color w:val="auto"/>
        </w:rPr>
        <w:t>Act</w:t>
      </w:r>
      <w:r>
        <w:rPr>
          <w:rFonts w:ascii="Arial" w:cs="Arial" w:eastAsia="Arial" w:hAnsi="Arial"/>
          <w:sz w:val="19"/>
          <w:szCs w:val="19"/>
          <w:color w:val="auto"/>
        </w:rPr>
        <w:t>”), then such provision shall be modified as necessary or appropriate so as to not violate the Act; and if this cannot be accomplished, then the Company shall use its reasonable efforts to provide the Executive with similar, but lawful, substitute benefit(s) at a cost to the Company not to significantly exceed the amount the Company would have otherwise paid to provide such benefit(s) to the Executive. In addition, if the Executive is required to forfeit or to make any repayment of any compensation or benefit(s) to the Company under the Act or any other law, such forfeiture or repayment shall not constitute Good Reason.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199" w:lineRule="exact"/>
        <w:rPr>
          <w:sz w:val="20"/>
          <w:szCs w:val="20"/>
          <w:color w:val="auto"/>
        </w:rPr>
      </w:pPr>
    </w:p>
    <w:p>
      <w:pPr>
        <w:ind w:right="20" w:firstLine="1305"/>
        <w:spacing w:after="0" w:line="279" w:lineRule="auto"/>
        <w:tabs>
          <w:tab w:leader="none" w:pos="1945"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60" w:firstLine="1305"/>
        <w:spacing w:after="0" w:line="277" w:lineRule="auto"/>
        <w:tabs>
          <w:tab w:leader="none" w:pos="1945"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 has a Separation from Service by reason of the Company terminating his or her employment, either with or without Cause,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equal to two (2) weeks of the Executive’s Annual Base Salary in effect on the Date of Termination), and (ii) if the basis for the Executive’s Involuntary Termination is his resignation for Good Reason, the Date of</w:t>
      </w:r>
    </w:p>
    <w:p>
      <w:pPr>
        <w:sectPr>
          <w:pgSz w:w="11900" w:h="16838" w:orient="portrait"/>
          <w:cols w:equalWidth="0" w:num="1">
            <w:col w:w="11420"/>
          </w:cols>
          <w:pgMar w:left="240" w:top="118" w:right="239" w:bottom="0" w:gutter="0" w:footer="0" w:header="0"/>
        </w:sectPr>
      </w:pPr>
    </w:p>
    <w:bookmarkStart w:id="51" w:name="page52"/>
    <w:bookmarkEnd w:id="51"/>
    <w:p>
      <w:pPr>
        <w:spacing w:after="0" w:line="11"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 xml:space="preserve">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determined by the Company within thirty (30) days after the date of the Executive’s Separation from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his or her Separation from Service, such Payment in Lieu of Notice shall be paid as provided in Section 10 hereof.</w:t>
      </w:r>
    </w:p>
    <w:p>
      <w:pPr>
        <w:spacing w:after="0" w:line="166"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b w:val="1"/>
          <w:bCs w:val="1"/>
          <w:color w:val="auto"/>
        </w:rPr>
        <w:t xml:space="preserve">Section 5. </w:t>
      </w:r>
      <w:r>
        <w:rPr>
          <w:rFonts w:ascii="Arial" w:cs="Arial" w:eastAsia="Arial" w:hAnsi="Arial"/>
          <w:sz w:val="21"/>
          <w:szCs w:val="21"/>
          <w:u w:val="single" w:color="auto"/>
          <w:color w:val="auto"/>
        </w:rPr>
        <w:t>Severance Benefits upon Involuntary Termination Prior to Change in Control</w:t>
      </w:r>
      <w:r>
        <w:rPr>
          <w:rFonts w:ascii="Arial" w:cs="Arial" w:eastAsia="Arial" w:hAnsi="Arial"/>
          <w:sz w:val="21"/>
          <w:szCs w:val="21"/>
          <w:color w:val="auto"/>
        </w:rPr>
        <w:t>. Except as provided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6 and Section 19(i) hereof, in the event of the Involuntary Termination of the Executive prior to a Change in Control, the Company shall pay the Executive, in one lump sum cash payment, an amount (the “</w:t>
      </w:r>
      <w:r>
        <w:rPr>
          <w:rFonts w:ascii="Arial" w:cs="Arial" w:eastAsia="Arial" w:hAnsi="Arial"/>
          <w:sz w:val="21"/>
          <w:szCs w:val="21"/>
          <w:u w:val="single" w:color="auto"/>
          <w:color w:val="auto"/>
        </w:rPr>
        <w:t>Pre-Change in Control Severance Payment</w:t>
      </w:r>
      <w:r>
        <w:rPr>
          <w:rFonts w:ascii="Arial" w:cs="Arial" w:eastAsia="Arial" w:hAnsi="Arial"/>
          <w:sz w:val="21"/>
          <w:szCs w:val="21"/>
          <w:color w:val="auto"/>
        </w:rPr>
        <w:t xml:space="preserve">”) equal to the greater of: (X) 170%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Except as provided in Section 5(f), the Pre-Change in Control Severance Payment and the payment under Section 5(a) shall be paid on such date as is determined by the Company within thirty (30) days after the date of the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Pre-Change in Control Severance Payment and the financial planning services provided under Section 5(e) shall be paid as provided in Section 10 hereof.</w:t>
      </w:r>
    </w:p>
    <w:p>
      <w:pPr>
        <w:spacing w:after="0" w:line="171" w:lineRule="exact"/>
        <w:rPr>
          <w:sz w:val="20"/>
          <w:szCs w:val="20"/>
          <w:color w:val="auto"/>
        </w:rPr>
      </w:pPr>
    </w:p>
    <w:p>
      <w:pPr>
        <w:ind w:left="1960" w:hanging="655"/>
        <w:spacing w:after="0"/>
        <w:tabs>
          <w:tab w:leader="none" w:pos="1960"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right="140" w:firstLine="8"/>
        <w:spacing w:after="0" w:line="275" w:lineRule="auto"/>
        <w:tabs>
          <w:tab w:leader="none" w:pos="354"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 (The amounts specified in clauses (A), (B), (C) and (D) shall be hereinafter referred to as the “</w:t>
      </w:r>
      <w:r>
        <w:rPr>
          <w:rFonts w:ascii="Arial" w:cs="Arial" w:eastAsia="Arial" w:hAnsi="Arial"/>
          <w:sz w:val="19"/>
          <w:szCs w:val="19"/>
          <w:u w:val="single" w:color="auto"/>
          <w:color w:val="auto"/>
        </w:rPr>
        <w:t>Pre-Change in Control Accrued Obligations</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right="100" w:firstLine="1305"/>
        <w:spacing w:after="0" w:line="251" w:lineRule="auto"/>
        <w:tabs>
          <w:tab w:leader="none" w:pos="1945"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40" w:firstLine="1305"/>
        <w:spacing w:after="0" w:line="246" w:lineRule="auto"/>
        <w:tabs>
          <w:tab w:leader="none" w:pos="1945"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twelve (12)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w:t>
      </w:r>
    </w:p>
    <w:p>
      <w:pPr>
        <w:spacing w:after="0" w:line="167" w:lineRule="exact"/>
        <w:rPr>
          <w:rFonts w:ascii="Arial" w:cs="Arial" w:eastAsia="Arial" w:hAnsi="Arial"/>
          <w:sz w:val="21"/>
          <w:szCs w:val="21"/>
          <w:color w:val="auto"/>
        </w:rPr>
      </w:pPr>
    </w:p>
    <w:p>
      <w:pPr>
        <w:ind w:right="160" w:firstLine="1305"/>
        <w:spacing w:after="0" w:line="235" w:lineRule="auto"/>
        <w:tabs>
          <w:tab w:leader="none" w:pos="1945"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twenty-four (24)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4" w:lineRule="exact"/>
        <w:rPr>
          <w:rFonts w:ascii="Arial" w:cs="Arial" w:eastAsia="Arial" w:hAnsi="Arial"/>
          <w:sz w:val="22"/>
          <w:szCs w:val="22"/>
          <w:color w:val="auto"/>
        </w:rPr>
      </w:pPr>
    </w:p>
    <w:p>
      <w:pPr>
        <w:ind w:firstLine="1305"/>
        <w:spacing w:after="0" w:line="273" w:lineRule="auto"/>
        <w:tabs>
          <w:tab w:leader="none" w:pos="1945"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ind w:right="40" w:firstLine="1305"/>
        <w:spacing w:after="0" w:line="238" w:lineRule="auto"/>
        <w:tabs>
          <w:tab w:leader="none" w:pos="1945"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5 under the terms and conditions of the Sempra Energy 2005 Deferred Compensation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5 above, and except as provided in Section 19(i) hereof</w:t>
      </w:r>
      <w:r>
        <w:rPr>
          <w:rFonts w:ascii="Arial" w:cs="Arial" w:eastAsia="Arial" w:hAnsi="Arial"/>
          <w:sz w:val="19"/>
          <w:szCs w:val="19"/>
          <w:i w:val="1"/>
          <w:iCs w:val="1"/>
          <w:color w:val="auto"/>
        </w:rPr>
        <w:t>,</w:t>
      </w:r>
      <w:r>
        <w:rPr>
          <w:rFonts w:ascii="Arial" w:cs="Arial" w:eastAsia="Arial" w:hAnsi="Arial"/>
          <w:sz w:val="19"/>
          <w:szCs w:val="19"/>
          <w:color w:val="auto"/>
        </w:rPr>
        <w:t xml:space="preserve"> in the event of the Involuntary Termination of the Executive on or within two (2) years following a Change in Control, in lieu of the payments described in</w:t>
      </w:r>
    </w:p>
    <w:p>
      <w:pPr>
        <w:sectPr>
          <w:pgSz w:w="11900" w:h="16850" w:orient="portrait"/>
          <w:cols w:equalWidth="0" w:num="1">
            <w:col w:w="11420"/>
          </w:cols>
          <w:pgMar w:left="240" w:top="118" w:right="239" w:bottom="0" w:gutter="0" w:footer="0" w:header="0"/>
        </w:sectPr>
      </w:pPr>
    </w:p>
    <w:bookmarkStart w:id="52" w:name="page53"/>
    <w:bookmarkEnd w:id="52"/>
    <w:p>
      <w:pPr>
        <w:ind w:right="40"/>
        <w:spacing w:after="0" w:line="272" w:lineRule="auto"/>
        <w:rPr>
          <w:sz w:val="20"/>
          <w:szCs w:val="20"/>
          <w:color w:val="auto"/>
        </w:rPr>
      </w:pPr>
      <w:r>
        <w:rPr>
          <w:rFonts w:ascii="Arial" w:cs="Arial" w:eastAsia="Arial" w:hAnsi="Arial"/>
          <w:sz w:val="19"/>
          <w:szCs w:val="19"/>
          <w:color w:val="auto"/>
        </w:rPr>
        <w:t>Section 5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xml:space="preserve">”) equal to two times the greater of: (X) 170%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(f). Except as provided in Sections 6(g) and 6(h), the Post-Change in Control Severance Payment and the payments under Sections 6(a) and (b) shall be paid on such date as is determined by the Company within thirty (30) days after the date of the Involuntary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Involuntary Termination, the Post-Change in Control Severance Payment, the Additional Post-Change in Control Severance Payment under Section 6(a)(E), the payment under Section 6(b) (but only to the extent such payment or portion thereof is subject to Section 409A of the Code), and the financial planning services provided under Section 6(f) shall be paid as provided in Section 10 hereof.</w:t>
      </w:r>
    </w:p>
    <w:p>
      <w:pPr>
        <w:spacing w:after="0" w:line="396" w:lineRule="exact"/>
        <w:rPr>
          <w:sz w:val="20"/>
          <w:szCs w:val="20"/>
          <w:color w:val="auto"/>
        </w:rPr>
      </w:pPr>
    </w:p>
    <w:p>
      <w:pPr>
        <w:ind w:left="1960" w:hanging="655"/>
        <w:spacing w:after="0"/>
        <w:tabs>
          <w:tab w:leader="none" w:pos="1960"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firstLine="8"/>
        <w:spacing w:after="0" w:line="243" w:lineRule="auto"/>
        <w:tabs>
          <w:tab w:leader="none" w:pos="354"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(D) reimbursement for unreimbursed business expenses, if any, properly incurred by the Executive in the performance of his duties in accordance with policies established from time to time by the Board, and (E) an amount (the “</w:t>
      </w:r>
      <w:r>
        <w:rPr>
          <w:rFonts w:ascii="Arial" w:cs="Arial" w:eastAsia="Arial" w:hAnsi="Arial"/>
          <w:sz w:val="21"/>
          <w:szCs w:val="21"/>
          <w:u w:val="single" w:color="auto"/>
          <w:color w:val="auto"/>
        </w:rPr>
        <w:t>Additional Post-Change in Control Severance Payment</w:t>
      </w:r>
      <w:r>
        <w:rPr>
          <w:rFonts w:ascii="Arial" w:cs="Arial" w:eastAsia="Arial" w:hAnsi="Arial"/>
          <w:sz w:val="21"/>
          <w:szCs w:val="21"/>
          <w:color w:val="auto"/>
        </w:rPr>
        <w:t>”) equal to: (i) the greater of: (X) 70%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in the case of each amount described in clause (A), (B), (C) or (D) to the extent not theretofore paid. (The amounts specified in clauses (A), (B), (C), (D) and (E) shall be hereinafter referred to as the “</w:t>
      </w:r>
      <w:r>
        <w:rPr>
          <w:rFonts w:ascii="Arial" w:cs="Arial" w:eastAsia="Arial" w:hAnsi="Arial"/>
          <w:sz w:val="21"/>
          <w:szCs w:val="21"/>
          <w:u w:val="single" w:color="auto"/>
          <w:color w:val="auto"/>
        </w:rPr>
        <w:t>Post-Change in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Control Accrued Obligations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firstLine="1305"/>
        <w:spacing w:after="0" w:line="269" w:lineRule="auto"/>
        <w:tabs>
          <w:tab w:leader="none" w:pos="1945"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6(b), in the event that the Executive is a “Participant” (as defined in the SERP) as of the Date of Termination. 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 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6(b),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6(b) shall be in full satisfaction of any and all of the benefits payable to or on behalf of the Executive under the SERP.</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40" w:firstLine="1305"/>
        <w:spacing w:after="0" w:line="272" w:lineRule="auto"/>
        <w:tabs>
          <w:tab w:leader="none" w:pos="1945"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48" w:lineRule="exact"/>
        <w:rPr>
          <w:rFonts w:ascii="Arial" w:cs="Arial" w:eastAsia="Arial" w:hAnsi="Arial"/>
          <w:sz w:val="19"/>
          <w:szCs w:val="19"/>
          <w:color w:val="auto"/>
        </w:rPr>
      </w:pPr>
    </w:p>
    <w:p>
      <w:pPr>
        <w:ind w:right="40" w:firstLine="1305"/>
        <w:spacing w:after="0" w:line="282" w:lineRule="auto"/>
        <w:tabs>
          <w:tab w:leader="none" w:pos="1945"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twenty-four (24)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w:t>
      </w:r>
    </w:p>
    <w:p>
      <w:pPr>
        <w:sectPr>
          <w:pgSz w:w="11900" w:h="16838" w:orient="portrait"/>
          <w:cols w:equalWidth="0" w:num="1">
            <w:col w:w="11420"/>
          </w:cols>
          <w:pgMar w:left="240" w:top="118" w:right="239" w:bottom="0" w:gutter="0" w:footer="0" w:header="0"/>
        </w:sectPr>
      </w:pPr>
    </w:p>
    <w:bookmarkStart w:id="53" w:name="page54"/>
    <w:bookmarkEnd w:id="53"/>
    <w:p>
      <w:pPr>
        <w:ind w:right="360"/>
        <w:spacing w:after="0" w:line="252" w:lineRule="auto"/>
        <w:rPr>
          <w:sz w:val="20"/>
          <w:szCs w:val="20"/>
          <w:color w:val="auto"/>
        </w:rPr>
      </w:pPr>
      <w:r>
        <w:rPr>
          <w:rFonts w:ascii="Arial" w:cs="Arial" w:eastAsia="Arial" w:hAnsi="Arial"/>
          <w:sz w:val="21"/>
          <w:szCs w:val="21"/>
          <w:color w:val="auto"/>
        </w:rPr>
        <w:t>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w:t>
      </w:r>
    </w:p>
    <w:p>
      <w:pPr>
        <w:spacing w:after="0" w:line="161" w:lineRule="exact"/>
        <w:rPr>
          <w:sz w:val="20"/>
          <w:szCs w:val="20"/>
          <w:color w:val="auto"/>
        </w:rPr>
      </w:pPr>
    </w:p>
    <w:p>
      <w:pPr>
        <w:ind w:right="20" w:firstLine="1305"/>
        <w:spacing w:after="0" w:line="247" w:lineRule="auto"/>
        <w:tabs>
          <w:tab w:leader="none" w:pos="1945"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thirty-six (36)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8" w:lineRule="exact"/>
        <w:rPr>
          <w:rFonts w:ascii="Arial" w:cs="Arial" w:eastAsia="Arial" w:hAnsi="Arial"/>
          <w:sz w:val="21"/>
          <w:szCs w:val="21"/>
          <w:color w:val="auto"/>
        </w:rPr>
      </w:pPr>
    </w:p>
    <w:p>
      <w:pPr>
        <w:ind w:firstLine="1305"/>
        <w:spacing w:after="0" w:line="244" w:lineRule="auto"/>
        <w:tabs>
          <w:tab w:leader="none" w:pos="1945"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Financial Planning Services</w:t>
      </w:r>
      <w:r>
        <w:rPr>
          <w:rFonts w:ascii="Arial" w:cs="Arial" w:eastAsia="Arial" w:hAnsi="Arial"/>
          <w:sz w:val="21"/>
          <w:szCs w:val="21"/>
          <w:color w:val="auto"/>
        </w:rPr>
        <w:t xml:space="preserve">. The Executive shall receive financial planning services, on an in-kind basis, for a period of thirty-six (36)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176" w:lineRule="exact"/>
        <w:rPr>
          <w:rFonts w:ascii="Arial" w:cs="Arial" w:eastAsia="Arial" w:hAnsi="Arial"/>
          <w:sz w:val="21"/>
          <w:szCs w:val="21"/>
          <w:color w:val="auto"/>
        </w:rPr>
      </w:pPr>
    </w:p>
    <w:p>
      <w:pPr>
        <w:ind w:right="80" w:firstLine="1305"/>
        <w:spacing w:after="0" w:line="275" w:lineRule="auto"/>
        <w:tabs>
          <w:tab w:leader="none" w:pos="194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5 hereof, be entitled to the Post-Change in Control Severance Payment and the additional benefits described in this Section 6 as if such Involuntary Termination had occurred within two (2) years following the Change in Control. The amounts specified in Section 6 that are to be paid under this Section 6(g) shall be reduced by any amount previously paid under Section 5. The amounts to be paid under this Section 6(g) shall be paid within thirty (30) days after the Change in Control Date of such Change in Control.</w:t>
      </w:r>
    </w:p>
    <w:p>
      <w:pPr>
        <w:spacing w:after="0" w:line="144" w:lineRule="exact"/>
        <w:rPr>
          <w:rFonts w:ascii="Arial" w:cs="Arial" w:eastAsia="Arial" w:hAnsi="Arial"/>
          <w:sz w:val="19"/>
          <w:szCs w:val="19"/>
          <w:color w:val="auto"/>
        </w:rPr>
      </w:pPr>
    </w:p>
    <w:p>
      <w:pPr>
        <w:ind w:right="600" w:firstLine="1305"/>
        <w:spacing w:after="0" w:line="297" w:lineRule="auto"/>
        <w:tabs>
          <w:tab w:leader="none" w:pos="194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to be received by the Executive pursuant to this Section 6 under the terms and conditions of the Deferred Compensation Plan. Any such deferral election shall be made in accordance with Section 18(b) hereof.</w:t>
      </w:r>
    </w:p>
    <w:p>
      <w:pPr>
        <w:spacing w:after="0" w:line="128" w:lineRule="exact"/>
        <w:rPr>
          <w:sz w:val="20"/>
          <w:szCs w:val="20"/>
          <w:color w:val="auto"/>
        </w:rPr>
      </w:pPr>
    </w:p>
    <w:p>
      <w:pPr>
        <w:jc w:val="both"/>
        <w:ind w:right="120" w:firstLine="1297"/>
        <w:spacing w:after="0" w:line="289"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by the Company for Cause or by the Executive Other than for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Good Reason</w:t>
      </w:r>
      <w:r>
        <w:rPr>
          <w:rFonts w:ascii="Arial" w:cs="Arial" w:eastAsia="Arial" w:hAnsi="Arial"/>
          <w:sz w:val="19"/>
          <w:szCs w:val="19"/>
          <w:color w:val="auto"/>
        </w:rPr>
        <w:t>. If 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11 hereof.</w:t>
      </w:r>
    </w:p>
    <w:p>
      <w:pPr>
        <w:spacing w:after="0" w:line="129" w:lineRule="exact"/>
        <w:rPr>
          <w:sz w:val="20"/>
          <w:szCs w:val="20"/>
          <w:color w:val="auto"/>
        </w:rPr>
      </w:pPr>
    </w:p>
    <w:p>
      <w:pPr>
        <w:ind w:right="80" w:firstLine="1297"/>
        <w:spacing w:after="0" w:line="275"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Service by reason of death or Disability, the Company shall pay the Executive or his estate, as the case may be, the Post-Change in Control Accrued Obligations (without regard to whether a Change in Control has occurred) and any amounts or benefits described in Section 11 hereof. Such payments shall be in addition to those rights and benefits to which the Executive or his estate may be entitled under the relevant Company plans or programs. Such payments shall be paid on such date as determined by the Company within thirty (30) days after the date of the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Separation from Service by reason of Disability, the Additional Post-Change in Control Severance Payment under Section 6(a)(E) shall be paid as provided in Section 10 hereof.</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u w:val="single" w:color="auto"/>
          <w:color w:val="auto"/>
        </w:rPr>
        <w:t>Limitation on Payments by the Company</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33" w:lineRule="auto"/>
        <w:tabs>
          <w:tab w:leader="none" w:pos="1945"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9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Payment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80"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43"/>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ectPr>
          <w:pgSz w:w="11900" w:h="16838" w:orient="portrait"/>
          <w:cols w:equalWidth="0" w:num="1">
            <w:col w:w="11420"/>
          </w:cols>
          <w:pgMar w:left="240" w:top="118" w:right="239" w:bottom="0" w:gutter="0" w:footer="0" w:header="0"/>
        </w:sectPr>
      </w:pPr>
    </w:p>
    <w:bookmarkStart w:id="54" w:name="page55"/>
    <w:bookmarkEnd w:id="54"/>
    <w:p>
      <w:pPr>
        <w:ind w:left="660" w:right="720" w:firstLine="1941"/>
        <w:spacing w:after="0" w:line="274" w:lineRule="auto"/>
        <w:tabs>
          <w:tab w:leader="none" w:pos="3253"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7" w:lineRule="exact"/>
        <w:rPr>
          <w:sz w:val="20"/>
          <w:szCs w:val="20"/>
          <w:color w:val="auto"/>
        </w:rPr>
      </w:pPr>
    </w:p>
    <w:p>
      <w:pPr>
        <w:ind w:left="1960" w:hanging="655"/>
        <w:spacing w:after="0"/>
        <w:tabs>
          <w:tab w:leader="none" w:pos="19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9:</w:t>
      </w:r>
    </w:p>
    <w:p>
      <w:pPr>
        <w:spacing w:after="0" w:line="206" w:lineRule="exact"/>
        <w:rPr>
          <w:rFonts w:ascii="Arial" w:cs="Arial" w:eastAsia="Arial" w:hAnsi="Arial"/>
          <w:sz w:val="22"/>
          <w:szCs w:val="22"/>
          <w:color w:val="auto"/>
        </w:rPr>
      </w:pPr>
    </w:p>
    <w:p>
      <w:pPr>
        <w:ind w:left="660" w:right="80" w:firstLine="1941"/>
        <w:spacing w:after="0"/>
        <w:tabs>
          <w:tab w:leader="none" w:pos="3253" w:val="left"/>
        </w:tabs>
        <w:numPr>
          <w:ilvl w:val="1"/>
          <w:numId w:val="45"/>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45"/>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440" w:firstLine="1941"/>
        <w:spacing w:after="0"/>
        <w:tabs>
          <w:tab w:leader="none" w:pos="3253" w:val="left"/>
        </w:tabs>
        <w:numPr>
          <w:ilvl w:val="1"/>
          <w:numId w:val="45"/>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86" w:lineRule="exact"/>
        <w:rPr>
          <w:rFonts w:ascii="Arial" w:cs="Arial" w:eastAsia="Arial" w:hAnsi="Arial"/>
          <w:sz w:val="22"/>
          <w:szCs w:val="22"/>
          <w:color w:val="auto"/>
        </w:rPr>
      </w:pPr>
    </w:p>
    <w:p>
      <w:pPr>
        <w:ind w:right="80" w:firstLine="1305"/>
        <w:spacing w:after="0" w:line="270" w:lineRule="auto"/>
        <w:tabs>
          <w:tab w:leader="none" w:pos="1945" w:val="left"/>
        </w:tabs>
        <w:numPr>
          <w:ilvl w:val="0"/>
          <w:numId w:val="45"/>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9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 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200" w:lineRule="exact"/>
        <w:rPr>
          <w:sz w:val="20"/>
          <w:szCs w:val="20"/>
          <w:color w:val="auto"/>
        </w:rPr>
      </w:pPr>
    </w:p>
    <w:p>
      <w:pPr>
        <w:spacing w:after="0" w:line="202"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10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48"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w:t>
      </w:r>
    </w:p>
    <w:p>
      <w:pPr>
        <w:sectPr>
          <w:pgSz w:w="11900" w:h="16838" w:orient="portrait"/>
          <w:cols w:equalWidth="0" w:num="1">
            <w:col w:w="11420"/>
          </w:cols>
          <w:pgMar w:left="240" w:top="118" w:right="239" w:bottom="0" w:gutter="0" w:footer="0" w:header="0"/>
        </w:sectPr>
      </w:pPr>
    </w:p>
    <w:bookmarkStart w:id="55" w:name="page56"/>
    <w:bookmarkEnd w:id="55"/>
    <w:p>
      <w:pPr>
        <w:ind w:right="300"/>
        <w:spacing w:after="0" w:line="251" w:lineRule="auto"/>
        <w:rPr>
          <w:sz w:val="20"/>
          <w:szCs w:val="20"/>
          <w:color w:val="auto"/>
        </w:rPr>
      </w:pPr>
      <w:r>
        <w:rPr>
          <w:rFonts w:ascii="Arial" w:cs="Arial" w:eastAsia="Arial" w:hAnsi="Arial"/>
          <w:sz w:val="22"/>
          <w:szCs w:val="22"/>
          <w:color w:val="auto"/>
        </w:rPr>
        <w:t>Company or any Affiliate. Such indemnification and D&amp;O insurance shall be provided in a manner that complies with Treasury Regulation Section 1.409A-1(b)(10).</w:t>
      </w:r>
    </w:p>
    <w:p>
      <w:pPr>
        <w:spacing w:after="0" w:line="160"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4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12"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administered by JAMS in San Diego, California in accordance with the then existing JAMS arbitration rules applicable to employment disputes (the “</w:t>
      </w:r>
      <w:r>
        <w:rPr>
          <w:rFonts w:ascii="Arial" w:cs="Arial" w:eastAsia="Arial" w:hAnsi="Arial"/>
          <w:sz w:val="19"/>
          <w:szCs w:val="19"/>
          <w:u w:val="single" w:color="auto"/>
          <w:color w:val="auto"/>
        </w:rPr>
        <w:t>JAMS Rules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notwithstanding any provision in such rules to the contrary, in all cases the parties shall be entitled to reasonable discovery. In the event of such an arbitration proceeding, the Executive and the Company shall select a mutually acceptable neutral arbitrator from among the JAMS panel of arbitrators. In the event the Executive and the Company cannot agree on an arbitrator, the arbitrator shall be selected in accordance with the then existing JAMS Rules. Neither the Executive nor the Company nor the arbitrator shall disclose the existence, content or results of any arbitration hereunder without the prior written consent of all parties, except to the extent necessary to enforce any arbitration award in a court of competent jurisdiction. Except as provided herein, the Federal Arbitration Act shall govern the interpretation of, enforcement of and all proceedings under this agreement to arbitrate. The arbitrator shall apply the substantive law (and the law of remedies, if applicable) of the state of California, or federal law, or both, as applicable,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The arbitrator shall render an award and a written, reasoned opinion in support thereof. Judgment upon the award may be entered in any court having jurisdiction thereof. The Executive shall not be required to pay any arbitration fee or cost that is unique to arbitration or greater than any amount he would be required to pay to pursue his claims in a court of competent jurisdiction.</w:t>
      </w:r>
    </w:p>
    <w:p>
      <w:pPr>
        <w:spacing w:after="0" w:line="40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193" w:lineRule="exact"/>
        <w:rPr>
          <w:sz w:val="20"/>
          <w:szCs w:val="20"/>
          <w:color w:val="auto"/>
        </w:rPr>
      </w:pPr>
    </w:p>
    <w:p>
      <w:pPr>
        <w:ind w:right="40" w:firstLine="1305"/>
        <w:spacing w:after="0" w:line="271" w:lineRule="auto"/>
        <w:tabs>
          <w:tab w:leader="none" w:pos="194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58" w:lineRule="exact"/>
        <w:rPr>
          <w:rFonts w:ascii="Arial" w:cs="Arial" w:eastAsia="Arial" w:hAnsi="Arial"/>
          <w:sz w:val="19"/>
          <w:szCs w:val="19"/>
          <w:color w:val="auto"/>
        </w:rPr>
      </w:pPr>
    </w:p>
    <w:p>
      <w:pPr>
        <w:ind w:right="20" w:firstLine="1305"/>
        <w:spacing w:after="0" w:line="270" w:lineRule="auto"/>
        <w:tabs>
          <w:tab w:leader="none" w:pos="194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w:t>
      </w:r>
    </w:p>
    <w:p>
      <w:pPr>
        <w:sectPr>
          <w:pgSz w:w="11900" w:h="16838" w:orient="portrait"/>
          <w:cols w:equalWidth="0" w:num="1">
            <w:col w:w="11400"/>
          </w:cols>
          <w:pgMar w:left="240" w:top="118" w:right="259" w:bottom="0" w:gutter="0" w:footer="0" w:header="0"/>
        </w:sectPr>
      </w:pPr>
    </w:p>
    <w:bookmarkStart w:id="56" w:name="page57"/>
    <w:bookmarkEnd w:id="56"/>
    <w:p>
      <w:pPr>
        <w:ind w:right="100"/>
        <w:spacing w:after="0" w:line="251" w:lineRule="auto"/>
        <w:rPr>
          <w:sz w:val="20"/>
          <w:szCs w:val="20"/>
          <w:color w:val="auto"/>
        </w:rPr>
      </w:pPr>
      <w:r>
        <w:rPr>
          <w:rFonts w:ascii="Arial" w:cs="Arial" w:eastAsia="Arial" w:hAnsi="Arial"/>
          <w:sz w:val="22"/>
          <w:szCs w:val="22"/>
          <w:color w:val="auto"/>
        </w:rPr>
        <w:t>prohibiting the Executive from engaging in any activity or threatened activity in violation of the terms of this paragraph and to any other relief available to them.</w:t>
      </w:r>
    </w:p>
    <w:p>
      <w:pPr>
        <w:spacing w:after="0" w:line="160" w:lineRule="exact"/>
        <w:rPr>
          <w:sz w:val="20"/>
          <w:szCs w:val="20"/>
          <w:color w:val="auto"/>
        </w:rPr>
      </w:pPr>
    </w:p>
    <w:p>
      <w:pPr>
        <w:ind w:right="40" w:firstLine="1305"/>
        <w:spacing w:after="0" w:line="282" w:lineRule="auto"/>
        <w:tabs>
          <w:tab w:leader="none" w:pos="194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47" w:lineRule="exact"/>
        <w:rPr>
          <w:rFonts w:ascii="Arial" w:cs="Arial" w:eastAsia="Arial" w:hAnsi="Arial"/>
          <w:sz w:val="19"/>
          <w:szCs w:val="19"/>
          <w:color w:val="auto"/>
        </w:rPr>
      </w:pPr>
    </w:p>
    <w:p>
      <w:pPr>
        <w:ind w:right="40" w:firstLine="1305"/>
        <w:spacing w:after="0" w:line="271" w:lineRule="auto"/>
        <w:tabs>
          <w:tab w:leader="none" w:pos="194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agrees to the covenants described in Section 14(a) and Section 14(b) above, (ii) executes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does not revoke such Release in accordance with the terms thereof, and (iii) agrees to provide the consulting services described in Section 14(e) below, then in consideration for such covenants, the Company shall pay the Executive, in one cash lump sum, an amount (the “</w:t>
      </w:r>
      <w:r>
        <w:rPr>
          <w:rFonts w:ascii="Arial" w:cs="Arial" w:eastAsia="Arial" w:hAnsi="Arial"/>
          <w:sz w:val="19"/>
          <w:szCs w:val="19"/>
          <w:u w:val="single" w:color="auto"/>
          <w:color w:val="auto"/>
        </w:rPr>
        <w:t>Consulting Payment</w:t>
      </w:r>
      <w:r>
        <w:rPr>
          <w:rFonts w:ascii="Arial" w:cs="Arial" w:eastAsia="Arial" w:hAnsi="Arial"/>
          <w:sz w:val="19"/>
          <w:szCs w:val="19"/>
          <w:color w:val="auto"/>
        </w:rPr>
        <w:t>”) in cash equal to the greater of: (X) 170%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w:t>
      </w:r>
    </w:p>
    <w:p>
      <w:pPr>
        <w:spacing w:after="0" w:line="3" w:lineRule="exact"/>
        <w:rPr>
          <w:sz w:val="20"/>
          <w:szCs w:val="20"/>
          <w:color w:val="auto"/>
        </w:rPr>
      </w:pPr>
    </w:p>
    <w:p>
      <w:pPr>
        <w:ind w:right="320"/>
        <w:spacing w:after="0" w:line="215" w:lineRule="auto"/>
        <w:rPr>
          <w:sz w:val="20"/>
          <w:szCs w:val="20"/>
          <w:color w:val="auto"/>
        </w:rPr>
      </w:pPr>
      <w:r>
        <w:rPr>
          <w:rFonts w:ascii="Arial" w:cs="Arial" w:eastAsia="Arial" w:hAnsi="Arial"/>
          <w:sz w:val="22"/>
          <w:szCs w:val="22"/>
          <w:color w:val="auto"/>
        </w:rPr>
        <w:t>Company within 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Payment shall be paid as provided in Section 10 hereof. The Executive shall have the right to elect to defer the Consulting Payment under the terms and conditions of the Company’s Deferred Compensation Plan. Any such deferral election shall be made in accordance with Section 18(b) hereof.</w:t>
      </w:r>
    </w:p>
    <w:p>
      <w:pPr>
        <w:spacing w:after="0" w:line="177" w:lineRule="exact"/>
        <w:rPr>
          <w:sz w:val="20"/>
          <w:szCs w:val="20"/>
          <w:color w:val="auto"/>
        </w:rPr>
      </w:pPr>
    </w:p>
    <w:p>
      <w:pPr>
        <w:ind w:right="80" w:firstLine="1305"/>
        <w:spacing w:after="0" w:line="272" w:lineRule="auto"/>
        <w:tabs>
          <w:tab w:leader="none" w:pos="1945"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covenants described in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4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49" w:lineRule="auto"/>
        <w:tabs>
          <w:tab w:leader="none" w:pos="1945"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5" w:lineRule="exact"/>
        <w:rPr>
          <w:rFonts w:ascii="Arial" w:cs="Arial" w:eastAsia="Arial" w:hAnsi="Arial"/>
          <w:sz w:val="21"/>
          <w:szCs w:val="21"/>
          <w:color w:val="auto"/>
        </w:rPr>
      </w:pPr>
    </w:p>
    <w:p>
      <w:pPr>
        <w:ind w:firstLine="1305"/>
        <w:spacing w:after="0" w:line="272" w:lineRule="auto"/>
        <w:tabs>
          <w:tab w:leader="none" w:pos="194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06" w:lineRule="exact"/>
        <w:rPr>
          <w:sz w:val="20"/>
          <w:szCs w:val="20"/>
          <w:color w:val="auto"/>
        </w:rPr>
      </w:pPr>
    </w:p>
    <w:p>
      <w:pPr>
        <w:ind w:right="200" w:firstLine="1305"/>
        <w:spacing w:after="0" w:line="297" w:lineRule="auto"/>
        <w:tabs>
          <w:tab w:leader="none" w:pos="194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Assignment by the Executive</w:t>
      </w:r>
      <w:r>
        <w:rPr>
          <w:rFonts w:ascii="Arial" w:cs="Arial" w:eastAsia="Arial" w:hAnsi="Arial"/>
          <w:sz w:val="19"/>
          <w:szCs w:val="19"/>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20" w:lineRule="exact"/>
        <w:rPr>
          <w:rFonts w:ascii="Arial" w:cs="Arial" w:eastAsia="Arial" w:hAnsi="Arial"/>
          <w:sz w:val="19"/>
          <w:szCs w:val="19"/>
          <w:color w:val="auto"/>
        </w:rPr>
      </w:pPr>
    </w:p>
    <w:p>
      <w:pPr>
        <w:ind w:firstLine="1305"/>
        <w:spacing w:after="0" w:line="258" w:lineRule="auto"/>
        <w:tabs>
          <w:tab w:leader="none" w:pos="1945"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ectPr>
          <w:pgSz w:w="11900" w:h="16838" w:orient="portrait"/>
          <w:cols w:equalWidth="0" w:num="1">
            <w:col w:w="11400"/>
          </w:cols>
          <w:pgMar w:left="240" w:top="118" w:right="259" w:bottom="0" w:gutter="0" w:footer="0" w:header="0"/>
        </w:sectPr>
      </w:pPr>
    </w:p>
    <w:bookmarkStart w:id="57" w:name="page58"/>
    <w:bookmarkEnd w:id="57"/>
    <w:p>
      <w:pPr>
        <w:ind w:right="20" w:firstLine="1305"/>
        <w:spacing w:after="0" w:line="279" w:lineRule="auto"/>
        <w:tabs>
          <w:tab w:leader="none" w:pos="194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37" w:lineRule="exact"/>
        <w:rPr>
          <w:rFonts w:ascii="Arial" w:cs="Arial" w:eastAsia="Arial" w:hAnsi="Arial"/>
          <w:sz w:val="19"/>
          <w:szCs w:val="19"/>
          <w:color w:val="auto"/>
        </w:rPr>
      </w:pPr>
    </w:p>
    <w:p>
      <w:pPr>
        <w:ind w:right="20" w:firstLine="1305"/>
        <w:spacing w:after="0" w:line="244" w:lineRule="auto"/>
        <w:tabs>
          <w:tab w:leader="none" w:pos="194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82" w:lineRule="exact"/>
        <w:rPr>
          <w:rFonts w:ascii="Arial" w:cs="Arial" w:eastAsia="Arial" w:hAnsi="Arial"/>
          <w:sz w:val="21"/>
          <w:szCs w:val="21"/>
          <w:color w:val="auto"/>
        </w:rPr>
      </w:pPr>
    </w:p>
    <w:p>
      <w:pPr>
        <w:ind w:firstLine="1305"/>
        <w:spacing w:after="0" w:line="272" w:lineRule="auto"/>
        <w:tabs>
          <w:tab w:leader="none" w:pos="194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44"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206" w:lineRule="exact"/>
        <w:rPr>
          <w:sz w:val="20"/>
          <w:szCs w:val="20"/>
          <w:color w:val="auto"/>
        </w:rPr>
      </w:pPr>
    </w:p>
    <w:p>
      <w:pPr>
        <w:ind w:firstLine="1305"/>
        <w:spacing w:after="0" w:line="270" w:lineRule="auto"/>
        <w:tabs>
          <w:tab w:leader="none" w:pos="1945"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w:t>
      </w:r>
    </w:p>
    <w:p>
      <w:pPr>
        <w:sectPr>
          <w:pgSz w:w="11900" w:h="16838" w:orient="portrait"/>
          <w:cols w:equalWidth="0" w:num="1">
            <w:col w:w="11400"/>
          </w:cols>
          <w:pgMar w:left="240" w:top="118" w:right="259" w:bottom="0" w:gutter="0" w:footer="0" w:header="0"/>
        </w:sectPr>
      </w:pPr>
    </w:p>
    <w:bookmarkStart w:id="58" w:name="page59"/>
    <w:bookmarkEnd w:id="58"/>
    <w:p>
      <w:pPr>
        <w:ind w:right="60"/>
        <w:spacing w:after="0" w:line="234" w:lineRule="auto"/>
        <w:rPr>
          <w:sz w:val="20"/>
          <w:szCs w:val="20"/>
          <w:color w:val="auto"/>
        </w:rPr>
      </w:pPr>
      <w:r>
        <w:rPr>
          <w:rFonts w:ascii="Arial" w:cs="Arial" w:eastAsia="Arial" w:hAnsi="Arial"/>
          <w:sz w:val="22"/>
          <w:szCs w:val="22"/>
          <w:color w:val="auto"/>
        </w:rPr>
        <w:t>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178" w:lineRule="exact"/>
        <w:rPr>
          <w:sz w:val="20"/>
          <w:szCs w:val="20"/>
          <w:color w:val="auto"/>
        </w:rPr>
      </w:pPr>
    </w:p>
    <w:p>
      <w:pPr>
        <w:jc w:val="both"/>
        <w:ind w:right="280" w:firstLine="1305"/>
        <w:spacing w:after="0" w:line="276" w:lineRule="auto"/>
        <w:tabs>
          <w:tab w:leader="none" w:pos="194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5(f), 6(h)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ind w:right="80" w:firstLine="158"/>
        <w:spacing w:after="0" w:line="244" w:lineRule="auto"/>
        <w:rPr>
          <w:rFonts w:ascii="Arial" w:cs="Arial" w:eastAsia="Arial" w:hAnsi="Arial"/>
          <w:sz w:val="19"/>
          <w:szCs w:val="19"/>
          <w:color w:val="auto"/>
        </w:rPr>
      </w:pPr>
      <w:r>
        <w:rPr>
          <w:rFonts w:ascii="Arial" w:cs="Arial" w:eastAsia="Arial" w:hAnsi="Arial"/>
          <w:sz w:val="21"/>
          <w:szCs w:val="21"/>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9" w:lineRule="exact"/>
        <w:rPr>
          <w:sz w:val="20"/>
          <w:szCs w:val="20"/>
          <w:color w:val="auto"/>
        </w:rPr>
      </w:pPr>
    </w:p>
    <w:p>
      <w:pPr>
        <w:ind w:right="60" w:firstLine="1305"/>
        <w:spacing w:after="0" w:line="247" w:lineRule="auto"/>
        <w:tabs>
          <w:tab w:leader="none" w:pos="1945"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180" w:firstLine="1305"/>
        <w:spacing w:after="0" w:line="287" w:lineRule="auto"/>
        <w:tabs>
          <w:tab w:leader="none" w:pos="194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43" w:lineRule="exact"/>
        <w:rPr>
          <w:rFonts w:ascii="Arial" w:cs="Arial" w:eastAsia="Arial" w:hAnsi="Arial"/>
          <w:sz w:val="19"/>
          <w:szCs w:val="19"/>
          <w:color w:val="auto"/>
        </w:rPr>
      </w:pPr>
    </w:p>
    <w:p>
      <w:pPr>
        <w:ind w:right="580" w:firstLine="1305"/>
        <w:spacing w:after="0" w:line="251" w:lineRule="auto"/>
        <w:tabs>
          <w:tab w:leader="none" w:pos="1945"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59" w:lineRule="exact"/>
        <w:rPr>
          <w:rFonts w:ascii="Arial" w:cs="Arial" w:eastAsia="Arial" w:hAnsi="Arial"/>
          <w:sz w:val="22"/>
          <w:szCs w:val="22"/>
          <w:color w:val="auto"/>
        </w:rPr>
      </w:pPr>
    </w:p>
    <w:p>
      <w:pPr>
        <w:ind w:right="180" w:firstLine="1305"/>
        <w:spacing w:after="0" w:line="251" w:lineRule="auto"/>
        <w:tabs>
          <w:tab w:leader="none" w:pos="1945"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59" w:lineRule="exact"/>
        <w:rPr>
          <w:rFonts w:ascii="Arial" w:cs="Arial" w:eastAsia="Arial" w:hAnsi="Arial"/>
          <w:sz w:val="22"/>
          <w:szCs w:val="22"/>
          <w:color w:val="auto"/>
        </w:rPr>
      </w:pPr>
    </w:p>
    <w:p>
      <w:pPr>
        <w:ind w:firstLine="1305"/>
        <w:spacing w:after="0" w:line="282" w:lineRule="auto"/>
        <w:tabs>
          <w:tab w:leader="none" w:pos="194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1 hereof, or the right of the Company to terminate the Executive’s employment for Cause pursuant to Section 1 hereof shall not be deemed to be a waiver of such provision or right or any other provision or right of this Agreement.</w:t>
      </w:r>
    </w:p>
    <w:p>
      <w:pPr>
        <w:spacing w:after="0" w:line="147" w:lineRule="exact"/>
        <w:rPr>
          <w:rFonts w:ascii="Arial" w:cs="Arial" w:eastAsia="Arial" w:hAnsi="Arial"/>
          <w:sz w:val="19"/>
          <w:szCs w:val="19"/>
          <w:color w:val="auto"/>
        </w:rPr>
      </w:pPr>
    </w:p>
    <w:p>
      <w:pPr>
        <w:ind w:right="40" w:firstLine="1305"/>
        <w:spacing w:after="0" w:line="277" w:lineRule="auto"/>
        <w:tabs>
          <w:tab w:leader="none" w:pos="194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39" w:lineRule="exact"/>
        <w:rPr>
          <w:rFonts w:ascii="Arial" w:cs="Arial" w:eastAsia="Arial" w:hAnsi="Arial"/>
          <w:sz w:val="19"/>
          <w:szCs w:val="19"/>
          <w:color w:val="auto"/>
        </w:rPr>
      </w:pPr>
    </w:p>
    <w:p>
      <w:pPr>
        <w:ind w:right="40" w:firstLine="1305"/>
        <w:spacing w:after="0"/>
        <w:tabs>
          <w:tab w:leader="none" w:pos="1945"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firstLine="1305"/>
        <w:spacing w:after="0"/>
        <w:tabs>
          <w:tab w:leader="none" w:pos="1945"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86" w:lineRule="exact"/>
        <w:rPr>
          <w:rFonts w:ascii="Arial" w:cs="Arial" w:eastAsia="Arial" w:hAnsi="Arial"/>
          <w:sz w:val="22"/>
          <w:szCs w:val="22"/>
          <w:color w:val="auto"/>
        </w:rPr>
      </w:pPr>
    </w:p>
    <w:p>
      <w:pPr>
        <w:ind w:right="80" w:firstLine="1305"/>
        <w:spacing w:after="0" w:line="277" w:lineRule="auto"/>
        <w:tabs>
          <w:tab w:leader="none" w:pos="194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Termination upon Sale of Assets of Subsidiary</w:t>
      </w:r>
      <w:r>
        <w:rPr>
          <w:rFonts w:ascii="Arial" w:cs="Arial" w:eastAsia="Arial" w:hAnsi="Arial"/>
          <w:sz w:val="19"/>
          <w:szCs w:val="19"/>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w:t>
      </w:r>
    </w:p>
    <w:p>
      <w:pPr>
        <w:sectPr>
          <w:pgSz w:w="11900" w:h="16838" w:orient="portrait"/>
          <w:cols w:equalWidth="0" w:num="1">
            <w:col w:w="11400"/>
          </w:cols>
          <w:pgMar w:left="240" w:top="118" w:right="259" w:bottom="0" w:gutter="0" w:footer="0" w:header="0"/>
        </w:sectPr>
      </w:pPr>
    </w:p>
    <w:bookmarkStart w:id="59" w:name="page60"/>
    <w:bookmarkEnd w:id="59"/>
    <w:p>
      <w:pPr>
        <w:spacing w:after="0" w:line="251" w:lineRule="auto"/>
        <w:rPr>
          <w:sz w:val="20"/>
          <w:szCs w:val="20"/>
          <w:color w:val="auto"/>
        </w:rPr>
      </w:pPr>
      <w:r>
        <w:rPr>
          <w:rFonts w:ascii="Arial" w:cs="Arial" w:eastAsia="Arial" w:hAnsi="Arial"/>
          <w:sz w:val="22"/>
          <w:szCs w:val="22"/>
          <w:color w:val="auto"/>
        </w:rPr>
        <w:t>Executive declines to accept such offer and the Executive fails to become employed by the Asset Purchaser on the date of the Asset Sale.</w:t>
      </w:r>
    </w:p>
    <w:p>
      <w:pPr>
        <w:spacing w:after="0" w:line="160" w:lineRule="exact"/>
        <w:rPr>
          <w:sz w:val="20"/>
          <w:szCs w:val="20"/>
          <w:color w:val="auto"/>
        </w:rPr>
      </w:pPr>
    </w:p>
    <w:p>
      <w:pPr>
        <w:ind w:right="20" w:firstLine="1305"/>
        <w:spacing w:after="0" w:line="275" w:lineRule="auto"/>
        <w:tabs>
          <w:tab w:leader="none" w:pos="1945"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until the third (3rd) anniversary of the Effective Date; provided, however,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58" w:lineRule="exact"/>
        <w:rPr>
          <w:rFonts w:ascii="Arial" w:cs="Arial" w:eastAsia="Arial" w:hAnsi="Arial"/>
          <w:sz w:val="19"/>
          <w:szCs w:val="19"/>
          <w:color w:val="auto"/>
        </w:rPr>
      </w:pPr>
    </w:p>
    <w:p>
      <w:pPr>
        <w:ind w:firstLine="1305"/>
        <w:spacing w:after="0" w:line="251" w:lineRule="auto"/>
        <w:tabs>
          <w:tab w:leader="none" w:pos="194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380"/>
          </w:cols>
          <w:pgMar w:left="240" w:top="118" w:right="279" w:bottom="1440" w:gutter="0" w:footer="0" w:header="0"/>
        </w:sectPr>
      </w:pPr>
    </w:p>
    <w:bookmarkStart w:id="60" w:name="page61"/>
    <w:bookmarkEnd w:id="60"/>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 Human Resources, Diversity &amp; Inclusion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 Javade Chaudhri</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and General Counsel</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380"/>
          </w:cols>
          <w:pgMar w:left="240" w:top="118"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TWO: As a material inducement for the payment of the benefit under Section 14(d) of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74" w:lineRule="exact"/>
        <w:rPr>
          <w:sz w:val="20"/>
          <w:szCs w:val="20"/>
          <w:color w:val="auto"/>
        </w:rPr>
      </w:pPr>
    </w:p>
    <w:p>
      <w:pPr>
        <w:ind w:right="20" w:firstLine="1305"/>
        <w:spacing w:after="0" w:line="236" w:lineRule="auto"/>
        <w:tabs>
          <w:tab w:leader="none" w:pos="1945"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40" w:firstLine="1305"/>
        <w:spacing w:after="0" w:line="268" w:lineRule="auto"/>
        <w:tabs>
          <w:tab w:leader="none" w:pos="1945"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word “Claim” or “Claims” shall not refer to any charges, complaints, claims, liabilities, obligations, promises, 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 D&amp;O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containing duties, rights obligations etc. of either party that are to remain operative</w:t>
      </w:r>
      <w:r>
        <w:rPr>
          <w:rFonts w:ascii="Arial" w:cs="Arial" w:eastAsia="Arial" w:hAnsi="Arial"/>
          <w:sz w:val="19"/>
          <w:szCs w:val="19"/>
          <w:color w:val="auto"/>
        </w:rPr>
        <w:t>]. Claims released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 (1) Title VII of the Civil Rights Act of 1964 (race, color, religion, sex and national origin discrimination); (2) 42 U.S.C. § 1981 (discrimination); (3) 29 U.S.C. §§ 621–634 (age discrimination); (4) 29 U.S.C. § 206(d)(l) (equal pay);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w:t>
      </w:r>
    </w:p>
    <w:p>
      <w:pPr>
        <w:spacing w:after="0" w:line="2" w:lineRule="exact"/>
        <w:rPr>
          <w:rFonts w:ascii="Arial" w:cs="Arial" w:eastAsia="Arial" w:hAnsi="Arial"/>
          <w:sz w:val="19"/>
          <w:szCs w:val="19"/>
          <w:color w:val="auto"/>
        </w:rPr>
      </w:pPr>
    </w:p>
    <w:p>
      <w:pPr>
        <w:ind w:right="60" w:firstLine="8"/>
        <w:spacing w:after="0" w:line="232" w:lineRule="auto"/>
        <w:tabs>
          <w:tab w:leader="none" w:pos="41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employment); and (15) any federal, state or other governmental statute, regulation or ordinance which is similar to any of the statutes described in clauses (1) through (14).</w:t>
      </w:r>
    </w:p>
    <w:p>
      <w:pPr>
        <w:spacing w:after="0" w:line="189"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48" w:lineRule="exact"/>
        <w:rPr>
          <w:sz w:val="20"/>
          <w:szCs w:val="20"/>
          <w:color w:val="auto"/>
        </w:rPr>
      </w:pPr>
    </w:p>
    <w:p>
      <w:pPr>
        <w:ind w:left="1300" w:right="1540"/>
        <w:spacing w:after="0" w:line="328"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FAVOR AT THE TIME OF EXECUTING THE</w:t>
      </w:r>
    </w:p>
    <w:p>
      <w:pPr>
        <w:sectPr>
          <w:pgSz w:w="11900" w:h="16838" w:orient="portrait"/>
          <w:cols w:equalWidth="0" w:num="1">
            <w:col w:w="11420"/>
          </w:cols>
          <w:pgMar w:left="240" w:top="604" w:right="239" w:bottom="0" w:gutter="0" w:footer="0" w:header="0"/>
        </w:sectPr>
      </w:pPr>
    </w:p>
    <w:bookmarkStart w:id="62" w:name="page63"/>
    <w:bookmarkEnd w:id="62"/>
    <w:p>
      <w:pPr>
        <w:ind w:left="1300" w:right="2100"/>
        <w:spacing w:after="0" w:line="251" w:lineRule="auto"/>
        <w:rPr>
          <w:sz w:val="20"/>
          <w:szCs w:val="20"/>
          <w:color w:val="auto"/>
        </w:rPr>
      </w:pPr>
      <w:r>
        <w:rPr>
          <w:rFonts w:ascii="Arial" w:cs="Arial" w:eastAsia="Arial" w:hAnsi="Arial"/>
          <w:sz w:val="22"/>
          <w:szCs w:val="22"/>
          <w:color w:val="auto"/>
        </w:rPr>
        <w:t>RELEASE, WHICH IF KNOWN BY HIM MUST HAVE MATERIALLY AFFECTED HIS SETTLEMENT WITH THE DEBTOR.”</w:t>
      </w:r>
    </w:p>
    <w:p>
      <w:pPr>
        <w:spacing w:after="0" w:line="17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NINE:</w:t>
      </w:r>
    </w:p>
    <w:p>
      <w:pPr>
        <w:spacing w:after="0" w:line="193" w:lineRule="exact"/>
        <w:rPr>
          <w:sz w:val="20"/>
          <w:szCs w:val="20"/>
          <w:color w:val="auto"/>
        </w:rPr>
      </w:pPr>
    </w:p>
    <w:p>
      <w:pPr>
        <w:ind w:right="40" w:firstLine="1953"/>
        <w:spacing w:after="0" w:line="235" w:lineRule="auto"/>
        <w:tabs>
          <w:tab w:leader="none" w:pos="2593"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rFonts w:ascii="Arial" w:cs="Arial" w:eastAsia="Arial" w:hAnsi="Arial"/>
          <w:sz w:val="22"/>
          <w:szCs w:val="22"/>
          <w:color w:val="auto"/>
        </w:rPr>
      </w:pPr>
    </w:p>
    <w:p>
      <w:pPr>
        <w:ind w:right="40" w:firstLine="1953"/>
        <w:spacing w:after="0" w:line="279" w:lineRule="auto"/>
        <w:tabs>
          <w:tab w:leader="none" w:pos="2593"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80" w:firstLine="1953"/>
        <w:spacing w:after="0" w:line="282" w:lineRule="auto"/>
        <w:tabs>
          <w:tab w:leader="none" w:pos="2593" w:val="left"/>
        </w:tabs>
        <w:numPr>
          <w:ilvl w:val="0"/>
          <w:numId w:val="58"/>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9"/>
          <w:szCs w:val="19"/>
          <w:u w:val="single" w:color="auto"/>
          <w:color w:val="auto"/>
        </w:rPr>
        <w:t>arbitrable dispute</w:t>
      </w:r>
      <w:r>
        <w:rPr>
          <w:rFonts w:ascii="Arial" w:cs="Arial" w:eastAsia="Arial" w:hAnsi="Arial"/>
          <w:sz w:val="19"/>
          <w:szCs w:val="19"/>
          <w:color w:val="auto"/>
        </w:rPr>
        <w:t>”) must be submitted to arbitration in San Diego, California. Arbitration shall take place before an experienced employment arbitrator licensed to practice law in such state and</w:t>
      </w:r>
    </w:p>
    <w:p>
      <w:pPr>
        <w:sectPr>
          <w:pgSz w:w="11900" w:h="16838" w:orient="portrait"/>
          <w:cols w:equalWidth="0" w:num="1">
            <w:col w:w="11400"/>
          </w:cols>
          <w:pgMar w:left="240" w:top="118" w:right="259" w:bottom="0" w:gutter="0" w:footer="0" w:header="0"/>
        </w:sectPr>
      </w:pPr>
    </w:p>
    <w:bookmarkStart w:id="63" w:name="page64"/>
    <w:bookmarkEnd w:id="63"/>
    <w:p>
      <w:pPr>
        <w:spacing w:after="0" w:line="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selected in accordance with the then existing JAMS arbitration rules applicable to employment disputes;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any event, the arbitrator shall allow reasonable discovery. Arbitration shall be the exclusive remedy for any arbitrable dispute. The arbitrator in any arbitrable dispute shall not have authority to modify or change the Agreement in any respect. You and the Company shall each be responsible for payment of one-half (1/2) the amount of the arbitrator’s fee(s);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you be required to pay any fee or cost of arbitration that is unique to arbitration or exceeds 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Court of the State of California for the County of San Diego, or any other court of competent jurisdiction.</w:t>
      </w:r>
    </w:p>
    <w:p>
      <w:pPr>
        <w:spacing w:after="0" w:line="157"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17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You:</w:t>
      </w:r>
      <w:r>
        <w:rPr>
          <w:sz w:val="20"/>
          <w:szCs w:val="20"/>
          <w:color w:val="auto"/>
        </w:rPr>
        <w:tab/>
      </w:r>
      <w:r>
        <w:rPr>
          <w:rFonts w:ascii="Arial" w:cs="Arial" w:eastAsia="Arial" w:hAnsi="Arial"/>
          <w:sz w:val="19"/>
          <w:szCs w:val="19"/>
          <w:b w:val="1"/>
          <w:bCs w:val="1"/>
          <w:color w:val="auto"/>
        </w:rPr>
        <w:t>______________________</w:t>
      </w:r>
    </w:p>
    <w:p>
      <w:pPr>
        <w:spacing w:after="0" w:line="206" w:lineRule="exact"/>
        <w:rPr>
          <w:sz w:val="20"/>
          <w:szCs w:val="20"/>
          <w:color w:val="auto"/>
        </w:rPr>
      </w:pPr>
    </w:p>
    <w:p>
      <w:pPr>
        <w:ind w:right="60" w:firstLine="1297"/>
        <w:spacing w:after="0" w:line="246" w:lineRule="auto"/>
        <w:rPr>
          <w:sz w:val="20"/>
          <w:szCs w:val="20"/>
          <w:color w:val="auto"/>
        </w:rPr>
      </w:pPr>
      <w:r>
        <w:rPr>
          <w:rFonts w:ascii="Arial" w:cs="Arial" w:eastAsia="Arial" w:hAnsi="Arial"/>
          <w:sz w:val="21"/>
          <w:szCs w:val="21"/>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 14(d) of the Severance Pay Agreement.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6"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45" w:orient="portrait"/>
          <w:cols w:equalWidth="0" w:num="1">
            <w:col w:w="11420"/>
          </w:cols>
          <w:pgMar w:left="240" w:top="118" w:right="239" w:bottom="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25"/>
          <w:szCs w:val="25"/>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260" w:firstLine="1297"/>
        <w:spacing w:after="0" w:line="335"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December 31, 2011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SEMPRA ENERGY, a California corporation (“</w:t>
      </w:r>
      <w:r>
        <w:rPr>
          <w:rFonts w:ascii="Arial" w:cs="Arial" w:eastAsia="Arial" w:hAnsi="Arial"/>
          <w:sz w:val="19"/>
          <w:szCs w:val="19"/>
          <w:u w:val="single" w:color="auto"/>
          <w:color w:val="auto"/>
        </w:rPr>
        <w:t>Sempra Energy</w:t>
      </w:r>
      <w:r>
        <w:rPr>
          <w:rFonts w:ascii="Arial" w:cs="Arial" w:eastAsia="Arial" w:hAnsi="Arial"/>
          <w:sz w:val="19"/>
          <w:szCs w:val="19"/>
          <w:color w:val="auto"/>
        </w:rPr>
        <w:t>”), and JESSIE J. KNIGHT, JR.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92" w:lineRule="exact"/>
        <w:rPr>
          <w:sz w:val="20"/>
          <w:szCs w:val="20"/>
          <w:color w:val="auto"/>
        </w:rPr>
      </w:pPr>
    </w:p>
    <w:p>
      <w:pPr>
        <w:ind w:right="18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Chief Executive Officer, San Diego Gas and Electric Company;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assigned thereto in Section 2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has the meaning assigned thereto in Section 6(a) hereof.</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during all or any portion of one or two of the Bonus Fiscal</w:t>
      </w:r>
      <w:r>
        <w:rPr>
          <w:rFonts w:ascii="Arial" w:cs="Arial" w:eastAsia="Arial" w:hAnsi="Arial"/>
          <w:sz w:val="19"/>
          <w:szCs w:val="19"/>
          <w:i w:val="1"/>
          <w:iCs w:val="1"/>
          <w:color w:val="auto"/>
        </w:rPr>
        <w:t xml:space="preserve"> </w:t>
      </w:r>
      <w:r>
        <w:rPr>
          <w:rFonts w:ascii="Arial" w:cs="Arial" w:eastAsia="Arial" w:hAnsi="Arial"/>
          <w:sz w:val="19"/>
          <w:szCs w:val="19"/>
          <w:color w:val="auto"/>
        </w:rPr>
        <w:t>Years (but not three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all or any portion of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all or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has the meaning set forth in Rule 13d-3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120" w:firstLine="1305"/>
        <w:spacing w:after="0" w:line="276" w:lineRule="auto"/>
        <w:tabs>
          <w:tab w:leader="none" w:pos="1945" w:val="left"/>
        </w:tabs>
        <w:numPr>
          <w:ilvl w:val="1"/>
          <w:numId w:val="59"/>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74" w:lineRule="auto"/>
        <w:tabs>
          <w:tab w:leader="none" w:pos="1945" w:val="left"/>
        </w:tabs>
        <w:numPr>
          <w:ilvl w:val="1"/>
          <w:numId w:val="60"/>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3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 (b)</w:t>
      </w:r>
    </w:p>
    <w:p>
      <w:pPr>
        <w:sectPr>
          <w:pgSz w:w="11900" w:h="16838" w:orient="portrait"/>
          <w:cols w:equalWidth="0" w:num="1">
            <w:col w:w="11420"/>
          </w:cols>
          <w:pgMar w:left="240" w:top="360" w:right="239" w:bottom="0" w:gutter="0" w:footer="0" w:header="0"/>
        </w:sectPr>
      </w:pPr>
    </w:p>
    <w:bookmarkStart w:id="66" w:name="page67"/>
    <w:bookmarkEnd w:id="66"/>
    <w:p>
      <w:pPr>
        <w:ind w:right="100"/>
        <w:spacing w:after="0" w:line="329" w:lineRule="auto"/>
        <w:rPr>
          <w:sz w:val="20"/>
          <w:szCs w:val="20"/>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pacing w:after="0" w:line="104"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21" w:lineRule="exact"/>
        <w:rPr>
          <w:sz w:val="20"/>
          <w:szCs w:val="20"/>
          <w:color w:val="auto"/>
        </w:rPr>
      </w:pPr>
    </w:p>
    <w:p>
      <w:pPr>
        <w:ind w:right="20" w:firstLine="1305"/>
        <w:spacing w:after="0" w:line="297" w:lineRule="auto"/>
        <w:tabs>
          <w:tab w:leader="none" w:pos="1945" w:val="left"/>
        </w:tabs>
        <w:numPr>
          <w:ilvl w:val="0"/>
          <w:numId w:val="61"/>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61"/>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80" w:firstLine="2601"/>
        <w:spacing w:after="0"/>
        <w:tabs>
          <w:tab w:leader="none" w:pos="3241" w:val="left"/>
        </w:tabs>
        <w:numPr>
          <w:ilvl w:val="2"/>
          <w:numId w:val="61"/>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6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firstLine="1953"/>
        <w:spacing w:after="0" w:line="249" w:lineRule="auto"/>
        <w:tabs>
          <w:tab w:leader="none" w:pos="2593" w:val="left"/>
        </w:tabs>
        <w:numPr>
          <w:ilvl w:val="1"/>
          <w:numId w:val="62"/>
        </w:numPr>
        <w:rPr>
          <w:rFonts w:ascii="Arial" w:cs="Arial" w:eastAsia="Arial" w:hAnsi="Arial"/>
          <w:sz w:val="21"/>
          <w:szCs w:val="21"/>
          <w:color w:val="auto"/>
        </w:rPr>
      </w:pPr>
      <w:r>
        <w:rPr>
          <w:rFonts w:ascii="Arial" w:cs="Arial" w:eastAsia="Arial" w:hAnsi="Arial"/>
          <w:sz w:val="21"/>
          <w:szCs w:val="21"/>
          <w:color w:val="auto"/>
        </w:rPr>
        <w:t>a merger or consolidation effected to implement a recapitalization of Sempra Energy (or similar transaction) in which no Person is or becomes the Beneficial Owner,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78" w:lineRule="exact"/>
        <w:rPr>
          <w:rFonts w:ascii="Arial" w:cs="Arial" w:eastAsia="Arial" w:hAnsi="Arial"/>
          <w:sz w:val="21"/>
          <w:szCs w:val="21"/>
          <w:color w:val="auto"/>
        </w:rPr>
      </w:pPr>
    </w:p>
    <w:p>
      <w:pPr>
        <w:jc w:val="both"/>
        <w:ind w:right="20" w:firstLine="1305"/>
        <w:spacing w:after="0" w:line="252" w:lineRule="auto"/>
        <w:tabs>
          <w:tab w:leader="none" w:pos="1945" w:val="left"/>
        </w:tabs>
        <w:numPr>
          <w:ilvl w:val="0"/>
          <w:numId w:val="63"/>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5(f) hereof.</w:t>
      </w:r>
    </w:p>
    <w:p>
      <w:pPr>
        <w:spacing w:after="0" w:line="206" w:lineRule="exact"/>
        <w:rPr>
          <w:sz w:val="20"/>
          <w:szCs w:val="20"/>
          <w:color w:val="auto"/>
        </w:rPr>
      </w:pPr>
    </w:p>
    <w:p>
      <w:pPr>
        <w:ind w:right="18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has the meaning set forth in the Company’s long-term disability plan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may not terminate the Executive’s employment hereunder by reason of Disability unless (i) at the time of</w:t>
      </w:r>
    </w:p>
    <w:p>
      <w:pPr>
        <w:sectPr>
          <w:pgSz w:w="11900" w:h="16838" w:orient="portrait"/>
          <w:cols w:equalWidth="0" w:num="1">
            <w:col w:w="11400"/>
          </w:cols>
          <w:pgMar w:left="240" w:top="118" w:right="259" w:bottom="0" w:gutter="0" w:footer="0" w:header="0"/>
        </w:sectPr>
      </w:pPr>
    </w:p>
    <w:bookmarkStart w:id="67" w:name="page68"/>
    <w:bookmarkEnd w:id="67"/>
    <w:p>
      <w:pPr>
        <w:ind w:right="340"/>
        <w:spacing w:after="0" w:line="251" w:lineRule="auto"/>
        <w:rPr>
          <w:sz w:val="20"/>
          <w:szCs w:val="20"/>
          <w:color w:val="auto"/>
        </w:rPr>
      </w:pP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40" w:firstLine="1305"/>
        <w:spacing w:after="0"/>
        <w:tabs>
          <w:tab w:leader="none" w:pos="1945" w:val="left"/>
        </w:tabs>
        <w:numPr>
          <w:ilvl w:val="0"/>
          <w:numId w:val="64"/>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jc w:val="both"/>
        <w:ind w:right="400" w:firstLine="1953"/>
        <w:spacing w:after="0"/>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120" w:firstLine="1953"/>
        <w:spacing w:after="0"/>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ind w:firstLine="1953"/>
        <w:spacing w:after="0"/>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64"/>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64"/>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right="300" w:firstLine="1953"/>
        <w:spacing w:after="0" w:line="251" w:lineRule="auto"/>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60" w:firstLine="1953"/>
        <w:spacing w:after="0" w:line="245" w:lineRule="auto"/>
        <w:tabs>
          <w:tab w:leader="none" w:pos="2593" w:val="left"/>
        </w:tabs>
        <w:numPr>
          <w:ilvl w:val="1"/>
          <w:numId w:val="64"/>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80" w:firstLine="1953"/>
        <w:spacing w:after="0" w:line="234" w:lineRule="auto"/>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ectPr>
          <w:pgSz w:w="11900" w:h="16838" w:orient="portrait"/>
          <w:cols w:equalWidth="0" w:num="1">
            <w:col w:w="11400"/>
          </w:cols>
          <w:pgMar w:left="240" w:top="118" w:right="259" w:bottom="0" w:gutter="0" w:footer="0" w:header="0"/>
        </w:sectPr>
      </w:pPr>
    </w:p>
    <w:bookmarkStart w:id="68" w:name="page69"/>
    <w:bookmarkEnd w:id="68"/>
    <w:p>
      <w:pPr>
        <w:ind w:right="20" w:firstLine="1953"/>
        <w:spacing w:after="0" w:line="241" w:lineRule="auto"/>
        <w:tabs>
          <w:tab w:leader="none" w:pos="2593"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0" w:lineRule="exact"/>
        <w:rPr>
          <w:rFonts w:ascii="Arial" w:cs="Arial" w:eastAsia="Arial" w:hAnsi="Arial"/>
          <w:sz w:val="22"/>
          <w:szCs w:val="22"/>
          <w:color w:val="auto"/>
        </w:rPr>
      </w:pPr>
    </w:p>
    <w:p>
      <w:pPr>
        <w:ind w:left="2600" w:hanging="647"/>
        <w:spacing w:after="0"/>
        <w:tabs>
          <w:tab w:leader="none" w:pos="260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right="7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of a termination of employment by the Company other than for Cause, death, or Disability, or (b) the Executive’s Separation from Service by reason of resignation of employment with the Company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3(a)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Accrued Obligations</w:t>
      </w:r>
      <w:r>
        <w:rPr>
          <w:rFonts w:ascii="Arial" w:cs="Arial" w:eastAsia="Arial" w:hAnsi="Arial"/>
          <w:sz w:val="22"/>
          <w:szCs w:val="22"/>
          <w:color w:val="auto"/>
        </w:rPr>
        <w:t>” has the meaning assigned thereto in Section 6(a)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6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Accrued Obligations</w:t>
      </w:r>
      <w:r>
        <w:rPr>
          <w:rFonts w:ascii="Arial" w:cs="Arial" w:eastAsia="Arial" w:hAnsi="Arial"/>
          <w:sz w:val="22"/>
          <w:szCs w:val="22"/>
          <w:color w:val="auto"/>
        </w:rPr>
        <w:t>” has the meaning assigned thereto in Section 5(a)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 Payments</w:t>
      </w:r>
      <w:r>
        <w:rPr>
          <w:rFonts w:ascii="Arial" w:cs="Arial" w:eastAsia="Arial" w:hAnsi="Arial"/>
          <w:sz w:val="22"/>
          <w:szCs w:val="22"/>
          <w:color w:val="auto"/>
        </w:rPr>
        <w:t>” means any of the following: (a) the Payment in Lieu of Notice, (b) the Pre-Change in Control Severance Payment, (c) the Post-Change in Control Severance Payment, (d) the Additional Post-Change in Control Severance Payment, (e) the Consulting Payment, (f) the payment under Section 6(b) (but only to the extent such payment or portion thereof is subject to Section 409A of the Code), (g) the financial planning services provided under Sections 5(e) and 6(f), and (h) the legal fees and expenses reimbursed under Section 15.</w:t>
      </w:r>
    </w:p>
    <w:p>
      <w:pPr>
        <w:spacing w:after="0" w:line="188"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2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with respect to the Executive (or another Service Provider), means the Executive’s (or such Service Provider’s) (a) termination of employment or (b) other termination or reduction in services, provided that such termination or reduction in clause (a) or (b) constitutes a “separation from service,” as defined in Treasury Regulation Section 1.409A-1(h), with respect to the Service Recipient.</w:t>
      </w:r>
    </w:p>
    <w:p>
      <w:pPr>
        <w:sectPr>
          <w:pgSz w:w="11900" w:h="16838" w:orient="portrait"/>
          <w:cols w:equalWidth="0" w:num="1">
            <w:col w:w="11420"/>
          </w:cols>
          <w:pgMar w:left="240" w:top="118" w:right="239" w:bottom="0" w:gutter="0" w:footer="0" w:header="0"/>
        </w:sectPr>
      </w:pPr>
    </w:p>
    <w:bookmarkStart w:id="69" w:name="page70"/>
    <w:bookmarkEnd w:id="6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6(b) hereof.</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the Executive or any other “service provider,” as defined in Treasury Regulation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1.409A-1(f).</w:t>
      </w:r>
    </w:p>
    <w:p>
      <w:pPr>
        <w:spacing w:after="0" w:line="188" w:lineRule="exact"/>
        <w:rPr>
          <w:sz w:val="20"/>
          <w:szCs w:val="20"/>
          <w:color w:val="auto"/>
        </w:rPr>
      </w:pPr>
    </w:p>
    <w:p>
      <w:pPr>
        <w:ind w:right="20"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with respect to the Executive, means Sempra Energy (if the Executive is employed by Sempra Energy), or the subsidiary of Sempra Energy employing the Executive,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21"/>
          <w:szCs w:val="21"/>
          <w:u w:val="single" w:color="auto"/>
          <w:color w:val="auto"/>
        </w:rPr>
        <w:t>Service Recipient</w:t>
      </w:r>
      <w:r>
        <w:rPr>
          <w:rFonts w:ascii="Arial" w:cs="Arial" w:eastAsia="Arial" w:hAnsi="Arial"/>
          <w:sz w:val="21"/>
          <w:szCs w:val="21"/>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77"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means a Service Provider who, as of the date of the Service Provider’s Separation from Service is a “</w:t>
      </w:r>
      <w:r>
        <w:rPr>
          <w:rFonts w:ascii="Arial" w:cs="Arial" w:eastAsia="Arial" w:hAnsi="Arial"/>
          <w:sz w:val="19"/>
          <w:szCs w:val="19"/>
          <w:u w:val="single" w:color="auto"/>
          <w:color w:val="auto"/>
        </w:rPr>
        <w:t>Key Employee</w:t>
      </w:r>
      <w:r>
        <w:rPr>
          <w:rFonts w:ascii="Arial" w:cs="Arial" w:eastAsia="Arial" w:hAnsi="Arial"/>
          <w:sz w:val="19"/>
          <w:szCs w:val="19"/>
          <w:color w:val="auto"/>
        </w:rPr>
        <w:t>” of the Service Recipient any stock of which is publicly traded on an established securities market or otherwise. For purposes of this definition,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(as defined above) as of a Specified Employee Identification Date, the Service Provider shall be treated as “</w:t>
      </w:r>
      <w:r>
        <w:rPr>
          <w:rFonts w:ascii="Arial" w:cs="Arial" w:eastAsia="Arial" w:hAnsi="Arial"/>
          <w:sz w:val="19"/>
          <w:szCs w:val="19"/>
          <w:u w:val="single" w:color="auto"/>
          <w:color w:val="auto"/>
        </w:rPr>
        <w:t>Key Employee</w:t>
      </w:r>
      <w:r>
        <w:rPr>
          <w:rFonts w:ascii="Arial" w:cs="Arial" w:eastAsia="Arial" w:hAnsi="Arial"/>
          <w:sz w:val="19"/>
          <w:szCs w:val="19"/>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w:t>
      </w:r>
    </w:p>
    <w:p>
      <w:pPr>
        <w:ind w:right="60"/>
        <w:spacing w:after="0" w:line="234" w:lineRule="auto"/>
        <w:rPr>
          <w:sz w:val="20"/>
          <w:szCs w:val="20"/>
          <w:color w:val="auto"/>
        </w:rPr>
      </w:pPr>
      <w:r>
        <w:rPr>
          <w:rFonts w:ascii="Arial" w:cs="Arial" w:eastAsia="Arial" w:hAnsi="Arial"/>
          <w:sz w:val="22"/>
          <w:szCs w:val="22"/>
          <w:color w:val="auto"/>
        </w:rPr>
        <w:t>1.415(c)-2(e), and were not using any of the elective special rules provided in Treasury Regulation Section 1.415(c)-2(g)), from the Service Recipient for such Testing Year. The “Specified Employees” shall be determined in accordance with Section 409A(a)(2) (B)(i) of the Code and Treasury Regulation Section 1.409A-1(i).</w:t>
      </w:r>
    </w:p>
    <w:p>
      <w:pPr>
        <w:spacing w:after="0" w:line="187" w:lineRule="exact"/>
        <w:rPr>
          <w:sz w:val="20"/>
          <w:szCs w:val="20"/>
          <w:color w:val="auto"/>
        </w:rPr>
      </w:pPr>
    </w:p>
    <w:p>
      <w:pPr>
        <w:jc w:val="both"/>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Effective Date</w:t>
      </w:r>
      <w:r>
        <w:rPr>
          <w:rFonts w:ascii="Arial" w:cs="Arial" w:eastAsia="Arial" w:hAnsi="Arial"/>
          <w:sz w:val="22"/>
          <w:szCs w:val="22"/>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86" w:lineRule="exact"/>
        <w:rPr>
          <w:sz w:val="20"/>
          <w:szCs w:val="20"/>
          <w:color w:val="auto"/>
        </w:rPr>
      </w:pPr>
    </w:p>
    <w:p>
      <w:pPr>
        <w:ind w:right="2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for purposes of Treasury Regulation Section 1.409A-1(i)(3), shall mean December 31. The “</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shall apply to all “nonqualified deferred compensation plans” (as defined in Treasury Regulation Section 1.409A-1(a)) of the Service Recipient and all affected Service Providers. The “</w:t>
      </w:r>
      <w:r>
        <w:rPr>
          <w:rFonts w:ascii="Arial" w:cs="Arial" w:eastAsia="Arial" w:hAnsi="Arial"/>
          <w:sz w:val="22"/>
          <w:szCs w:val="22"/>
          <w:u w:val="single" w:color="auto"/>
          <w:color w:val="auto"/>
        </w:rPr>
        <w:t>Specified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 Identification Date</w:t>
      </w:r>
      <w:r>
        <w:rPr>
          <w:rFonts w:ascii="Arial" w:cs="Arial" w:eastAsia="Arial" w:hAnsi="Arial"/>
          <w:sz w:val="22"/>
          <w:szCs w:val="22"/>
          <w:color w:val="auto"/>
        </w:rPr>
        <w:t>” may be changed by Sempra Energy, in its discretion, in accordance with Treasury Regulation Section 1.409A-1(i)(3).</w:t>
      </w:r>
    </w:p>
    <w:p>
      <w:pPr>
        <w:spacing w:after="0" w:line="188"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Year</w:t>
      </w:r>
      <w:r>
        <w:rPr>
          <w:rFonts w:ascii="Arial" w:cs="Arial" w:eastAsia="Arial" w:hAnsi="Arial"/>
          <w:sz w:val="22"/>
          <w:szCs w:val="22"/>
          <w:color w:val="auto"/>
        </w:rPr>
        <w:t>” shall mean the twelve (12) month period ending on the Specified Employee Identification Date, as determined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Underpayment</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u w:val="single" w:color="auto"/>
          <w:color w:val="auto"/>
        </w:rPr>
        <w:t>Sarbanes-Oxley Act of 2002</w:t>
      </w:r>
      <w:r>
        <w:rPr>
          <w:rFonts w:ascii="Arial" w:cs="Arial" w:eastAsia="Arial" w:hAnsi="Arial"/>
          <w:sz w:val="19"/>
          <w:szCs w:val="19"/>
          <w:color w:val="auto"/>
        </w:rPr>
        <w:t>. Notwithstanding anything herein to the contrary, if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in its good faith judgment, that any provision of this Agreement is likely to be interpreted as a personal loan prohibited by the Sarbanes-Oxley Act of 2002 and the rules and regulations promulgated thereunder (the “</w:t>
      </w:r>
      <w:r>
        <w:rPr>
          <w:rFonts w:ascii="Arial" w:cs="Arial" w:eastAsia="Arial" w:hAnsi="Arial"/>
          <w:sz w:val="19"/>
          <w:szCs w:val="19"/>
          <w:u w:val="single" w:color="auto"/>
          <w:color w:val="auto"/>
        </w:rPr>
        <w:t>Act</w:t>
      </w:r>
      <w:r>
        <w:rPr>
          <w:rFonts w:ascii="Arial" w:cs="Arial" w:eastAsia="Arial" w:hAnsi="Arial"/>
          <w:sz w:val="19"/>
          <w:szCs w:val="19"/>
          <w:color w:val="auto"/>
        </w:rPr>
        <w:t>”), then such provision shall be modified as necessary or appropriate so as to not violate the Act; and if this cannot be accomplished, then the Company shall use its reasonable efforts to provide the Executive with similar, but lawful, substitute benefit(s) at a cost to the Company not to significantly exceed the amount the Company would have otherwise paid to provide such benefit(s) to the Executive. In addition, if the Executive is required to forfeit or to make any repayment of any compensation or benefit(s) to the Company under the Act or any other law, such forfeiture or repayment shall not constitute Good Reason.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199" w:lineRule="exact"/>
        <w:rPr>
          <w:sz w:val="20"/>
          <w:szCs w:val="20"/>
          <w:color w:val="auto"/>
        </w:rPr>
      </w:pPr>
    </w:p>
    <w:p>
      <w:pPr>
        <w:ind w:right="20" w:firstLine="1305"/>
        <w:spacing w:after="0" w:line="279" w:lineRule="auto"/>
        <w:tabs>
          <w:tab w:leader="none" w:pos="1945"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60" w:firstLine="1305"/>
        <w:spacing w:after="0" w:line="277" w:lineRule="auto"/>
        <w:tabs>
          <w:tab w:leader="none" w:pos="1945"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 has a Separation from Service by reason of the Company terminating his or her employment, either with or without Cause,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equal to two (2) weeks of the Executive’s Annual Base Salary in effect on the Date of Termination), and (ii) if the basis for the Executive’s Involuntary Termination is his resignation for Good Reason, the Date of</w:t>
      </w:r>
    </w:p>
    <w:p>
      <w:pPr>
        <w:sectPr>
          <w:pgSz w:w="11900" w:h="16838" w:orient="portrait"/>
          <w:cols w:equalWidth="0" w:num="1">
            <w:col w:w="11420"/>
          </w:cols>
          <w:pgMar w:left="240" w:top="118" w:right="239" w:bottom="0" w:gutter="0" w:footer="0" w:header="0"/>
        </w:sectPr>
      </w:pPr>
    </w:p>
    <w:bookmarkStart w:id="70" w:name="page71"/>
    <w:bookmarkEnd w:id="70"/>
    <w:p>
      <w:pPr>
        <w:spacing w:after="0" w:line="11"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 xml:space="preserve">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determined by the Company within thirty (30) days after the date of the Executive’s Separation from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his or her Separation from Service, such Payment in Lieu of Notice shall be paid as provided in Section 10 hereof.</w:t>
      </w:r>
    </w:p>
    <w:p>
      <w:pPr>
        <w:spacing w:after="0" w:line="166"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b w:val="1"/>
          <w:bCs w:val="1"/>
          <w:color w:val="auto"/>
        </w:rPr>
        <w:t xml:space="preserve">Section 5. </w:t>
      </w:r>
      <w:r>
        <w:rPr>
          <w:rFonts w:ascii="Arial" w:cs="Arial" w:eastAsia="Arial" w:hAnsi="Arial"/>
          <w:sz w:val="21"/>
          <w:szCs w:val="21"/>
          <w:u w:val="single" w:color="auto"/>
          <w:color w:val="auto"/>
        </w:rPr>
        <w:t>Severance Benefits upon Involuntary Termination Prior to Change in Control</w:t>
      </w:r>
      <w:r>
        <w:rPr>
          <w:rFonts w:ascii="Arial" w:cs="Arial" w:eastAsia="Arial" w:hAnsi="Arial"/>
          <w:sz w:val="21"/>
          <w:szCs w:val="21"/>
          <w:color w:val="auto"/>
        </w:rPr>
        <w:t>. Except as provided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6 and Section 19(i) hereof, in the event of the Involuntary Termination of the Executive prior to a Change in Control, the Company shall pay the Executive, in one lump sum cash payment, an amount (the “</w:t>
      </w:r>
      <w:r>
        <w:rPr>
          <w:rFonts w:ascii="Arial" w:cs="Arial" w:eastAsia="Arial" w:hAnsi="Arial"/>
          <w:sz w:val="21"/>
          <w:szCs w:val="21"/>
          <w:u w:val="single" w:color="auto"/>
          <w:color w:val="auto"/>
        </w:rPr>
        <w:t>Pre-Change in Control Severance Payment</w:t>
      </w:r>
      <w:r>
        <w:rPr>
          <w:rFonts w:ascii="Arial" w:cs="Arial" w:eastAsia="Arial" w:hAnsi="Arial"/>
          <w:sz w:val="21"/>
          <w:szCs w:val="21"/>
          <w:color w:val="auto"/>
        </w:rPr>
        <w:t xml:space="preserve">”) equal to the greater of: (X) 170%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Except as provided in Section 5(f), the Pre-Change in Control Severance Payment and the payment under Section 5(a) shall be paid on such date as is determined by the Company within thirty (30) days after the date of the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Pre-Change in Control Severance Payment and the financial planning services provided under Section 5(e) shall be paid as provided in Section 10 hereof.</w:t>
      </w:r>
    </w:p>
    <w:p>
      <w:pPr>
        <w:spacing w:after="0" w:line="171" w:lineRule="exact"/>
        <w:rPr>
          <w:sz w:val="20"/>
          <w:szCs w:val="20"/>
          <w:color w:val="auto"/>
        </w:rPr>
      </w:pPr>
    </w:p>
    <w:p>
      <w:pPr>
        <w:ind w:left="1960" w:hanging="655"/>
        <w:spacing w:after="0"/>
        <w:tabs>
          <w:tab w:leader="none" w:pos="1960"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right="140" w:firstLine="8"/>
        <w:spacing w:after="0" w:line="275" w:lineRule="auto"/>
        <w:tabs>
          <w:tab w:leader="none" w:pos="35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 (The amounts specified in clauses (A), (B), (C) and (D) shall be hereinafter referred to as the “</w:t>
      </w:r>
      <w:r>
        <w:rPr>
          <w:rFonts w:ascii="Arial" w:cs="Arial" w:eastAsia="Arial" w:hAnsi="Arial"/>
          <w:sz w:val="19"/>
          <w:szCs w:val="19"/>
          <w:u w:val="single" w:color="auto"/>
          <w:color w:val="auto"/>
        </w:rPr>
        <w:t>Pre-Change in Control Accrued Obligations</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right="100" w:firstLine="1305"/>
        <w:spacing w:after="0" w:line="251" w:lineRule="auto"/>
        <w:tabs>
          <w:tab w:leader="none" w:pos="1945"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40" w:firstLine="1305"/>
        <w:spacing w:after="0" w:line="246" w:lineRule="auto"/>
        <w:tabs>
          <w:tab w:leader="none" w:pos="1945"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twelve (12)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w:t>
      </w:r>
    </w:p>
    <w:p>
      <w:pPr>
        <w:spacing w:after="0" w:line="167" w:lineRule="exact"/>
        <w:rPr>
          <w:rFonts w:ascii="Arial" w:cs="Arial" w:eastAsia="Arial" w:hAnsi="Arial"/>
          <w:sz w:val="21"/>
          <w:szCs w:val="21"/>
          <w:color w:val="auto"/>
        </w:rPr>
      </w:pPr>
    </w:p>
    <w:p>
      <w:pPr>
        <w:ind w:right="160" w:firstLine="1305"/>
        <w:spacing w:after="0" w:line="235" w:lineRule="auto"/>
        <w:tabs>
          <w:tab w:leader="none" w:pos="1945"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twenty-four (24)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4" w:lineRule="exact"/>
        <w:rPr>
          <w:rFonts w:ascii="Arial" w:cs="Arial" w:eastAsia="Arial" w:hAnsi="Arial"/>
          <w:sz w:val="22"/>
          <w:szCs w:val="22"/>
          <w:color w:val="auto"/>
        </w:rPr>
      </w:pPr>
    </w:p>
    <w:p>
      <w:pPr>
        <w:ind w:firstLine="1305"/>
        <w:spacing w:after="0" w:line="273" w:lineRule="auto"/>
        <w:tabs>
          <w:tab w:leader="none" w:pos="1945"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ind w:right="40" w:firstLine="1305"/>
        <w:spacing w:after="0" w:line="238" w:lineRule="auto"/>
        <w:tabs>
          <w:tab w:leader="none" w:pos="1945"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5 under the terms and conditions of the Sempra Energy Employee and Director Savings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5 above, and except as provided in Section 19(i) hereof</w:t>
      </w:r>
      <w:r>
        <w:rPr>
          <w:rFonts w:ascii="Arial" w:cs="Arial" w:eastAsia="Arial" w:hAnsi="Arial"/>
          <w:sz w:val="19"/>
          <w:szCs w:val="19"/>
          <w:i w:val="1"/>
          <w:iCs w:val="1"/>
          <w:color w:val="auto"/>
        </w:rPr>
        <w:t>,</w:t>
      </w:r>
      <w:r>
        <w:rPr>
          <w:rFonts w:ascii="Arial" w:cs="Arial" w:eastAsia="Arial" w:hAnsi="Arial"/>
          <w:sz w:val="19"/>
          <w:szCs w:val="19"/>
          <w:color w:val="auto"/>
        </w:rPr>
        <w:t xml:space="preserve"> in the event of the Involuntary Termination of the Executive on or within two (2) years following a Change in Control, in lieu of the payments described in</w:t>
      </w:r>
    </w:p>
    <w:p>
      <w:pPr>
        <w:sectPr>
          <w:pgSz w:w="11900" w:h="16850" w:orient="portrait"/>
          <w:cols w:equalWidth="0" w:num="1">
            <w:col w:w="11420"/>
          </w:cols>
          <w:pgMar w:left="240" w:top="118" w:right="239" w:bottom="0" w:gutter="0" w:footer="0" w:header="0"/>
        </w:sectPr>
      </w:pPr>
    </w:p>
    <w:bookmarkStart w:id="71" w:name="page72"/>
    <w:bookmarkEnd w:id="71"/>
    <w:p>
      <w:pPr>
        <w:ind w:right="40"/>
        <w:spacing w:after="0" w:line="272" w:lineRule="auto"/>
        <w:rPr>
          <w:sz w:val="20"/>
          <w:szCs w:val="20"/>
          <w:color w:val="auto"/>
        </w:rPr>
      </w:pPr>
      <w:r>
        <w:rPr>
          <w:rFonts w:ascii="Arial" w:cs="Arial" w:eastAsia="Arial" w:hAnsi="Arial"/>
          <w:sz w:val="19"/>
          <w:szCs w:val="19"/>
          <w:color w:val="auto"/>
        </w:rPr>
        <w:t>Section 5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xml:space="preserve">”) equal to two times the greater of: (X) 170%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(f). Except as provided in Sections 6(g) and 6(h), the Post-Change in Control Severance Payment and the payments under Sections 6(a) and (b) shall be paid on such date as is determined by the Company within thirty (30) days after the date of the Involuntary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Involuntary Termination, the Post-Change in Control Severance Payment, the Additional Post-Change in Control Severance Payment under Section 6(a)(E), the payment under Section 6(b) (but only to the extent such payment or portion thereof is subject to Section 409A of the Code), and the financial planning services provided under Section 6(f) shall be paid as provided in Section 10 hereof.</w:t>
      </w:r>
    </w:p>
    <w:p>
      <w:pPr>
        <w:spacing w:after="0" w:line="396" w:lineRule="exact"/>
        <w:rPr>
          <w:sz w:val="20"/>
          <w:szCs w:val="20"/>
          <w:color w:val="auto"/>
        </w:rPr>
      </w:pPr>
    </w:p>
    <w:p>
      <w:pPr>
        <w:ind w:left="1960" w:hanging="655"/>
        <w:spacing w:after="0"/>
        <w:tabs>
          <w:tab w:leader="none" w:pos="1960"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firstLine="8"/>
        <w:spacing w:after="0" w:line="243" w:lineRule="auto"/>
        <w:tabs>
          <w:tab w:leader="none" w:pos="354"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(D) reimbursement for unreimbursed business expenses, if any, properly incurred by the Executive in the performance of his duties in accordance with policies established from time to time by the Board, and (E) an amount (the “</w:t>
      </w:r>
      <w:r>
        <w:rPr>
          <w:rFonts w:ascii="Arial" w:cs="Arial" w:eastAsia="Arial" w:hAnsi="Arial"/>
          <w:sz w:val="21"/>
          <w:szCs w:val="21"/>
          <w:u w:val="single" w:color="auto"/>
          <w:color w:val="auto"/>
        </w:rPr>
        <w:t>Additional Post-Change in Control Severance Payment</w:t>
      </w:r>
      <w:r>
        <w:rPr>
          <w:rFonts w:ascii="Arial" w:cs="Arial" w:eastAsia="Arial" w:hAnsi="Arial"/>
          <w:sz w:val="21"/>
          <w:szCs w:val="21"/>
          <w:color w:val="auto"/>
        </w:rPr>
        <w:t>”) equal to: (i) the greater of: (X) 70%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in the case of each amount described in clause (A), (B), (C) or (D) to the extent not theretofore paid. (The amounts specified in clauses (A), (B), (C), (D) and (E) shall be hereinafter referred to as the “</w:t>
      </w:r>
      <w:r>
        <w:rPr>
          <w:rFonts w:ascii="Arial" w:cs="Arial" w:eastAsia="Arial" w:hAnsi="Arial"/>
          <w:sz w:val="21"/>
          <w:szCs w:val="21"/>
          <w:u w:val="single" w:color="auto"/>
          <w:color w:val="auto"/>
        </w:rPr>
        <w:t>Post-Change in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Control Accrued Obligations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firstLine="1305"/>
        <w:spacing w:after="0" w:line="269" w:lineRule="auto"/>
        <w:tabs>
          <w:tab w:leader="none" w:pos="1945"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6(b), in the event that the Executive is a “Participant” (as defined in the SERP) as of the Date of Termination. 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 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6(b),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6(b) shall be in full satisfaction of any and all of the benefits payable to or on behalf of the Executive under the SERP.</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40" w:firstLine="1305"/>
        <w:spacing w:after="0" w:line="272" w:lineRule="auto"/>
        <w:tabs>
          <w:tab w:leader="none" w:pos="1945"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48" w:lineRule="exact"/>
        <w:rPr>
          <w:rFonts w:ascii="Arial" w:cs="Arial" w:eastAsia="Arial" w:hAnsi="Arial"/>
          <w:sz w:val="19"/>
          <w:szCs w:val="19"/>
          <w:color w:val="auto"/>
        </w:rPr>
      </w:pPr>
    </w:p>
    <w:p>
      <w:pPr>
        <w:ind w:right="40" w:firstLine="1305"/>
        <w:spacing w:after="0" w:line="282" w:lineRule="auto"/>
        <w:tabs>
          <w:tab w:leader="none" w:pos="1945"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twenty-four (24)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w:t>
      </w:r>
    </w:p>
    <w:p>
      <w:pPr>
        <w:sectPr>
          <w:pgSz w:w="11900" w:h="16838" w:orient="portrait"/>
          <w:cols w:equalWidth="0" w:num="1">
            <w:col w:w="11420"/>
          </w:cols>
          <w:pgMar w:left="240" w:top="118" w:right="239" w:bottom="0" w:gutter="0" w:footer="0" w:header="0"/>
        </w:sectPr>
      </w:pPr>
    </w:p>
    <w:bookmarkStart w:id="72" w:name="page73"/>
    <w:bookmarkEnd w:id="72"/>
    <w:p>
      <w:pPr>
        <w:ind w:right="360"/>
        <w:spacing w:after="0" w:line="252" w:lineRule="auto"/>
        <w:rPr>
          <w:sz w:val="20"/>
          <w:szCs w:val="20"/>
          <w:color w:val="auto"/>
        </w:rPr>
      </w:pPr>
      <w:r>
        <w:rPr>
          <w:rFonts w:ascii="Arial" w:cs="Arial" w:eastAsia="Arial" w:hAnsi="Arial"/>
          <w:sz w:val="21"/>
          <w:szCs w:val="21"/>
          <w:color w:val="auto"/>
        </w:rPr>
        <w:t>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w:t>
      </w:r>
    </w:p>
    <w:p>
      <w:pPr>
        <w:spacing w:after="0" w:line="161" w:lineRule="exact"/>
        <w:rPr>
          <w:sz w:val="20"/>
          <w:szCs w:val="20"/>
          <w:color w:val="auto"/>
        </w:rPr>
      </w:pPr>
    </w:p>
    <w:p>
      <w:pPr>
        <w:ind w:right="20" w:firstLine="1305"/>
        <w:spacing w:after="0" w:line="247" w:lineRule="auto"/>
        <w:tabs>
          <w:tab w:leader="none" w:pos="1945"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thirty-six (36)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8" w:lineRule="exact"/>
        <w:rPr>
          <w:rFonts w:ascii="Arial" w:cs="Arial" w:eastAsia="Arial" w:hAnsi="Arial"/>
          <w:sz w:val="21"/>
          <w:szCs w:val="21"/>
          <w:color w:val="auto"/>
        </w:rPr>
      </w:pPr>
    </w:p>
    <w:p>
      <w:pPr>
        <w:ind w:firstLine="1305"/>
        <w:spacing w:after="0" w:line="244" w:lineRule="auto"/>
        <w:tabs>
          <w:tab w:leader="none" w:pos="1945"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Financial Planning Services</w:t>
      </w:r>
      <w:r>
        <w:rPr>
          <w:rFonts w:ascii="Arial" w:cs="Arial" w:eastAsia="Arial" w:hAnsi="Arial"/>
          <w:sz w:val="21"/>
          <w:szCs w:val="21"/>
          <w:color w:val="auto"/>
        </w:rPr>
        <w:t xml:space="preserve">. The Executive shall receive financial planning services, on an in-kind basis, for a period of thirty-six (36)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176" w:lineRule="exact"/>
        <w:rPr>
          <w:rFonts w:ascii="Arial" w:cs="Arial" w:eastAsia="Arial" w:hAnsi="Arial"/>
          <w:sz w:val="21"/>
          <w:szCs w:val="21"/>
          <w:color w:val="auto"/>
        </w:rPr>
      </w:pPr>
    </w:p>
    <w:p>
      <w:pPr>
        <w:ind w:right="80" w:firstLine="1305"/>
        <w:spacing w:after="0" w:line="275" w:lineRule="auto"/>
        <w:tabs>
          <w:tab w:leader="none" w:pos="194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5 hereof, be entitled to the Post-Change in Control Severance Payment and the additional benefits described in this Section 6 as if such Involuntary Termination had occurred within two (2) years following the Change in Control. The amounts specified in Section 6 that are to be paid under this Section 6(g) shall be reduced by any amount previously paid under Section 5. The amounts to be paid under this Section 6(g) shall be paid within thirty (30) days after the Change in Control Date of such Change in Control.</w:t>
      </w:r>
    </w:p>
    <w:p>
      <w:pPr>
        <w:spacing w:after="0" w:line="144" w:lineRule="exact"/>
        <w:rPr>
          <w:rFonts w:ascii="Arial" w:cs="Arial" w:eastAsia="Arial" w:hAnsi="Arial"/>
          <w:sz w:val="19"/>
          <w:szCs w:val="19"/>
          <w:color w:val="auto"/>
        </w:rPr>
      </w:pPr>
    </w:p>
    <w:p>
      <w:pPr>
        <w:ind w:right="600" w:firstLine="1305"/>
        <w:spacing w:after="0" w:line="297" w:lineRule="auto"/>
        <w:tabs>
          <w:tab w:leader="none" w:pos="194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to be received by the Executive pursuant to this Section 6 under the terms and conditions of the Deferred Compensation Plan. Any such deferral election shall be made in accordance with Section 18(b) hereof.</w:t>
      </w:r>
    </w:p>
    <w:p>
      <w:pPr>
        <w:spacing w:after="0" w:line="128" w:lineRule="exact"/>
        <w:rPr>
          <w:sz w:val="20"/>
          <w:szCs w:val="20"/>
          <w:color w:val="auto"/>
        </w:rPr>
      </w:pPr>
    </w:p>
    <w:p>
      <w:pPr>
        <w:jc w:val="both"/>
        <w:ind w:right="120" w:firstLine="1297"/>
        <w:spacing w:after="0" w:line="289"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by the Company for Cause or by the Executive Other than for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Good Reason</w:t>
      </w:r>
      <w:r>
        <w:rPr>
          <w:rFonts w:ascii="Arial" w:cs="Arial" w:eastAsia="Arial" w:hAnsi="Arial"/>
          <w:sz w:val="19"/>
          <w:szCs w:val="19"/>
          <w:color w:val="auto"/>
        </w:rPr>
        <w:t>. If 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11 hereof.</w:t>
      </w:r>
    </w:p>
    <w:p>
      <w:pPr>
        <w:spacing w:after="0" w:line="129" w:lineRule="exact"/>
        <w:rPr>
          <w:sz w:val="20"/>
          <w:szCs w:val="20"/>
          <w:color w:val="auto"/>
        </w:rPr>
      </w:pPr>
    </w:p>
    <w:p>
      <w:pPr>
        <w:ind w:right="80" w:firstLine="1297"/>
        <w:spacing w:after="0" w:line="275"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Service by reason of death or Disability, the Company shall pay the Executive or his estate, as the case may be, the Post-Change in Control Accrued Obligations (without regard to whether a Change in Control has occurred) and any amounts or benefits described in Section 11 hereof. Such payments shall be in addition to those rights and benefits to which the Executive or his estate may be entitled under the relevant Company plans or programs. Such payments shall be paid on such date as determined by the Company within thirty (30) days after the date of the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Separation from Service by reason of Disability, the Additional Post-Change in Control Severance Payment under Section 6(a)(E) shall be paid as provided in Section 10 hereof.</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u w:val="single" w:color="auto"/>
          <w:color w:val="auto"/>
        </w:rPr>
        <w:t>Limitation on Payments by the Company</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33" w:lineRule="auto"/>
        <w:tabs>
          <w:tab w:leader="none" w:pos="1945"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9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Payment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80"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72"/>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ectPr>
          <w:pgSz w:w="11900" w:h="16838" w:orient="portrait"/>
          <w:cols w:equalWidth="0" w:num="1">
            <w:col w:w="11420"/>
          </w:cols>
          <w:pgMar w:left="240" w:top="118" w:right="239" w:bottom="0" w:gutter="0" w:footer="0" w:header="0"/>
        </w:sectPr>
      </w:pPr>
    </w:p>
    <w:bookmarkStart w:id="73" w:name="page74"/>
    <w:bookmarkEnd w:id="73"/>
    <w:p>
      <w:pPr>
        <w:ind w:left="660" w:right="720" w:firstLine="1941"/>
        <w:spacing w:after="0" w:line="274" w:lineRule="auto"/>
        <w:tabs>
          <w:tab w:leader="none" w:pos="3253"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7" w:lineRule="exact"/>
        <w:rPr>
          <w:sz w:val="20"/>
          <w:szCs w:val="20"/>
          <w:color w:val="auto"/>
        </w:rPr>
      </w:pPr>
    </w:p>
    <w:p>
      <w:pPr>
        <w:ind w:left="1960" w:hanging="655"/>
        <w:spacing w:after="0"/>
        <w:tabs>
          <w:tab w:leader="none" w:pos="19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9:</w:t>
      </w:r>
    </w:p>
    <w:p>
      <w:pPr>
        <w:spacing w:after="0" w:line="206" w:lineRule="exact"/>
        <w:rPr>
          <w:rFonts w:ascii="Arial" w:cs="Arial" w:eastAsia="Arial" w:hAnsi="Arial"/>
          <w:sz w:val="22"/>
          <w:szCs w:val="22"/>
          <w:color w:val="auto"/>
        </w:rPr>
      </w:pPr>
    </w:p>
    <w:p>
      <w:pPr>
        <w:ind w:left="660" w:right="80" w:firstLine="1941"/>
        <w:spacing w:after="0"/>
        <w:tabs>
          <w:tab w:leader="none" w:pos="3253" w:val="left"/>
        </w:tabs>
        <w:numPr>
          <w:ilvl w:val="1"/>
          <w:numId w:val="74"/>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74"/>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440" w:firstLine="1941"/>
        <w:spacing w:after="0"/>
        <w:tabs>
          <w:tab w:leader="none" w:pos="3253" w:val="left"/>
        </w:tabs>
        <w:numPr>
          <w:ilvl w:val="1"/>
          <w:numId w:val="74"/>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86" w:lineRule="exact"/>
        <w:rPr>
          <w:rFonts w:ascii="Arial" w:cs="Arial" w:eastAsia="Arial" w:hAnsi="Arial"/>
          <w:sz w:val="22"/>
          <w:szCs w:val="22"/>
          <w:color w:val="auto"/>
        </w:rPr>
      </w:pPr>
    </w:p>
    <w:p>
      <w:pPr>
        <w:ind w:right="80" w:firstLine="1305"/>
        <w:spacing w:after="0" w:line="270" w:lineRule="auto"/>
        <w:tabs>
          <w:tab w:leader="none" w:pos="19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9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 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200" w:lineRule="exact"/>
        <w:rPr>
          <w:sz w:val="20"/>
          <w:szCs w:val="20"/>
          <w:color w:val="auto"/>
        </w:rPr>
      </w:pPr>
    </w:p>
    <w:p>
      <w:pPr>
        <w:spacing w:after="0" w:line="202"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10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48"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w:t>
      </w:r>
    </w:p>
    <w:p>
      <w:pPr>
        <w:sectPr>
          <w:pgSz w:w="11900" w:h="16838" w:orient="portrait"/>
          <w:cols w:equalWidth="0" w:num="1">
            <w:col w:w="11420"/>
          </w:cols>
          <w:pgMar w:left="240" w:top="118" w:right="239" w:bottom="0" w:gutter="0" w:footer="0" w:header="0"/>
        </w:sectPr>
      </w:pPr>
    </w:p>
    <w:bookmarkStart w:id="74" w:name="page75"/>
    <w:bookmarkEnd w:id="74"/>
    <w:p>
      <w:pPr>
        <w:ind w:right="300"/>
        <w:spacing w:after="0" w:line="251" w:lineRule="auto"/>
        <w:rPr>
          <w:sz w:val="20"/>
          <w:szCs w:val="20"/>
          <w:color w:val="auto"/>
        </w:rPr>
      </w:pPr>
      <w:r>
        <w:rPr>
          <w:rFonts w:ascii="Arial" w:cs="Arial" w:eastAsia="Arial" w:hAnsi="Arial"/>
          <w:sz w:val="22"/>
          <w:szCs w:val="22"/>
          <w:color w:val="auto"/>
        </w:rPr>
        <w:t>Company or any Affiliate. Such indemnification and D&amp;O insurance shall be provided in a manner that complies with Treasury Regulation Section 1.409A-1(b)(10).</w:t>
      </w:r>
    </w:p>
    <w:p>
      <w:pPr>
        <w:spacing w:after="0" w:line="160"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4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12"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administered by JAMS in San Diego, California in accordance with the then existing JAMS arbitration rules applicable to employment disputes (the “</w:t>
      </w:r>
      <w:r>
        <w:rPr>
          <w:rFonts w:ascii="Arial" w:cs="Arial" w:eastAsia="Arial" w:hAnsi="Arial"/>
          <w:sz w:val="19"/>
          <w:szCs w:val="19"/>
          <w:u w:val="single" w:color="auto"/>
          <w:color w:val="auto"/>
        </w:rPr>
        <w:t>JAMS Rules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notwithstanding any provision in such rules to the contrary, in all cases the parties shall be entitled to reasonable discovery. In the event of such an arbitration proceeding, the Executive and the Company shall select a mutually acceptable neutral arbitrator from among the JAMS panel of arbitrators. In the event the Executive and the Company cannot agree on an arbitrator, the arbitrator shall be selected in accordance with the then existing JAMS Rules. Neither the Executive nor the Company nor the arbitrator shall disclose the existence, content or results of any arbitration hereunder without the prior written consent of all parties, except to the extent necessary to enforce any arbitration award in a court of competent jurisdiction. Except as provided herein, the Federal Arbitration Act shall govern the interpretation of, enforcement of and all proceedings under this agreement to arbitrate. The arbitrator shall apply the substantive law (and the law of remedies, if applicable) of the state of California, or federal law, or both, as applicable,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The arbitrator shall render an award and a written, reasoned opinion in support thereof. Judgment upon the award may be entered in any court having jurisdiction thereof. The Executive shall not be required to pay any arbitration fee or cost that is unique to arbitration or greater than any amount he would be required to pay to pursue his claims in a court of competent jurisdiction.</w:t>
      </w:r>
    </w:p>
    <w:p>
      <w:pPr>
        <w:spacing w:after="0" w:line="40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193" w:lineRule="exact"/>
        <w:rPr>
          <w:sz w:val="20"/>
          <w:szCs w:val="20"/>
          <w:color w:val="auto"/>
        </w:rPr>
      </w:pPr>
    </w:p>
    <w:p>
      <w:pPr>
        <w:ind w:right="40" w:firstLine="1305"/>
        <w:spacing w:after="0" w:line="271" w:lineRule="auto"/>
        <w:tabs>
          <w:tab w:leader="none" w:pos="1945"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58" w:lineRule="exact"/>
        <w:rPr>
          <w:rFonts w:ascii="Arial" w:cs="Arial" w:eastAsia="Arial" w:hAnsi="Arial"/>
          <w:sz w:val="19"/>
          <w:szCs w:val="19"/>
          <w:color w:val="auto"/>
        </w:rPr>
      </w:pPr>
    </w:p>
    <w:p>
      <w:pPr>
        <w:ind w:right="20" w:firstLine="1305"/>
        <w:spacing w:after="0" w:line="270" w:lineRule="auto"/>
        <w:tabs>
          <w:tab w:leader="none" w:pos="1945"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w:t>
      </w:r>
    </w:p>
    <w:p>
      <w:pPr>
        <w:sectPr>
          <w:pgSz w:w="11900" w:h="16838" w:orient="portrait"/>
          <w:cols w:equalWidth="0" w:num="1">
            <w:col w:w="11400"/>
          </w:cols>
          <w:pgMar w:left="240" w:top="118" w:right="259" w:bottom="0" w:gutter="0" w:footer="0" w:header="0"/>
        </w:sectPr>
      </w:pPr>
    </w:p>
    <w:bookmarkStart w:id="75" w:name="page76"/>
    <w:bookmarkEnd w:id="75"/>
    <w:p>
      <w:pPr>
        <w:ind w:right="100"/>
        <w:spacing w:after="0" w:line="251" w:lineRule="auto"/>
        <w:rPr>
          <w:sz w:val="20"/>
          <w:szCs w:val="20"/>
          <w:color w:val="auto"/>
        </w:rPr>
      </w:pPr>
      <w:r>
        <w:rPr>
          <w:rFonts w:ascii="Arial" w:cs="Arial" w:eastAsia="Arial" w:hAnsi="Arial"/>
          <w:sz w:val="22"/>
          <w:szCs w:val="22"/>
          <w:color w:val="auto"/>
        </w:rPr>
        <w:t>prohibiting the Executive from engaging in any activity or threatened activity in violation of the terms of this paragraph and to any other relief available to them.</w:t>
      </w:r>
    </w:p>
    <w:p>
      <w:pPr>
        <w:spacing w:after="0" w:line="160" w:lineRule="exact"/>
        <w:rPr>
          <w:sz w:val="20"/>
          <w:szCs w:val="20"/>
          <w:color w:val="auto"/>
        </w:rPr>
      </w:pPr>
    </w:p>
    <w:p>
      <w:pPr>
        <w:ind w:right="40" w:firstLine="1305"/>
        <w:spacing w:after="0" w:line="282" w:lineRule="auto"/>
        <w:tabs>
          <w:tab w:leader="none" w:pos="194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47" w:lineRule="exact"/>
        <w:rPr>
          <w:rFonts w:ascii="Arial" w:cs="Arial" w:eastAsia="Arial" w:hAnsi="Arial"/>
          <w:sz w:val="19"/>
          <w:szCs w:val="19"/>
          <w:color w:val="auto"/>
        </w:rPr>
      </w:pPr>
    </w:p>
    <w:p>
      <w:pPr>
        <w:ind w:right="40" w:firstLine="1305"/>
        <w:spacing w:after="0" w:line="271" w:lineRule="auto"/>
        <w:tabs>
          <w:tab w:leader="none" w:pos="194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agrees to the covenants described in Section 14(a) and Section 14(b) above, (ii) executes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does not revoke such Release in accordance with the terms thereof, and (iii) agrees to provide the consulting services described in Section 14(e) below, then in consideration for such covenants, the Company shall pay the Executive, in one cash lump sum, an amount (the “</w:t>
      </w:r>
      <w:r>
        <w:rPr>
          <w:rFonts w:ascii="Arial" w:cs="Arial" w:eastAsia="Arial" w:hAnsi="Arial"/>
          <w:sz w:val="19"/>
          <w:szCs w:val="19"/>
          <w:u w:val="single" w:color="auto"/>
          <w:color w:val="auto"/>
        </w:rPr>
        <w:t>Consulting Payment</w:t>
      </w:r>
      <w:r>
        <w:rPr>
          <w:rFonts w:ascii="Arial" w:cs="Arial" w:eastAsia="Arial" w:hAnsi="Arial"/>
          <w:sz w:val="19"/>
          <w:szCs w:val="19"/>
          <w:color w:val="auto"/>
        </w:rPr>
        <w:t>”) in cash equal to the greater of: (X) 170%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w:t>
      </w:r>
    </w:p>
    <w:p>
      <w:pPr>
        <w:spacing w:after="0" w:line="3" w:lineRule="exact"/>
        <w:rPr>
          <w:sz w:val="20"/>
          <w:szCs w:val="20"/>
          <w:color w:val="auto"/>
        </w:rPr>
      </w:pPr>
    </w:p>
    <w:p>
      <w:pPr>
        <w:ind w:right="320"/>
        <w:spacing w:after="0" w:line="215" w:lineRule="auto"/>
        <w:rPr>
          <w:sz w:val="20"/>
          <w:szCs w:val="20"/>
          <w:color w:val="auto"/>
        </w:rPr>
      </w:pPr>
      <w:r>
        <w:rPr>
          <w:rFonts w:ascii="Arial" w:cs="Arial" w:eastAsia="Arial" w:hAnsi="Arial"/>
          <w:sz w:val="22"/>
          <w:szCs w:val="22"/>
          <w:color w:val="auto"/>
        </w:rPr>
        <w:t>Company within 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Payment shall be paid as provided in Section 10 hereof. The Executive shall have the right to elect to defer the Consulting Payment under the terms and conditions of the Company’s Deferred Compensation Plan. Any such deferral election shall be made in accordance with Section 18(b) hereof.</w:t>
      </w:r>
    </w:p>
    <w:p>
      <w:pPr>
        <w:spacing w:after="0" w:line="177" w:lineRule="exact"/>
        <w:rPr>
          <w:sz w:val="20"/>
          <w:szCs w:val="20"/>
          <w:color w:val="auto"/>
        </w:rPr>
      </w:pPr>
    </w:p>
    <w:p>
      <w:pPr>
        <w:ind w:right="80" w:firstLine="1305"/>
        <w:spacing w:after="0" w:line="272" w:lineRule="auto"/>
        <w:tabs>
          <w:tab w:leader="none" w:pos="194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covenants described in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4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49" w:lineRule="auto"/>
        <w:tabs>
          <w:tab w:leader="none" w:pos="1945"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5" w:lineRule="exact"/>
        <w:rPr>
          <w:rFonts w:ascii="Arial" w:cs="Arial" w:eastAsia="Arial" w:hAnsi="Arial"/>
          <w:sz w:val="21"/>
          <w:szCs w:val="21"/>
          <w:color w:val="auto"/>
        </w:rPr>
      </w:pPr>
    </w:p>
    <w:p>
      <w:pPr>
        <w:ind w:firstLine="1305"/>
        <w:spacing w:after="0" w:line="272" w:lineRule="auto"/>
        <w:tabs>
          <w:tab w:leader="none" w:pos="1945"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06" w:lineRule="exact"/>
        <w:rPr>
          <w:sz w:val="20"/>
          <w:szCs w:val="20"/>
          <w:color w:val="auto"/>
        </w:rPr>
      </w:pPr>
    </w:p>
    <w:p>
      <w:pPr>
        <w:ind w:right="200" w:firstLine="1305"/>
        <w:spacing w:after="0" w:line="297" w:lineRule="auto"/>
        <w:tabs>
          <w:tab w:leader="none" w:pos="1945"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Assignment by the Executive</w:t>
      </w:r>
      <w:r>
        <w:rPr>
          <w:rFonts w:ascii="Arial" w:cs="Arial" w:eastAsia="Arial" w:hAnsi="Arial"/>
          <w:sz w:val="19"/>
          <w:szCs w:val="19"/>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20" w:lineRule="exact"/>
        <w:rPr>
          <w:rFonts w:ascii="Arial" w:cs="Arial" w:eastAsia="Arial" w:hAnsi="Arial"/>
          <w:sz w:val="19"/>
          <w:szCs w:val="19"/>
          <w:color w:val="auto"/>
        </w:rPr>
      </w:pPr>
    </w:p>
    <w:p>
      <w:pPr>
        <w:ind w:firstLine="1305"/>
        <w:spacing w:after="0" w:line="258" w:lineRule="auto"/>
        <w:tabs>
          <w:tab w:leader="none" w:pos="1945"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ectPr>
          <w:pgSz w:w="11900" w:h="16838" w:orient="portrait"/>
          <w:cols w:equalWidth="0" w:num="1">
            <w:col w:w="11400"/>
          </w:cols>
          <w:pgMar w:left="240" w:top="118" w:right="259" w:bottom="0" w:gutter="0" w:footer="0" w:header="0"/>
        </w:sectPr>
      </w:pPr>
    </w:p>
    <w:bookmarkStart w:id="76" w:name="page77"/>
    <w:bookmarkEnd w:id="76"/>
    <w:p>
      <w:pPr>
        <w:ind w:right="20" w:firstLine="1305"/>
        <w:spacing w:after="0" w:line="279" w:lineRule="auto"/>
        <w:tabs>
          <w:tab w:leader="none" w:pos="194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37" w:lineRule="exact"/>
        <w:rPr>
          <w:rFonts w:ascii="Arial" w:cs="Arial" w:eastAsia="Arial" w:hAnsi="Arial"/>
          <w:sz w:val="19"/>
          <w:szCs w:val="19"/>
          <w:color w:val="auto"/>
        </w:rPr>
      </w:pPr>
    </w:p>
    <w:p>
      <w:pPr>
        <w:ind w:right="20" w:firstLine="1305"/>
        <w:spacing w:after="0" w:line="244" w:lineRule="auto"/>
        <w:tabs>
          <w:tab w:leader="none" w:pos="1945"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82" w:lineRule="exact"/>
        <w:rPr>
          <w:rFonts w:ascii="Arial" w:cs="Arial" w:eastAsia="Arial" w:hAnsi="Arial"/>
          <w:sz w:val="21"/>
          <w:szCs w:val="21"/>
          <w:color w:val="auto"/>
        </w:rPr>
      </w:pPr>
    </w:p>
    <w:p>
      <w:pPr>
        <w:ind w:firstLine="1305"/>
        <w:spacing w:after="0" w:line="272" w:lineRule="auto"/>
        <w:tabs>
          <w:tab w:leader="none" w:pos="194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44"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206" w:lineRule="exact"/>
        <w:rPr>
          <w:sz w:val="20"/>
          <w:szCs w:val="20"/>
          <w:color w:val="auto"/>
        </w:rPr>
      </w:pPr>
    </w:p>
    <w:p>
      <w:pPr>
        <w:ind w:firstLine="1305"/>
        <w:spacing w:after="0" w:line="270" w:lineRule="auto"/>
        <w:tabs>
          <w:tab w:leader="none" w:pos="1945"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w:t>
      </w:r>
    </w:p>
    <w:p>
      <w:pPr>
        <w:sectPr>
          <w:pgSz w:w="11900" w:h="16838" w:orient="portrait"/>
          <w:cols w:equalWidth="0" w:num="1">
            <w:col w:w="11400"/>
          </w:cols>
          <w:pgMar w:left="240" w:top="118" w:right="259" w:bottom="0" w:gutter="0" w:footer="0" w:header="0"/>
        </w:sectPr>
      </w:pPr>
    </w:p>
    <w:bookmarkStart w:id="77" w:name="page78"/>
    <w:bookmarkEnd w:id="77"/>
    <w:p>
      <w:pPr>
        <w:ind w:right="60"/>
        <w:spacing w:after="0" w:line="234" w:lineRule="auto"/>
        <w:rPr>
          <w:sz w:val="20"/>
          <w:szCs w:val="20"/>
          <w:color w:val="auto"/>
        </w:rPr>
      </w:pPr>
      <w:r>
        <w:rPr>
          <w:rFonts w:ascii="Arial" w:cs="Arial" w:eastAsia="Arial" w:hAnsi="Arial"/>
          <w:sz w:val="22"/>
          <w:szCs w:val="22"/>
          <w:color w:val="auto"/>
        </w:rPr>
        <w:t>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178" w:lineRule="exact"/>
        <w:rPr>
          <w:sz w:val="20"/>
          <w:szCs w:val="20"/>
          <w:color w:val="auto"/>
        </w:rPr>
      </w:pPr>
    </w:p>
    <w:p>
      <w:pPr>
        <w:jc w:val="both"/>
        <w:ind w:right="280" w:firstLine="1305"/>
        <w:spacing w:after="0" w:line="276" w:lineRule="auto"/>
        <w:tabs>
          <w:tab w:leader="none" w:pos="194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5(f), 6(h)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ind w:right="80" w:firstLine="158"/>
        <w:spacing w:after="0" w:line="244" w:lineRule="auto"/>
        <w:rPr>
          <w:rFonts w:ascii="Arial" w:cs="Arial" w:eastAsia="Arial" w:hAnsi="Arial"/>
          <w:sz w:val="19"/>
          <w:szCs w:val="19"/>
          <w:color w:val="auto"/>
        </w:rPr>
      </w:pPr>
      <w:r>
        <w:rPr>
          <w:rFonts w:ascii="Arial" w:cs="Arial" w:eastAsia="Arial" w:hAnsi="Arial"/>
          <w:sz w:val="21"/>
          <w:szCs w:val="21"/>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9" w:lineRule="exact"/>
        <w:rPr>
          <w:sz w:val="20"/>
          <w:szCs w:val="20"/>
          <w:color w:val="auto"/>
        </w:rPr>
      </w:pPr>
    </w:p>
    <w:p>
      <w:pPr>
        <w:ind w:right="60" w:firstLine="1305"/>
        <w:spacing w:after="0" w:line="247" w:lineRule="auto"/>
        <w:tabs>
          <w:tab w:leader="none" w:pos="1945"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180" w:firstLine="1305"/>
        <w:spacing w:after="0" w:line="287" w:lineRule="auto"/>
        <w:tabs>
          <w:tab w:leader="none" w:pos="194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43" w:lineRule="exact"/>
        <w:rPr>
          <w:rFonts w:ascii="Arial" w:cs="Arial" w:eastAsia="Arial" w:hAnsi="Arial"/>
          <w:sz w:val="19"/>
          <w:szCs w:val="19"/>
          <w:color w:val="auto"/>
        </w:rPr>
      </w:pPr>
    </w:p>
    <w:p>
      <w:pPr>
        <w:ind w:right="580" w:firstLine="1305"/>
        <w:spacing w:after="0" w:line="251" w:lineRule="auto"/>
        <w:tabs>
          <w:tab w:leader="none" w:pos="194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59" w:lineRule="exact"/>
        <w:rPr>
          <w:rFonts w:ascii="Arial" w:cs="Arial" w:eastAsia="Arial" w:hAnsi="Arial"/>
          <w:sz w:val="22"/>
          <w:szCs w:val="22"/>
          <w:color w:val="auto"/>
        </w:rPr>
      </w:pPr>
    </w:p>
    <w:p>
      <w:pPr>
        <w:ind w:right="180" w:firstLine="1305"/>
        <w:spacing w:after="0" w:line="251" w:lineRule="auto"/>
        <w:tabs>
          <w:tab w:leader="none" w:pos="194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59" w:lineRule="exact"/>
        <w:rPr>
          <w:rFonts w:ascii="Arial" w:cs="Arial" w:eastAsia="Arial" w:hAnsi="Arial"/>
          <w:sz w:val="22"/>
          <w:szCs w:val="22"/>
          <w:color w:val="auto"/>
        </w:rPr>
      </w:pPr>
    </w:p>
    <w:p>
      <w:pPr>
        <w:ind w:firstLine="1305"/>
        <w:spacing w:after="0" w:line="282" w:lineRule="auto"/>
        <w:tabs>
          <w:tab w:leader="none" w:pos="194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1 hereof, or the right of the Company to terminate the Executive’s employment for Cause pursuant to Section 1 hereof shall not be deemed to be a waiver of such provision or right or any other provision or right of this Agreement.</w:t>
      </w:r>
    </w:p>
    <w:p>
      <w:pPr>
        <w:spacing w:after="0" w:line="147" w:lineRule="exact"/>
        <w:rPr>
          <w:rFonts w:ascii="Arial" w:cs="Arial" w:eastAsia="Arial" w:hAnsi="Arial"/>
          <w:sz w:val="19"/>
          <w:szCs w:val="19"/>
          <w:color w:val="auto"/>
        </w:rPr>
      </w:pPr>
    </w:p>
    <w:p>
      <w:pPr>
        <w:ind w:right="40" w:firstLine="1305"/>
        <w:spacing w:after="0" w:line="277" w:lineRule="auto"/>
        <w:tabs>
          <w:tab w:leader="none" w:pos="194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39" w:lineRule="exact"/>
        <w:rPr>
          <w:rFonts w:ascii="Arial" w:cs="Arial" w:eastAsia="Arial" w:hAnsi="Arial"/>
          <w:sz w:val="19"/>
          <w:szCs w:val="19"/>
          <w:color w:val="auto"/>
        </w:rPr>
      </w:pPr>
    </w:p>
    <w:p>
      <w:pPr>
        <w:ind w:right="40" w:firstLine="1305"/>
        <w:spacing w:after="0"/>
        <w:tabs>
          <w:tab w:leader="none" w:pos="194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firstLine="1305"/>
        <w:spacing w:after="0"/>
        <w:tabs>
          <w:tab w:leader="none" w:pos="194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86" w:lineRule="exact"/>
        <w:rPr>
          <w:rFonts w:ascii="Arial" w:cs="Arial" w:eastAsia="Arial" w:hAnsi="Arial"/>
          <w:sz w:val="22"/>
          <w:szCs w:val="22"/>
          <w:color w:val="auto"/>
        </w:rPr>
      </w:pPr>
    </w:p>
    <w:p>
      <w:pPr>
        <w:ind w:right="80" w:firstLine="1305"/>
        <w:spacing w:after="0" w:line="277" w:lineRule="auto"/>
        <w:tabs>
          <w:tab w:leader="none" w:pos="194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Termination upon Sale of Assets of Subsidiary</w:t>
      </w:r>
      <w:r>
        <w:rPr>
          <w:rFonts w:ascii="Arial" w:cs="Arial" w:eastAsia="Arial" w:hAnsi="Arial"/>
          <w:sz w:val="19"/>
          <w:szCs w:val="19"/>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w:t>
      </w:r>
    </w:p>
    <w:p>
      <w:pPr>
        <w:sectPr>
          <w:pgSz w:w="11900" w:h="16838" w:orient="portrait"/>
          <w:cols w:equalWidth="0" w:num="1">
            <w:col w:w="11400"/>
          </w:cols>
          <w:pgMar w:left="240" w:top="118" w:right="259" w:bottom="0" w:gutter="0" w:footer="0" w:header="0"/>
        </w:sectPr>
      </w:pPr>
    </w:p>
    <w:bookmarkStart w:id="78" w:name="page79"/>
    <w:bookmarkEnd w:id="78"/>
    <w:p>
      <w:pPr>
        <w:spacing w:after="0" w:line="251" w:lineRule="auto"/>
        <w:rPr>
          <w:sz w:val="20"/>
          <w:szCs w:val="20"/>
          <w:color w:val="auto"/>
        </w:rPr>
      </w:pPr>
      <w:r>
        <w:rPr>
          <w:rFonts w:ascii="Arial" w:cs="Arial" w:eastAsia="Arial" w:hAnsi="Arial"/>
          <w:sz w:val="22"/>
          <w:szCs w:val="22"/>
          <w:color w:val="auto"/>
        </w:rPr>
        <w:t>Executive declines to accept such offer and the Executive fails to become employed by the Asset Purchaser on the date of the Asset Sale.</w:t>
      </w:r>
    </w:p>
    <w:p>
      <w:pPr>
        <w:spacing w:after="0" w:line="160" w:lineRule="exact"/>
        <w:rPr>
          <w:sz w:val="20"/>
          <w:szCs w:val="20"/>
          <w:color w:val="auto"/>
        </w:rPr>
      </w:pPr>
    </w:p>
    <w:p>
      <w:pPr>
        <w:ind w:right="20" w:firstLine="1305"/>
        <w:spacing w:after="0" w:line="275" w:lineRule="auto"/>
        <w:tabs>
          <w:tab w:leader="none" w:pos="1945"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until the third (3rd) anniversary of the Effective Date; provided, however,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58" w:lineRule="exact"/>
        <w:rPr>
          <w:rFonts w:ascii="Arial" w:cs="Arial" w:eastAsia="Arial" w:hAnsi="Arial"/>
          <w:sz w:val="19"/>
          <w:szCs w:val="19"/>
          <w:color w:val="auto"/>
        </w:rPr>
      </w:pPr>
    </w:p>
    <w:p>
      <w:pPr>
        <w:ind w:firstLine="1305"/>
        <w:spacing w:after="0" w:line="251" w:lineRule="auto"/>
        <w:tabs>
          <w:tab w:leader="none" w:pos="1945"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OC\1202083.4</w:t>
      </w:r>
    </w:p>
    <w:p>
      <w:pPr>
        <w:sectPr>
          <w:pgSz w:w="11900" w:h="16838" w:orient="portrait"/>
          <w:cols w:equalWidth="0" w:num="1">
            <w:col w:w="11380"/>
          </w:cols>
          <w:pgMar w:left="240" w:top="118" w:right="279" w:bottom="1440" w:gutter="0" w:footer="0" w:header="0"/>
        </w:sectPr>
      </w:pPr>
    </w:p>
    <w:bookmarkStart w:id="79" w:name="page80"/>
    <w:bookmarkEnd w:id="79"/>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ind w:left="3900"/>
        <w:spacing w:after="0" w:line="238" w:lineRule="auto"/>
        <w:rPr>
          <w:sz w:val="20"/>
          <w:szCs w:val="20"/>
          <w:color w:val="auto"/>
        </w:rPr>
      </w:pPr>
      <w:r>
        <w:rPr>
          <w:rFonts w:ascii="Arial" w:cs="Arial" w:eastAsia="Arial" w:hAnsi="Arial"/>
          <w:sz w:val="22"/>
          <w:szCs w:val="22"/>
          <w:color w:val="auto"/>
        </w:rPr>
        <w:t>Senior Vice President - Human Resources,</w:t>
      </w:r>
    </w:p>
    <w:p>
      <w:pPr>
        <w:ind w:left="3900"/>
        <w:spacing w:after="0"/>
        <w:rPr>
          <w:sz w:val="20"/>
          <w:szCs w:val="20"/>
          <w:color w:val="auto"/>
        </w:rPr>
      </w:pPr>
      <w:r>
        <w:rPr>
          <w:rFonts w:ascii="Arial" w:cs="Arial" w:eastAsia="Arial" w:hAnsi="Arial"/>
          <w:sz w:val="22"/>
          <w:szCs w:val="22"/>
          <w:color w:val="auto"/>
        </w:rPr>
        <w:t>Diversity &amp; Inclusion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Jessie J. Knight, Jr.</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Executive Officer, San Diego Gas and Electric Company</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OC\1202083.4</w:t>
      </w:r>
    </w:p>
    <w:p>
      <w:pPr>
        <w:sectPr>
          <w:pgSz w:w="11900" w:h="16838" w:orient="portrait"/>
          <w:cols w:equalWidth="0" w:num="1">
            <w:col w:w="11380"/>
          </w:cols>
          <w:pgMar w:left="240" w:top="118" w:right="27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TWO: As a material inducement for the payment of the benefit under Section 14(d) of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74" w:lineRule="exact"/>
        <w:rPr>
          <w:sz w:val="20"/>
          <w:szCs w:val="20"/>
          <w:color w:val="auto"/>
        </w:rPr>
      </w:pPr>
    </w:p>
    <w:p>
      <w:pPr>
        <w:ind w:right="20" w:firstLine="1305"/>
        <w:spacing w:after="0" w:line="236" w:lineRule="auto"/>
        <w:tabs>
          <w:tab w:leader="none" w:pos="1945"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40" w:firstLine="1305"/>
        <w:spacing w:after="0" w:line="268" w:lineRule="auto"/>
        <w:tabs>
          <w:tab w:leader="none" w:pos="1945"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word “Claim” or “Claims” shall not refer to any charges, complaints, claims, liabilities, obligations, promises, 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 D&amp;O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containing duties, rights obligations etc. of either party that are to remain operative</w:t>
      </w:r>
      <w:r>
        <w:rPr>
          <w:rFonts w:ascii="Arial" w:cs="Arial" w:eastAsia="Arial" w:hAnsi="Arial"/>
          <w:sz w:val="19"/>
          <w:szCs w:val="19"/>
          <w:color w:val="auto"/>
        </w:rPr>
        <w:t>]. Claims released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 (1) Title VII of the Civil Rights Act of 1964 (race, color, religion, sex and national origin discrimination); (2) 42 U.S.C. § 1981 (discrimination); (3) 29 U.S.C. §§ 621–634 (age discrimination); (4) 29 U.S.C. § 206(d)(l) (equal pay);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w:t>
      </w:r>
    </w:p>
    <w:p>
      <w:pPr>
        <w:spacing w:after="0" w:line="2" w:lineRule="exact"/>
        <w:rPr>
          <w:rFonts w:ascii="Arial" w:cs="Arial" w:eastAsia="Arial" w:hAnsi="Arial"/>
          <w:sz w:val="19"/>
          <w:szCs w:val="19"/>
          <w:color w:val="auto"/>
        </w:rPr>
      </w:pPr>
    </w:p>
    <w:p>
      <w:pPr>
        <w:ind w:right="60" w:firstLine="8"/>
        <w:spacing w:after="0" w:line="232" w:lineRule="auto"/>
        <w:tabs>
          <w:tab w:leader="none" w:pos="41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employment); and (15) any federal, state or other governmental statute, regulation or ordinance which is similar to any of the statutes described in clauses (1) through (14).</w:t>
      </w:r>
    </w:p>
    <w:p>
      <w:pPr>
        <w:spacing w:after="0" w:line="189"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48" w:lineRule="exact"/>
        <w:rPr>
          <w:sz w:val="20"/>
          <w:szCs w:val="20"/>
          <w:color w:val="auto"/>
        </w:rPr>
      </w:pPr>
    </w:p>
    <w:p>
      <w:pPr>
        <w:ind w:left="1300" w:right="1540"/>
        <w:spacing w:after="0" w:line="328"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FAVOR AT THE TIME OF EXECUTING THE</w:t>
      </w:r>
    </w:p>
    <w:p>
      <w:pPr>
        <w:sectPr>
          <w:pgSz w:w="11900" w:h="16838" w:orient="portrait"/>
          <w:cols w:equalWidth="0" w:num="1">
            <w:col w:w="11420"/>
          </w:cols>
          <w:pgMar w:left="240" w:top="604" w:right="239" w:bottom="0" w:gutter="0" w:footer="0" w:header="0"/>
        </w:sectPr>
      </w:pPr>
    </w:p>
    <w:bookmarkStart w:id="81" w:name="page82"/>
    <w:bookmarkEnd w:id="81"/>
    <w:p>
      <w:pPr>
        <w:ind w:left="1300" w:right="2100"/>
        <w:spacing w:after="0" w:line="251" w:lineRule="auto"/>
        <w:rPr>
          <w:sz w:val="20"/>
          <w:szCs w:val="20"/>
          <w:color w:val="auto"/>
        </w:rPr>
      </w:pPr>
      <w:r>
        <w:rPr>
          <w:rFonts w:ascii="Arial" w:cs="Arial" w:eastAsia="Arial" w:hAnsi="Arial"/>
          <w:sz w:val="22"/>
          <w:szCs w:val="22"/>
          <w:color w:val="auto"/>
        </w:rPr>
        <w:t>RELEASE, WHICH IF KNOWN BY HIM MUST HAVE MATERIALLY AFFECTED HIS SETTLEMENT WITH THE DEBTOR.”</w:t>
      </w:r>
    </w:p>
    <w:p>
      <w:pPr>
        <w:spacing w:after="0" w:line="17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NINE:</w:t>
      </w:r>
    </w:p>
    <w:p>
      <w:pPr>
        <w:spacing w:after="0" w:line="193" w:lineRule="exact"/>
        <w:rPr>
          <w:sz w:val="20"/>
          <w:szCs w:val="20"/>
          <w:color w:val="auto"/>
        </w:rPr>
      </w:pPr>
    </w:p>
    <w:p>
      <w:pPr>
        <w:ind w:right="40" w:firstLine="1953"/>
        <w:spacing w:after="0" w:line="235" w:lineRule="auto"/>
        <w:tabs>
          <w:tab w:leader="none" w:pos="259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rFonts w:ascii="Arial" w:cs="Arial" w:eastAsia="Arial" w:hAnsi="Arial"/>
          <w:sz w:val="22"/>
          <w:szCs w:val="22"/>
          <w:color w:val="auto"/>
        </w:rPr>
      </w:pPr>
    </w:p>
    <w:p>
      <w:pPr>
        <w:ind w:right="40" w:firstLine="1953"/>
        <w:spacing w:after="0" w:line="279" w:lineRule="auto"/>
        <w:tabs>
          <w:tab w:leader="none" w:pos="2593"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80" w:firstLine="1953"/>
        <w:spacing w:after="0" w:line="282" w:lineRule="auto"/>
        <w:tabs>
          <w:tab w:leader="none" w:pos="2593" w:val="left"/>
        </w:tabs>
        <w:numPr>
          <w:ilvl w:val="0"/>
          <w:numId w:val="87"/>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9"/>
          <w:szCs w:val="19"/>
          <w:u w:val="single" w:color="auto"/>
          <w:color w:val="auto"/>
        </w:rPr>
        <w:t>arbitrable dispute</w:t>
      </w:r>
      <w:r>
        <w:rPr>
          <w:rFonts w:ascii="Arial" w:cs="Arial" w:eastAsia="Arial" w:hAnsi="Arial"/>
          <w:sz w:val="19"/>
          <w:szCs w:val="19"/>
          <w:color w:val="auto"/>
        </w:rPr>
        <w:t>”) must be submitted to arbitration in San Diego, California. Arbitration shall take place before an experienced employment arbitrator licensed to practice law in such state and</w:t>
      </w:r>
    </w:p>
    <w:p>
      <w:pPr>
        <w:sectPr>
          <w:pgSz w:w="11900" w:h="16838" w:orient="portrait"/>
          <w:cols w:equalWidth="0" w:num="1">
            <w:col w:w="11400"/>
          </w:cols>
          <w:pgMar w:left="240" w:top="118" w:right="259" w:bottom="0" w:gutter="0" w:footer="0" w:header="0"/>
        </w:sectPr>
      </w:pPr>
    </w:p>
    <w:bookmarkStart w:id="82" w:name="page83"/>
    <w:bookmarkEnd w:id="82"/>
    <w:p>
      <w:pPr>
        <w:spacing w:after="0" w:line="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selected in accordance with the then existing JAMS arbitration rules applicable to employment disputes;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any event, the arbitrator shall allow reasonable discovery. Arbitration shall be the exclusive remedy for any arbitrable dispute. The arbitrator in any arbitrable dispute shall not have authority to modify or change the Agreement in any respect. You and the Company shall each be responsible for payment of one-half (1/2) the amount of the arbitrator’s fee(s);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you be required to pay any fee or cost of arbitration that is unique to arbitration or exceeds 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Court of the State of California for the County of San Diego, or any other court of competent jurisdiction.</w:t>
      </w:r>
    </w:p>
    <w:p>
      <w:pPr>
        <w:spacing w:after="0" w:line="157"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17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You:</w:t>
      </w:r>
      <w:r>
        <w:rPr>
          <w:sz w:val="20"/>
          <w:szCs w:val="20"/>
          <w:color w:val="auto"/>
        </w:rPr>
        <w:tab/>
      </w:r>
      <w:r>
        <w:rPr>
          <w:rFonts w:ascii="Arial" w:cs="Arial" w:eastAsia="Arial" w:hAnsi="Arial"/>
          <w:sz w:val="19"/>
          <w:szCs w:val="19"/>
          <w:b w:val="1"/>
          <w:bCs w:val="1"/>
          <w:color w:val="auto"/>
        </w:rPr>
        <w:t>______________________</w:t>
      </w:r>
    </w:p>
    <w:p>
      <w:pPr>
        <w:spacing w:after="0" w:line="206" w:lineRule="exact"/>
        <w:rPr>
          <w:sz w:val="20"/>
          <w:szCs w:val="20"/>
          <w:color w:val="auto"/>
        </w:rPr>
      </w:pPr>
    </w:p>
    <w:p>
      <w:pPr>
        <w:ind w:right="60" w:firstLine="1297"/>
        <w:spacing w:after="0" w:line="246" w:lineRule="auto"/>
        <w:rPr>
          <w:sz w:val="20"/>
          <w:szCs w:val="20"/>
          <w:color w:val="auto"/>
        </w:rPr>
      </w:pPr>
      <w:r>
        <w:rPr>
          <w:rFonts w:ascii="Arial" w:cs="Arial" w:eastAsia="Arial" w:hAnsi="Arial"/>
          <w:sz w:val="21"/>
          <w:szCs w:val="21"/>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 14(d) of the Severance Pay Agreement.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6"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45" w:orient="portrait"/>
          <w:cols w:equalWidth="0" w:num="1">
            <w:col w:w="11420"/>
          </w:cols>
          <w:pgMar w:left="240" w:top="118" w:right="239" w:bottom="0" w:gutter="0" w:footer="0" w:header="0"/>
        </w:sectPr>
      </w:pPr>
    </w:p>
    <w:bookmarkStart w:id="83" w:name="page84"/>
    <w:bookmarkEnd w:id="83"/>
    <w:p>
      <w:pPr>
        <w:spacing w:after="0"/>
        <w:rPr>
          <w:sz w:val="20"/>
          <w:szCs w:val="20"/>
          <w:color w:val="auto"/>
        </w:rPr>
      </w:pPr>
      <w:r>
        <w:rPr>
          <w:rFonts w:ascii="Arial" w:cs="Arial" w:eastAsia="Arial" w:hAnsi="Arial"/>
          <w:sz w:val="13"/>
          <w:szCs w:val="13"/>
          <w:color w:val="auto"/>
        </w:rPr>
        <w:t>OC\1202083.4</w:t>
      </w:r>
    </w:p>
    <w:p>
      <w:pPr>
        <w:sectPr>
          <w:pgSz w:w="11900" w:h="16838" w:orient="portrait"/>
          <w:cols w:equalWidth="0" w:num="1">
            <w:col w:w="10179"/>
          </w:cols>
          <w:pgMar w:left="280" w:top="1107"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25"/>
          <w:szCs w:val="25"/>
          <w:b w:val="1"/>
          <w:bCs w:val="1"/>
          <w:color w:val="auto"/>
        </w:rPr>
        <w:t>Exhibit 10.25</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260" w:firstLine="1297"/>
        <w:spacing w:after="0" w:line="335"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December 31, 2011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SEMPRA ENERGY, a California corporation (“</w:t>
      </w:r>
      <w:r>
        <w:rPr>
          <w:rFonts w:ascii="Arial" w:cs="Arial" w:eastAsia="Arial" w:hAnsi="Arial"/>
          <w:sz w:val="19"/>
          <w:szCs w:val="19"/>
          <w:u w:val="single" w:color="auto"/>
          <w:color w:val="auto"/>
        </w:rPr>
        <w:t>Sempra Energy</w:t>
      </w:r>
      <w:r>
        <w:rPr>
          <w:rFonts w:ascii="Arial" w:cs="Arial" w:eastAsia="Arial" w:hAnsi="Arial"/>
          <w:sz w:val="19"/>
          <w:szCs w:val="19"/>
          <w:color w:val="auto"/>
        </w:rPr>
        <w:t>”), and MICHAEL W. ALLMAN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92" w:lineRule="exact"/>
        <w:rPr>
          <w:sz w:val="20"/>
          <w:szCs w:val="20"/>
          <w:color w:val="auto"/>
        </w:rPr>
      </w:pPr>
    </w:p>
    <w:p>
      <w:pPr>
        <w:ind w:right="30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President &amp; CEO – Southern California Gas Company;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assigned thereto in Section 2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has the meaning assigned thereto in Section 6(a) hereof.</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during all or any portion of one or two of the Bonus Fiscal</w:t>
      </w:r>
      <w:r>
        <w:rPr>
          <w:rFonts w:ascii="Arial" w:cs="Arial" w:eastAsia="Arial" w:hAnsi="Arial"/>
          <w:sz w:val="19"/>
          <w:szCs w:val="19"/>
          <w:i w:val="1"/>
          <w:iCs w:val="1"/>
          <w:color w:val="auto"/>
        </w:rPr>
        <w:t xml:space="preserve"> </w:t>
      </w:r>
      <w:r>
        <w:rPr>
          <w:rFonts w:ascii="Arial" w:cs="Arial" w:eastAsia="Arial" w:hAnsi="Arial"/>
          <w:sz w:val="19"/>
          <w:szCs w:val="19"/>
          <w:color w:val="auto"/>
        </w:rPr>
        <w:t>Years (but not three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all or any portion of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all or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has the meaning set forth in Rule 13d-3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20" w:firstLine="1305"/>
        <w:spacing w:after="0" w:line="276" w:lineRule="auto"/>
        <w:tabs>
          <w:tab w:leader="none" w:pos="1945" w:val="left"/>
        </w:tabs>
        <w:numPr>
          <w:ilvl w:val="1"/>
          <w:numId w:val="88"/>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69" w:lineRule="auto"/>
        <w:tabs>
          <w:tab w:leader="none" w:pos="1945" w:val="left"/>
        </w:tabs>
        <w:numPr>
          <w:ilvl w:val="1"/>
          <w:numId w:val="89"/>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3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w:t>
      </w:r>
    </w:p>
    <w:p>
      <w:pPr>
        <w:spacing w:after="0" w:line="1" w:lineRule="exact"/>
        <w:rPr>
          <w:rFonts w:ascii="Arial" w:cs="Arial" w:eastAsia="Arial" w:hAnsi="Arial"/>
          <w:sz w:val="19"/>
          <w:szCs w:val="19"/>
          <w:color w:val="auto"/>
        </w:rPr>
      </w:pPr>
    </w:p>
    <w:p>
      <w:pPr>
        <w:ind w:right="180" w:firstLine="8"/>
        <w:spacing w:after="0" w:line="308" w:lineRule="auto"/>
        <w:tabs>
          <w:tab w:leader="none" w:pos="306" w:val="left"/>
        </w:tabs>
        <w:numPr>
          <w:ilvl w:val="0"/>
          <w:numId w:val="90"/>
        </w:numPr>
        <w:rPr>
          <w:rFonts w:ascii="Arial" w:cs="Arial" w:eastAsia="Arial" w:hAnsi="Arial"/>
          <w:sz w:val="19"/>
          <w:szCs w:val="19"/>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ectPr>
          <w:pgSz w:w="11900" w:h="16838" w:orient="portrait"/>
          <w:cols w:equalWidth="0" w:num="1">
            <w:col w:w="11420"/>
          </w:cols>
          <w:pgMar w:left="240" w:top="360" w:right="239" w:bottom="0" w:gutter="0" w:footer="0" w:header="0"/>
        </w:sectPr>
      </w:pPr>
    </w:p>
    <w:bookmarkStart w:id="85" w:name="page86"/>
    <w:bookmarkEnd w:id="85"/>
    <w:p>
      <w:pPr>
        <w:ind w:right="20" w:firstLine="1297"/>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19" w:lineRule="exact"/>
        <w:rPr>
          <w:sz w:val="20"/>
          <w:szCs w:val="20"/>
          <w:color w:val="auto"/>
        </w:rPr>
      </w:pPr>
    </w:p>
    <w:p>
      <w:pPr>
        <w:ind w:right="20" w:firstLine="1305"/>
        <w:spacing w:after="0" w:line="297" w:lineRule="auto"/>
        <w:tabs>
          <w:tab w:leader="none" w:pos="1945" w:val="left"/>
        </w:tabs>
        <w:numPr>
          <w:ilvl w:val="0"/>
          <w:numId w:val="91"/>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91"/>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91"/>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80" w:firstLine="2601"/>
        <w:spacing w:after="0"/>
        <w:tabs>
          <w:tab w:leader="none" w:pos="3241"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9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firstLine="1953"/>
        <w:spacing w:after="0" w:line="249" w:lineRule="auto"/>
        <w:tabs>
          <w:tab w:leader="none" w:pos="2593" w:val="left"/>
        </w:tabs>
        <w:numPr>
          <w:ilvl w:val="1"/>
          <w:numId w:val="92"/>
        </w:numPr>
        <w:rPr>
          <w:rFonts w:ascii="Arial" w:cs="Arial" w:eastAsia="Arial" w:hAnsi="Arial"/>
          <w:sz w:val="21"/>
          <w:szCs w:val="21"/>
          <w:color w:val="auto"/>
        </w:rPr>
      </w:pPr>
      <w:r>
        <w:rPr>
          <w:rFonts w:ascii="Arial" w:cs="Arial" w:eastAsia="Arial" w:hAnsi="Arial"/>
          <w:sz w:val="21"/>
          <w:szCs w:val="21"/>
          <w:color w:val="auto"/>
        </w:rPr>
        <w:t>a merger or consolidation effected to implement a recapitalization of Sempra Energy (or similar transaction) in which no Person is or becomes the Beneficial Owner,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78" w:lineRule="exact"/>
        <w:rPr>
          <w:rFonts w:ascii="Arial" w:cs="Arial" w:eastAsia="Arial" w:hAnsi="Arial"/>
          <w:sz w:val="21"/>
          <w:szCs w:val="21"/>
          <w:color w:val="auto"/>
        </w:rPr>
      </w:pPr>
    </w:p>
    <w:p>
      <w:pPr>
        <w:jc w:val="both"/>
        <w:ind w:right="20" w:firstLine="1305"/>
        <w:spacing w:after="0" w:line="252" w:lineRule="auto"/>
        <w:tabs>
          <w:tab w:leader="none" w:pos="1945" w:val="left"/>
        </w:tabs>
        <w:numPr>
          <w:ilvl w:val="0"/>
          <w:numId w:val="93"/>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5(f) hereof.</w:t>
      </w:r>
    </w:p>
    <w:p>
      <w:pPr>
        <w:spacing w:after="0" w:line="206"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has the meaning set forth in the Company’s long-term disability plan or its successor;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Board may not terminate the Executive’s employment hereunder by reason of Disability unless (i) at the time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ectPr>
          <w:pgSz w:w="11900" w:h="16838" w:orient="portrait"/>
          <w:cols w:equalWidth="0" w:num="1">
            <w:col w:w="11400"/>
          </w:cols>
          <w:pgMar w:left="240" w:top="118" w:right="259" w:bottom="0" w:gutter="0" w:footer="0" w:header="0"/>
        </w:sectPr>
      </w:pPr>
    </w:p>
    <w:bookmarkStart w:id="86" w:name="page87"/>
    <w:bookmarkEnd w:id="86"/>
    <w:p>
      <w:pPr>
        <w:spacing w:after="0" w:line="1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00" w:firstLine="1305"/>
        <w:spacing w:after="0"/>
        <w:tabs>
          <w:tab w:leader="none" w:pos="1945" w:val="left"/>
        </w:tabs>
        <w:numPr>
          <w:ilvl w:val="0"/>
          <w:numId w:val="94"/>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right="340" w:firstLine="1953"/>
        <w:spacing w:after="0"/>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60" w:firstLine="1953"/>
        <w:spacing w:after="0"/>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firstLine="1953"/>
        <w:spacing w:after="0"/>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94"/>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94"/>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right="260" w:firstLine="1953"/>
        <w:spacing w:after="0" w:line="251" w:lineRule="auto"/>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20" w:firstLine="1953"/>
        <w:spacing w:after="0" w:line="245" w:lineRule="auto"/>
        <w:tabs>
          <w:tab w:leader="none" w:pos="2593" w:val="left"/>
        </w:tabs>
        <w:numPr>
          <w:ilvl w:val="1"/>
          <w:numId w:val="94"/>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40" w:firstLine="1953"/>
        <w:spacing w:after="0" w:line="234" w:lineRule="auto"/>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firstLine="1953"/>
        <w:spacing w:after="0" w:line="328" w:lineRule="auto"/>
        <w:tabs>
          <w:tab w:leader="none" w:pos="2593"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purported termination of the Executive’s employment that is not effected pursuant to a Notice of Termination satisfying the requirements of Section 3 hereof; for purposes of this Agreement, no such purported termination shall be</w:t>
      </w:r>
    </w:p>
    <w:p>
      <w:pPr>
        <w:sectPr>
          <w:pgSz w:w="11900" w:h="16852" w:orient="portrait"/>
          <w:cols w:equalWidth="0" w:num="1">
            <w:col w:w="11400"/>
          </w:cols>
          <w:pgMar w:left="240" w:top="118" w:right="259" w:bottom="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effective;</w:t>
      </w:r>
    </w:p>
    <w:p>
      <w:pPr>
        <w:spacing w:after="0" w:line="193" w:lineRule="exact"/>
        <w:rPr>
          <w:sz w:val="20"/>
          <w:szCs w:val="20"/>
          <w:color w:val="auto"/>
        </w:rPr>
      </w:pPr>
    </w:p>
    <w:p>
      <w:pPr>
        <w:ind w:left="2600" w:hanging="647"/>
        <w:spacing w:after="0"/>
        <w:tabs>
          <w:tab w:leader="none" w:pos="2600"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left="60" w:right="700" w:firstLine="124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2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of a termination of employment by the Company other than for Cause, death, or Disability, or (b) the Executive’s Separation from Service by reason of resignation of employment with the Company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3(a)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Accrued Obligations</w:t>
      </w:r>
      <w:r>
        <w:rPr>
          <w:rFonts w:ascii="Arial" w:cs="Arial" w:eastAsia="Arial" w:hAnsi="Arial"/>
          <w:sz w:val="22"/>
          <w:szCs w:val="22"/>
          <w:color w:val="auto"/>
        </w:rPr>
        <w:t>” has the meaning assigned thereto in Section 6(a)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6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Accrued Obligations</w:t>
      </w:r>
      <w:r>
        <w:rPr>
          <w:rFonts w:ascii="Arial" w:cs="Arial" w:eastAsia="Arial" w:hAnsi="Arial"/>
          <w:sz w:val="22"/>
          <w:szCs w:val="22"/>
          <w:color w:val="auto"/>
        </w:rPr>
        <w:t>” has the meaning assigned thereto in Section 5(a)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right="4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 Payments</w:t>
      </w:r>
      <w:r>
        <w:rPr>
          <w:rFonts w:ascii="Arial" w:cs="Arial" w:eastAsia="Arial" w:hAnsi="Arial"/>
          <w:sz w:val="21"/>
          <w:szCs w:val="21"/>
          <w:color w:val="auto"/>
        </w:rPr>
        <w:t>” means any of the following: (a) the Payment in Lieu of Notice; (b) the Pre-Change in Control Severance Payment; (c) the Post-Change in Control Severance Payment; (d) the Additional Post-Change in Control Severance Payment; (e) the Consulting Payment; (f) the payment under Section 6(b) (but only to the extent such payment or portion thereof is subject to Section 409A of the Code); (g) the financial planning services and the related payments provided under Sections 5(e) and 6(f); and (h) the legal fees and expenses reimbursed under Section 15.</w:t>
      </w:r>
    </w:p>
    <w:p>
      <w:pPr>
        <w:spacing w:after="0" w:line="179"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with respect to the Executive (or another Service Provider), means the Executive’s (or such Service Provider’s) (a) termination of employment or (b) other termination or reduction in services, provided that such termination or reduction in clause (a) or (b) constitutes a “separation from service,” as defined in Treasury Regulation Section 1.409A-1(h), with respect to the Service Recipient.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6(b) hereof.</w:t>
      </w:r>
    </w:p>
    <w:p>
      <w:pPr>
        <w:sectPr>
          <w:pgSz w:w="11900" w:h="16838" w:orient="portrait"/>
          <w:cols w:equalWidth="0" w:num="1">
            <w:col w:w="11420"/>
          </w:cols>
          <w:pgMar w:left="240" w:top="118" w:right="239" w:bottom="0" w:gutter="0" w:footer="0" w:header="0"/>
        </w:sectPr>
      </w:pPr>
    </w:p>
    <w:bookmarkStart w:id="88" w:name="page89"/>
    <w:bookmarkEnd w:id="88"/>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the Executive or any other “service provider,” as defined in Treasury Regulation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1.409A-1(f).</w:t>
      </w:r>
    </w:p>
    <w:p>
      <w:pPr>
        <w:spacing w:after="0" w:line="188" w:lineRule="exact"/>
        <w:rPr>
          <w:sz w:val="20"/>
          <w:szCs w:val="20"/>
          <w:color w:val="auto"/>
        </w:rPr>
      </w:pPr>
    </w:p>
    <w:p>
      <w:pPr>
        <w:ind w:right="20"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with respect to the Executive, means Sempra Energy (if the Executive is employed by Sempra Energy), or the subsidiary of Sempra Energy employing the Executive,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21"/>
          <w:szCs w:val="21"/>
          <w:u w:val="single" w:color="auto"/>
          <w:color w:val="auto"/>
        </w:rPr>
        <w:t>Service Recipient</w:t>
      </w:r>
      <w:r>
        <w:rPr>
          <w:rFonts w:ascii="Arial" w:cs="Arial" w:eastAsia="Arial" w:hAnsi="Arial"/>
          <w:sz w:val="21"/>
          <w:szCs w:val="21"/>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77"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means a Service Provider who, as of the date of the Service Provider’s Separation from Service is a “</w:t>
      </w:r>
      <w:r>
        <w:rPr>
          <w:rFonts w:ascii="Arial" w:cs="Arial" w:eastAsia="Arial" w:hAnsi="Arial"/>
          <w:sz w:val="19"/>
          <w:szCs w:val="19"/>
          <w:u w:val="single" w:color="auto"/>
          <w:color w:val="auto"/>
        </w:rPr>
        <w:t>Key Employee</w:t>
      </w:r>
      <w:r>
        <w:rPr>
          <w:rFonts w:ascii="Arial" w:cs="Arial" w:eastAsia="Arial" w:hAnsi="Arial"/>
          <w:sz w:val="19"/>
          <w:szCs w:val="19"/>
          <w:color w:val="auto"/>
        </w:rPr>
        <w:t>” of the Service Recipient any stock of which is publicly traded on an established securities market or otherwise. For purposes of this definition,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(as defined above) as of a Specified Employee Identification Date, the Service Provider shall be treated as “</w:t>
      </w:r>
      <w:r>
        <w:rPr>
          <w:rFonts w:ascii="Arial" w:cs="Arial" w:eastAsia="Arial" w:hAnsi="Arial"/>
          <w:sz w:val="19"/>
          <w:szCs w:val="19"/>
          <w:u w:val="single" w:color="auto"/>
          <w:color w:val="auto"/>
        </w:rPr>
        <w:t>Key Employee</w:t>
      </w:r>
      <w:r>
        <w:rPr>
          <w:rFonts w:ascii="Arial" w:cs="Arial" w:eastAsia="Arial" w:hAnsi="Arial"/>
          <w:sz w:val="19"/>
          <w:szCs w:val="19"/>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w:t>
      </w:r>
    </w:p>
    <w:p>
      <w:pPr>
        <w:ind w:right="60"/>
        <w:spacing w:after="0" w:line="234" w:lineRule="auto"/>
        <w:rPr>
          <w:sz w:val="20"/>
          <w:szCs w:val="20"/>
          <w:color w:val="auto"/>
        </w:rPr>
      </w:pPr>
      <w:r>
        <w:rPr>
          <w:rFonts w:ascii="Arial" w:cs="Arial" w:eastAsia="Arial" w:hAnsi="Arial"/>
          <w:sz w:val="22"/>
          <w:szCs w:val="22"/>
          <w:color w:val="auto"/>
        </w:rPr>
        <w:t>1.415(c)-2(e), and were not using any of the elective special rules provided in Treasury Regulation Section 1.415(c)-2(g)), from the Service Recipient for such Testing Year. The “Specified Employees” shall be determined in accordance with Section 409A(a)(2) (B)(i) of the Code and Treasury Regulation Section 1.409A-1(i).</w:t>
      </w:r>
    </w:p>
    <w:p>
      <w:pPr>
        <w:spacing w:after="0" w:line="187" w:lineRule="exact"/>
        <w:rPr>
          <w:sz w:val="20"/>
          <w:szCs w:val="20"/>
          <w:color w:val="auto"/>
        </w:rPr>
      </w:pPr>
    </w:p>
    <w:p>
      <w:pPr>
        <w:jc w:val="both"/>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Effective Date</w:t>
      </w:r>
      <w:r>
        <w:rPr>
          <w:rFonts w:ascii="Arial" w:cs="Arial" w:eastAsia="Arial" w:hAnsi="Arial"/>
          <w:sz w:val="22"/>
          <w:szCs w:val="22"/>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86" w:lineRule="exact"/>
        <w:rPr>
          <w:sz w:val="20"/>
          <w:szCs w:val="20"/>
          <w:color w:val="auto"/>
        </w:rPr>
      </w:pPr>
    </w:p>
    <w:p>
      <w:pPr>
        <w:ind w:right="2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for purposes of Treasury Regulation Section 1.409A-1(i)(3), shall mean December 31. The “</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shall apply to all “nonqualified deferred compensation plans” (as defined in Treasury Regulation Section 1.409A-1(a)) of the Service Recipient and all affected Service Providers. The “</w:t>
      </w:r>
      <w:r>
        <w:rPr>
          <w:rFonts w:ascii="Arial" w:cs="Arial" w:eastAsia="Arial" w:hAnsi="Arial"/>
          <w:sz w:val="22"/>
          <w:szCs w:val="22"/>
          <w:u w:val="single" w:color="auto"/>
          <w:color w:val="auto"/>
        </w:rPr>
        <w:t>Specified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 Identification Date</w:t>
      </w:r>
      <w:r>
        <w:rPr>
          <w:rFonts w:ascii="Arial" w:cs="Arial" w:eastAsia="Arial" w:hAnsi="Arial"/>
          <w:sz w:val="22"/>
          <w:szCs w:val="22"/>
          <w:color w:val="auto"/>
        </w:rPr>
        <w:t>” may be changed by Sempra Energy, in its discretion, in accordance with Treasury Regulation Section 1.409A-1(i)(3).</w:t>
      </w:r>
    </w:p>
    <w:p>
      <w:pPr>
        <w:spacing w:after="0" w:line="188"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Year</w:t>
      </w:r>
      <w:r>
        <w:rPr>
          <w:rFonts w:ascii="Arial" w:cs="Arial" w:eastAsia="Arial" w:hAnsi="Arial"/>
          <w:sz w:val="22"/>
          <w:szCs w:val="22"/>
          <w:color w:val="auto"/>
        </w:rPr>
        <w:t>” shall mean the twelve (12) month period ending on the Specified Employee Identification Date, as determined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Underpayment</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u w:val="single" w:color="auto"/>
          <w:color w:val="auto"/>
        </w:rPr>
        <w:t>Sarbanes-Oxley Act of 2002</w:t>
      </w:r>
      <w:r>
        <w:rPr>
          <w:rFonts w:ascii="Arial" w:cs="Arial" w:eastAsia="Arial" w:hAnsi="Arial"/>
          <w:sz w:val="19"/>
          <w:szCs w:val="19"/>
          <w:color w:val="auto"/>
        </w:rPr>
        <w:t>. Notwithstanding anything herein to the contrary, if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in its good faith judgment, that any provision of this Agreement is likely to be interpreted as a personal loan prohibited by the Sarbanes-Oxley Act of 2002 and the rules and regulations promulgated thereunder (the “</w:t>
      </w:r>
      <w:r>
        <w:rPr>
          <w:rFonts w:ascii="Arial" w:cs="Arial" w:eastAsia="Arial" w:hAnsi="Arial"/>
          <w:sz w:val="19"/>
          <w:szCs w:val="19"/>
          <w:u w:val="single" w:color="auto"/>
          <w:color w:val="auto"/>
        </w:rPr>
        <w:t>Act</w:t>
      </w:r>
      <w:r>
        <w:rPr>
          <w:rFonts w:ascii="Arial" w:cs="Arial" w:eastAsia="Arial" w:hAnsi="Arial"/>
          <w:sz w:val="19"/>
          <w:szCs w:val="19"/>
          <w:color w:val="auto"/>
        </w:rPr>
        <w:t>”), then such provision shall be modified as necessary or appropriate so as to not violate the Act; and if this cannot be accomplished, then the Company shall use its reasonable efforts to provide the Executive with similar, but lawful, substitute benefit(s) at a cost to the Company not to significantly exceed the amount the Company would have otherwise paid to provide such benefit(s) to the Executive. In addition, if the Executive is required to forfeit or to make any repayment of any compensation or benefit(s) to the Company under the Act or any other law, such forfeiture or repayment shall not constitute Good Reason.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199" w:lineRule="exact"/>
        <w:rPr>
          <w:sz w:val="20"/>
          <w:szCs w:val="20"/>
          <w:color w:val="auto"/>
        </w:rPr>
      </w:pPr>
    </w:p>
    <w:p>
      <w:pPr>
        <w:ind w:right="120" w:firstLine="1305"/>
        <w:spacing w:after="0" w:line="279" w:lineRule="auto"/>
        <w:tabs>
          <w:tab w:leader="none" w:pos="1945"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60" w:firstLine="1305"/>
        <w:spacing w:after="0" w:line="274" w:lineRule="auto"/>
        <w:tabs>
          <w:tab w:leader="none" w:pos="1945"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 has a Separation from Service by reason of the Company terminating his or her employment, either with or without Cause,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equal to two (2) weeks of the Executive’s Annual Base Salary in effect on the Date of Termination), and (ii) if the basis for the Executive’s Involuntary Termination is his resignation for Good Reason, the Date of Termination shall be determined by the Executive and specified in the Notice of Termination, but shall not in any event be less than fifteen (15) days nor more than sixty (60) days after the date such Notice of Termination is given. The Payment in Lieu of</w:t>
      </w:r>
    </w:p>
    <w:p>
      <w:pPr>
        <w:sectPr>
          <w:pgSz w:w="11900" w:h="16838" w:orient="portrait"/>
          <w:cols w:equalWidth="0" w:num="1">
            <w:col w:w="11420"/>
          </w:cols>
          <w:pgMar w:left="240" w:top="118" w:right="239" w:bottom="0" w:gutter="0" w:footer="0" w:header="0"/>
        </w:sectPr>
      </w:pPr>
    </w:p>
    <w:bookmarkStart w:id="89" w:name="page90"/>
    <w:bookmarkEnd w:id="89"/>
    <w:p>
      <w:pPr>
        <w:ind w:right="20"/>
        <w:spacing w:after="0" w:line="241" w:lineRule="auto"/>
        <w:rPr>
          <w:sz w:val="20"/>
          <w:szCs w:val="20"/>
          <w:color w:val="auto"/>
        </w:rPr>
      </w:pPr>
      <w:r>
        <w:rPr>
          <w:rFonts w:ascii="Arial" w:cs="Arial" w:eastAsia="Arial" w:hAnsi="Arial"/>
          <w:sz w:val="22"/>
          <w:szCs w:val="22"/>
          <w:color w:val="auto"/>
        </w:rPr>
        <w:t xml:space="preserve">Notice shall be paid on such date as is determined by the Company within thirty (30) days after the date of the Executive’s Separation from Service;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his or her Separation from Service, such Payment in Lieu of Notice shall be paid as provided in Section 10 hereof.</w:t>
      </w:r>
    </w:p>
    <w:p>
      <w:pPr>
        <w:spacing w:after="0" w:line="170"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right="80" w:firstLine="1297"/>
        <w:spacing w:after="0" w:line="270"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 Payment</w:t>
      </w:r>
      <w:r>
        <w:rPr>
          <w:rFonts w:ascii="Arial" w:cs="Arial" w:eastAsia="Arial" w:hAnsi="Arial"/>
          <w:sz w:val="19"/>
          <w:szCs w:val="19"/>
          <w:color w:val="auto"/>
        </w:rPr>
        <w:t>”) equal to one-half (0.5) times the greater of: (X) 170%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Except as provided in Section 5(f), the Pre-Change in Control Severance Payment and the payment under Section 5(a) shall be paid on such date as is determined by the Company within thirty</w:t>
      </w:r>
    </w:p>
    <w:p>
      <w:pPr>
        <w:spacing w:after="0" w:line="2" w:lineRule="exact"/>
        <w:rPr>
          <w:sz w:val="20"/>
          <w:szCs w:val="20"/>
          <w:color w:val="auto"/>
        </w:rPr>
      </w:pPr>
    </w:p>
    <w:p>
      <w:pPr>
        <w:ind w:firstLine="8"/>
        <w:spacing w:after="0" w:line="249" w:lineRule="auto"/>
        <w:tabs>
          <w:tab w:leader="none" w:pos="414"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days after the date of the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Pre-Change in Control Severance Payment and the financial planning services and the related payments provided under Section 5(e) shall be paid as provided in Section 10 hereof.</w:t>
      </w:r>
    </w:p>
    <w:p>
      <w:pPr>
        <w:spacing w:after="0" w:line="162" w:lineRule="exact"/>
        <w:rPr>
          <w:rFonts w:ascii="Arial" w:cs="Arial" w:eastAsia="Arial" w:hAnsi="Arial"/>
          <w:sz w:val="21"/>
          <w:szCs w:val="21"/>
          <w:color w:val="auto"/>
        </w:rPr>
      </w:pPr>
    </w:p>
    <w:p>
      <w:pPr>
        <w:ind w:left="1960" w:hanging="655"/>
        <w:spacing w:after="0"/>
        <w:tabs>
          <w:tab w:leader="none" w:pos="1960"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right="60"/>
        <w:spacing w:after="0" w:line="275" w:lineRule="auto"/>
        <w:rPr>
          <w:rFonts w:ascii="Arial" w:cs="Arial" w:eastAsia="Arial" w:hAnsi="Arial"/>
          <w:sz w:val="19"/>
          <w:szCs w:val="19"/>
          <w:color w:val="auto"/>
        </w:rPr>
      </w:pPr>
      <w:r>
        <w:rPr>
          <w:rFonts w:ascii="Arial" w:cs="Arial" w:eastAsia="Arial" w:hAnsi="Arial"/>
          <w:sz w:val="19"/>
          <w:szCs w:val="19"/>
          <w:color w:val="auto"/>
        </w:rPr>
        <w:t>(A)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 (The amounts specified in clauses (A), (B), (C) and (D) shall be hereinafter referred to as the “</w:t>
      </w:r>
      <w:r>
        <w:rPr>
          <w:rFonts w:ascii="Arial" w:cs="Arial" w:eastAsia="Arial" w:hAnsi="Arial"/>
          <w:sz w:val="19"/>
          <w:szCs w:val="19"/>
          <w:u w:val="single" w:color="auto"/>
          <w:color w:val="auto"/>
        </w:rPr>
        <w:t>Pre-Change in Control Accrued Obligations</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right="20" w:firstLine="1305"/>
        <w:spacing w:after="0" w:line="251" w:lineRule="auto"/>
        <w:tabs>
          <w:tab w:leader="none" w:pos="1945"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60" w:firstLine="1305"/>
        <w:spacing w:after="0" w:line="246" w:lineRule="auto"/>
        <w:tabs>
          <w:tab w:leader="none" w:pos="1945"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six (6)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w:t>
      </w:r>
    </w:p>
    <w:p>
      <w:pPr>
        <w:spacing w:after="0" w:line="167" w:lineRule="exact"/>
        <w:rPr>
          <w:rFonts w:ascii="Arial" w:cs="Arial" w:eastAsia="Arial" w:hAnsi="Arial"/>
          <w:sz w:val="21"/>
          <w:szCs w:val="21"/>
          <w:color w:val="auto"/>
        </w:rPr>
      </w:pPr>
    </w:p>
    <w:p>
      <w:pPr>
        <w:ind w:right="100" w:firstLine="1305"/>
        <w:spacing w:after="0" w:line="235" w:lineRule="auto"/>
        <w:tabs>
          <w:tab w:leader="none" w:pos="1945"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eighteen (18)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4" w:lineRule="exact"/>
        <w:rPr>
          <w:rFonts w:ascii="Arial" w:cs="Arial" w:eastAsia="Arial" w:hAnsi="Arial"/>
          <w:sz w:val="22"/>
          <w:szCs w:val="22"/>
          <w:color w:val="auto"/>
        </w:rPr>
      </w:pPr>
    </w:p>
    <w:p>
      <w:pPr>
        <w:ind w:right="60" w:firstLine="1305"/>
        <w:spacing w:after="0" w:line="273" w:lineRule="auto"/>
        <w:tabs>
          <w:tab w:leader="none" w:pos="1945"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eighteen (18)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jc w:val="both"/>
        <w:ind w:right="400" w:firstLine="1305"/>
        <w:spacing w:after="0" w:line="238" w:lineRule="auto"/>
        <w:tabs>
          <w:tab w:leader="none" w:pos="1945"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5 under the terms and conditions of the Sempra Energy Employee and Director Savings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5 above, and except as provided in Section 19(i) hereof, in the event of the Involuntary Termination of the Executive on or within two (2) years following a Change in Control, in lieu of the payments described in Section 5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170% of the Executive’s Annual Base Salary as in effect immediately prior to</w:t>
      </w:r>
    </w:p>
    <w:p>
      <w:pPr>
        <w:sectPr>
          <w:pgSz w:w="11900" w:h="16838" w:orient="portrait"/>
          <w:cols w:equalWidth="0" w:num="1">
            <w:col w:w="11400"/>
          </w:cols>
          <w:pgMar w:left="240" w:top="118" w:right="259" w:bottom="0" w:gutter="0" w:footer="0" w:header="0"/>
        </w:sectPr>
      </w:pPr>
    </w:p>
    <w:bookmarkStart w:id="90" w:name="page91"/>
    <w:bookmarkEnd w:id="90"/>
    <w:p>
      <w:pPr>
        <w:ind w:right="160"/>
        <w:spacing w:after="0" w:line="273" w:lineRule="auto"/>
        <w:rPr>
          <w:sz w:val="20"/>
          <w:szCs w:val="20"/>
          <w:color w:val="auto"/>
        </w:rPr>
      </w:pPr>
      <w:r>
        <w:rPr>
          <w:rFonts w:ascii="Arial" w:cs="Arial" w:eastAsia="Arial" w:hAnsi="Arial"/>
          <w:sz w:val="19"/>
          <w:szCs w:val="19"/>
          <w:color w:val="auto"/>
        </w:rPr>
        <w:t xml:space="preserve">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(f). Except as provided in Sections 6(g) and 6(h), the Post-Change in Control Severance Payment and the payments under Sections 6(a) and (b) shall be paid on such date as is determined by the Company within thirty (30) days after the date of the Involuntary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Involuntary Termination, the Post-Change in Control Severance Payment, the Additional Post-Change in Control Severance Payment under Section 6(a)(E), the payment under Section 6(b) (but only to the extent such payment or portion thereof is subject to Section 409A of the Code), and the financial planning services and the related payments provided under Section 6(f) shall be paid as provided in Section 10 hereof.</w:t>
      </w:r>
    </w:p>
    <w:p>
      <w:pPr>
        <w:spacing w:after="0" w:line="149" w:lineRule="exact"/>
        <w:rPr>
          <w:sz w:val="20"/>
          <w:szCs w:val="20"/>
          <w:color w:val="auto"/>
        </w:rPr>
      </w:pPr>
    </w:p>
    <w:p>
      <w:pPr>
        <w:ind w:left="1960" w:hanging="655"/>
        <w:spacing w:after="0"/>
        <w:tabs>
          <w:tab w:leader="none" w:pos="1960"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firstLine="8"/>
        <w:spacing w:after="0" w:line="243" w:lineRule="auto"/>
        <w:tabs>
          <w:tab w:leader="none" w:pos="354"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(D) reimbursement for unreimbursed business expenses, if any, properly incurred by the Executive in the performance of his duties in accordance with policies established from time to time by the Board, and (E) an amount (the “</w:t>
      </w:r>
      <w:r>
        <w:rPr>
          <w:rFonts w:ascii="Arial" w:cs="Arial" w:eastAsia="Arial" w:hAnsi="Arial"/>
          <w:sz w:val="21"/>
          <w:szCs w:val="21"/>
          <w:u w:val="single" w:color="auto"/>
          <w:color w:val="auto"/>
        </w:rPr>
        <w:t>Additional Post-Change in Control Severance Payment</w:t>
      </w:r>
      <w:r>
        <w:rPr>
          <w:rFonts w:ascii="Arial" w:cs="Arial" w:eastAsia="Arial" w:hAnsi="Arial"/>
          <w:sz w:val="21"/>
          <w:szCs w:val="21"/>
          <w:color w:val="auto"/>
        </w:rPr>
        <w:t>”) equal to: (i) the greater of: (X) 70%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in the case of each amount described in clause (A), (B), (C) or (D) to the extent not theretofore paid. (The amounts specified in clauses (A), (B), (C), (D) and (E) shall be hereinafter referred to as the “</w:t>
      </w:r>
      <w:r>
        <w:rPr>
          <w:rFonts w:ascii="Arial" w:cs="Arial" w:eastAsia="Arial" w:hAnsi="Arial"/>
          <w:sz w:val="21"/>
          <w:szCs w:val="21"/>
          <w:u w:val="single" w:color="auto"/>
          <w:color w:val="auto"/>
        </w:rPr>
        <w:t>Post-Change in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Control Accrued Obligations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right="260" w:firstLine="1305"/>
        <w:spacing w:after="0" w:line="273" w:lineRule="auto"/>
        <w:tabs>
          <w:tab w:leader="none" w:pos="1945"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6(b), in the event that the Executive is a “Participant” (as defined in the SERP) as of the Date of Termination.</w:t>
      </w:r>
    </w:p>
    <w:p>
      <w:pPr>
        <w:spacing w:after="0" w:line="1" w:lineRule="exact"/>
        <w:rPr>
          <w:rFonts w:ascii="Arial" w:cs="Arial" w:eastAsia="Arial" w:hAnsi="Arial"/>
          <w:sz w:val="19"/>
          <w:szCs w:val="19"/>
          <w:color w:val="auto"/>
        </w:rPr>
      </w:pPr>
    </w:p>
    <w:p>
      <w:pPr>
        <w:ind w:right="220" w:firstLine="54"/>
        <w:spacing w:after="0" w:line="237" w:lineRule="auto"/>
        <w:rPr>
          <w:rFonts w:ascii="Arial" w:cs="Arial" w:eastAsia="Arial" w:hAnsi="Arial"/>
          <w:sz w:val="19"/>
          <w:szCs w:val="19"/>
          <w:color w:val="auto"/>
        </w:rPr>
      </w:pPr>
      <w:r>
        <w:rPr>
          <w:rFonts w:ascii="Arial" w:cs="Arial" w:eastAsia="Arial" w:hAnsi="Arial"/>
          <w:sz w:val="22"/>
          <w:szCs w:val="22"/>
          <w:color w:val="auto"/>
        </w:rPr>
        <w:t>Such Supplemental Retirement Benefit shall be determined by crediting the Executive with additional months of Service (if any) equal to the number of full calendar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Tier 2A Agreement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OC\1056247.3</w:t>
      </w:r>
    </w:p>
    <w:p>
      <w:pPr>
        <w:sectPr>
          <w:pgSz w:w="11900" w:h="16838" w:orient="portrait"/>
          <w:cols w:equalWidth="0" w:num="1">
            <w:col w:w="11420"/>
          </w:cols>
          <w:pgMar w:left="240" w:top="118" w:right="239" w:bottom="1440" w:gutter="0" w:footer="0" w:header="0"/>
        </w:sectPr>
      </w:pPr>
    </w:p>
    <w:bookmarkStart w:id="91" w:name="page92"/>
    <w:bookmarkEnd w:id="91"/>
    <w:p>
      <w:pPr>
        <w:spacing w:after="0" w:line="270" w:lineRule="auto"/>
        <w:rPr>
          <w:sz w:val="20"/>
          <w:szCs w:val="20"/>
          <w:color w:val="auto"/>
        </w:rPr>
      </w:pPr>
      <w:r>
        <w:rPr>
          <w:rFonts w:ascii="Arial" w:cs="Arial" w:eastAsia="Arial" w:hAnsi="Arial"/>
          <w:sz w:val="19"/>
          <w:szCs w:val="19"/>
          <w:color w:val="auto"/>
        </w:rPr>
        <w:t>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 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6(b),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6(b) shall be in full satisfaction of any and all of the benefits payable to or on behalf of the Executive under the SERP.</w:t>
      </w:r>
    </w:p>
    <w:p>
      <w:pPr>
        <w:spacing w:after="0" w:line="154" w:lineRule="exact"/>
        <w:rPr>
          <w:sz w:val="20"/>
          <w:szCs w:val="20"/>
          <w:color w:val="auto"/>
        </w:rPr>
      </w:pPr>
    </w:p>
    <w:p>
      <w:pPr>
        <w:ind w:right="20" w:firstLine="1305"/>
        <w:spacing w:after="0" w:line="272" w:lineRule="auto"/>
        <w:tabs>
          <w:tab w:leader="none" w:pos="194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61" w:lineRule="exact"/>
        <w:rPr>
          <w:rFonts w:ascii="Arial" w:cs="Arial" w:eastAsia="Arial" w:hAnsi="Arial"/>
          <w:sz w:val="19"/>
          <w:szCs w:val="19"/>
          <w:color w:val="auto"/>
        </w:rPr>
      </w:pPr>
    </w:p>
    <w:p>
      <w:pPr>
        <w:ind w:right="100" w:firstLine="1305"/>
        <w:spacing w:after="0" w:line="274" w:lineRule="auto"/>
        <w:tabs>
          <w:tab w:leader="none" w:pos="194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twelve (12)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w:t>
      </w:r>
    </w:p>
    <w:p>
      <w:pPr>
        <w:spacing w:after="0" w:line="145" w:lineRule="exact"/>
        <w:rPr>
          <w:rFonts w:ascii="Arial" w:cs="Arial" w:eastAsia="Arial" w:hAnsi="Arial"/>
          <w:sz w:val="19"/>
          <w:szCs w:val="19"/>
          <w:color w:val="auto"/>
        </w:rPr>
      </w:pPr>
    </w:p>
    <w:p>
      <w:pPr>
        <w:ind w:firstLine="1305"/>
        <w:spacing w:after="0" w:line="247" w:lineRule="auto"/>
        <w:tabs>
          <w:tab w:leader="none" w:pos="1945"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twenty-four (24)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64" w:lineRule="exact"/>
        <w:rPr>
          <w:rFonts w:ascii="Arial" w:cs="Arial" w:eastAsia="Arial" w:hAnsi="Arial"/>
          <w:sz w:val="21"/>
          <w:szCs w:val="21"/>
          <w:color w:val="auto"/>
        </w:rPr>
      </w:pPr>
    </w:p>
    <w:p>
      <w:pPr>
        <w:ind w:firstLine="1305"/>
        <w:spacing w:after="0" w:line="273" w:lineRule="auto"/>
        <w:tabs>
          <w:tab w:leader="none" w:pos="194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40" w:firstLine="1305"/>
        <w:spacing w:after="0" w:line="279" w:lineRule="auto"/>
        <w:tabs>
          <w:tab w:leader="none" w:pos="194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5 hereof, be entitled to the Post-Change in Control Severance Payment and the additional benefits described in this Section 6 as if such Involuntary Termination had occurred within two (2) years following the Change in Control. The amounts specified in</w:t>
      </w:r>
    </w:p>
    <w:p>
      <w:pPr>
        <w:sectPr>
          <w:pgSz w:w="11900" w:h="16838" w:orient="portrait"/>
          <w:cols w:equalWidth="0" w:num="1">
            <w:col w:w="11420"/>
          </w:cols>
          <w:pgMar w:left="240" w:top="118" w:right="239" w:bottom="0" w:gutter="0" w:footer="0" w:header="0"/>
        </w:sectPr>
      </w:pPr>
    </w:p>
    <w:bookmarkStart w:id="92" w:name="page93"/>
    <w:bookmarkEnd w:id="92"/>
    <w:p>
      <w:pPr>
        <w:spacing w:after="0" w:line="61" w:lineRule="exact"/>
        <w:rPr>
          <w:sz w:val="20"/>
          <w:szCs w:val="20"/>
          <w:color w:val="auto"/>
        </w:rPr>
      </w:pPr>
    </w:p>
    <w:p>
      <w:pPr>
        <w:jc w:val="both"/>
        <w:ind w:right="100"/>
        <w:spacing w:after="0" w:line="329" w:lineRule="auto"/>
        <w:rPr>
          <w:sz w:val="20"/>
          <w:szCs w:val="20"/>
          <w:color w:val="auto"/>
        </w:rPr>
      </w:pPr>
      <w:r>
        <w:rPr>
          <w:rFonts w:ascii="Arial" w:cs="Arial" w:eastAsia="Arial" w:hAnsi="Arial"/>
          <w:sz w:val="19"/>
          <w:szCs w:val="19"/>
          <w:color w:val="auto"/>
        </w:rPr>
        <w:t>Section 6 that are to be paid under this Section 6(g) shall be reduced by any amount previously paid under Section 5. The amounts to be paid under this Section 6(g) shall be paid within thirty (30) days after the Change in Control Date of such Change in Control.</w:t>
      </w:r>
    </w:p>
    <w:p>
      <w:pPr>
        <w:spacing w:after="0" w:line="90" w:lineRule="exact"/>
        <w:rPr>
          <w:sz w:val="20"/>
          <w:szCs w:val="20"/>
          <w:color w:val="auto"/>
        </w:rPr>
      </w:pPr>
    </w:p>
    <w:p>
      <w:pPr>
        <w:ind w:right="540" w:firstLine="1305"/>
        <w:spacing w:after="0" w:line="297" w:lineRule="auto"/>
        <w:tabs>
          <w:tab w:leader="none" w:pos="1945"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to be received by the Executive pursuant to this Section 6 under the terms and conditions of the Deferred Compensation Plan. Any such deferral election shall be made in accordance with Section 18(b) hereof.</w:t>
      </w:r>
    </w:p>
    <w:p>
      <w:pPr>
        <w:spacing w:after="0" w:line="128" w:lineRule="exact"/>
        <w:rPr>
          <w:sz w:val="20"/>
          <w:szCs w:val="20"/>
          <w:color w:val="auto"/>
        </w:rPr>
      </w:pPr>
    </w:p>
    <w:p>
      <w:pPr>
        <w:ind w:firstLine="1297"/>
        <w:spacing w:after="0" w:line="254" w:lineRule="auto"/>
        <w:rPr>
          <w:sz w:val="20"/>
          <w:szCs w:val="20"/>
          <w:color w:val="auto"/>
        </w:rPr>
      </w:pPr>
      <w:r>
        <w:rPr>
          <w:rFonts w:ascii="Arial" w:cs="Arial" w:eastAsia="Arial" w:hAnsi="Arial"/>
          <w:sz w:val="21"/>
          <w:szCs w:val="21"/>
          <w:b w:val="1"/>
          <w:bCs w:val="1"/>
          <w:color w:val="auto"/>
        </w:rPr>
        <w:t xml:space="preserve">Section 7. </w:t>
      </w:r>
      <w:r>
        <w:rPr>
          <w:rFonts w:ascii="Arial" w:cs="Arial" w:eastAsia="Arial" w:hAnsi="Arial"/>
          <w:sz w:val="21"/>
          <w:szCs w:val="21"/>
          <w:u w:val="single" w:color="auto"/>
          <w:color w:val="auto"/>
        </w:rPr>
        <w:t>Severance Benefits upon Termination by the Company for Cause or by the Executive Other than for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Good Reason</w:t>
      </w:r>
      <w:r>
        <w:rPr>
          <w:rFonts w:ascii="Arial" w:cs="Arial" w:eastAsia="Arial" w:hAnsi="Arial"/>
          <w:sz w:val="21"/>
          <w:szCs w:val="21"/>
          <w:color w:val="auto"/>
        </w:rPr>
        <w:t>. If 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11 hereof.</w:t>
      </w:r>
    </w:p>
    <w:p>
      <w:pPr>
        <w:spacing w:after="0" w:line="159" w:lineRule="exact"/>
        <w:rPr>
          <w:sz w:val="20"/>
          <w:szCs w:val="20"/>
          <w:color w:val="auto"/>
        </w:rPr>
      </w:pPr>
    </w:p>
    <w:p>
      <w:pPr>
        <w:ind w:right="40" w:firstLine="1297"/>
        <w:spacing w:after="0" w:line="275"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Service by reason of death or Disability, the Company shall pay the Executive or his estate, as the case may be, the Post-Change in Control Accrued Obligations (without regard to whether a Change in Control has occurred) and any amounts or benefits described in Section 11 hereof. Such payments shall be in addition to those rights and benefits to which the Executive or his estate may be entitled under the relevant Company plans or programs. Such payments shall be paid on such date as determined by the Company within thirty (30) days after the date of the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Separation from Service by reason of Disability, the Additional Post-Change in Control Severance Payment under Section 6(a)(E) shall be paid as provided in Section 10 hereof.</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u w:val="single" w:color="auto"/>
          <w:color w:val="auto"/>
        </w:rPr>
        <w:t>Limitations on Payments by the Company</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33" w:lineRule="auto"/>
        <w:tabs>
          <w:tab w:leader="none" w:pos="194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9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Benefit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80"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88" w:lineRule="exact"/>
        <w:rPr>
          <w:rFonts w:ascii="Arial" w:cs="Arial" w:eastAsia="Arial" w:hAnsi="Arial"/>
          <w:sz w:val="19"/>
          <w:szCs w:val="19"/>
          <w:color w:val="auto"/>
        </w:rPr>
      </w:pPr>
    </w:p>
    <w:p>
      <w:pPr>
        <w:ind w:left="660" w:right="720" w:firstLine="1941"/>
        <w:spacing w:after="0" w:line="274" w:lineRule="auto"/>
        <w:tabs>
          <w:tab w:leader="none" w:pos="3253"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7" w:lineRule="exact"/>
        <w:rPr>
          <w:sz w:val="20"/>
          <w:szCs w:val="20"/>
          <w:color w:val="auto"/>
        </w:rPr>
      </w:pPr>
    </w:p>
    <w:p>
      <w:pPr>
        <w:ind w:left="1960" w:hanging="655"/>
        <w:spacing w:after="0"/>
        <w:tabs>
          <w:tab w:leader="none" w:pos="19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9:</w:t>
      </w:r>
    </w:p>
    <w:p>
      <w:pPr>
        <w:spacing w:after="0" w:line="192" w:lineRule="exact"/>
        <w:rPr>
          <w:rFonts w:ascii="Arial" w:cs="Arial" w:eastAsia="Arial" w:hAnsi="Arial"/>
          <w:sz w:val="22"/>
          <w:szCs w:val="22"/>
          <w:color w:val="auto"/>
        </w:rPr>
      </w:pPr>
    </w:p>
    <w:p>
      <w:pPr>
        <w:ind w:left="660" w:right="80" w:firstLine="1941"/>
        <w:spacing w:after="0"/>
        <w:tabs>
          <w:tab w:leader="none" w:pos="325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86" w:lineRule="exact"/>
        <w:rPr>
          <w:rFonts w:ascii="Arial" w:cs="Arial" w:eastAsia="Arial" w:hAnsi="Arial"/>
          <w:sz w:val="22"/>
          <w:szCs w:val="22"/>
          <w:color w:val="auto"/>
        </w:rPr>
      </w:pPr>
    </w:p>
    <w:p>
      <w:pPr>
        <w:ind w:left="660" w:right="340" w:firstLine="1941"/>
        <w:spacing w:after="0"/>
        <w:tabs>
          <w:tab w:leader="none" w:pos="325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440" w:firstLine="1941"/>
        <w:spacing w:after="0"/>
        <w:tabs>
          <w:tab w:leader="none" w:pos="325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72" w:lineRule="exact"/>
        <w:rPr>
          <w:rFonts w:ascii="Arial" w:cs="Arial" w:eastAsia="Arial" w:hAnsi="Arial"/>
          <w:sz w:val="22"/>
          <w:szCs w:val="22"/>
          <w:color w:val="auto"/>
        </w:rPr>
      </w:pPr>
    </w:p>
    <w:p>
      <w:pPr>
        <w:ind w:right="100" w:firstLine="1305"/>
        <w:spacing w:after="0" w:line="277" w:lineRule="auto"/>
        <w:tabs>
          <w:tab w:leader="none" w:pos="194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9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w:t>
      </w:r>
    </w:p>
    <w:p>
      <w:pPr>
        <w:sectPr>
          <w:pgSz w:w="11900" w:h="16899" w:orient="portrait"/>
          <w:cols w:equalWidth="0" w:num="1">
            <w:col w:w="11420"/>
          </w:cols>
          <w:pgMar w:left="240" w:top="118" w:right="239" w:bottom="0" w:gutter="0" w:footer="0" w:header="0"/>
        </w:sectPr>
      </w:pPr>
    </w:p>
    <w:bookmarkStart w:id="93" w:name="page94"/>
    <w:bookmarkEnd w:id="93"/>
    <w:p>
      <w:pPr>
        <w:ind w:right="80"/>
        <w:spacing w:after="0" w:line="273" w:lineRule="auto"/>
        <w:rPr>
          <w:sz w:val="20"/>
          <w:szCs w:val="20"/>
          <w:color w:val="auto"/>
        </w:rPr>
      </w:pPr>
      <w:r>
        <w:rPr>
          <w:rFonts w:ascii="Arial" w:cs="Arial" w:eastAsia="Arial" w:hAnsi="Arial"/>
          <w:sz w:val="19"/>
          <w:szCs w:val="19"/>
          <w:color w:val="auto"/>
        </w:rPr>
        <w:t>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149"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10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56"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388" w:lineRule="exact"/>
        <w:rPr>
          <w:sz w:val="20"/>
          <w:szCs w:val="20"/>
          <w:color w:val="auto"/>
        </w:rPr>
      </w:pPr>
    </w:p>
    <w:p>
      <w:pPr>
        <w:ind w:right="60" w:firstLine="1297"/>
        <w:spacing w:after="0" w:line="277"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3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6" w:lineRule="exact"/>
        <w:rPr>
          <w:sz w:val="20"/>
          <w:szCs w:val="20"/>
          <w:color w:val="auto"/>
        </w:rPr>
      </w:pPr>
    </w:p>
    <w:p>
      <w:pPr>
        <w:ind w:right="20" w:firstLine="1297"/>
        <w:spacing w:after="0" w:line="270" w:lineRule="auto"/>
        <w:rPr>
          <w:sz w:val="20"/>
          <w:szCs w:val="20"/>
          <w:color w:val="auto"/>
        </w:rPr>
      </w:pPr>
      <w:r>
        <w:rPr>
          <w:rFonts w:ascii="Arial" w:cs="Arial" w:eastAsia="Arial" w:hAnsi="Arial"/>
          <w:sz w:val="19"/>
          <w:szCs w:val="19"/>
          <w:color w:val="auto"/>
        </w:rPr>
        <w:t>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administered by JAMS in San Diego, California in accordance with the then existing JAMS arbitration rules applicable to employment disputes (the “</w:t>
      </w:r>
      <w:r>
        <w:rPr>
          <w:rFonts w:ascii="Arial" w:cs="Arial" w:eastAsia="Arial" w:hAnsi="Arial"/>
          <w:sz w:val="19"/>
          <w:szCs w:val="19"/>
          <w:u w:val="single" w:color="auto"/>
          <w:color w:val="auto"/>
        </w:rPr>
        <w:t>JAMS Rules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notwithstanding any provision in such rules to the contrary, in all cases the parties shall be entitled to reasonable discovery. In the event of such an arbitration proceeding, the Executive and the Company shall select a mutually acceptable neutral arbitrator from among the JAMS panel of arbitrators. In the event the Executive and the Company cannot agree on an arbitrator, the arbitrator shall be selected in accordance with the then existing JAMS Rules. Neither the Executive nor the Company nor the arbitrator shall disclose the existence, content or results of any arbitration hereunder without the prior written consent of all parties, except to the extent necessary to enforce any arbitration award in a court of competent jurisdiction. Except as provided herein, the Federal Arbitration Act shall govern the interpretation of, enforcement of and all proceedings under this agreement to arbitrate. The arbitrator shall apply the substantive law (and the law of remedies, if applicable) of the state of California, or federal law, or both, as applicable,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The arbitrator shall render an award and a written, reasoned opinion in support thereof. Judgment upon the award may be entered in any court having jurisdiction thereof. The Executive shall not be required to pay any arbitration fee or cost that is unique to arbitration or greater than any amount he would be required to pay to pursue his claims in a court of competent jurisdiction.</w:t>
      </w:r>
    </w:p>
    <w:p>
      <w:pPr>
        <w:sectPr>
          <w:pgSz w:w="11900" w:h="16838" w:orient="portrait"/>
          <w:cols w:equalWidth="0" w:num="1">
            <w:col w:w="11420"/>
          </w:cols>
          <w:pgMar w:left="240" w:top="118" w:right="239" w:bottom="0" w:gutter="0" w:footer="0" w:header="0"/>
        </w:sectPr>
      </w:pPr>
    </w:p>
    <w:bookmarkStart w:id="94" w:name="page95"/>
    <w:bookmarkEnd w:id="94"/>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199" w:lineRule="exact"/>
        <w:rPr>
          <w:sz w:val="20"/>
          <w:szCs w:val="20"/>
          <w:color w:val="auto"/>
        </w:rPr>
      </w:pPr>
    </w:p>
    <w:p>
      <w:pPr>
        <w:ind w:firstLine="1305"/>
        <w:spacing w:after="0" w:line="271" w:lineRule="auto"/>
        <w:tabs>
          <w:tab w:leader="none" w:pos="194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58" w:lineRule="exact"/>
        <w:rPr>
          <w:rFonts w:ascii="Arial" w:cs="Arial" w:eastAsia="Arial" w:hAnsi="Arial"/>
          <w:sz w:val="19"/>
          <w:szCs w:val="19"/>
          <w:color w:val="auto"/>
        </w:rPr>
      </w:pPr>
    </w:p>
    <w:p>
      <w:pPr>
        <w:ind w:right="40" w:firstLine="1305"/>
        <w:spacing w:after="0" w:line="270" w:lineRule="auto"/>
        <w:tabs>
          <w:tab w:leader="none" w:pos="194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pacing w:after="0" w:line="397" w:lineRule="exact"/>
        <w:rPr>
          <w:rFonts w:ascii="Arial" w:cs="Arial" w:eastAsia="Arial" w:hAnsi="Arial"/>
          <w:sz w:val="19"/>
          <w:szCs w:val="19"/>
          <w:color w:val="auto"/>
        </w:rPr>
      </w:pPr>
    </w:p>
    <w:p>
      <w:pPr>
        <w:ind w:right="60" w:firstLine="1305"/>
        <w:spacing w:after="0" w:line="282" w:lineRule="auto"/>
        <w:tabs>
          <w:tab w:leader="none" w:pos="194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34" w:lineRule="exact"/>
        <w:rPr>
          <w:rFonts w:ascii="Arial" w:cs="Arial" w:eastAsia="Arial" w:hAnsi="Arial"/>
          <w:sz w:val="19"/>
          <w:szCs w:val="19"/>
          <w:color w:val="auto"/>
        </w:rPr>
      </w:pPr>
    </w:p>
    <w:p>
      <w:pPr>
        <w:ind w:right="20" w:firstLine="1305"/>
        <w:spacing w:after="0" w:line="271" w:lineRule="auto"/>
        <w:tabs>
          <w:tab w:leader="none" w:pos="194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agrees to the covenants described in Section 14(a) and Section 14(b) above, (ii) executes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does not revoke such Release in accordance with the terms thereof, and (iii) agrees to provide the consulting services described in Section 14(e) below, then in consideration for such covenants, the Company shall pay the Executive, in one cash lump sum, an amount (the “</w:t>
      </w:r>
      <w:r>
        <w:rPr>
          <w:rFonts w:ascii="Arial" w:cs="Arial" w:eastAsia="Arial" w:hAnsi="Arial"/>
          <w:sz w:val="19"/>
          <w:szCs w:val="19"/>
          <w:u w:val="single" w:color="auto"/>
          <w:color w:val="auto"/>
        </w:rPr>
        <w:t>Consulting Payment</w:t>
      </w:r>
      <w:r>
        <w:rPr>
          <w:rFonts w:ascii="Arial" w:cs="Arial" w:eastAsia="Arial" w:hAnsi="Arial"/>
          <w:sz w:val="19"/>
          <w:szCs w:val="19"/>
          <w:color w:val="auto"/>
        </w:rPr>
        <w:t>”) in cash equal to the greater of: (X) 170%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w:t>
      </w:r>
    </w:p>
    <w:p>
      <w:pPr>
        <w:spacing w:after="0" w:line="3" w:lineRule="exact"/>
        <w:rPr>
          <w:sz w:val="20"/>
          <w:szCs w:val="20"/>
          <w:color w:val="auto"/>
        </w:rPr>
      </w:pPr>
    </w:p>
    <w:p>
      <w:pPr>
        <w:ind w:right="340"/>
        <w:spacing w:after="0" w:line="215" w:lineRule="auto"/>
        <w:rPr>
          <w:sz w:val="20"/>
          <w:szCs w:val="20"/>
          <w:color w:val="auto"/>
        </w:rPr>
      </w:pPr>
      <w:r>
        <w:rPr>
          <w:rFonts w:ascii="Arial" w:cs="Arial" w:eastAsia="Arial" w:hAnsi="Arial"/>
          <w:sz w:val="22"/>
          <w:szCs w:val="22"/>
          <w:color w:val="auto"/>
        </w:rPr>
        <w:t>Company within 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Payment shall be paid as provided in Section 10 hereof. The Executive shall have the right to elect to defer the Consulting Payment under the terms and conditions of the Company’s Deferred Compensation Plan. Any such deferral election shall be made in accordance with Section 18(b) hereof.</w:t>
      </w:r>
    </w:p>
    <w:p>
      <w:pPr>
        <w:spacing w:after="0" w:line="190" w:lineRule="exact"/>
        <w:rPr>
          <w:sz w:val="20"/>
          <w:szCs w:val="20"/>
          <w:color w:val="auto"/>
        </w:rPr>
      </w:pPr>
    </w:p>
    <w:p>
      <w:pPr>
        <w:ind w:right="60" w:firstLine="1305"/>
        <w:spacing w:after="0" w:line="274" w:lineRule="auto"/>
        <w:tabs>
          <w:tab w:leader="none" w:pos="1945"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covenants described in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w:t>
      </w:r>
    </w:p>
    <w:p>
      <w:pPr>
        <w:sectPr>
          <w:pgSz w:w="11900" w:h="16838" w:orient="portrait"/>
          <w:cols w:equalWidth="0" w:num="1">
            <w:col w:w="11420"/>
          </w:cols>
          <w:pgMar w:left="240" w:top="112" w:right="239" w:bottom="0" w:gutter="0" w:footer="0" w:header="0"/>
        </w:sectPr>
      </w:pPr>
    </w:p>
    <w:bookmarkStart w:id="95" w:name="page96"/>
    <w:bookmarkEnd w:id="95"/>
    <w:p>
      <w:pPr>
        <w:ind w:right="120" w:firstLine="54"/>
        <w:spacing w:after="0" w:line="252" w:lineRule="auto"/>
        <w:rPr>
          <w:sz w:val="20"/>
          <w:szCs w:val="20"/>
          <w:color w:val="auto"/>
        </w:rPr>
      </w:pPr>
      <w:r>
        <w:rPr>
          <w:rFonts w:ascii="Arial" w:cs="Arial" w:eastAsia="Arial" w:hAnsi="Arial"/>
          <w:sz w:val="21"/>
          <w:szCs w:val="21"/>
          <w:color w:val="auto"/>
        </w:rPr>
        <w:t>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49" w:lineRule="auto"/>
        <w:tabs>
          <w:tab w:leader="none" w:pos="1945"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5" w:lineRule="exact"/>
        <w:rPr>
          <w:rFonts w:ascii="Arial" w:cs="Arial" w:eastAsia="Arial" w:hAnsi="Arial"/>
          <w:sz w:val="21"/>
          <w:szCs w:val="21"/>
          <w:color w:val="auto"/>
        </w:rPr>
      </w:pPr>
    </w:p>
    <w:p>
      <w:pPr>
        <w:ind w:firstLine="1305"/>
        <w:spacing w:after="0" w:line="272" w:lineRule="auto"/>
        <w:tabs>
          <w:tab w:leader="none" w:pos="1945"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06" w:lineRule="exact"/>
        <w:rPr>
          <w:sz w:val="20"/>
          <w:szCs w:val="20"/>
          <w:color w:val="auto"/>
        </w:rPr>
      </w:pPr>
    </w:p>
    <w:p>
      <w:pPr>
        <w:ind w:right="160" w:firstLine="1305"/>
        <w:spacing w:after="0" w:line="258" w:lineRule="auto"/>
        <w:tabs>
          <w:tab w:leader="none" w:pos="1945"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Assignment by the Executive</w:t>
      </w:r>
      <w:r>
        <w:rPr>
          <w:rFonts w:ascii="Arial" w:cs="Arial" w:eastAsia="Arial" w:hAnsi="Arial"/>
          <w:sz w:val="21"/>
          <w:szCs w:val="21"/>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53" w:lineRule="exact"/>
        <w:rPr>
          <w:rFonts w:ascii="Arial" w:cs="Arial" w:eastAsia="Arial" w:hAnsi="Arial"/>
          <w:sz w:val="21"/>
          <w:szCs w:val="21"/>
          <w:color w:val="auto"/>
        </w:rPr>
      </w:pPr>
    </w:p>
    <w:p>
      <w:pPr>
        <w:ind w:firstLine="1305"/>
        <w:spacing w:after="0" w:line="258" w:lineRule="auto"/>
        <w:tabs>
          <w:tab w:leader="none" w:pos="1945"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53" w:lineRule="exact"/>
        <w:rPr>
          <w:rFonts w:ascii="Arial" w:cs="Arial" w:eastAsia="Arial" w:hAnsi="Arial"/>
          <w:sz w:val="21"/>
          <w:szCs w:val="21"/>
          <w:color w:val="auto"/>
        </w:rPr>
      </w:pPr>
    </w:p>
    <w:p>
      <w:pPr>
        <w:ind w:right="20" w:firstLine="1305"/>
        <w:spacing w:after="0" w:line="279" w:lineRule="auto"/>
        <w:tabs>
          <w:tab w:leader="none" w:pos="194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50" w:lineRule="exact"/>
        <w:rPr>
          <w:rFonts w:ascii="Arial" w:cs="Arial" w:eastAsia="Arial" w:hAnsi="Arial"/>
          <w:sz w:val="19"/>
          <w:szCs w:val="19"/>
          <w:color w:val="auto"/>
        </w:rPr>
      </w:pPr>
    </w:p>
    <w:p>
      <w:pPr>
        <w:ind w:right="20" w:firstLine="1305"/>
        <w:spacing w:after="0" w:line="244" w:lineRule="auto"/>
        <w:tabs>
          <w:tab w:leader="none" w:pos="1945"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68" w:lineRule="exact"/>
        <w:rPr>
          <w:rFonts w:ascii="Arial" w:cs="Arial" w:eastAsia="Arial" w:hAnsi="Arial"/>
          <w:sz w:val="21"/>
          <w:szCs w:val="21"/>
          <w:color w:val="auto"/>
        </w:rPr>
      </w:pPr>
    </w:p>
    <w:p>
      <w:pPr>
        <w:ind w:firstLine="1305"/>
        <w:spacing w:after="0" w:line="273" w:lineRule="auto"/>
        <w:tabs>
          <w:tab w:leader="none" w:pos="194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w:t>
      </w:r>
    </w:p>
    <w:p>
      <w:pPr>
        <w:sectPr>
          <w:pgSz w:w="11900" w:h="16838" w:orient="portrait"/>
          <w:cols w:equalWidth="0" w:num="1">
            <w:col w:w="11400"/>
          </w:cols>
          <w:pgMar w:left="240" w:top="118" w:right="259" w:bottom="0" w:gutter="0" w:footer="0" w:header="0"/>
        </w:sectPr>
      </w:pPr>
    </w:p>
    <w:bookmarkStart w:id="96" w:name="page97"/>
    <w:bookmarkEnd w:id="96"/>
    <w:p>
      <w:pPr>
        <w:jc w:val="both"/>
        <w:ind w:right="500"/>
        <w:spacing w:after="0" w:line="298" w:lineRule="auto"/>
        <w:rPr>
          <w:sz w:val="20"/>
          <w:szCs w:val="20"/>
          <w:color w:val="auto"/>
        </w:rPr>
      </w:pPr>
      <w:r>
        <w:rPr>
          <w:rFonts w:ascii="Arial" w:cs="Arial" w:eastAsia="Arial" w:hAnsi="Arial"/>
          <w:sz w:val="19"/>
          <w:szCs w:val="19"/>
          <w:color w:val="auto"/>
        </w:rPr>
        <w:t>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19" w:lineRule="exact"/>
        <w:rPr>
          <w:sz w:val="20"/>
          <w:szCs w:val="20"/>
          <w:color w:val="auto"/>
        </w:rPr>
      </w:pPr>
    </w:p>
    <w:p>
      <w:pPr>
        <w:ind w:right="20" w:firstLine="1297"/>
        <w:spacing w:after="0" w:line="274"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5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199" w:lineRule="exact"/>
        <w:rPr>
          <w:sz w:val="20"/>
          <w:szCs w:val="20"/>
          <w:color w:val="auto"/>
        </w:rPr>
      </w:pPr>
    </w:p>
    <w:p>
      <w:pPr>
        <w:ind w:firstLine="1305"/>
        <w:spacing w:after="0" w:line="269" w:lineRule="auto"/>
        <w:tabs>
          <w:tab w:leader="none" w:pos="1945"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399" w:lineRule="exact"/>
        <w:rPr>
          <w:rFonts w:ascii="Arial" w:cs="Arial" w:eastAsia="Arial" w:hAnsi="Arial"/>
          <w:sz w:val="19"/>
          <w:szCs w:val="19"/>
          <w:color w:val="auto"/>
        </w:rPr>
      </w:pPr>
    </w:p>
    <w:p>
      <w:pPr>
        <w:ind w:right="200" w:firstLine="1305"/>
        <w:spacing w:after="0" w:line="276" w:lineRule="auto"/>
        <w:tabs>
          <w:tab w:leader="none" w:pos="1945"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5(f), 6(h)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ind w:right="60" w:firstLine="158"/>
        <w:spacing w:after="0" w:line="244" w:lineRule="auto"/>
        <w:rPr>
          <w:rFonts w:ascii="Arial" w:cs="Arial" w:eastAsia="Arial" w:hAnsi="Arial"/>
          <w:sz w:val="19"/>
          <w:szCs w:val="19"/>
          <w:color w:val="auto"/>
        </w:rPr>
      </w:pPr>
      <w:r>
        <w:rPr>
          <w:rFonts w:ascii="Arial" w:cs="Arial" w:eastAsia="Arial" w:hAnsi="Arial"/>
          <w:sz w:val="21"/>
          <w:szCs w:val="21"/>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9" w:lineRule="exact"/>
        <w:rPr>
          <w:sz w:val="20"/>
          <w:szCs w:val="20"/>
          <w:color w:val="auto"/>
        </w:rPr>
      </w:pPr>
    </w:p>
    <w:p>
      <w:pPr>
        <w:ind w:right="40" w:firstLine="1305"/>
        <w:spacing w:after="0" w:line="247" w:lineRule="auto"/>
        <w:tabs>
          <w:tab w:leader="none" w:pos="1945"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160" w:firstLine="1305"/>
        <w:spacing w:after="0" w:line="287" w:lineRule="auto"/>
        <w:tabs>
          <w:tab w:leader="none" w:pos="1945"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ectPr>
          <w:pgSz w:w="11900" w:h="16838" w:orient="portrait"/>
          <w:cols w:equalWidth="0" w:num="1">
            <w:col w:w="11380"/>
          </w:cols>
          <w:pgMar w:left="240" w:top="118" w:right="279" w:bottom="0" w:gutter="0" w:footer="0" w:header="0"/>
        </w:sectPr>
      </w:pPr>
    </w:p>
    <w:bookmarkStart w:id="97" w:name="page98"/>
    <w:bookmarkEnd w:id="97"/>
    <w:p>
      <w:pPr>
        <w:ind w:right="600" w:firstLine="1305"/>
        <w:spacing w:after="0" w:line="251" w:lineRule="auto"/>
        <w:tabs>
          <w:tab w:leader="none" w:pos="1945"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60" w:lineRule="exact"/>
        <w:rPr>
          <w:rFonts w:ascii="Arial" w:cs="Arial" w:eastAsia="Arial" w:hAnsi="Arial"/>
          <w:sz w:val="22"/>
          <w:szCs w:val="22"/>
          <w:color w:val="auto"/>
        </w:rPr>
      </w:pPr>
    </w:p>
    <w:p>
      <w:pPr>
        <w:ind w:right="200" w:firstLine="1305"/>
        <w:spacing w:after="0" w:line="251" w:lineRule="auto"/>
        <w:tabs>
          <w:tab w:leader="none" w:pos="1945"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73" w:lineRule="exact"/>
        <w:rPr>
          <w:rFonts w:ascii="Arial" w:cs="Arial" w:eastAsia="Arial" w:hAnsi="Arial"/>
          <w:sz w:val="22"/>
          <w:szCs w:val="22"/>
          <w:color w:val="auto"/>
        </w:rPr>
      </w:pPr>
    </w:p>
    <w:p>
      <w:pPr>
        <w:ind w:right="140" w:firstLine="1305"/>
        <w:spacing w:after="0" w:line="273" w:lineRule="auto"/>
        <w:tabs>
          <w:tab w:leader="none" w:pos="194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w:t>
      </w:r>
    </w:p>
    <w:p>
      <w:pPr>
        <w:spacing w:after="0" w:line="1" w:lineRule="exact"/>
        <w:rPr>
          <w:rFonts w:ascii="Arial" w:cs="Arial" w:eastAsia="Arial" w:hAnsi="Arial"/>
          <w:sz w:val="19"/>
          <w:szCs w:val="19"/>
          <w:color w:val="auto"/>
        </w:rPr>
      </w:pPr>
    </w:p>
    <w:p>
      <w:pPr>
        <w:ind w:right="100"/>
        <w:spacing w:after="0" w:line="256" w:lineRule="auto"/>
        <w:rPr>
          <w:rFonts w:ascii="Arial" w:cs="Arial" w:eastAsia="Arial" w:hAnsi="Arial"/>
          <w:sz w:val="19"/>
          <w:szCs w:val="19"/>
          <w:color w:val="auto"/>
        </w:rPr>
      </w:pPr>
      <w:r>
        <w:rPr>
          <w:rFonts w:ascii="Arial" w:cs="Arial" w:eastAsia="Arial" w:hAnsi="Arial"/>
          <w:sz w:val="21"/>
          <w:szCs w:val="21"/>
          <w:color w:val="auto"/>
        </w:rPr>
        <w:t>1 hereof, or the right of the Company to terminate the Executive’s employment for Cause pursuant to Section 1 hereof shall not be deemed to be a waiver of such provision or right or any other provision or right of this Agreement.</w:t>
      </w:r>
    </w:p>
    <w:p>
      <w:pPr>
        <w:spacing w:after="0" w:line="155" w:lineRule="exact"/>
        <w:rPr>
          <w:rFonts w:ascii="Arial" w:cs="Arial" w:eastAsia="Arial" w:hAnsi="Arial"/>
          <w:sz w:val="19"/>
          <w:szCs w:val="19"/>
          <w:color w:val="auto"/>
        </w:rPr>
      </w:pPr>
    </w:p>
    <w:p>
      <w:pPr>
        <w:ind w:firstLine="1305"/>
        <w:spacing w:after="0" w:line="277" w:lineRule="auto"/>
        <w:tabs>
          <w:tab w:leader="none" w:pos="194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39" w:lineRule="exact"/>
        <w:rPr>
          <w:rFonts w:ascii="Arial" w:cs="Arial" w:eastAsia="Arial" w:hAnsi="Arial"/>
          <w:sz w:val="19"/>
          <w:szCs w:val="19"/>
          <w:color w:val="auto"/>
        </w:rPr>
      </w:pPr>
    </w:p>
    <w:p>
      <w:pPr>
        <w:ind w:right="220" w:firstLine="1305"/>
        <w:spacing w:after="0"/>
        <w:tabs>
          <w:tab w:leader="none" w:pos="1945"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86" w:lineRule="exact"/>
        <w:rPr>
          <w:rFonts w:ascii="Arial" w:cs="Arial" w:eastAsia="Arial" w:hAnsi="Arial"/>
          <w:sz w:val="22"/>
          <w:szCs w:val="22"/>
          <w:color w:val="auto"/>
        </w:rPr>
      </w:pPr>
    </w:p>
    <w:p>
      <w:pPr>
        <w:jc w:val="both"/>
        <w:ind w:right="20" w:firstLine="1305"/>
        <w:spacing w:after="0"/>
        <w:tabs>
          <w:tab w:leader="none" w:pos="1945"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72" w:lineRule="exact"/>
        <w:rPr>
          <w:rFonts w:ascii="Arial" w:cs="Arial" w:eastAsia="Arial" w:hAnsi="Arial"/>
          <w:sz w:val="22"/>
          <w:szCs w:val="22"/>
          <w:color w:val="auto"/>
        </w:rPr>
      </w:pPr>
    </w:p>
    <w:p>
      <w:pPr>
        <w:ind w:right="100" w:firstLine="1305"/>
        <w:spacing w:after="0" w:line="245" w:lineRule="auto"/>
        <w:tabs>
          <w:tab w:leader="none" w:pos="1945"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71" w:lineRule="exact"/>
        <w:rPr>
          <w:rFonts w:ascii="Arial" w:cs="Arial" w:eastAsia="Arial" w:hAnsi="Arial"/>
          <w:sz w:val="21"/>
          <w:szCs w:val="21"/>
          <w:color w:val="auto"/>
        </w:rPr>
      </w:pPr>
    </w:p>
    <w:p>
      <w:pPr>
        <w:ind w:right="60" w:firstLine="1305"/>
        <w:spacing w:after="0" w:line="275" w:lineRule="auto"/>
        <w:tabs>
          <w:tab w:leader="none" w:pos="194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58" w:lineRule="exact"/>
        <w:rPr>
          <w:rFonts w:ascii="Arial" w:cs="Arial" w:eastAsia="Arial" w:hAnsi="Arial"/>
          <w:sz w:val="19"/>
          <w:szCs w:val="19"/>
          <w:color w:val="auto"/>
        </w:rPr>
      </w:pPr>
    </w:p>
    <w:p>
      <w:pPr>
        <w:ind w:right="40" w:firstLine="1305"/>
        <w:spacing w:after="0" w:line="251" w:lineRule="auto"/>
        <w:tabs>
          <w:tab w:leader="none" w:pos="1945"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3"/>
          <w:szCs w:val="13"/>
          <w:color w:val="auto"/>
        </w:rPr>
        <w:t>OC\1056247.3</w:t>
      </w:r>
    </w:p>
    <w:p>
      <w:pPr>
        <w:sectPr>
          <w:pgSz w:w="11900" w:h="16838" w:orient="portrait"/>
          <w:cols w:equalWidth="0" w:num="1">
            <w:col w:w="11420"/>
          </w:cols>
          <w:pgMar w:left="240" w:top="118" w:right="239" w:bottom="1440" w:gutter="0" w:footer="0" w:header="0"/>
          <w:type w:val="continuous"/>
        </w:sectPr>
      </w:pPr>
    </w:p>
    <w:bookmarkStart w:id="98" w:name="page99"/>
    <w:bookmarkEnd w:id="98"/>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ind w:left="3900"/>
        <w:spacing w:after="0" w:line="238" w:lineRule="auto"/>
        <w:rPr>
          <w:sz w:val="20"/>
          <w:szCs w:val="20"/>
          <w:color w:val="auto"/>
        </w:rPr>
      </w:pPr>
      <w:r>
        <w:rPr>
          <w:rFonts w:ascii="Arial" w:cs="Arial" w:eastAsia="Arial" w:hAnsi="Arial"/>
          <w:sz w:val="22"/>
          <w:szCs w:val="22"/>
          <w:color w:val="auto"/>
        </w:rPr>
        <w:t>Senior Vice President - Human Resources,</w:t>
      </w:r>
    </w:p>
    <w:p>
      <w:pPr>
        <w:ind w:left="3900"/>
        <w:spacing w:after="0"/>
        <w:rPr>
          <w:sz w:val="20"/>
          <w:szCs w:val="20"/>
          <w:color w:val="auto"/>
        </w:rPr>
      </w:pPr>
      <w:r>
        <w:rPr>
          <w:rFonts w:ascii="Arial" w:cs="Arial" w:eastAsia="Arial" w:hAnsi="Arial"/>
          <w:sz w:val="22"/>
          <w:szCs w:val="22"/>
          <w:color w:val="auto"/>
        </w:rPr>
        <w:t>Diversity &amp; Inclusion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Michael W. Allman</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President &amp; CEO, Southern California Gas Company</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OC\1056247.3</w:t>
      </w:r>
    </w:p>
    <w:p>
      <w:pPr>
        <w:sectPr>
          <w:pgSz w:w="11900" w:h="16838" w:orient="portrait"/>
          <w:cols w:equalWidth="0" w:num="1">
            <w:col w:w="10980"/>
          </w:cols>
          <w:pgMar w:left="240" w:top="118" w:right="67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TWO: As a material inducement for the payment of the benefit under Section 14(d) of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74" w:lineRule="exact"/>
        <w:rPr>
          <w:sz w:val="20"/>
          <w:szCs w:val="20"/>
          <w:color w:val="auto"/>
        </w:rPr>
      </w:pPr>
    </w:p>
    <w:p>
      <w:pPr>
        <w:ind w:right="20" w:firstLine="1305"/>
        <w:spacing w:after="0" w:line="236" w:lineRule="auto"/>
        <w:tabs>
          <w:tab w:leader="none" w:pos="1945"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40" w:firstLine="1305"/>
        <w:spacing w:after="0" w:line="268" w:lineRule="auto"/>
        <w:tabs>
          <w:tab w:leader="none" w:pos="194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word “Claim” or “Claims” shall not refer to any charges, complaints, claims, liabilities, obligations, promises, 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 D&amp;O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containing duties, rights obligations etc. of either party that are to remain operative</w:t>
      </w:r>
      <w:r>
        <w:rPr>
          <w:rFonts w:ascii="Arial" w:cs="Arial" w:eastAsia="Arial" w:hAnsi="Arial"/>
          <w:sz w:val="19"/>
          <w:szCs w:val="19"/>
          <w:color w:val="auto"/>
        </w:rPr>
        <w:t>]. Claims released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 (1) Title VII of the Civil Rights Act of 1964 (race, color, religion, sex and national origin discrimination); (2) 42 U.S.C. § 1981 (discrimination); (3) 29 U.S.C. §§ 621–634 (age discrimination); (4) 29 U.S.C. § 206(d)(l) (equal pay);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w:t>
      </w:r>
    </w:p>
    <w:p>
      <w:pPr>
        <w:spacing w:after="0" w:line="2" w:lineRule="exact"/>
        <w:rPr>
          <w:rFonts w:ascii="Arial" w:cs="Arial" w:eastAsia="Arial" w:hAnsi="Arial"/>
          <w:sz w:val="19"/>
          <w:szCs w:val="19"/>
          <w:color w:val="auto"/>
        </w:rPr>
      </w:pPr>
    </w:p>
    <w:p>
      <w:pPr>
        <w:ind w:right="60" w:firstLine="8"/>
        <w:spacing w:after="0" w:line="232" w:lineRule="auto"/>
        <w:tabs>
          <w:tab w:leader="none" w:pos="41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employment); and (15) any federal, state or other governmental statute, regulation or ordinance which is similar to any of the statutes described in clauses (1) through (14).</w:t>
      </w:r>
    </w:p>
    <w:p>
      <w:pPr>
        <w:spacing w:after="0" w:line="189"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48" w:lineRule="exact"/>
        <w:rPr>
          <w:sz w:val="20"/>
          <w:szCs w:val="20"/>
          <w:color w:val="auto"/>
        </w:rPr>
      </w:pPr>
    </w:p>
    <w:p>
      <w:pPr>
        <w:ind w:left="1300" w:right="1540"/>
        <w:spacing w:after="0" w:line="328"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FAVOR AT THE TIME OF EXECUTING THE</w:t>
      </w:r>
    </w:p>
    <w:p>
      <w:pPr>
        <w:sectPr>
          <w:pgSz w:w="11900" w:h="16838" w:orient="portrait"/>
          <w:cols w:equalWidth="0" w:num="1">
            <w:col w:w="11420"/>
          </w:cols>
          <w:pgMar w:left="240" w:top="604" w:right="239" w:bottom="0" w:gutter="0" w:footer="0" w:header="0"/>
        </w:sectPr>
      </w:pPr>
    </w:p>
    <w:bookmarkStart w:id="100" w:name="page101"/>
    <w:bookmarkEnd w:id="100"/>
    <w:p>
      <w:pPr>
        <w:ind w:left="1300" w:right="2100"/>
        <w:spacing w:after="0" w:line="251" w:lineRule="auto"/>
        <w:rPr>
          <w:sz w:val="20"/>
          <w:szCs w:val="20"/>
          <w:color w:val="auto"/>
        </w:rPr>
      </w:pPr>
      <w:r>
        <w:rPr>
          <w:rFonts w:ascii="Arial" w:cs="Arial" w:eastAsia="Arial" w:hAnsi="Arial"/>
          <w:sz w:val="22"/>
          <w:szCs w:val="22"/>
          <w:color w:val="auto"/>
        </w:rPr>
        <w:t>RELEASE, WHICH IF KNOWN BY HIM MUST HAVE MATERIALLY AFFECTED HIS SETTLEMENT WITH THE DEBTOR.”</w:t>
      </w:r>
    </w:p>
    <w:p>
      <w:pPr>
        <w:spacing w:after="0" w:line="17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NINE:</w:t>
      </w:r>
    </w:p>
    <w:p>
      <w:pPr>
        <w:spacing w:after="0" w:line="193" w:lineRule="exact"/>
        <w:rPr>
          <w:sz w:val="20"/>
          <w:szCs w:val="20"/>
          <w:color w:val="auto"/>
        </w:rPr>
      </w:pPr>
    </w:p>
    <w:p>
      <w:pPr>
        <w:ind w:right="40" w:firstLine="1953"/>
        <w:spacing w:after="0" w:line="235" w:lineRule="auto"/>
        <w:tabs>
          <w:tab w:leader="none" w:pos="259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rFonts w:ascii="Arial" w:cs="Arial" w:eastAsia="Arial" w:hAnsi="Arial"/>
          <w:sz w:val="22"/>
          <w:szCs w:val="22"/>
          <w:color w:val="auto"/>
        </w:rPr>
      </w:pPr>
    </w:p>
    <w:p>
      <w:pPr>
        <w:ind w:right="40" w:firstLine="1953"/>
        <w:spacing w:after="0" w:line="279" w:lineRule="auto"/>
        <w:tabs>
          <w:tab w:leader="none" w:pos="259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80" w:firstLine="1953"/>
        <w:spacing w:after="0" w:line="282" w:lineRule="auto"/>
        <w:tabs>
          <w:tab w:leader="none" w:pos="259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9"/>
          <w:szCs w:val="19"/>
          <w:u w:val="single" w:color="auto"/>
          <w:color w:val="auto"/>
        </w:rPr>
        <w:t>arbitrable dispute</w:t>
      </w:r>
      <w:r>
        <w:rPr>
          <w:rFonts w:ascii="Arial" w:cs="Arial" w:eastAsia="Arial" w:hAnsi="Arial"/>
          <w:sz w:val="19"/>
          <w:szCs w:val="19"/>
          <w:color w:val="auto"/>
        </w:rPr>
        <w:t>”) must be submitted to arbitration in San Diego, California. Arbitration shall take place before an experienced employment arbitrator licensed to practice law in such state and</w:t>
      </w:r>
    </w:p>
    <w:p>
      <w:pPr>
        <w:sectPr>
          <w:pgSz w:w="11900" w:h="16838" w:orient="portrait"/>
          <w:cols w:equalWidth="0" w:num="1">
            <w:col w:w="11400"/>
          </w:cols>
          <w:pgMar w:left="240" w:top="118" w:right="259" w:bottom="0" w:gutter="0" w:footer="0" w:header="0"/>
        </w:sectPr>
      </w:pPr>
    </w:p>
    <w:bookmarkStart w:id="101" w:name="page102"/>
    <w:bookmarkEnd w:id="101"/>
    <w:p>
      <w:pPr>
        <w:spacing w:after="0" w:line="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selected in accordance with the then existing JAMS arbitration rules applicable to employment disputes;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any event, the arbitrator shall allow reasonable discovery. Arbitration shall be the exclusive remedy for any arbitrable dispute. The arbitrator in any arbitrable dispute shall not have authority to modify or change the Agreement in any respect. You and the Company shall each be responsible for payment of one-half (1/2) the amount of the arbitrator’s fee(s);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you be required to pay any fee or cost of arbitration that is unique to arbitration or exceeds 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Court of the State of California for the County of San Diego, or any other court of competent jurisdiction.</w:t>
      </w:r>
    </w:p>
    <w:p>
      <w:pPr>
        <w:spacing w:after="0" w:line="157"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17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You:</w:t>
      </w:r>
      <w:r>
        <w:rPr>
          <w:sz w:val="20"/>
          <w:szCs w:val="20"/>
          <w:color w:val="auto"/>
        </w:rPr>
        <w:tab/>
      </w:r>
      <w:r>
        <w:rPr>
          <w:rFonts w:ascii="Arial" w:cs="Arial" w:eastAsia="Arial" w:hAnsi="Arial"/>
          <w:sz w:val="19"/>
          <w:szCs w:val="19"/>
          <w:b w:val="1"/>
          <w:bCs w:val="1"/>
          <w:color w:val="auto"/>
        </w:rPr>
        <w:t>______________________</w:t>
      </w:r>
    </w:p>
    <w:p>
      <w:pPr>
        <w:spacing w:after="0" w:line="206" w:lineRule="exact"/>
        <w:rPr>
          <w:sz w:val="20"/>
          <w:szCs w:val="20"/>
          <w:color w:val="auto"/>
        </w:rPr>
      </w:pPr>
    </w:p>
    <w:p>
      <w:pPr>
        <w:ind w:right="60" w:firstLine="1297"/>
        <w:spacing w:after="0" w:line="246" w:lineRule="auto"/>
        <w:rPr>
          <w:sz w:val="20"/>
          <w:szCs w:val="20"/>
          <w:color w:val="auto"/>
        </w:rPr>
      </w:pPr>
      <w:r>
        <w:rPr>
          <w:rFonts w:ascii="Arial" w:cs="Arial" w:eastAsia="Arial" w:hAnsi="Arial"/>
          <w:sz w:val="21"/>
          <w:szCs w:val="21"/>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 14(d) of the Severance Pay Agreement.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6"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45" w:orient="portrait"/>
          <w:cols w:equalWidth="0" w:num="1">
            <w:col w:w="11420"/>
          </w:cols>
          <w:pgMar w:left="240" w:top="118" w:right="239" w:bottom="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OC\1056247.3</w:t>
      </w:r>
    </w:p>
    <w:p>
      <w:pPr>
        <w:sectPr>
          <w:pgSz w:w="11900" w:h="16838" w:orient="portrait"/>
          <w:cols w:equalWidth="0" w:num="1">
            <w:col w:w="10179"/>
          </w:cols>
          <w:pgMar w:left="280" w:top="1440"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25"/>
          <w:szCs w:val="25"/>
          <w:b w:val="1"/>
          <w:bCs w:val="1"/>
          <w:color w:val="auto"/>
        </w:rPr>
        <w:t>Exhibit 10.26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260" w:firstLine="1297"/>
        <w:spacing w:after="0" w:line="335"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December 31, 2011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SEMPRA ENERGY, a California corporation (“</w:t>
      </w:r>
      <w:r>
        <w:rPr>
          <w:rFonts w:ascii="Arial" w:cs="Arial" w:eastAsia="Arial" w:hAnsi="Arial"/>
          <w:sz w:val="19"/>
          <w:szCs w:val="19"/>
          <w:u w:val="single" w:color="auto"/>
          <w:color w:val="auto"/>
        </w:rPr>
        <w:t>Sempra Energy</w:t>
      </w:r>
      <w:r>
        <w:rPr>
          <w:rFonts w:ascii="Arial" w:cs="Arial" w:eastAsia="Arial" w:hAnsi="Arial"/>
          <w:sz w:val="19"/>
          <w:szCs w:val="19"/>
          <w:color w:val="auto"/>
        </w:rPr>
        <w:t>”), and G. JOYCE ROWLAND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92" w:lineRule="exact"/>
        <w:rPr>
          <w:sz w:val="20"/>
          <w:szCs w:val="20"/>
          <w:color w:val="auto"/>
        </w:rPr>
      </w:pPr>
    </w:p>
    <w:p>
      <w:pPr>
        <w:ind w:right="30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Sr. Vice President – Human Resources, Diversity and Inclusion;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assigned thereto in Section 2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has the meaning assigned thereto in Section 6(a) hereof.</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during all or any portion of one or two of the Bonus Fiscal</w:t>
      </w:r>
      <w:r>
        <w:rPr>
          <w:rFonts w:ascii="Arial" w:cs="Arial" w:eastAsia="Arial" w:hAnsi="Arial"/>
          <w:sz w:val="19"/>
          <w:szCs w:val="19"/>
          <w:i w:val="1"/>
          <w:iCs w:val="1"/>
          <w:color w:val="auto"/>
        </w:rPr>
        <w:t xml:space="preserve"> </w:t>
      </w:r>
      <w:r>
        <w:rPr>
          <w:rFonts w:ascii="Arial" w:cs="Arial" w:eastAsia="Arial" w:hAnsi="Arial"/>
          <w:sz w:val="19"/>
          <w:szCs w:val="19"/>
          <w:color w:val="auto"/>
        </w:rPr>
        <w:t>Years (but not three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all or any portion of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all or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has the meaning set forth in Rule 13d-3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20" w:firstLine="1305"/>
        <w:spacing w:after="0" w:line="276" w:lineRule="auto"/>
        <w:tabs>
          <w:tab w:leader="none" w:pos="194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69" w:lineRule="auto"/>
        <w:tabs>
          <w:tab w:leader="none" w:pos="194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3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w:t>
      </w:r>
    </w:p>
    <w:p>
      <w:pPr>
        <w:spacing w:after="0" w:line="1" w:lineRule="exact"/>
        <w:rPr>
          <w:rFonts w:ascii="Arial" w:cs="Arial" w:eastAsia="Arial" w:hAnsi="Arial"/>
          <w:sz w:val="19"/>
          <w:szCs w:val="19"/>
          <w:color w:val="auto"/>
        </w:rPr>
      </w:pPr>
    </w:p>
    <w:p>
      <w:pPr>
        <w:ind w:right="180" w:firstLine="8"/>
        <w:spacing w:after="0" w:line="308" w:lineRule="auto"/>
        <w:tabs>
          <w:tab w:leader="none" w:pos="30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ectPr>
          <w:pgSz w:w="11900" w:h="16838" w:orient="portrait"/>
          <w:cols w:equalWidth="0" w:num="1">
            <w:col w:w="11420"/>
          </w:cols>
          <w:pgMar w:left="240" w:top="360" w:right="239" w:bottom="0" w:gutter="0" w:footer="0" w:header="0"/>
        </w:sectPr>
      </w:pPr>
    </w:p>
    <w:bookmarkStart w:id="104" w:name="page105"/>
    <w:bookmarkEnd w:id="104"/>
    <w:p>
      <w:pPr>
        <w:ind w:right="20" w:firstLine="1297"/>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19" w:lineRule="exact"/>
        <w:rPr>
          <w:sz w:val="20"/>
          <w:szCs w:val="20"/>
          <w:color w:val="auto"/>
        </w:rPr>
      </w:pPr>
    </w:p>
    <w:p>
      <w:pPr>
        <w:ind w:right="20" w:firstLine="1305"/>
        <w:spacing w:after="0" w:line="297" w:lineRule="auto"/>
        <w:tabs>
          <w:tab w:leader="none" w:pos="19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117"/>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80" w:firstLine="2601"/>
        <w:spacing w:after="0"/>
        <w:tabs>
          <w:tab w:leader="none" w:pos="3241" w:val="left"/>
        </w:tabs>
        <w:numPr>
          <w:ilvl w:val="2"/>
          <w:numId w:val="117"/>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firstLine="1953"/>
        <w:spacing w:after="0" w:line="249" w:lineRule="auto"/>
        <w:tabs>
          <w:tab w:leader="none" w:pos="2593" w:val="left"/>
        </w:tabs>
        <w:numPr>
          <w:ilvl w:val="1"/>
          <w:numId w:val="118"/>
        </w:numPr>
        <w:rPr>
          <w:rFonts w:ascii="Arial" w:cs="Arial" w:eastAsia="Arial" w:hAnsi="Arial"/>
          <w:sz w:val="21"/>
          <w:szCs w:val="21"/>
          <w:color w:val="auto"/>
        </w:rPr>
      </w:pPr>
      <w:r>
        <w:rPr>
          <w:rFonts w:ascii="Arial" w:cs="Arial" w:eastAsia="Arial" w:hAnsi="Arial"/>
          <w:sz w:val="21"/>
          <w:szCs w:val="21"/>
          <w:color w:val="auto"/>
        </w:rPr>
        <w:t>a merger or consolidation effected to implement a recapitalization of Sempra Energy (or similar transaction) in which no Person is or becomes the Beneficial Owner,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78" w:lineRule="exact"/>
        <w:rPr>
          <w:rFonts w:ascii="Arial" w:cs="Arial" w:eastAsia="Arial" w:hAnsi="Arial"/>
          <w:sz w:val="21"/>
          <w:szCs w:val="21"/>
          <w:color w:val="auto"/>
        </w:rPr>
      </w:pPr>
    </w:p>
    <w:p>
      <w:pPr>
        <w:jc w:val="both"/>
        <w:ind w:right="20" w:firstLine="1305"/>
        <w:spacing w:after="0" w:line="252" w:lineRule="auto"/>
        <w:tabs>
          <w:tab w:leader="none" w:pos="1945"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5(f) hereof.</w:t>
      </w:r>
    </w:p>
    <w:p>
      <w:pPr>
        <w:spacing w:after="0" w:line="206"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has the meaning set forth in the Company’s long-term disability plan or its successor;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Board may not terminate the Executive’s employment hereunder by reason of Disability unless (i) at the time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ectPr>
          <w:pgSz w:w="11900" w:h="16838" w:orient="portrait"/>
          <w:cols w:equalWidth="0" w:num="1">
            <w:col w:w="11400"/>
          </w:cols>
          <w:pgMar w:left="240" w:top="118" w:right="259" w:bottom="0" w:gutter="0" w:footer="0" w:header="0"/>
        </w:sectPr>
      </w:pPr>
    </w:p>
    <w:bookmarkStart w:id="105" w:name="page106"/>
    <w:bookmarkEnd w:id="105"/>
    <w:p>
      <w:pPr>
        <w:spacing w:after="0" w:line="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00" w:firstLine="1305"/>
        <w:spacing w:after="0"/>
        <w:tabs>
          <w:tab w:leader="none" w:pos="194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right="340" w:firstLine="1953"/>
        <w:spacing w:after="0"/>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60" w:firstLine="1953"/>
        <w:spacing w:after="0"/>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firstLine="1953"/>
        <w:spacing w:after="0"/>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120"/>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right="260" w:firstLine="1953"/>
        <w:spacing w:after="0" w:line="251" w:lineRule="auto"/>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20" w:firstLine="1953"/>
        <w:spacing w:after="0" w:line="245" w:lineRule="auto"/>
        <w:tabs>
          <w:tab w:leader="none" w:pos="2593" w:val="left"/>
        </w:tabs>
        <w:numPr>
          <w:ilvl w:val="1"/>
          <w:numId w:val="120"/>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40" w:firstLine="1953"/>
        <w:spacing w:after="0" w:line="234" w:lineRule="auto"/>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firstLine="1953"/>
        <w:spacing w:after="0" w:line="328" w:lineRule="auto"/>
        <w:tabs>
          <w:tab w:leader="none" w:pos="259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any purported termination of the Executive’s employment that is not effected pursuant to a Notice of Termination satisfying the requirements of Section 3 hereof; for purposes of this Agreement, no such purported termination shall be</w:t>
      </w:r>
    </w:p>
    <w:p>
      <w:pPr>
        <w:sectPr>
          <w:pgSz w:w="11900" w:h="16852" w:orient="portrait"/>
          <w:cols w:equalWidth="0" w:num="1">
            <w:col w:w="11400"/>
          </w:cols>
          <w:pgMar w:left="240" w:top="118" w:right="259" w:bottom="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effective;</w:t>
      </w:r>
    </w:p>
    <w:p>
      <w:pPr>
        <w:spacing w:after="0" w:line="193" w:lineRule="exact"/>
        <w:rPr>
          <w:sz w:val="20"/>
          <w:szCs w:val="20"/>
          <w:color w:val="auto"/>
        </w:rPr>
      </w:pPr>
    </w:p>
    <w:p>
      <w:pPr>
        <w:ind w:left="2600" w:hanging="647"/>
        <w:spacing w:after="0"/>
        <w:tabs>
          <w:tab w:leader="none" w:pos="260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left="60" w:right="700" w:firstLine="124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2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of a termination of employment by the Company other than for Cause, death, or Disability, or (b) the Executive’s Separation from Service by reason of resignation of employment with the Company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3(a)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Accrued Obligations</w:t>
      </w:r>
      <w:r>
        <w:rPr>
          <w:rFonts w:ascii="Arial" w:cs="Arial" w:eastAsia="Arial" w:hAnsi="Arial"/>
          <w:sz w:val="22"/>
          <w:szCs w:val="22"/>
          <w:color w:val="auto"/>
        </w:rPr>
        <w:t>” has the meaning assigned thereto in Section 6(a)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6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Accrued Obligations</w:t>
      </w:r>
      <w:r>
        <w:rPr>
          <w:rFonts w:ascii="Arial" w:cs="Arial" w:eastAsia="Arial" w:hAnsi="Arial"/>
          <w:sz w:val="22"/>
          <w:szCs w:val="22"/>
          <w:color w:val="auto"/>
        </w:rPr>
        <w:t>” has the meaning assigned thereto in Section 5(a)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right="4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 Payments</w:t>
      </w:r>
      <w:r>
        <w:rPr>
          <w:rFonts w:ascii="Arial" w:cs="Arial" w:eastAsia="Arial" w:hAnsi="Arial"/>
          <w:sz w:val="21"/>
          <w:szCs w:val="21"/>
          <w:color w:val="auto"/>
        </w:rPr>
        <w:t>” means any of the following: (a) the Payment in Lieu of Notice; (b) the Pre-Change in Control Severance Payment; (c) the Post-Change in Control Severance Payment; (d) the Additional Post-Change in Control Severance Payment; (e) the Consulting Payment; (f) the payment under Section 6(b) (but only to the extent such payment or portion thereof is subject to Section 409A of the Code); (g) the financial planning services and the related payments provided under Sections 5(e) and 6(f); and (h) the legal fees and expenses reimbursed under Section 15.</w:t>
      </w:r>
    </w:p>
    <w:p>
      <w:pPr>
        <w:spacing w:after="0" w:line="179"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with respect to the Executive (or another Service Provider), means the Executive’s (or such Service Provider’s) (a) termination of employment or (b) other termination or reduction in services, provided that such termination or reduction in clause (a) or (b) constitutes a “separation from service,” as defined in Treasury Regulation Section 1.409A-1(h), with respect to the Service Recipient.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6(b) hereof.</w:t>
      </w:r>
    </w:p>
    <w:p>
      <w:pPr>
        <w:sectPr>
          <w:pgSz w:w="11900" w:h="16838" w:orient="portrait"/>
          <w:cols w:equalWidth="0" w:num="1">
            <w:col w:w="11420"/>
          </w:cols>
          <w:pgMar w:left="240" w:top="118" w:right="239" w:bottom="0" w:gutter="0" w:footer="0" w:header="0"/>
        </w:sectPr>
      </w:pPr>
    </w:p>
    <w:bookmarkStart w:id="107" w:name="page108"/>
    <w:bookmarkEnd w:id="107"/>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the Executive or any other “service provider,” as defined in Treasury Regulation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1.409A-1(f).</w:t>
      </w:r>
    </w:p>
    <w:p>
      <w:pPr>
        <w:spacing w:after="0" w:line="188" w:lineRule="exact"/>
        <w:rPr>
          <w:sz w:val="20"/>
          <w:szCs w:val="20"/>
          <w:color w:val="auto"/>
        </w:rPr>
      </w:pPr>
    </w:p>
    <w:p>
      <w:pPr>
        <w:ind w:right="20"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with respect to the Executive, means Sempra Energy (if the Executive is employed by Sempra Energy), or the subsidiary of Sempra Energy employing the Executive,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21"/>
          <w:szCs w:val="21"/>
          <w:u w:val="single" w:color="auto"/>
          <w:color w:val="auto"/>
        </w:rPr>
        <w:t>Service Recipient</w:t>
      </w:r>
      <w:r>
        <w:rPr>
          <w:rFonts w:ascii="Arial" w:cs="Arial" w:eastAsia="Arial" w:hAnsi="Arial"/>
          <w:sz w:val="21"/>
          <w:szCs w:val="21"/>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77"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means a Service Provider who, as of the date of the Service Provider’s Separation from Service is a “</w:t>
      </w:r>
      <w:r>
        <w:rPr>
          <w:rFonts w:ascii="Arial" w:cs="Arial" w:eastAsia="Arial" w:hAnsi="Arial"/>
          <w:sz w:val="19"/>
          <w:szCs w:val="19"/>
          <w:u w:val="single" w:color="auto"/>
          <w:color w:val="auto"/>
        </w:rPr>
        <w:t>Key Employee</w:t>
      </w:r>
      <w:r>
        <w:rPr>
          <w:rFonts w:ascii="Arial" w:cs="Arial" w:eastAsia="Arial" w:hAnsi="Arial"/>
          <w:sz w:val="19"/>
          <w:szCs w:val="19"/>
          <w:color w:val="auto"/>
        </w:rPr>
        <w:t>” of the Service Recipient any stock of which is publicly traded on an established securities market or otherwise. For purposes of this definition,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(as defined above) as of a Specified Employee Identification Date, the Service Provider shall be treated as “</w:t>
      </w:r>
      <w:r>
        <w:rPr>
          <w:rFonts w:ascii="Arial" w:cs="Arial" w:eastAsia="Arial" w:hAnsi="Arial"/>
          <w:sz w:val="19"/>
          <w:szCs w:val="19"/>
          <w:u w:val="single" w:color="auto"/>
          <w:color w:val="auto"/>
        </w:rPr>
        <w:t>Key Employee</w:t>
      </w:r>
      <w:r>
        <w:rPr>
          <w:rFonts w:ascii="Arial" w:cs="Arial" w:eastAsia="Arial" w:hAnsi="Arial"/>
          <w:sz w:val="19"/>
          <w:szCs w:val="19"/>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w:t>
      </w:r>
    </w:p>
    <w:p>
      <w:pPr>
        <w:ind w:right="60"/>
        <w:spacing w:after="0" w:line="234" w:lineRule="auto"/>
        <w:rPr>
          <w:sz w:val="20"/>
          <w:szCs w:val="20"/>
          <w:color w:val="auto"/>
        </w:rPr>
      </w:pPr>
      <w:r>
        <w:rPr>
          <w:rFonts w:ascii="Arial" w:cs="Arial" w:eastAsia="Arial" w:hAnsi="Arial"/>
          <w:sz w:val="22"/>
          <w:szCs w:val="22"/>
          <w:color w:val="auto"/>
        </w:rPr>
        <w:t>1.415(c)-2(e), and were not using any of the elective special rules provided in Treasury Regulation Section 1.415(c)-2(g)), from the Service Recipient for such Testing Year. The “Specified Employees” shall be determined in accordance with Section 409A(a)(2) (B)(i) of the Code and Treasury Regulation Section 1.409A-1(i).</w:t>
      </w:r>
    </w:p>
    <w:p>
      <w:pPr>
        <w:spacing w:after="0" w:line="187" w:lineRule="exact"/>
        <w:rPr>
          <w:sz w:val="20"/>
          <w:szCs w:val="20"/>
          <w:color w:val="auto"/>
        </w:rPr>
      </w:pPr>
    </w:p>
    <w:p>
      <w:pPr>
        <w:jc w:val="both"/>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Effective Date</w:t>
      </w:r>
      <w:r>
        <w:rPr>
          <w:rFonts w:ascii="Arial" w:cs="Arial" w:eastAsia="Arial" w:hAnsi="Arial"/>
          <w:sz w:val="22"/>
          <w:szCs w:val="22"/>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86" w:lineRule="exact"/>
        <w:rPr>
          <w:sz w:val="20"/>
          <w:szCs w:val="20"/>
          <w:color w:val="auto"/>
        </w:rPr>
      </w:pPr>
    </w:p>
    <w:p>
      <w:pPr>
        <w:ind w:right="2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for purposes of Treasury Regulation Section 1.409A-1(i)(3), shall mean December 31. The “</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shall apply to all “nonqualified deferred compensation plans” (as defined in Treasury Regulation Section 1.409A-1(a)) of the Service Recipient and all affected Service Providers. The “</w:t>
      </w:r>
      <w:r>
        <w:rPr>
          <w:rFonts w:ascii="Arial" w:cs="Arial" w:eastAsia="Arial" w:hAnsi="Arial"/>
          <w:sz w:val="22"/>
          <w:szCs w:val="22"/>
          <w:u w:val="single" w:color="auto"/>
          <w:color w:val="auto"/>
        </w:rPr>
        <w:t>Specified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 Identification Date</w:t>
      </w:r>
      <w:r>
        <w:rPr>
          <w:rFonts w:ascii="Arial" w:cs="Arial" w:eastAsia="Arial" w:hAnsi="Arial"/>
          <w:sz w:val="22"/>
          <w:szCs w:val="22"/>
          <w:color w:val="auto"/>
        </w:rPr>
        <w:t>” may be changed by Sempra Energy, in its discretion, in accordance with Treasury Regulation Section 1.409A-1(i)(3).</w:t>
      </w:r>
    </w:p>
    <w:p>
      <w:pPr>
        <w:spacing w:after="0" w:line="188"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Year</w:t>
      </w:r>
      <w:r>
        <w:rPr>
          <w:rFonts w:ascii="Arial" w:cs="Arial" w:eastAsia="Arial" w:hAnsi="Arial"/>
          <w:sz w:val="22"/>
          <w:szCs w:val="22"/>
          <w:color w:val="auto"/>
        </w:rPr>
        <w:t>” shall mean the twelve (12) month period ending on the Specified Employee Identification Date, as determined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Underpayment</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u w:val="single" w:color="auto"/>
          <w:color w:val="auto"/>
        </w:rPr>
        <w:t>Sarbanes-Oxley Act of 2002</w:t>
      </w:r>
      <w:r>
        <w:rPr>
          <w:rFonts w:ascii="Arial" w:cs="Arial" w:eastAsia="Arial" w:hAnsi="Arial"/>
          <w:sz w:val="19"/>
          <w:szCs w:val="19"/>
          <w:color w:val="auto"/>
        </w:rPr>
        <w:t>. Notwithstanding anything herein to the contrary, if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in its good faith judgment, that any provision of this Agreement is likely to be interpreted as a personal loan prohibited by the Sarbanes-Oxley Act of 2002 and the rules and regulations promulgated thereunder (the “</w:t>
      </w:r>
      <w:r>
        <w:rPr>
          <w:rFonts w:ascii="Arial" w:cs="Arial" w:eastAsia="Arial" w:hAnsi="Arial"/>
          <w:sz w:val="19"/>
          <w:szCs w:val="19"/>
          <w:u w:val="single" w:color="auto"/>
          <w:color w:val="auto"/>
        </w:rPr>
        <w:t>Act</w:t>
      </w:r>
      <w:r>
        <w:rPr>
          <w:rFonts w:ascii="Arial" w:cs="Arial" w:eastAsia="Arial" w:hAnsi="Arial"/>
          <w:sz w:val="19"/>
          <w:szCs w:val="19"/>
          <w:color w:val="auto"/>
        </w:rPr>
        <w:t>”), then such provision shall be modified as necessary or appropriate so as to not violate the Act; and if this cannot be accomplished, then the Company shall use its reasonable efforts to provide the Executive with similar, but lawful, substitute benefit(s) at a cost to the Company not to significantly exceed the amount the Company would have otherwise paid to provide such benefit(s) to the Executive. In addition, if the Executive is required to forfeit or to make any repayment of any compensation or benefit(s) to the Company under the Act or any other law, such forfeiture or repayment shall not constitute Good Reason.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199" w:lineRule="exact"/>
        <w:rPr>
          <w:sz w:val="20"/>
          <w:szCs w:val="20"/>
          <w:color w:val="auto"/>
        </w:rPr>
      </w:pPr>
    </w:p>
    <w:p>
      <w:pPr>
        <w:ind w:right="120" w:firstLine="1305"/>
        <w:spacing w:after="0" w:line="279" w:lineRule="auto"/>
        <w:tabs>
          <w:tab w:leader="none" w:pos="194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60" w:firstLine="1305"/>
        <w:spacing w:after="0" w:line="274" w:lineRule="auto"/>
        <w:tabs>
          <w:tab w:leader="none" w:pos="194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 has a Separation from Service by reason of the Company terminating his or her employment, either with or without Cause,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equal to two (2) weeks of the Executive’s Annual Base Salary in effect on the Date of Termination), and (ii) if the basis for the Executive’s Involuntary Termination is his resignation for Good Reason, the Date of Termination shall be determined by the Executive and specified in the Notice of Termination, but shall not in any event be less than fifteen (15) days nor more than sixty (60) days after the date such Notice of Termination is given. The Payment in Lieu of</w:t>
      </w:r>
    </w:p>
    <w:p>
      <w:pPr>
        <w:sectPr>
          <w:pgSz w:w="11900" w:h="16838" w:orient="portrait"/>
          <w:cols w:equalWidth="0" w:num="1">
            <w:col w:w="11420"/>
          </w:cols>
          <w:pgMar w:left="240" w:top="118" w:right="239" w:bottom="0" w:gutter="0" w:footer="0" w:header="0"/>
        </w:sectPr>
      </w:pPr>
    </w:p>
    <w:bookmarkStart w:id="108" w:name="page109"/>
    <w:bookmarkEnd w:id="108"/>
    <w:p>
      <w:pPr>
        <w:ind w:right="20"/>
        <w:spacing w:after="0" w:line="241" w:lineRule="auto"/>
        <w:rPr>
          <w:sz w:val="20"/>
          <w:szCs w:val="20"/>
          <w:color w:val="auto"/>
        </w:rPr>
      </w:pPr>
      <w:r>
        <w:rPr>
          <w:rFonts w:ascii="Arial" w:cs="Arial" w:eastAsia="Arial" w:hAnsi="Arial"/>
          <w:sz w:val="22"/>
          <w:szCs w:val="22"/>
          <w:color w:val="auto"/>
        </w:rPr>
        <w:t xml:space="preserve">Notice shall be paid on such date as is determined by the Company within thirty (30) days after the date of the Executive’s Separation from Service;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his or her Separation from Service, such Payment in Lieu of Notice shall be paid as provided in Section 10 hereof.</w:t>
      </w:r>
    </w:p>
    <w:p>
      <w:pPr>
        <w:spacing w:after="0" w:line="170"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right="80" w:firstLine="1297"/>
        <w:spacing w:after="0" w:line="270"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 Payment</w:t>
      </w:r>
      <w:r>
        <w:rPr>
          <w:rFonts w:ascii="Arial" w:cs="Arial" w:eastAsia="Arial" w:hAnsi="Arial"/>
          <w:sz w:val="19"/>
          <w:szCs w:val="19"/>
          <w:color w:val="auto"/>
        </w:rPr>
        <w:t>”) equal to one-half (0.5) times the greater of: (X) 150%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Except as provided in Section 5(f), the Pre-Change in Control Severance Payment and the payment under Section 5(a) shall be paid on such date as is determined by the Company within thirty</w:t>
      </w:r>
    </w:p>
    <w:p>
      <w:pPr>
        <w:spacing w:after="0" w:line="2" w:lineRule="exact"/>
        <w:rPr>
          <w:sz w:val="20"/>
          <w:szCs w:val="20"/>
          <w:color w:val="auto"/>
        </w:rPr>
      </w:pPr>
    </w:p>
    <w:p>
      <w:pPr>
        <w:ind w:firstLine="8"/>
        <w:spacing w:after="0" w:line="249" w:lineRule="auto"/>
        <w:tabs>
          <w:tab w:leader="none" w:pos="41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days after the date of the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Pre-Change in Control Severance Payment and the financial planning services and the related payments provided under Section 5(e) shall be paid as provided in Section 10 hereof.</w:t>
      </w:r>
    </w:p>
    <w:p>
      <w:pPr>
        <w:spacing w:after="0" w:line="162" w:lineRule="exact"/>
        <w:rPr>
          <w:rFonts w:ascii="Arial" w:cs="Arial" w:eastAsia="Arial" w:hAnsi="Arial"/>
          <w:sz w:val="21"/>
          <w:szCs w:val="21"/>
          <w:color w:val="auto"/>
        </w:rPr>
      </w:pPr>
    </w:p>
    <w:p>
      <w:pPr>
        <w:ind w:left="1960" w:hanging="655"/>
        <w:spacing w:after="0"/>
        <w:tabs>
          <w:tab w:leader="none" w:pos="1960"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right="60"/>
        <w:spacing w:after="0" w:line="275" w:lineRule="auto"/>
        <w:rPr>
          <w:rFonts w:ascii="Arial" w:cs="Arial" w:eastAsia="Arial" w:hAnsi="Arial"/>
          <w:sz w:val="19"/>
          <w:szCs w:val="19"/>
          <w:color w:val="auto"/>
        </w:rPr>
      </w:pPr>
      <w:r>
        <w:rPr>
          <w:rFonts w:ascii="Arial" w:cs="Arial" w:eastAsia="Arial" w:hAnsi="Arial"/>
          <w:sz w:val="19"/>
          <w:szCs w:val="19"/>
          <w:color w:val="auto"/>
        </w:rPr>
        <w:t>(A)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 (The amounts specified in clauses (A), (B), (C) and (D) shall be hereinafter referred to as the “</w:t>
      </w:r>
      <w:r>
        <w:rPr>
          <w:rFonts w:ascii="Arial" w:cs="Arial" w:eastAsia="Arial" w:hAnsi="Arial"/>
          <w:sz w:val="19"/>
          <w:szCs w:val="19"/>
          <w:u w:val="single" w:color="auto"/>
          <w:color w:val="auto"/>
        </w:rPr>
        <w:t>Pre-Change in Control Accrued Obligations</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right="20" w:firstLine="1305"/>
        <w:spacing w:after="0" w:line="251" w:lineRule="auto"/>
        <w:tabs>
          <w:tab w:leader="none" w:pos="1945"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60" w:firstLine="1305"/>
        <w:spacing w:after="0" w:line="246" w:lineRule="auto"/>
        <w:tabs>
          <w:tab w:leader="none" w:pos="1945" w:val="left"/>
        </w:tabs>
        <w:numPr>
          <w:ilvl w:val="1"/>
          <w:numId w:val="123"/>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six (6)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w:t>
      </w:r>
    </w:p>
    <w:p>
      <w:pPr>
        <w:spacing w:after="0" w:line="167" w:lineRule="exact"/>
        <w:rPr>
          <w:rFonts w:ascii="Arial" w:cs="Arial" w:eastAsia="Arial" w:hAnsi="Arial"/>
          <w:sz w:val="21"/>
          <w:szCs w:val="21"/>
          <w:color w:val="auto"/>
        </w:rPr>
      </w:pPr>
    </w:p>
    <w:p>
      <w:pPr>
        <w:ind w:right="100" w:firstLine="1305"/>
        <w:spacing w:after="0" w:line="235" w:lineRule="auto"/>
        <w:tabs>
          <w:tab w:leader="none" w:pos="1945"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eighteen (18)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4" w:lineRule="exact"/>
        <w:rPr>
          <w:rFonts w:ascii="Arial" w:cs="Arial" w:eastAsia="Arial" w:hAnsi="Arial"/>
          <w:sz w:val="22"/>
          <w:szCs w:val="22"/>
          <w:color w:val="auto"/>
        </w:rPr>
      </w:pPr>
    </w:p>
    <w:p>
      <w:pPr>
        <w:ind w:right="60" w:firstLine="1305"/>
        <w:spacing w:after="0" w:line="273" w:lineRule="auto"/>
        <w:tabs>
          <w:tab w:leader="none" w:pos="1945"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eighteen (18)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jc w:val="both"/>
        <w:ind w:right="400" w:firstLine="1305"/>
        <w:spacing w:after="0" w:line="238" w:lineRule="auto"/>
        <w:tabs>
          <w:tab w:leader="none" w:pos="1945"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5 under the terms and conditions of the Sempra Energy Employee and Director Savings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5 above, and except as provided in Section 19(i) hereof, in the event of the Involuntary Termination of the Executive on or within two (2) years following a Change in Control, in lieu of the payments described in Section 5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150% of the Executive’s Annual Base Salary as in effect immediately prior to</w:t>
      </w:r>
    </w:p>
    <w:p>
      <w:pPr>
        <w:sectPr>
          <w:pgSz w:w="11900" w:h="16838" w:orient="portrait"/>
          <w:cols w:equalWidth="0" w:num="1">
            <w:col w:w="11400"/>
          </w:cols>
          <w:pgMar w:left="240" w:top="118" w:right="259" w:bottom="0" w:gutter="0" w:footer="0" w:header="0"/>
        </w:sectPr>
      </w:pPr>
    </w:p>
    <w:bookmarkStart w:id="109" w:name="page110"/>
    <w:bookmarkEnd w:id="109"/>
    <w:p>
      <w:pPr>
        <w:ind w:right="160"/>
        <w:spacing w:after="0" w:line="273" w:lineRule="auto"/>
        <w:rPr>
          <w:sz w:val="20"/>
          <w:szCs w:val="20"/>
          <w:color w:val="auto"/>
        </w:rPr>
      </w:pPr>
      <w:r>
        <w:rPr>
          <w:rFonts w:ascii="Arial" w:cs="Arial" w:eastAsia="Arial" w:hAnsi="Arial"/>
          <w:sz w:val="19"/>
          <w:szCs w:val="19"/>
          <w:color w:val="auto"/>
        </w:rPr>
        <w:t xml:space="preserve">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(f). Except as provided in Sections 6(g) and 6(h), the Post-Change in Control Severance Payment and the payments under Sections 6(a) and (b) shall be paid on such date as is determined by the Company within thirty (30) days after the date of the Involuntary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Involuntary Termination, the Post-Change in Control Severance Payment, the Additional Post-Change in Control Severance Payment under Section 6(a)(E), the payment under Section 6(b) (but only to the extent such payment or portion thereof is subject to Section 409A of the Code), and the financial planning services and the related payments provided under Section 6(f) shall be paid as provided in Section 10 hereof.</w:t>
      </w:r>
    </w:p>
    <w:p>
      <w:pPr>
        <w:spacing w:after="0" w:line="149" w:lineRule="exact"/>
        <w:rPr>
          <w:sz w:val="20"/>
          <w:szCs w:val="20"/>
          <w:color w:val="auto"/>
        </w:rPr>
      </w:pPr>
    </w:p>
    <w:p>
      <w:pPr>
        <w:ind w:left="1960" w:hanging="655"/>
        <w:spacing w:after="0"/>
        <w:tabs>
          <w:tab w:leader="none" w:pos="1960"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firstLine="8"/>
        <w:spacing w:after="0" w:line="243" w:lineRule="auto"/>
        <w:tabs>
          <w:tab w:leader="none" w:pos="354"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(D) reimbursement for unreimbursed business expenses, if any, properly incurred by the Executive in the performance of his duties in accordance with policies established from time to time by the Board, and (E) an amount (the “</w:t>
      </w:r>
      <w:r>
        <w:rPr>
          <w:rFonts w:ascii="Arial" w:cs="Arial" w:eastAsia="Arial" w:hAnsi="Arial"/>
          <w:sz w:val="21"/>
          <w:szCs w:val="21"/>
          <w:u w:val="single" w:color="auto"/>
          <w:color w:val="auto"/>
        </w:rPr>
        <w:t>Additional Post-Change in Control Severance Payment</w:t>
      </w:r>
      <w:r>
        <w:rPr>
          <w:rFonts w:ascii="Arial" w:cs="Arial" w:eastAsia="Arial" w:hAnsi="Arial"/>
          <w:sz w:val="21"/>
          <w:szCs w:val="21"/>
          <w:color w:val="auto"/>
        </w:rPr>
        <w:t>”) equal to: (i) the greater of: (X) 50%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in the case of each amount described in clause (A), (B), (C) or (D) to the extent not theretofore paid. (The amounts specified in clauses (A), (B), (C), (D) and (E) shall be hereinafter referred to as the “</w:t>
      </w:r>
      <w:r>
        <w:rPr>
          <w:rFonts w:ascii="Arial" w:cs="Arial" w:eastAsia="Arial" w:hAnsi="Arial"/>
          <w:sz w:val="21"/>
          <w:szCs w:val="21"/>
          <w:u w:val="single" w:color="auto"/>
          <w:color w:val="auto"/>
        </w:rPr>
        <w:t>Post-Change in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Control Accrued Obligations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right="260" w:firstLine="1305"/>
        <w:spacing w:after="0" w:line="273" w:lineRule="auto"/>
        <w:tabs>
          <w:tab w:leader="none" w:pos="1945"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6(b), in the event that the Executive is a “Participant” (as defined in the SERP) as of the Date of Termination.</w:t>
      </w:r>
    </w:p>
    <w:p>
      <w:pPr>
        <w:spacing w:after="0" w:line="1" w:lineRule="exact"/>
        <w:rPr>
          <w:rFonts w:ascii="Arial" w:cs="Arial" w:eastAsia="Arial" w:hAnsi="Arial"/>
          <w:sz w:val="19"/>
          <w:szCs w:val="19"/>
          <w:color w:val="auto"/>
        </w:rPr>
      </w:pPr>
    </w:p>
    <w:p>
      <w:pPr>
        <w:ind w:right="20" w:firstLine="54"/>
        <w:spacing w:after="0" w:line="269" w:lineRule="auto"/>
        <w:rPr>
          <w:rFonts w:ascii="Arial" w:cs="Arial" w:eastAsia="Arial" w:hAnsi="Arial"/>
          <w:sz w:val="19"/>
          <w:szCs w:val="19"/>
          <w:color w:val="auto"/>
        </w:rPr>
      </w:pPr>
      <w:r>
        <w:rPr>
          <w:rFonts w:ascii="Arial" w:cs="Arial" w:eastAsia="Arial" w:hAnsi="Arial"/>
          <w:sz w:val="19"/>
          <w:szCs w:val="19"/>
          <w:color w:val="auto"/>
        </w:rPr>
        <w:t>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 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6(b),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6(b) shall be in full satisfaction of any and all of the benefits payable to or on behalf of the Executive under the SERP.</w:t>
      </w:r>
    </w:p>
    <w:p>
      <w:pPr>
        <w:spacing w:after="0" w:line="393" w:lineRule="exact"/>
        <w:rPr>
          <w:rFonts w:ascii="Arial" w:cs="Arial" w:eastAsia="Arial" w:hAnsi="Arial"/>
          <w:sz w:val="19"/>
          <w:szCs w:val="19"/>
          <w:color w:val="auto"/>
        </w:rPr>
      </w:pPr>
    </w:p>
    <w:p>
      <w:pPr>
        <w:ind w:right="20" w:firstLine="1305"/>
        <w:spacing w:after="0" w:line="272" w:lineRule="auto"/>
        <w:tabs>
          <w:tab w:leader="none" w:pos="1945"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48" w:lineRule="exact"/>
        <w:rPr>
          <w:rFonts w:ascii="Arial" w:cs="Arial" w:eastAsia="Arial" w:hAnsi="Arial"/>
          <w:sz w:val="19"/>
          <w:szCs w:val="19"/>
          <w:color w:val="auto"/>
        </w:rPr>
      </w:pPr>
    </w:p>
    <w:p>
      <w:pPr>
        <w:ind w:right="260" w:firstLine="1305"/>
        <w:spacing w:after="0" w:line="277" w:lineRule="auto"/>
        <w:tabs>
          <w:tab w:leader="none" w:pos="1945"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twelve (12)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 substantially the same terms and conditions and at the same cost to the Executive as in effect immediately prior to the date of Involuntary Termination or the Change in Control Date, whichever is more favorable to the Executive. Such</w:t>
      </w:r>
    </w:p>
    <w:p>
      <w:pPr>
        <w:sectPr>
          <w:pgSz w:w="11900" w:h="16838" w:orient="portrait"/>
          <w:cols w:equalWidth="0" w:num="1">
            <w:col w:w="11420"/>
          </w:cols>
          <w:pgMar w:left="240" w:top="118" w:right="239" w:bottom="0" w:gutter="0" w:footer="0" w:header="0"/>
        </w:sectPr>
      </w:pPr>
    </w:p>
    <w:bookmarkStart w:id="110" w:name="page111"/>
    <w:bookmarkEnd w:id="110"/>
    <w:p>
      <w:pPr>
        <w:ind w:right="100"/>
        <w:spacing w:after="0" w:line="251" w:lineRule="auto"/>
        <w:rPr>
          <w:sz w:val="20"/>
          <w:szCs w:val="20"/>
          <w:color w:val="auto"/>
        </w:rPr>
      </w:pPr>
      <w:r>
        <w:rPr>
          <w:rFonts w:ascii="Arial" w:cs="Arial" w:eastAsia="Arial" w:hAnsi="Arial"/>
          <w:sz w:val="22"/>
          <w:szCs w:val="22"/>
          <w:color w:val="auto"/>
        </w:rPr>
        <w:t>benefits shall be provided through insurance maintained by the Company under the Company benefit plans. Such benefits shall be provided in a manner that complies with Treasury Regulation Section 1.409A-1(a)(5).</w:t>
      </w:r>
    </w:p>
    <w:p>
      <w:pPr>
        <w:spacing w:after="0" w:line="160" w:lineRule="exact"/>
        <w:rPr>
          <w:sz w:val="20"/>
          <w:szCs w:val="20"/>
          <w:color w:val="auto"/>
        </w:rPr>
      </w:pPr>
    </w:p>
    <w:p>
      <w:pPr>
        <w:ind w:firstLine="1305"/>
        <w:spacing w:after="0" w:line="247" w:lineRule="auto"/>
        <w:tabs>
          <w:tab w:leader="none" w:pos="1945"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twenty-four (24)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8" w:lineRule="exact"/>
        <w:rPr>
          <w:rFonts w:ascii="Arial" w:cs="Arial" w:eastAsia="Arial" w:hAnsi="Arial"/>
          <w:sz w:val="21"/>
          <w:szCs w:val="21"/>
          <w:color w:val="auto"/>
        </w:rPr>
      </w:pPr>
    </w:p>
    <w:p>
      <w:pPr>
        <w:ind w:firstLine="1305"/>
        <w:spacing w:after="0" w:line="273" w:lineRule="auto"/>
        <w:tabs>
          <w:tab w:leader="none" w:pos="1945"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391" w:lineRule="exact"/>
        <w:rPr>
          <w:rFonts w:ascii="Arial" w:cs="Arial" w:eastAsia="Arial" w:hAnsi="Arial"/>
          <w:sz w:val="19"/>
          <w:szCs w:val="19"/>
          <w:color w:val="auto"/>
        </w:rPr>
      </w:pPr>
    </w:p>
    <w:p>
      <w:pPr>
        <w:ind w:right="40" w:firstLine="1305"/>
        <w:spacing w:after="0" w:line="275" w:lineRule="auto"/>
        <w:tabs>
          <w:tab w:leader="none" w:pos="1945"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5 hereof, be entitled to the Post-Change in Control Severance Payment and the additional benefits described in this Section 6 as if such Involuntary Termination had occurred within two (2) years following the Change in Control. The amounts specified in Section 6 that are to be paid under this Section 6(g) shall be reduced by any amount previously paid under Section 5. The amounts to be paid under this Section 6(g) shall be paid within thirty (30) days after the Change in Control Date of such Change in Control.</w:t>
      </w:r>
    </w:p>
    <w:p>
      <w:pPr>
        <w:spacing w:after="0" w:line="144" w:lineRule="exact"/>
        <w:rPr>
          <w:rFonts w:ascii="Arial" w:cs="Arial" w:eastAsia="Arial" w:hAnsi="Arial"/>
          <w:sz w:val="19"/>
          <w:szCs w:val="19"/>
          <w:color w:val="auto"/>
        </w:rPr>
      </w:pPr>
    </w:p>
    <w:p>
      <w:pPr>
        <w:ind w:right="540" w:firstLine="1305"/>
        <w:spacing w:after="0" w:line="297" w:lineRule="auto"/>
        <w:tabs>
          <w:tab w:leader="none" w:pos="1945"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to be received by the Executive pursuant to this Section 6 under the terms and conditions of the Deferred Compensation Plan. Any such deferral election shall be made in accordance with Section 18(b) hereof.</w:t>
      </w:r>
    </w:p>
    <w:p>
      <w:pPr>
        <w:spacing w:after="0" w:line="128" w:lineRule="exact"/>
        <w:rPr>
          <w:sz w:val="20"/>
          <w:szCs w:val="20"/>
          <w:color w:val="auto"/>
        </w:rPr>
      </w:pPr>
    </w:p>
    <w:p>
      <w:pPr>
        <w:ind w:firstLine="1297"/>
        <w:spacing w:after="0" w:line="254" w:lineRule="auto"/>
        <w:rPr>
          <w:sz w:val="20"/>
          <w:szCs w:val="20"/>
          <w:color w:val="auto"/>
        </w:rPr>
      </w:pPr>
      <w:r>
        <w:rPr>
          <w:rFonts w:ascii="Arial" w:cs="Arial" w:eastAsia="Arial" w:hAnsi="Arial"/>
          <w:sz w:val="21"/>
          <w:szCs w:val="21"/>
          <w:b w:val="1"/>
          <w:bCs w:val="1"/>
          <w:color w:val="auto"/>
        </w:rPr>
        <w:t xml:space="preserve">Section 7. </w:t>
      </w:r>
      <w:r>
        <w:rPr>
          <w:rFonts w:ascii="Arial" w:cs="Arial" w:eastAsia="Arial" w:hAnsi="Arial"/>
          <w:sz w:val="21"/>
          <w:szCs w:val="21"/>
          <w:u w:val="single" w:color="auto"/>
          <w:color w:val="auto"/>
        </w:rPr>
        <w:t>Severance Benefits upon Termination by the Company for Cause or by the Executive Other than for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Good Reason</w:t>
      </w:r>
      <w:r>
        <w:rPr>
          <w:rFonts w:ascii="Arial" w:cs="Arial" w:eastAsia="Arial" w:hAnsi="Arial"/>
          <w:sz w:val="21"/>
          <w:szCs w:val="21"/>
          <w:color w:val="auto"/>
        </w:rPr>
        <w:t>. If 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11 hereof.</w:t>
      </w:r>
    </w:p>
    <w:p>
      <w:pPr>
        <w:spacing w:after="0" w:line="159" w:lineRule="exact"/>
        <w:rPr>
          <w:sz w:val="20"/>
          <w:szCs w:val="20"/>
          <w:color w:val="auto"/>
        </w:rPr>
      </w:pPr>
    </w:p>
    <w:p>
      <w:pPr>
        <w:ind w:right="40" w:firstLine="1297"/>
        <w:spacing w:after="0" w:line="275"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Service by reason of death or Disability, the Company shall pay the Executive or his estate, as the case may be, the Post-Change in Control Accrued Obligations (without regard to whether a Change in Control has occurred) and any amounts or benefits described in Section 11 hereof. Such payments shall be in addition to those rights and benefits to which the Executive or his estate may be entitled under the relevant Company plans or programs. Such payments shall be paid on such date as determined by the Company within thirty (30) days after the date of the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Separation from Service by reason of Disability, the Additional Post-Change in Control Severance Payment under Section 6(a)(E) shall be paid as provided in Section 10 hereof.</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u w:val="single" w:color="auto"/>
          <w:color w:val="auto"/>
        </w:rPr>
        <w:t>Limitations on Payments by the Company</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33" w:lineRule="auto"/>
        <w:tabs>
          <w:tab w:leader="none" w:pos="194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9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Benefit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80"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118" w:right="239" w:bottom="0" w:gutter="0" w:footer="0" w:header="0"/>
        </w:sectPr>
      </w:pPr>
    </w:p>
    <w:bookmarkStart w:id="111" w:name="page112"/>
    <w:bookmarkEnd w:id="111"/>
    <w:p>
      <w:pPr>
        <w:ind w:left="660" w:right="720" w:firstLine="2593"/>
        <w:spacing w:after="0" w:line="274" w:lineRule="auto"/>
        <w:rPr>
          <w:sz w:val="20"/>
          <w:szCs w:val="20"/>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7" w:lineRule="exact"/>
        <w:rPr>
          <w:sz w:val="20"/>
          <w:szCs w:val="20"/>
          <w:color w:val="auto"/>
        </w:rPr>
      </w:pPr>
    </w:p>
    <w:p>
      <w:pPr>
        <w:ind w:left="1960" w:hanging="655"/>
        <w:spacing w:after="0"/>
        <w:tabs>
          <w:tab w:leader="none" w:pos="19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9:</w:t>
      </w:r>
    </w:p>
    <w:p>
      <w:pPr>
        <w:spacing w:after="0" w:line="206" w:lineRule="exact"/>
        <w:rPr>
          <w:rFonts w:ascii="Arial" w:cs="Arial" w:eastAsia="Arial" w:hAnsi="Arial"/>
          <w:sz w:val="22"/>
          <w:szCs w:val="22"/>
          <w:color w:val="auto"/>
        </w:rPr>
      </w:pPr>
    </w:p>
    <w:p>
      <w:pPr>
        <w:ind w:left="660" w:right="80" w:firstLine="1941"/>
        <w:spacing w:after="0"/>
        <w:tabs>
          <w:tab w:leader="none" w:pos="325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440" w:firstLine="1941"/>
        <w:spacing w:after="0"/>
        <w:tabs>
          <w:tab w:leader="none" w:pos="325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86" w:lineRule="exact"/>
        <w:rPr>
          <w:rFonts w:ascii="Arial" w:cs="Arial" w:eastAsia="Arial" w:hAnsi="Arial"/>
          <w:sz w:val="22"/>
          <w:szCs w:val="22"/>
          <w:color w:val="auto"/>
        </w:rPr>
      </w:pPr>
    </w:p>
    <w:p>
      <w:pPr>
        <w:ind w:right="80" w:firstLine="1305"/>
        <w:spacing w:after="0" w:line="270" w:lineRule="auto"/>
        <w:tabs>
          <w:tab w:leader="none" w:pos="194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9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 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200" w:lineRule="exact"/>
        <w:rPr>
          <w:sz w:val="20"/>
          <w:szCs w:val="20"/>
          <w:color w:val="auto"/>
        </w:rPr>
      </w:pPr>
    </w:p>
    <w:p>
      <w:pPr>
        <w:spacing w:after="0" w:line="202"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10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48"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w:t>
      </w:r>
    </w:p>
    <w:p>
      <w:pPr>
        <w:sectPr>
          <w:pgSz w:w="11900" w:h="16838" w:orient="portrait"/>
          <w:cols w:equalWidth="0" w:num="1">
            <w:col w:w="11420"/>
          </w:cols>
          <w:pgMar w:left="240" w:top="118" w:right="239" w:bottom="0" w:gutter="0" w:footer="0" w:header="0"/>
        </w:sectPr>
      </w:pPr>
    </w:p>
    <w:bookmarkStart w:id="112" w:name="page113"/>
    <w:bookmarkEnd w:id="112"/>
    <w:p>
      <w:pPr>
        <w:ind w:right="380"/>
        <w:spacing w:after="0" w:line="251" w:lineRule="auto"/>
        <w:rPr>
          <w:sz w:val="20"/>
          <w:szCs w:val="20"/>
          <w:color w:val="auto"/>
        </w:rPr>
      </w:pPr>
      <w:r>
        <w:rPr>
          <w:rFonts w:ascii="Arial" w:cs="Arial" w:eastAsia="Arial" w:hAnsi="Arial"/>
          <w:sz w:val="22"/>
          <w:szCs w:val="22"/>
          <w:color w:val="auto"/>
        </w:rPr>
        <w:t>officer of the Company or any Affiliate. Such indemnification and D&amp;O insurance shall be provided in a manner that complies with Treasury Regulation Section 1.409A-1(b)(10).</w:t>
      </w:r>
    </w:p>
    <w:p>
      <w:pPr>
        <w:spacing w:after="0" w:line="16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4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12" w:lineRule="exact"/>
        <w:rPr>
          <w:sz w:val="20"/>
          <w:szCs w:val="20"/>
          <w:color w:val="auto"/>
        </w:rPr>
      </w:pPr>
    </w:p>
    <w:p>
      <w:pPr>
        <w:ind w:right="20" w:firstLine="1297"/>
        <w:spacing w:after="0" w:line="270" w:lineRule="auto"/>
        <w:rPr>
          <w:sz w:val="20"/>
          <w:szCs w:val="20"/>
          <w:color w:val="auto"/>
        </w:rPr>
      </w:pPr>
      <w:r>
        <w:rPr>
          <w:rFonts w:ascii="Arial" w:cs="Arial" w:eastAsia="Arial" w:hAnsi="Arial"/>
          <w:sz w:val="19"/>
          <w:szCs w:val="19"/>
          <w:color w:val="auto"/>
        </w:rPr>
        <w:t>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administered by JAMS in San Diego, California in accordance with the then existing JAMS arbitration rules applicable to employment disputes (the “</w:t>
      </w:r>
      <w:r>
        <w:rPr>
          <w:rFonts w:ascii="Arial" w:cs="Arial" w:eastAsia="Arial" w:hAnsi="Arial"/>
          <w:sz w:val="19"/>
          <w:szCs w:val="19"/>
          <w:u w:val="single" w:color="auto"/>
          <w:color w:val="auto"/>
        </w:rPr>
        <w:t>JAMS Rules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notwithstanding any provision in such rules to the contrary, in all cases the parties shall be entitled to reasonable discovery. In the event of such an arbitration proceeding, the Executive and the Company shall select a mutually acceptable neutral arbitrator from among the JAMS panel of arbitrators. In the event the Executive and the Company cannot agree on an arbitrator, the arbitrator shall be selected in accordance with the then existing JAMS Rules. Neither the Executive nor the Company nor the arbitrator shall disclose the existence, content or results of any arbitration hereunder without the prior written consent of all parties, except to the extent necessary to enforce any arbitration award in a court of competent jurisdiction. Except as provided herein, the Federal Arbitration Act shall govern the interpretation of, enforcement of and all proceedings under this agreement to arbitrate. The arbitrator shall apply the substantive law (and the law of remedies, if applicable) of the state of California, or federal law, or both, as applicable,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The arbitrator shall render an award and a written, reasoned opinion in support thereof. Judgment upon the award may be entered in any court having jurisdiction thereof. The Executive shall not be required to pay any arbitration fee or cost that is unique to arbitration or greater than any amount he would be required to pay to pursue his claims in a court of competent jurisdiction.</w:t>
      </w:r>
    </w:p>
    <w:p>
      <w:pPr>
        <w:spacing w:after="0" w:line="40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193" w:lineRule="exact"/>
        <w:rPr>
          <w:sz w:val="20"/>
          <w:szCs w:val="20"/>
          <w:color w:val="auto"/>
        </w:rPr>
      </w:pPr>
    </w:p>
    <w:p>
      <w:pPr>
        <w:ind w:firstLine="1305"/>
        <w:spacing w:after="0" w:line="271" w:lineRule="auto"/>
        <w:tabs>
          <w:tab w:leader="none" w:pos="194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58" w:lineRule="exact"/>
        <w:rPr>
          <w:rFonts w:ascii="Arial" w:cs="Arial" w:eastAsia="Arial" w:hAnsi="Arial"/>
          <w:sz w:val="19"/>
          <w:szCs w:val="19"/>
          <w:color w:val="auto"/>
        </w:rPr>
      </w:pPr>
    </w:p>
    <w:p>
      <w:pPr>
        <w:ind w:right="40" w:firstLine="1305"/>
        <w:spacing w:after="0" w:line="270" w:lineRule="auto"/>
        <w:tabs>
          <w:tab w:leader="none" w:pos="194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w:t>
      </w:r>
    </w:p>
    <w:p>
      <w:pPr>
        <w:sectPr>
          <w:pgSz w:w="11900" w:h="16838" w:orient="portrait"/>
          <w:cols w:equalWidth="0" w:num="1">
            <w:col w:w="11420"/>
          </w:cols>
          <w:pgMar w:left="240" w:top="118" w:right="239" w:bottom="0" w:gutter="0" w:footer="0" w:header="0"/>
        </w:sectPr>
      </w:pPr>
    </w:p>
    <w:bookmarkStart w:id="113" w:name="page114"/>
    <w:bookmarkEnd w:id="113"/>
    <w:p>
      <w:pPr>
        <w:ind w:right="40"/>
        <w:spacing w:after="0" w:line="251" w:lineRule="auto"/>
        <w:rPr>
          <w:sz w:val="20"/>
          <w:szCs w:val="20"/>
          <w:color w:val="auto"/>
        </w:rPr>
      </w:pPr>
      <w:r>
        <w:rPr>
          <w:rFonts w:ascii="Arial" w:cs="Arial" w:eastAsia="Arial" w:hAnsi="Arial"/>
          <w:sz w:val="22"/>
          <w:szCs w:val="22"/>
          <w:color w:val="auto"/>
        </w:rPr>
        <w:t>prohibiting the Executive from engaging in any activity or threatened activity in violation of the terms of this paragraph and to any other relief available to them.</w:t>
      </w:r>
    </w:p>
    <w:p>
      <w:pPr>
        <w:spacing w:after="0" w:line="160" w:lineRule="exact"/>
        <w:rPr>
          <w:sz w:val="20"/>
          <w:szCs w:val="20"/>
          <w:color w:val="auto"/>
        </w:rPr>
      </w:pPr>
    </w:p>
    <w:p>
      <w:pPr>
        <w:ind w:right="40" w:firstLine="1305"/>
        <w:spacing w:after="0" w:line="282" w:lineRule="auto"/>
        <w:tabs>
          <w:tab w:leader="none" w:pos="194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47" w:lineRule="exact"/>
        <w:rPr>
          <w:rFonts w:ascii="Arial" w:cs="Arial" w:eastAsia="Arial" w:hAnsi="Arial"/>
          <w:sz w:val="19"/>
          <w:szCs w:val="19"/>
          <w:color w:val="auto"/>
        </w:rPr>
      </w:pPr>
    </w:p>
    <w:p>
      <w:pPr>
        <w:ind w:firstLine="1305"/>
        <w:spacing w:after="0" w:line="271" w:lineRule="auto"/>
        <w:tabs>
          <w:tab w:leader="none" w:pos="194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agrees to the covenants described in Section 14(a) and Section 14(b) above, (ii) executes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does not revoke such Release in accordance with the terms thereof, and (iii) agrees to provide the consulting services described in Section 14(e) below, then in consideration for such covenants, the Company shall pay the Executive, in one cash lump sum, an amount (the “</w:t>
      </w:r>
      <w:r>
        <w:rPr>
          <w:rFonts w:ascii="Arial" w:cs="Arial" w:eastAsia="Arial" w:hAnsi="Arial"/>
          <w:sz w:val="19"/>
          <w:szCs w:val="19"/>
          <w:u w:val="single" w:color="auto"/>
          <w:color w:val="auto"/>
        </w:rPr>
        <w:t>Consulting Payment</w:t>
      </w:r>
      <w:r>
        <w:rPr>
          <w:rFonts w:ascii="Arial" w:cs="Arial" w:eastAsia="Arial" w:hAnsi="Arial"/>
          <w:sz w:val="19"/>
          <w:szCs w:val="19"/>
          <w:color w:val="auto"/>
        </w:rPr>
        <w:t>”) in cash equal to the greater of: (X) 150%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w:t>
      </w:r>
    </w:p>
    <w:p>
      <w:pPr>
        <w:spacing w:after="0" w:line="3" w:lineRule="exact"/>
        <w:rPr>
          <w:sz w:val="20"/>
          <w:szCs w:val="20"/>
          <w:color w:val="auto"/>
        </w:rPr>
      </w:pPr>
    </w:p>
    <w:p>
      <w:pPr>
        <w:ind w:right="320"/>
        <w:spacing w:after="0" w:line="215" w:lineRule="auto"/>
        <w:rPr>
          <w:sz w:val="20"/>
          <w:szCs w:val="20"/>
          <w:color w:val="auto"/>
        </w:rPr>
      </w:pPr>
      <w:r>
        <w:rPr>
          <w:rFonts w:ascii="Arial" w:cs="Arial" w:eastAsia="Arial" w:hAnsi="Arial"/>
          <w:sz w:val="22"/>
          <w:szCs w:val="22"/>
          <w:color w:val="auto"/>
        </w:rPr>
        <w:t>Company within 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Payment shall be paid as provided in Section 10 hereof. The Executive shall have the right to elect to defer the Consulting Payment under the terms and conditions of the Company’s Deferred Compensation Plan. Any such deferral election shall be made in accordance with Section 18(b) hereof.</w:t>
      </w:r>
    </w:p>
    <w:p>
      <w:pPr>
        <w:spacing w:after="0" w:line="177" w:lineRule="exact"/>
        <w:rPr>
          <w:sz w:val="20"/>
          <w:szCs w:val="20"/>
          <w:color w:val="auto"/>
        </w:rPr>
      </w:pPr>
    </w:p>
    <w:p>
      <w:pPr>
        <w:ind w:right="40" w:firstLine="1305"/>
        <w:spacing w:after="0" w:line="272" w:lineRule="auto"/>
        <w:tabs>
          <w:tab w:leader="none" w:pos="1945"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covenants described in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4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49" w:lineRule="auto"/>
        <w:tabs>
          <w:tab w:leader="none" w:pos="1945"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5" w:lineRule="exact"/>
        <w:rPr>
          <w:rFonts w:ascii="Arial" w:cs="Arial" w:eastAsia="Arial" w:hAnsi="Arial"/>
          <w:sz w:val="21"/>
          <w:szCs w:val="21"/>
          <w:color w:val="auto"/>
        </w:rPr>
      </w:pPr>
    </w:p>
    <w:p>
      <w:pPr>
        <w:ind w:firstLine="1305"/>
        <w:spacing w:after="0" w:line="272" w:lineRule="auto"/>
        <w:tabs>
          <w:tab w:leader="none" w:pos="1945"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06" w:lineRule="exact"/>
        <w:rPr>
          <w:sz w:val="20"/>
          <w:szCs w:val="20"/>
          <w:color w:val="auto"/>
        </w:rPr>
      </w:pPr>
    </w:p>
    <w:p>
      <w:pPr>
        <w:ind w:right="160" w:firstLine="1305"/>
        <w:spacing w:after="0" w:line="258" w:lineRule="auto"/>
        <w:tabs>
          <w:tab w:leader="none" w:pos="1945"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Assignment by the Executive</w:t>
      </w:r>
      <w:r>
        <w:rPr>
          <w:rFonts w:ascii="Arial" w:cs="Arial" w:eastAsia="Arial" w:hAnsi="Arial"/>
          <w:sz w:val="21"/>
          <w:szCs w:val="21"/>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53" w:lineRule="exact"/>
        <w:rPr>
          <w:rFonts w:ascii="Arial" w:cs="Arial" w:eastAsia="Arial" w:hAnsi="Arial"/>
          <w:sz w:val="21"/>
          <w:szCs w:val="21"/>
          <w:color w:val="auto"/>
        </w:rPr>
      </w:pPr>
    </w:p>
    <w:p>
      <w:pPr>
        <w:ind w:firstLine="1305"/>
        <w:spacing w:after="0" w:line="258" w:lineRule="auto"/>
        <w:tabs>
          <w:tab w:leader="none" w:pos="1945"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ectPr>
          <w:pgSz w:w="11900" w:h="16838" w:orient="portrait"/>
          <w:cols w:equalWidth="0" w:num="1">
            <w:col w:w="11400"/>
          </w:cols>
          <w:pgMar w:left="240" w:top="118" w:right="259" w:bottom="0" w:gutter="0" w:footer="0" w:header="0"/>
        </w:sectPr>
      </w:pPr>
    </w:p>
    <w:bookmarkStart w:id="114" w:name="page115"/>
    <w:bookmarkEnd w:id="114"/>
    <w:p>
      <w:pPr>
        <w:ind w:right="20" w:firstLine="1305"/>
        <w:spacing w:after="0" w:line="279" w:lineRule="auto"/>
        <w:tabs>
          <w:tab w:leader="none" w:pos="1945"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37" w:lineRule="exact"/>
        <w:rPr>
          <w:rFonts w:ascii="Arial" w:cs="Arial" w:eastAsia="Arial" w:hAnsi="Arial"/>
          <w:sz w:val="19"/>
          <w:szCs w:val="19"/>
          <w:color w:val="auto"/>
        </w:rPr>
      </w:pPr>
    </w:p>
    <w:p>
      <w:pPr>
        <w:ind w:right="20" w:firstLine="1305"/>
        <w:spacing w:after="0" w:line="244" w:lineRule="auto"/>
        <w:tabs>
          <w:tab w:leader="none" w:pos="1945"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82" w:lineRule="exact"/>
        <w:rPr>
          <w:rFonts w:ascii="Arial" w:cs="Arial" w:eastAsia="Arial" w:hAnsi="Arial"/>
          <w:sz w:val="21"/>
          <w:szCs w:val="21"/>
          <w:color w:val="auto"/>
        </w:rPr>
      </w:pPr>
    </w:p>
    <w:p>
      <w:pPr>
        <w:ind w:firstLine="1305"/>
        <w:spacing w:after="0" w:line="272" w:lineRule="auto"/>
        <w:tabs>
          <w:tab w:leader="none" w:pos="1945"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44"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206" w:lineRule="exact"/>
        <w:rPr>
          <w:sz w:val="20"/>
          <w:szCs w:val="20"/>
          <w:color w:val="auto"/>
        </w:rPr>
      </w:pPr>
    </w:p>
    <w:p>
      <w:pPr>
        <w:ind w:right="20" w:firstLine="1305"/>
        <w:spacing w:after="0" w:line="270" w:lineRule="auto"/>
        <w:tabs>
          <w:tab w:leader="none" w:pos="1945"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w:t>
      </w:r>
    </w:p>
    <w:p>
      <w:pPr>
        <w:sectPr>
          <w:pgSz w:w="11900" w:h="16838" w:orient="portrait"/>
          <w:cols w:equalWidth="0" w:num="1">
            <w:col w:w="11400"/>
          </w:cols>
          <w:pgMar w:left="240" w:top="118" w:right="259" w:bottom="0" w:gutter="0" w:footer="0" w:header="0"/>
        </w:sectPr>
      </w:pPr>
    </w:p>
    <w:bookmarkStart w:id="115" w:name="page116"/>
    <w:bookmarkEnd w:id="115"/>
    <w:p>
      <w:pPr>
        <w:ind w:right="80"/>
        <w:spacing w:after="0" w:line="234" w:lineRule="auto"/>
        <w:rPr>
          <w:sz w:val="20"/>
          <w:szCs w:val="20"/>
          <w:color w:val="auto"/>
        </w:rPr>
      </w:pPr>
      <w:r>
        <w:rPr>
          <w:rFonts w:ascii="Arial" w:cs="Arial" w:eastAsia="Arial" w:hAnsi="Arial"/>
          <w:sz w:val="22"/>
          <w:szCs w:val="22"/>
          <w:color w:val="auto"/>
        </w:rPr>
        <w:t>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178" w:lineRule="exact"/>
        <w:rPr>
          <w:sz w:val="20"/>
          <w:szCs w:val="20"/>
          <w:color w:val="auto"/>
        </w:rPr>
      </w:pPr>
    </w:p>
    <w:p>
      <w:pPr>
        <w:ind w:right="240" w:firstLine="1305"/>
        <w:spacing w:after="0" w:line="276" w:lineRule="auto"/>
        <w:tabs>
          <w:tab w:leader="none" w:pos="1945"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5(f), 6(h)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ind w:right="100" w:firstLine="158"/>
        <w:spacing w:after="0" w:line="244" w:lineRule="auto"/>
        <w:rPr>
          <w:rFonts w:ascii="Arial" w:cs="Arial" w:eastAsia="Arial" w:hAnsi="Arial"/>
          <w:sz w:val="19"/>
          <w:szCs w:val="19"/>
          <w:color w:val="auto"/>
        </w:rPr>
      </w:pPr>
      <w:r>
        <w:rPr>
          <w:rFonts w:ascii="Arial" w:cs="Arial" w:eastAsia="Arial" w:hAnsi="Arial"/>
          <w:sz w:val="21"/>
          <w:szCs w:val="21"/>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9" w:lineRule="exact"/>
        <w:rPr>
          <w:sz w:val="20"/>
          <w:szCs w:val="20"/>
          <w:color w:val="auto"/>
        </w:rPr>
      </w:pPr>
    </w:p>
    <w:p>
      <w:pPr>
        <w:ind w:right="80" w:firstLine="1305"/>
        <w:spacing w:after="0" w:line="247" w:lineRule="auto"/>
        <w:tabs>
          <w:tab w:leader="none" w:pos="1945"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200" w:firstLine="1305"/>
        <w:spacing w:after="0" w:line="287" w:lineRule="auto"/>
        <w:tabs>
          <w:tab w:leader="none" w:pos="194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43" w:lineRule="exact"/>
        <w:rPr>
          <w:rFonts w:ascii="Arial" w:cs="Arial" w:eastAsia="Arial" w:hAnsi="Arial"/>
          <w:sz w:val="19"/>
          <w:szCs w:val="19"/>
          <w:color w:val="auto"/>
        </w:rPr>
      </w:pPr>
    </w:p>
    <w:p>
      <w:pPr>
        <w:ind w:right="600" w:firstLine="1305"/>
        <w:spacing w:after="0" w:line="251" w:lineRule="auto"/>
        <w:tabs>
          <w:tab w:leader="none" w:pos="194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59" w:lineRule="exact"/>
        <w:rPr>
          <w:rFonts w:ascii="Arial" w:cs="Arial" w:eastAsia="Arial" w:hAnsi="Arial"/>
          <w:sz w:val="22"/>
          <w:szCs w:val="22"/>
          <w:color w:val="auto"/>
        </w:rPr>
      </w:pPr>
    </w:p>
    <w:p>
      <w:pPr>
        <w:ind w:right="200" w:firstLine="1305"/>
        <w:spacing w:after="0" w:line="251" w:lineRule="auto"/>
        <w:tabs>
          <w:tab w:leader="none" w:pos="194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59" w:lineRule="exact"/>
        <w:rPr>
          <w:rFonts w:ascii="Arial" w:cs="Arial" w:eastAsia="Arial" w:hAnsi="Arial"/>
          <w:sz w:val="22"/>
          <w:szCs w:val="22"/>
          <w:color w:val="auto"/>
        </w:rPr>
      </w:pPr>
    </w:p>
    <w:p>
      <w:pPr>
        <w:ind w:right="140" w:firstLine="1305"/>
        <w:spacing w:after="0" w:line="273" w:lineRule="auto"/>
        <w:tabs>
          <w:tab w:leader="none" w:pos="194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w:t>
      </w:r>
    </w:p>
    <w:p>
      <w:pPr>
        <w:spacing w:after="0" w:line="1" w:lineRule="exact"/>
        <w:rPr>
          <w:rFonts w:ascii="Arial" w:cs="Arial" w:eastAsia="Arial" w:hAnsi="Arial"/>
          <w:sz w:val="19"/>
          <w:szCs w:val="19"/>
          <w:color w:val="auto"/>
        </w:rPr>
      </w:pPr>
    </w:p>
    <w:p>
      <w:pPr>
        <w:ind w:right="100"/>
        <w:spacing w:after="0" w:line="256" w:lineRule="auto"/>
        <w:rPr>
          <w:rFonts w:ascii="Arial" w:cs="Arial" w:eastAsia="Arial" w:hAnsi="Arial"/>
          <w:sz w:val="19"/>
          <w:szCs w:val="19"/>
          <w:color w:val="auto"/>
        </w:rPr>
      </w:pPr>
      <w:r>
        <w:rPr>
          <w:rFonts w:ascii="Arial" w:cs="Arial" w:eastAsia="Arial" w:hAnsi="Arial"/>
          <w:sz w:val="21"/>
          <w:szCs w:val="21"/>
          <w:color w:val="auto"/>
        </w:rPr>
        <w:t>1 hereof, or the right of the Company to terminate the Executive’s employment for Cause pursuant to Section 1 hereof shall not be deemed to be a waiver of such provision or right or any other provision or right of this Agreement.</w:t>
      </w:r>
    </w:p>
    <w:p>
      <w:pPr>
        <w:spacing w:after="0" w:line="169" w:lineRule="exact"/>
        <w:rPr>
          <w:rFonts w:ascii="Arial" w:cs="Arial" w:eastAsia="Arial" w:hAnsi="Arial"/>
          <w:sz w:val="19"/>
          <w:szCs w:val="19"/>
          <w:color w:val="auto"/>
        </w:rPr>
      </w:pPr>
    </w:p>
    <w:p>
      <w:pPr>
        <w:ind w:firstLine="1305"/>
        <w:spacing w:after="0" w:line="277" w:lineRule="auto"/>
        <w:tabs>
          <w:tab w:leader="none" w:pos="194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39" w:lineRule="exact"/>
        <w:rPr>
          <w:rFonts w:ascii="Arial" w:cs="Arial" w:eastAsia="Arial" w:hAnsi="Arial"/>
          <w:sz w:val="19"/>
          <w:szCs w:val="19"/>
          <w:color w:val="auto"/>
        </w:rPr>
      </w:pPr>
    </w:p>
    <w:p>
      <w:pPr>
        <w:ind w:right="220" w:firstLine="1305"/>
        <w:spacing w:after="0"/>
        <w:tabs>
          <w:tab w:leader="none" w:pos="194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right="20" w:firstLine="1305"/>
        <w:spacing w:after="0"/>
        <w:tabs>
          <w:tab w:leader="none" w:pos="194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86" w:lineRule="exact"/>
        <w:rPr>
          <w:rFonts w:ascii="Arial" w:cs="Arial" w:eastAsia="Arial" w:hAnsi="Arial"/>
          <w:sz w:val="22"/>
          <w:szCs w:val="22"/>
          <w:color w:val="auto"/>
        </w:rPr>
      </w:pPr>
    </w:p>
    <w:p>
      <w:pPr>
        <w:ind w:right="100" w:firstLine="1305"/>
        <w:spacing w:after="0" w:line="277" w:lineRule="auto"/>
        <w:tabs>
          <w:tab w:leader="none" w:pos="194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Termination upon Sale of Assets of Subsidiary</w:t>
      </w:r>
      <w:r>
        <w:rPr>
          <w:rFonts w:ascii="Arial" w:cs="Arial" w:eastAsia="Arial" w:hAnsi="Arial"/>
          <w:sz w:val="19"/>
          <w:szCs w:val="19"/>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w:t>
      </w:r>
    </w:p>
    <w:p>
      <w:pPr>
        <w:sectPr>
          <w:pgSz w:w="11900" w:h="16838" w:orient="portrait"/>
          <w:cols w:equalWidth="0" w:num="1">
            <w:col w:w="11420"/>
          </w:cols>
          <w:pgMar w:left="240" w:top="118" w:right="239" w:bottom="0" w:gutter="0" w:footer="0" w:header="0"/>
        </w:sectPr>
      </w:pPr>
    </w:p>
    <w:bookmarkStart w:id="116" w:name="page117"/>
    <w:bookmarkEnd w:id="116"/>
    <w:p>
      <w:pPr>
        <w:ind w:right="520" w:firstLine="54"/>
        <w:spacing w:after="0" w:line="251" w:lineRule="auto"/>
        <w:rPr>
          <w:sz w:val="20"/>
          <w:szCs w:val="20"/>
          <w:color w:val="auto"/>
        </w:rPr>
      </w:pPr>
      <w:r>
        <w:rPr>
          <w:rFonts w:ascii="Arial" w:cs="Arial" w:eastAsia="Arial" w:hAnsi="Arial"/>
          <w:sz w:val="22"/>
          <w:szCs w:val="22"/>
          <w:color w:val="auto"/>
        </w:rPr>
        <w:t>Executive declines to accept such offer and the Executive fails to become employed by the Asset Purchaser on the date of the Asset Sale.</w:t>
      </w:r>
    </w:p>
    <w:p>
      <w:pPr>
        <w:spacing w:after="0" w:line="160" w:lineRule="exact"/>
        <w:rPr>
          <w:sz w:val="20"/>
          <w:szCs w:val="20"/>
          <w:color w:val="auto"/>
        </w:rPr>
      </w:pPr>
    </w:p>
    <w:p>
      <w:pPr>
        <w:ind w:right="60" w:firstLine="1305"/>
        <w:spacing w:after="0" w:line="275" w:lineRule="auto"/>
        <w:tabs>
          <w:tab w:leader="none" w:pos="1945"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58" w:lineRule="exact"/>
        <w:rPr>
          <w:rFonts w:ascii="Arial" w:cs="Arial" w:eastAsia="Arial" w:hAnsi="Arial"/>
          <w:sz w:val="19"/>
          <w:szCs w:val="19"/>
          <w:color w:val="auto"/>
        </w:rPr>
      </w:pPr>
    </w:p>
    <w:p>
      <w:pPr>
        <w:ind w:right="40" w:firstLine="1305"/>
        <w:spacing w:after="0" w:line="251" w:lineRule="auto"/>
        <w:tabs>
          <w:tab w:leader="none" w:pos="1945"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Tier 2A Agreement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OC\1056247.3</w:t>
      </w:r>
    </w:p>
    <w:p>
      <w:pPr>
        <w:sectPr>
          <w:pgSz w:w="11900" w:h="16838" w:orient="portrait"/>
          <w:cols w:equalWidth="0" w:num="1">
            <w:col w:w="11420"/>
          </w:cols>
          <w:pgMar w:left="240" w:top="118" w:right="239" w:bottom="1440" w:gutter="0" w:footer="0" w:header="0"/>
        </w:sectPr>
      </w:pPr>
    </w:p>
    <w:bookmarkStart w:id="117" w:name="page118"/>
    <w:bookmarkEnd w:id="117"/>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Debra L. Reed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Executive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Sr. Vice President – Human Resources, Diversity and Inclusion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OC\1056247.3</w:t>
      </w:r>
    </w:p>
    <w:p>
      <w:pPr>
        <w:sectPr>
          <w:pgSz w:w="11900" w:h="16838" w:orient="portrait"/>
          <w:cols w:equalWidth="0" w:num="1">
            <w:col w:w="10980"/>
          </w:cols>
          <w:pgMar w:left="240" w:top="118" w:right="67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TWO: As a material inducement for the payment of the benefit under Section 14(d) of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74" w:lineRule="exact"/>
        <w:rPr>
          <w:sz w:val="20"/>
          <w:szCs w:val="20"/>
          <w:color w:val="auto"/>
        </w:rPr>
      </w:pPr>
    </w:p>
    <w:p>
      <w:pPr>
        <w:ind w:right="20" w:firstLine="1305"/>
        <w:spacing w:after="0" w:line="236" w:lineRule="auto"/>
        <w:tabs>
          <w:tab w:leader="none" w:pos="1945"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40" w:firstLine="1305"/>
        <w:spacing w:after="0" w:line="268" w:lineRule="auto"/>
        <w:tabs>
          <w:tab w:leader="none" w:pos="1945"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word “Claim” or “Claims” shall not refer to any charges, complaints, claims, liabilities, obligations, promises, 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 D&amp;O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containing duties, rights obligations etc. of either party that are to remain operative</w:t>
      </w:r>
      <w:r>
        <w:rPr>
          <w:rFonts w:ascii="Arial" w:cs="Arial" w:eastAsia="Arial" w:hAnsi="Arial"/>
          <w:sz w:val="19"/>
          <w:szCs w:val="19"/>
          <w:color w:val="auto"/>
        </w:rPr>
        <w:t>]. Claims released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 (1) Title VII of the Civil Rights Act of 1964 (race, color, religion, sex and national origin discrimination); (2) 42 U.S.C. § 1981 (discrimination); (3) 29 U.S.C. §§ 621–634 (age discrimination); (4) 29 U.S.C. § 206(d)(l) (equal pay);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w:t>
      </w:r>
    </w:p>
    <w:p>
      <w:pPr>
        <w:spacing w:after="0" w:line="2" w:lineRule="exact"/>
        <w:rPr>
          <w:rFonts w:ascii="Arial" w:cs="Arial" w:eastAsia="Arial" w:hAnsi="Arial"/>
          <w:sz w:val="19"/>
          <w:szCs w:val="19"/>
          <w:color w:val="auto"/>
        </w:rPr>
      </w:pPr>
    </w:p>
    <w:p>
      <w:pPr>
        <w:ind w:right="60" w:firstLine="8"/>
        <w:spacing w:after="0" w:line="232" w:lineRule="auto"/>
        <w:tabs>
          <w:tab w:leader="none" w:pos="41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employment); and (15) any federal, state or other governmental statute, regulation or ordinance which is similar to any of the statutes described in clauses (1) through (14).</w:t>
      </w:r>
    </w:p>
    <w:p>
      <w:pPr>
        <w:spacing w:after="0" w:line="189"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48" w:lineRule="exact"/>
        <w:rPr>
          <w:sz w:val="20"/>
          <w:szCs w:val="20"/>
          <w:color w:val="auto"/>
        </w:rPr>
      </w:pPr>
    </w:p>
    <w:p>
      <w:pPr>
        <w:ind w:left="1300" w:right="1540"/>
        <w:spacing w:after="0" w:line="328"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FAVOR AT THE TIME OF EXECUTING THE</w:t>
      </w:r>
    </w:p>
    <w:p>
      <w:pPr>
        <w:sectPr>
          <w:pgSz w:w="11900" w:h="16838" w:orient="portrait"/>
          <w:cols w:equalWidth="0" w:num="1">
            <w:col w:w="11420"/>
          </w:cols>
          <w:pgMar w:left="240" w:top="604" w:right="239" w:bottom="0" w:gutter="0" w:footer="0" w:header="0"/>
        </w:sectPr>
      </w:pPr>
    </w:p>
    <w:bookmarkStart w:id="119" w:name="page120"/>
    <w:bookmarkEnd w:id="119"/>
    <w:p>
      <w:pPr>
        <w:ind w:left="1300" w:right="2100"/>
        <w:spacing w:after="0" w:line="251" w:lineRule="auto"/>
        <w:rPr>
          <w:sz w:val="20"/>
          <w:szCs w:val="20"/>
          <w:color w:val="auto"/>
        </w:rPr>
      </w:pPr>
      <w:r>
        <w:rPr>
          <w:rFonts w:ascii="Arial" w:cs="Arial" w:eastAsia="Arial" w:hAnsi="Arial"/>
          <w:sz w:val="22"/>
          <w:szCs w:val="22"/>
          <w:color w:val="auto"/>
        </w:rPr>
        <w:t>RELEASE, WHICH IF KNOWN BY HIM MUST HAVE MATERIALLY AFFECTED HIS SETTLEMENT WITH THE DEBTOR.”</w:t>
      </w:r>
    </w:p>
    <w:p>
      <w:pPr>
        <w:spacing w:after="0" w:line="17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NINE:</w:t>
      </w:r>
    </w:p>
    <w:p>
      <w:pPr>
        <w:spacing w:after="0" w:line="193" w:lineRule="exact"/>
        <w:rPr>
          <w:sz w:val="20"/>
          <w:szCs w:val="20"/>
          <w:color w:val="auto"/>
        </w:rPr>
      </w:pPr>
    </w:p>
    <w:p>
      <w:pPr>
        <w:ind w:right="40" w:firstLine="1953"/>
        <w:spacing w:after="0" w:line="235" w:lineRule="auto"/>
        <w:tabs>
          <w:tab w:leader="none" w:pos="259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rFonts w:ascii="Arial" w:cs="Arial" w:eastAsia="Arial" w:hAnsi="Arial"/>
          <w:sz w:val="22"/>
          <w:szCs w:val="22"/>
          <w:color w:val="auto"/>
        </w:rPr>
      </w:pPr>
    </w:p>
    <w:p>
      <w:pPr>
        <w:ind w:right="40" w:firstLine="1953"/>
        <w:spacing w:after="0" w:line="279" w:lineRule="auto"/>
        <w:tabs>
          <w:tab w:leader="none" w:pos="259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80" w:firstLine="1953"/>
        <w:spacing w:after="0" w:line="282" w:lineRule="auto"/>
        <w:tabs>
          <w:tab w:leader="none" w:pos="259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9"/>
          <w:szCs w:val="19"/>
          <w:u w:val="single" w:color="auto"/>
          <w:color w:val="auto"/>
        </w:rPr>
        <w:t>arbitrable dispute</w:t>
      </w:r>
      <w:r>
        <w:rPr>
          <w:rFonts w:ascii="Arial" w:cs="Arial" w:eastAsia="Arial" w:hAnsi="Arial"/>
          <w:sz w:val="19"/>
          <w:szCs w:val="19"/>
          <w:color w:val="auto"/>
        </w:rPr>
        <w:t>”) must be submitted to arbitration in San Diego, California. Arbitration shall take place before an experienced employment arbitrator licensed to practice law in such state and</w:t>
      </w:r>
    </w:p>
    <w:p>
      <w:pPr>
        <w:sectPr>
          <w:pgSz w:w="11900" w:h="16838" w:orient="portrait"/>
          <w:cols w:equalWidth="0" w:num="1">
            <w:col w:w="11400"/>
          </w:cols>
          <w:pgMar w:left="240" w:top="118" w:right="259" w:bottom="0" w:gutter="0" w:footer="0" w:header="0"/>
        </w:sectPr>
      </w:pPr>
    </w:p>
    <w:bookmarkStart w:id="120" w:name="page121"/>
    <w:bookmarkEnd w:id="120"/>
    <w:p>
      <w:pPr>
        <w:spacing w:after="0" w:line="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selected in accordance with the then existing JAMS arbitration rules applicable to employment disputes;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any event, the arbitrator shall allow reasonable discovery. Arbitration shall be the exclusive remedy for any arbitrable dispute. The arbitrator in any arbitrable dispute shall not have authority to modify or change the Agreement in any respect. You and the Company shall each be responsible for payment of one-half (1/2) the amount of the arbitrator’s fee(s);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you be required to pay any fee or cost of arbitration that is unique to arbitration or exceeds 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Court of the State of California for the County of San Diego, or any other court of competent jurisdiction.</w:t>
      </w:r>
    </w:p>
    <w:p>
      <w:pPr>
        <w:spacing w:after="0" w:line="157"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17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You:</w:t>
      </w:r>
      <w:r>
        <w:rPr>
          <w:sz w:val="20"/>
          <w:szCs w:val="20"/>
          <w:color w:val="auto"/>
        </w:rPr>
        <w:tab/>
      </w:r>
      <w:r>
        <w:rPr>
          <w:rFonts w:ascii="Arial" w:cs="Arial" w:eastAsia="Arial" w:hAnsi="Arial"/>
          <w:sz w:val="19"/>
          <w:szCs w:val="19"/>
          <w:b w:val="1"/>
          <w:bCs w:val="1"/>
          <w:color w:val="auto"/>
        </w:rPr>
        <w:t>______________________</w:t>
      </w:r>
    </w:p>
    <w:p>
      <w:pPr>
        <w:spacing w:after="0" w:line="206" w:lineRule="exact"/>
        <w:rPr>
          <w:sz w:val="20"/>
          <w:szCs w:val="20"/>
          <w:color w:val="auto"/>
        </w:rPr>
      </w:pPr>
    </w:p>
    <w:p>
      <w:pPr>
        <w:ind w:right="60" w:firstLine="1297"/>
        <w:spacing w:after="0" w:line="246" w:lineRule="auto"/>
        <w:rPr>
          <w:sz w:val="20"/>
          <w:szCs w:val="20"/>
          <w:color w:val="auto"/>
        </w:rPr>
      </w:pPr>
      <w:r>
        <w:rPr>
          <w:rFonts w:ascii="Arial" w:cs="Arial" w:eastAsia="Arial" w:hAnsi="Arial"/>
          <w:sz w:val="21"/>
          <w:szCs w:val="21"/>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 14(d) of the Severance Pay Agreement.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6"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45" w:orient="portrait"/>
          <w:cols w:equalWidth="0" w:num="1">
            <w:col w:w="11420"/>
          </w:cols>
          <w:pgMar w:left="240" w:top="118" w:right="239" w:bottom="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OC\1056247.3</w:t>
      </w:r>
    </w:p>
    <w:p>
      <w:pPr>
        <w:sectPr>
          <w:pgSz w:w="11900" w:h="16838" w:orient="portrait"/>
          <w:cols w:equalWidth="0" w:num="1">
            <w:col w:w="10179"/>
          </w:cols>
          <w:pgMar w:left="280" w:top="144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25"/>
          <w:szCs w:val="25"/>
          <w:b w:val="1"/>
          <w:bCs w:val="1"/>
          <w:color w:val="auto"/>
        </w:rPr>
        <w:t>Exhibit 10.70</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8</w:t>
      </w:r>
    </w:p>
    <w:p>
      <w:pPr>
        <w:jc w:val="center"/>
        <w:spacing w:after="0" w:line="238" w:lineRule="auto"/>
        <w:rPr>
          <w:sz w:val="20"/>
          <w:szCs w:val="20"/>
          <w:color w:val="auto"/>
        </w:rPr>
      </w:pPr>
      <w:r>
        <w:rPr>
          <w:rFonts w:ascii="Arial" w:cs="Arial" w:eastAsia="Arial" w:hAnsi="Arial"/>
          <w:sz w:val="22"/>
          <w:szCs w:val="22"/>
          <w:color w:val="auto"/>
        </w:rPr>
        <w:t>TO THE</w:t>
      </w:r>
    </w:p>
    <w:p>
      <w:pPr>
        <w:jc w:val="center"/>
        <w:spacing w:after="0" w:line="230" w:lineRule="auto"/>
        <w:rPr>
          <w:sz w:val="20"/>
          <w:szCs w:val="20"/>
          <w:color w:val="auto"/>
        </w:rPr>
      </w:pPr>
      <w:r>
        <w:rPr>
          <w:rFonts w:ascii="Arial" w:cs="Arial" w:eastAsia="Arial" w:hAnsi="Arial"/>
          <w:sz w:val="22"/>
          <w:szCs w:val="22"/>
          <w:color w:val="auto"/>
        </w:rPr>
        <w:t>SAN DIEGO GAS &amp; ELECTRIC COMPANY</w:t>
      </w:r>
    </w:p>
    <w:p>
      <w:pPr>
        <w:jc w:val="center"/>
        <w:spacing w:after="0" w:line="231" w:lineRule="auto"/>
        <w:rPr>
          <w:sz w:val="20"/>
          <w:szCs w:val="20"/>
          <w:color w:val="auto"/>
        </w:rPr>
      </w:pPr>
      <w:r>
        <w:rPr>
          <w:rFonts w:ascii="Arial" w:cs="Arial" w:eastAsia="Arial" w:hAnsi="Arial"/>
          <w:sz w:val="22"/>
          <w:szCs w:val="22"/>
          <w:color w:val="auto"/>
        </w:rPr>
        <w:t>NUCLEAR FACILITIES QUALIFIED CPUC DECOMMISSIONING</w:t>
      </w:r>
    </w:p>
    <w:p>
      <w:pPr>
        <w:jc w:val="center"/>
        <w:spacing w:after="0" w:line="231" w:lineRule="auto"/>
        <w:rPr>
          <w:sz w:val="20"/>
          <w:szCs w:val="20"/>
          <w:color w:val="auto"/>
        </w:rPr>
      </w:pPr>
      <w:r>
        <w:rPr>
          <w:rFonts w:ascii="Arial" w:cs="Arial" w:eastAsia="Arial" w:hAnsi="Arial"/>
          <w:sz w:val="22"/>
          <w:szCs w:val="22"/>
          <w:color w:val="auto"/>
        </w:rPr>
        <w:t>MASTER TRUST AGREEMENT</w:t>
      </w:r>
    </w:p>
    <w:p>
      <w:pPr>
        <w:jc w:val="center"/>
        <w:spacing w:after="0" w:line="230" w:lineRule="auto"/>
        <w:rPr>
          <w:sz w:val="20"/>
          <w:szCs w:val="20"/>
          <w:color w:val="auto"/>
        </w:rPr>
      </w:pPr>
      <w:r>
        <w:rPr>
          <w:rFonts w:ascii="Arial" w:cs="Arial" w:eastAsia="Arial" w:hAnsi="Arial"/>
          <w:sz w:val="22"/>
          <w:szCs w:val="22"/>
          <w:color w:val="auto"/>
        </w:rPr>
        <w:t>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 ONOFRE NUCLEAR GENERATING STATIONS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color w:val="auto"/>
        </w:rPr>
        <w:t>This Amendment No. 8 made this _______ day of ____________, 2011, by and between San Diego Gas &amp; Electric Company</w:t>
      </w:r>
    </w:p>
    <w:p>
      <w:pPr>
        <w:spacing w:after="0" w:line="43" w:lineRule="exact"/>
        <w:rPr>
          <w:sz w:val="20"/>
          <w:szCs w:val="20"/>
          <w:color w:val="auto"/>
        </w:rPr>
      </w:pPr>
    </w:p>
    <w:p>
      <w:pPr>
        <w:ind w:right="500"/>
        <w:spacing w:after="0" w:line="237" w:lineRule="auto"/>
        <w:rPr>
          <w:sz w:val="20"/>
          <w:szCs w:val="20"/>
          <w:color w:val="auto"/>
        </w:rPr>
      </w:pPr>
      <w:r>
        <w:rPr>
          <w:rFonts w:ascii="Arial" w:cs="Arial" w:eastAsia="Arial" w:hAnsi="Arial"/>
          <w:sz w:val="22"/>
          <w:szCs w:val="22"/>
          <w:color w:val="auto"/>
        </w:rPr>
        <w:t>(“Company”) and The Bank of New York Mellon, a New York state bank, successor by operation of law to Mellon Bank, N.A (“Trustee”).</w:t>
      </w:r>
    </w:p>
    <w:p>
      <w:pPr>
        <w:spacing w:after="0" w:line="185"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WHEREAS, pursuant to Section 2.12 of the Nuclear Facilities Qualified Decommissioning Master Trust for San Onofre Nuclear Generating Stations dated as of June 29, 1992, as amended (“Agreement”) between the Company and the Trustee, the parties specifically reserve the right to amend the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Company and the Trustee agree as follows: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Section 2.02 of the Agreement is hereby deleted in its entirety and restated to read as follows:</w:t>
      </w:r>
    </w:p>
    <w:p>
      <w:pPr>
        <w:spacing w:after="0" w:line="206" w:lineRule="exact"/>
        <w:rPr>
          <w:sz w:val="20"/>
          <w:szCs w:val="20"/>
          <w:color w:val="auto"/>
        </w:rPr>
      </w:pPr>
    </w:p>
    <w:p>
      <w:pPr>
        <w:ind w:left="340" w:right="6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Additions to Master Trust</w:t>
      </w:r>
      <w:r>
        <w:rPr>
          <w:rFonts w:ascii="Arial" w:cs="Arial" w:eastAsia="Arial" w:hAnsi="Arial"/>
          <w:sz w:val="22"/>
          <w:szCs w:val="22"/>
          <w:color w:val="auto"/>
        </w:rPr>
        <w:t>. From time to time after the initial contribution to the Master Trust and prior to the termination of this Master Trust, the Company may make, and the Trustee shall accept, additional contributions to the Master Trust of money and/or securities, to the extent permitted under Section 468A of the Code, to satisfy the purpose of this Master Trust as set forth in Section 1.03, which contributions may be made to the applicable Fund Account(s). With respect to amounts received as a transfer from the San Diego Gas &amp; Electric Company Nuclear Facilities Non-Qualified CPUC Decommissioning Master Trust for San Onofre Nuclear Generating Stations (the “Non-Qualified Master Trust”) to this Master Trust, such amounts attributable to a particular Unit or Fund under the Non-Qualified Master Trust shall be allocated to the same Unit or Fund under this Master Trust.”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  Section 2.03 of the Agreement is hereby deleted in its entirety and restated to read as follows:</w:t>
      </w:r>
    </w:p>
    <w:p>
      <w:pPr>
        <w:spacing w:after="0" w:line="206" w:lineRule="exact"/>
        <w:rPr>
          <w:sz w:val="20"/>
          <w:szCs w:val="20"/>
          <w:color w:val="auto"/>
        </w:rPr>
      </w:pPr>
    </w:p>
    <w:p>
      <w:pPr>
        <w:ind w:left="340" w:right="4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Adjustments for Excess Contributions</w:t>
      </w:r>
      <w:r>
        <w:rPr>
          <w:rFonts w:ascii="Arial" w:cs="Arial" w:eastAsia="Arial" w:hAnsi="Arial"/>
          <w:sz w:val="19"/>
          <w:szCs w:val="19"/>
          <w:color w:val="auto"/>
        </w:rPr>
        <w:t>. The Trustee and the Company understand and agree that the contributions made by the Company to any of the Funds from time to time may exceed the amount permitted to be paid into such funds(s) pursuant to Section 468A of the Code and any regulations thereunder based upon changes in estimates, subsequent developments, or any other event or occurrence which could not reasonably have been foreseen by the Company at the time such contribution was made (Excess Contribution). With respect to any Excess Contribution, the Trustee shall make (i) transfers from the Master Trust to the San Diego Gas &amp; Electric Company Nuclear Facilities Non-Qualified CPUC Decommissioning Master Trust for the San Onofre Nuclear Generating Stations or (ii) withdrawals from the Master Trust to the Company, as the case may be, upon a presentation of a certificate substantially in the form of Exhibit E, instructing the Trustee to make such payment from the Master Trust to the San Diego Gas &amp; Electric Company Nuclear Facilities Non-Qualified CPUC Decommissioning Master Trust for the San Onofre Nuclear Generating Stations, or substantially in the form of Exhibit F, instructing the Trustee to make such payment from the Master Trust to the Company. The Trustee shall be fully protected in relying upon such certificate.”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  Section 2.04 of the Agreement is amended by adding the following language to the end thereof:</w:t>
      </w:r>
    </w:p>
    <w:p>
      <w:pPr>
        <w:spacing w:after="0" w:line="206" w:lineRule="exact"/>
        <w:rPr>
          <w:sz w:val="20"/>
          <w:szCs w:val="20"/>
          <w:color w:val="auto"/>
        </w:rPr>
      </w:pPr>
    </w:p>
    <w:p>
      <w:pPr>
        <w:ind w:left="340" w:right="120"/>
        <w:spacing w:after="0" w:line="287" w:lineRule="auto"/>
        <w:rPr>
          <w:sz w:val="20"/>
          <w:szCs w:val="20"/>
          <w:color w:val="auto"/>
        </w:rPr>
      </w:pPr>
      <w:r>
        <w:rPr>
          <w:rFonts w:ascii="Arial" w:cs="Arial" w:eastAsia="Arial" w:hAnsi="Arial"/>
          <w:sz w:val="19"/>
          <w:szCs w:val="19"/>
          <w:color w:val="auto"/>
        </w:rPr>
        <w:t>“Notwithstanding the preceding sentence or anything else in this Master Trust to the contrary, monies or securities can be transferred from the Master Trust to the San Diego Gas &amp; Electric Company Nuclear Facilities Non-Qualified CPUC Decommissioning Master Trust for the San Onofre Nuclear Generating Stations to the extent permitted by Section 468A of the Code and directed by the Company upon presentation of a certificate substantially in the form of Exhibit E.”</w:t>
      </w:r>
    </w:p>
    <w:p>
      <w:pPr>
        <w:spacing w:after="0" w:line="130" w:lineRule="exact"/>
        <w:rPr>
          <w:sz w:val="20"/>
          <w:szCs w:val="20"/>
          <w:color w:val="auto"/>
        </w:rPr>
      </w:pPr>
    </w:p>
    <w:p>
      <w:pPr>
        <w:ind w:left="660" w:right="280" w:hanging="328"/>
        <w:spacing w:after="0"/>
        <w:tabs>
          <w:tab w:leader="none" w:pos="6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Each Party hereby represents and warrants to the others that it has full authority to enter into this Amendment No. 8 upon the terms and conditions hereof and that the individual executing this Amendment No. 8 on its behalf has the requisite authority to bind that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to follow]</w:t>
      </w:r>
    </w:p>
    <w:p>
      <w:pPr>
        <w:sectPr>
          <w:pgSz w:w="11900" w:h="16838" w:orient="portrait"/>
          <w:cols w:equalWidth="0" w:num="1">
            <w:col w:w="11420"/>
          </w:cols>
          <w:pgMar w:left="240" w:top="360" w:right="239" w:bottom="1440" w:gutter="0" w:footer="0" w:header="0"/>
        </w:sectPr>
      </w:pPr>
    </w:p>
    <w:bookmarkStart w:id="123" w:name="page124"/>
    <w:bookmarkEnd w:id="123"/>
    <w:p>
      <w:pPr>
        <w:spacing w:after="0" w:line="251" w:lineRule="auto"/>
        <w:rPr>
          <w:sz w:val="20"/>
          <w:szCs w:val="20"/>
          <w:color w:val="auto"/>
        </w:rPr>
      </w:pPr>
      <w:r>
        <w:rPr>
          <w:rFonts w:ascii="Arial" w:cs="Arial" w:eastAsia="Arial" w:hAnsi="Arial"/>
          <w:sz w:val="22"/>
          <w:szCs w:val="22"/>
          <w:color w:val="auto"/>
        </w:rPr>
        <w:t>IN WITNESS WHEREOF, the Company, the Trustee, and the California Public Utilities Commission have set their hands and seals in agreement to these amendments effective as provided above.</w:t>
      </w:r>
    </w:p>
    <w:p>
      <w:pPr>
        <w:spacing w:after="0" w:line="200" w:lineRule="exact"/>
        <w:rPr>
          <w:sz w:val="20"/>
          <w:szCs w:val="20"/>
          <w:color w:val="auto"/>
        </w:rPr>
      </w:pP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DIEGO GAS &amp; ELECTRIC COMPANY</w:t>
      </w:r>
    </w:p>
    <w:p>
      <w:pPr>
        <w:spacing w:after="0" w:line="200" w:lineRule="exact"/>
        <w:rPr>
          <w:sz w:val="20"/>
          <w:szCs w:val="20"/>
          <w:color w:val="auto"/>
        </w:rPr>
      </w:pPr>
    </w:p>
    <w:p>
      <w:pPr>
        <w:spacing w:after="0" w:line="26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________________________________________</w:t>
      </w:r>
    </w:p>
    <w:p>
      <w:pPr>
        <w:spacing w:after="0" w:line="23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________________________________________</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Attest: 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BANK OF NEW YORK MELLON</w:t>
      </w:r>
    </w:p>
    <w:p>
      <w:pPr>
        <w:spacing w:after="0" w:line="200" w:lineRule="exact"/>
        <w:rPr>
          <w:sz w:val="20"/>
          <w:szCs w:val="20"/>
          <w:color w:val="auto"/>
        </w:rPr>
      </w:pPr>
    </w:p>
    <w:p>
      <w:pPr>
        <w:spacing w:after="0" w:line="26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________________________________________</w:t>
      </w:r>
    </w:p>
    <w:p>
      <w:pPr>
        <w:spacing w:after="0" w:line="23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________________________________________</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Attest: 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CALIFORNIA PUBLIC UTILITIES COMMISSION</w:t>
      </w:r>
    </w:p>
    <w:p>
      <w:pPr>
        <w:spacing w:after="0" w:line="200" w:lineRule="exact"/>
        <w:rPr>
          <w:sz w:val="20"/>
          <w:szCs w:val="20"/>
          <w:color w:val="auto"/>
        </w:rPr>
      </w:pPr>
    </w:p>
    <w:p>
      <w:pPr>
        <w:spacing w:after="0" w:line="26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________________________________________</w:t>
      </w:r>
    </w:p>
    <w:p>
      <w:pPr>
        <w:spacing w:after="0" w:line="23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________________________________________</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Attest: ________________________________________</w:t>
      </w:r>
    </w:p>
    <w:p>
      <w:pPr>
        <w:sectPr>
          <w:pgSz w:w="11900" w:h="16838" w:orient="portrait"/>
          <w:cols w:equalWidth="0" w:num="1">
            <w:col w:w="11400"/>
          </w:cols>
          <w:pgMar w:left="240" w:top="361" w:right="259" w:bottom="1440" w:gutter="0" w:footer="0" w:header="0"/>
        </w:sectPr>
      </w:pPr>
    </w:p>
    <w:bookmarkStart w:id="124" w:name="page125"/>
    <w:bookmarkEnd w:id="124"/>
    <w:p>
      <w:pPr>
        <w:ind w:left="5280"/>
        <w:spacing w:after="0"/>
        <w:rPr>
          <w:sz w:val="20"/>
          <w:szCs w:val="20"/>
          <w:color w:val="auto"/>
        </w:rPr>
      </w:pPr>
      <w:r>
        <w:rPr>
          <w:rFonts w:ascii="Arial" w:cs="Arial" w:eastAsia="Arial" w:hAnsi="Arial"/>
          <w:sz w:val="22"/>
          <w:szCs w:val="22"/>
          <w:b w:val="1"/>
          <w:bCs w:val="1"/>
          <w:color w:val="auto"/>
        </w:rPr>
        <w:t>Exhibit E</w:t>
      </w:r>
    </w:p>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CERTIFICATE FOR TRANSFER FROM THE QUALIFIED FUND</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THE NON-QUALIFIED FUND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Bank of New York Mellon, as Trustee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9"/>
          <w:szCs w:val="19"/>
          <w:color w:val="auto"/>
        </w:rPr>
        <w:t>This Certificate is submitted pursuant to Section 2.03 and Section 2.04 of the San Diego Gas &amp; Electric Company Nuclear Facilities Qualified CPUC Decommissioning Master Trust for San Onofre Nuclear Generating Stations, dated __________. All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in this Certificate and not otherwise defined herein shall have the meanings assigned to such terms in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Master Trust. In your capacity as Trustee, you are hereby authorized and instructed as follows (complete one):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 pay $______________ in cash and the securities identified on the schedule attached hereto from the [Unit</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name’s] qualified fund to that Unit’s nonqualified fund.</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With respect to such payment, the undersigned, being an Authorized Representative of San Diego Gas &amp; Electric Company (“Company”), a California corporation, and, in such capacity, being authorized and empowered to execute and deliver this certificate, hereby certifies to the Trustee of the San Diego Gas &amp; Electric Company Nuclear Facilities Qualified CPUC Decommissioning Master Trust for San Onofre Nuclear Generating Stations, pursuant to Section 2.03 and Section 2.04 of the Master Trust, as follows:</w:t>
      </w:r>
    </w:p>
    <w:p>
      <w:pPr>
        <w:spacing w:after="0" w:line="174" w:lineRule="exact"/>
        <w:rPr>
          <w:sz w:val="20"/>
          <w:szCs w:val="20"/>
          <w:color w:val="auto"/>
        </w:rPr>
      </w:pPr>
    </w:p>
    <w:p>
      <w:pPr>
        <w:ind w:left="1960" w:right="380" w:hanging="655"/>
        <w:spacing w:after="0" w:line="238" w:lineRule="auto"/>
        <w:tabs>
          <w:tab w:leader="none" w:pos="19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amount stated herein to be paid from the San Diego Gas &amp; Electric Company Nuclear Facilities Qualified CPUC Decommissioning Master Trust to the San Diego Gas &amp; Electric Company Nuclear Facilities Non-Qualified CPUC Decommissioning Master Trust is an Excess Contribution as set forth in Section 2.03 of the Master Trust.</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[Signature to follow]</w:t>
      </w:r>
    </w:p>
    <w:p>
      <w:pPr>
        <w:sectPr>
          <w:pgSz w:w="11900" w:h="16838" w:orient="portrait"/>
          <w:cols w:equalWidth="0" w:num="1">
            <w:col w:w="11340"/>
          </w:cols>
          <w:pgMar w:left="240" w:top="111" w:right="319" w:bottom="1440" w:gutter="0" w:footer="0" w:header="0"/>
        </w:sectPr>
      </w:pPr>
    </w:p>
    <w:bookmarkStart w:id="125" w:name="page126"/>
    <w:bookmarkEnd w:id="125"/>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Certificate in the capacity as shown below as of</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________.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_____________________________________</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Authorized Representative</w:t>
      </w:r>
    </w:p>
    <w:p>
      <w:pPr>
        <w:sectPr>
          <w:pgSz w:w="11900" w:h="16838" w:orient="portrait"/>
          <w:cols w:equalWidth="0" w:num="1">
            <w:col w:w="10420"/>
          </w:cols>
          <w:pgMar w:left="240" w:top="111" w:right="1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22"/>
          <w:szCs w:val="22"/>
          <w:b w:val="1"/>
          <w:bCs w:val="1"/>
          <w:color w:val="auto"/>
        </w:rPr>
        <w:t>Exhibit 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 FOR WITHDRAWAL OF EXCESS CONTRIBUTION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Bank of New York Mellon, as Trustee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This Certificate is submitted pursuant to Section 2.03 of the San Diego Gas &amp; Electric Company Nuclear Facilities Qualified CPUC Decommissioning Master Trust for San Onofre Nuclear Generating Stations, dated _______. All capitalized terms</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used in this Certificate and not otherwise defined herein shall have the meanings assigned to such terms in the Master Trust. In your capacity as Trustee, you are hereby authorized and instructed to pay $_____________ in cash and the securities identified on the schedule attached hereto to the Company from the Master Trust.</w:t>
      </w:r>
    </w:p>
    <w:p>
      <w:pPr>
        <w:spacing w:after="0" w:line="187"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With respect to such payment, the undersigned, being an Authorized Representative of San Diego Gas &amp; Electric Company (“Company”), a California corporation, and, in such capacity, being authorized and empowered to execute and deliver this certificate, hereby certifies to the Trustee of the San Diego Gas &amp; Electric Company Nuclear Facilities Qualified CPUC Decommissioning Master Trust for San Onofre Nuclear Generating Stations, pursuant to Section 2.03 of the Master Trust, that withdrawal pursuant to Section 2.03 of the Master Trust is appropriate and that $___________ and securities constitutes an Excess Contribution pursuant to Section 2.03 of the Master Trust.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undersigned have executed this Certificate in the capacity as shown below as of</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________.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_____________________________________</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Authorized Representative</w:t>
      </w:r>
    </w:p>
    <w:p>
      <w:pPr>
        <w:sectPr>
          <w:pgSz w:w="11900" w:h="16838" w:orient="portrait"/>
          <w:cols w:equalWidth="0" w:num="1">
            <w:col w:w="11420"/>
          </w:cols>
          <w:pgMar w:left="240" w:top="112"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5"/>
          <w:szCs w:val="25"/>
          <w:b w:val="1"/>
          <w:bCs w:val="1"/>
          <w:color w:val="auto"/>
        </w:rPr>
        <w:t>Exhibit 10.77</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6</w:t>
      </w:r>
    </w:p>
    <w:p>
      <w:pPr>
        <w:jc w:val="center"/>
        <w:spacing w:after="0" w:line="238" w:lineRule="auto"/>
        <w:rPr>
          <w:sz w:val="20"/>
          <w:szCs w:val="20"/>
          <w:color w:val="auto"/>
        </w:rPr>
      </w:pPr>
      <w:r>
        <w:rPr>
          <w:rFonts w:ascii="Arial" w:cs="Arial" w:eastAsia="Arial" w:hAnsi="Arial"/>
          <w:sz w:val="22"/>
          <w:szCs w:val="22"/>
          <w:color w:val="auto"/>
        </w:rPr>
        <w:t>TO THE</w:t>
      </w:r>
    </w:p>
    <w:p>
      <w:pPr>
        <w:jc w:val="center"/>
        <w:spacing w:after="0" w:line="230" w:lineRule="auto"/>
        <w:rPr>
          <w:sz w:val="20"/>
          <w:szCs w:val="20"/>
          <w:color w:val="auto"/>
        </w:rPr>
      </w:pPr>
      <w:r>
        <w:rPr>
          <w:rFonts w:ascii="Arial" w:cs="Arial" w:eastAsia="Arial" w:hAnsi="Arial"/>
          <w:sz w:val="22"/>
          <w:szCs w:val="22"/>
          <w:color w:val="auto"/>
        </w:rPr>
        <w:t>SAN DIEGO GAS &amp; ELECTRIC COMPANY</w:t>
      </w:r>
    </w:p>
    <w:p>
      <w:pPr>
        <w:jc w:val="center"/>
        <w:spacing w:after="0" w:line="231" w:lineRule="auto"/>
        <w:rPr>
          <w:sz w:val="20"/>
          <w:szCs w:val="20"/>
          <w:color w:val="auto"/>
        </w:rPr>
      </w:pPr>
      <w:r>
        <w:rPr>
          <w:rFonts w:ascii="Arial" w:cs="Arial" w:eastAsia="Arial" w:hAnsi="Arial"/>
          <w:sz w:val="22"/>
          <w:szCs w:val="22"/>
          <w:color w:val="auto"/>
        </w:rPr>
        <w:t>NUCLEAR FACILITIES NON-QUALIFIED CPUC DECOMMISSIONING</w:t>
      </w:r>
    </w:p>
    <w:p>
      <w:pPr>
        <w:jc w:val="center"/>
        <w:spacing w:after="0" w:line="231" w:lineRule="auto"/>
        <w:rPr>
          <w:sz w:val="20"/>
          <w:szCs w:val="20"/>
          <w:color w:val="auto"/>
        </w:rPr>
      </w:pPr>
      <w:r>
        <w:rPr>
          <w:rFonts w:ascii="Arial" w:cs="Arial" w:eastAsia="Arial" w:hAnsi="Arial"/>
          <w:sz w:val="22"/>
          <w:szCs w:val="22"/>
          <w:color w:val="auto"/>
        </w:rPr>
        <w:t>MASTER TRUST AGREEMENT</w:t>
      </w:r>
    </w:p>
    <w:p>
      <w:pPr>
        <w:jc w:val="center"/>
        <w:spacing w:after="0" w:line="230" w:lineRule="auto"/>
        <w:rPr>
          <w:sz w:val="20"/>
          <w:szCs w:val="20"/>
          <w:color w:val="auto"/>
        </w:rPr>
      </w:pPr>
      <w:r>
        <w:rPr>
          <w:rFonts w:ascii="Arial" w:cs="Arial" w:eastAsia="Arial" w:hAnsi="Arial"/>
          <w:sz w:val="22"/>
          <w:szCs w:val="22"/>
          <w:color w:val="auto"/>
        </w:rPr>
        <w:t>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 ONOFRE NUCLEAR GENERATING STATIONS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color w:val="auto"/>
        </w:rPr>
        <w:t>This Amendment No. 6 made this _______ day of ____________, 2011, by and between San Diego Gas &amp; Electric Company</w:t>
      </w:r>
    </w:p>
    <w:p>
      <w:pPr>
        <w:spacing w:after="0" w:line="43" w:lineRule="exact"/>
        <w:rPr>
          <w:sz w:val="20"/>
          <w:szCs w:val="20"/>
          <w:color w:val="auto"/>
        </w:rPr>
      </w:pPr>
    </w:p>
    <w:p>
      <w:pPr>
        <w:jc w:val="both"/>
        <w:ind w:right="500"/>
        <w:spacing w:after="0" w:line="237" w:lineRule="auto"/>
        <w:rPr>
          <w:sz w:val="20"/>
          <w:szCs w:val="20"/>
          <w:color w:val="auto"/>
        </w:rPr>
      </w:pPr>
      <w:r>
        <w:rPr>
          <w:rFonts w:ascii="Arial" w:cs="Arial" w:eastAsia="Arial" w:hAnsi="Arial"/>
          <w:sz w:val="22"/>
          <w:szCs w:val="22"/>
          <w:color w:val="auto"/>
        </w:rPr>
        <w:t>(“Company”) and The Bank of New York Mellon, a New York state bank, successor by operation of law to Mellon Bank, N.A (“Trustee”).</w:t>
      </w:r>
    </w:p>
    <w:p>
      <w:pPr>
        <w:spacing w:after="0" w:line="185" w:lineRule="exact"/>
        <w:rPr>
          <w:sz w:val="20"/>
          <w:szCs w:val="20"/>
          <w:color w:val="auto"/>
        </w:rPr>
      </w:pPr>
    </w:p>
    <w:p>
      <w:pPr>
        <w:jc w:val="both"/>
        <w:ind w:right="500"/>
        <w:spacing w:after="0"/>
        <w:rPr>
          <w:sz w:val="20"/>
          <w:szCs w:val="20"/>
          <w:color w:val="auto"/>
        </w:rPr>
      </w:pPr>
      <w:r>
        <w:rPr>
          <w:rFonts w:ascii="Arial" w:cs="Arial" w:eastAsia="Arial" w:hAnsi="Arial"/>
          <w:sz w:val="22"/>
          <w:szCs w:val="22"/>
          <w:color w:val="auto"/>
        </w:rPr>
        <w:t>WHEREAS, pursuant to Section 2.10 of the Nuclear Facilities Non-Qualified Decommissioning Master Trust for San Onofre Nuclear Generating Stations dated as of June 29, 1992, as amended (“Agreement”) between the Company and the Trustee, the parties specifically reserve the right to amend the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Company and the Trustee agree as follows: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Section 2.03 of the Agreement is hereby amended by adding the following language to the end thereof:</w:t>
      </w:r>
    </w:p>
    <w:p>
      <w:pPr>
        <w:spacing w:after="0" w:line="206" w:lineRule="exact"/>
        <w:rPr>
          <w:sz w:val="20"/>
          <w:szCs w:val="20"/>
          <w:color w:val="auto"/>
        </w:rPr>
      </w:pPr>
    </w:p>
    <w:p>
      <w:pPr>
        <w:ind w:left="340" w:right="60"/>
        <w:spacing w:after="0" w:line="236" w:lineRule="auto"/>
        <w:rPr>
          <w:sz w:val="20"/>
          <w:szCs w:val="20"/>
          <w:color w:val="auto"/>
        </w:rPr>
      </w:pPr>
      <w:r>
        <w:rPr>
          <w:rFonts w:ascii="Arial" w:cs="Arial" w:eastAsia="Arial" w:hAnsi="Arial"/>
          <w:sz w:val="22"/>
          <w:szCs w:val="22"/>
          <w:color w:val="auto"/>
        </w:rPr>
        <w:t>“Notwithstanding the preceding sentence or anything else in this Master Trust to the contrary, monies or securities can be transferred from the Master Trust to the San Diego Gas &amp; Electric Company Nuclear Facilities Qualified CPUC Decommissioning Master Trust for the San Onofre Nuclear Generating Stations to the extent permitted by Section 468A of the Code and directed by the Company upon a presentation of a certificate substantially in the form of Exhibit E. The Trustee shall be fully protected in relying upon such certificate.”</w:t>
      </w:r>
    </w:p>
    <w:p>
      <w:pPr>
        <w:spacing w:after="0" w:line="188" w:lineRule="exact"/>
        <w:rPr>
          <w:sz w:val="20"/>
          <w:szCs w:val="20"/>
          <w:color w:val="auto"/>
        </w:rPr>
      </w:pPr>
    </w:p>
    <w:p>
      <w:pPr>
        <w:ind w:left="660" w:right="280" w:hanging="328"/>
        <w:spacing w:after="0"/>
        <w:tabs>
          <w:tab w:leader="none" w:pos="6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Each Party hereby represents and warrants to the others that it has full authority to enter into this Amendment No. 6 upon the terms and conditions hereof and that the individual executing this Amendment No. 6 on its behalf has the requisite authority to bind that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to follow]</w:t>
      </w:r>
    </w:p>
    <w:p>
      <w:pPr>
        <w:sectPr>
          <w:pgSz w:w="11900" w:h="16838" w:orient="portrait"/>
          <w:cols w:equalWidth="0" w:num="1">
            <w:col w:w="11420"/>
          </w:cols>
          <w:pgMar w:left="240" w:top="360" w:right="239" w:bottom="1440" w:gutter="0" w:footer="0" w:header="0"/>
        </w:sectPr>
      </w:pPr>
    </w:p>
    <w:bookmarkStart w:id="128" w:name="page129"/>
    <w:bookmarkEnd w:id="128"/>
    <w:p>
      <w:pPr>
        <w:spacing w:after="0" w:line="251" w:lineRule="auto"/>
        <w:rPr>
          <w:sz w:val="20"/>
          <w:szCs w:val="20"/>
          <w:color w:val="auto"/>
        </w:rPr>
      </w:pPr>
      <w:r>
        <w:rPr>
          <w:rFonts w:ascii="Arial" w:cs="Arial" w:eastAsia="Arial" w:hAnsi="Arial"/>
          <w:sz w:val="22"/>
          <w:szCs w:val="22"/>
          <w:color w:val="auto"/>
        </w:rPr>
        <w:t>IN WITNESS WHEREOF, the Company, the Trustee, and the California Public Utilities Commission have set their hands and seals in agreement to these amendments effective as provided above.</w:t>
      </w:r>
    </w:p>
    <w:p>
      <w:pPr>
        <w:spacing w:after="0" w:line="200" w:lineRule="exact"/>
        <w:rPr>
          <w:sz w:val="20"/>
          <w:szCs w:val="20"/>
          <w:color w:val="auto"/>
        </w:rPr>
      </w:pP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DIEGO GAS &amp; ELECTRIC COMPANY</w:t>
      </w:r>
    </w:p>
    <w:p>
      <w:pPr>
        <w:spacing w:after="0" w:line="200" w:lineRule="exact"/>
        <w:rPr>
          <w:sz w:val="20"/>
          <w:szCs w:val="20"/>
          <w:color w:val="auto"/>
        </w:rPr>
      </w:pPr>
    </w:p>
    <w:p>
      <w:pPr>
        <w:spacing w:after="0" w:line="26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________________________________________</w:t>
      </w:r>
    </w:p>
    <w:p>
      <w:pPr>
        <w:spacing w:after="0" w:line="23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________________________________________</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Attest: 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BANK OF NEW YORK MELLON</w:t>
      </w:r>
    </w:p>
    <w:p>
      <w:pPr>
        <w:spacing w:after="0" w:line="200" w:lineRule="exact"/>
        <w:rPr>
          <w:sz w:val="20"/>
          <w:szCs w:val="20"/>
          <w:color w:val="auto"/>
        </w:rPr>
      </w:pPr>
    </w:p>
    <w:p>
      <w:pPr>
        <w:spacing w:after="0" w:line="26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________________________________________</w:t>
      </w:r>
    </w:p>
    <w:p>
      <w:pPr>
        <w:spacing w:after="0" w:line="23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________________________________________</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Attest: 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CALIFORNIA PUBLIC UTILITIES COMMISSION</w:t>
      </w:r>
    </w:p>
    <w:p>
      <w:pPr>
        <w:spacing w:after="0" w:line="200" w:lineRule="exact"/>
        <w:rPr>
          <w:sz w:val="20"/>
          <w:szCs w:val="20"/>
          <w:color w:val="auto"/>
        </w:rPr>
      </w:pPr>
    </w:p>
    <w:p>
      <w:pPr>
        <w:spacing w:after="0" w:line="26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________________________________________</w:t>
      </w:r>
    </w:p>
    <w:p>
      <w:pPr>
        <w:spacing w:after="0" w:line="23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________________________________________</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Attest: ________________________________________</w:t>
      </w:r>
    </w:p>
    <w:p>
      <w:pPr>
        <w:sectPr>
          <w:pgSz w:w="11900" w:h="16838" w:orient="portrait"/>
          <w:cols w:equalWidth="0" w:num="1">
            <w:col w:w="11400"/>
          </w:cols>
          <w:pgMar w:left="240" w:top="361" w:right="259" w:bottom="1440" w:gutter="0" w:footer="0" w:header="0"/>
        </w:sectPr>
      </w:pPr>
    </w:p>
    <w:bookmarkStart w:id="129" w:name="page130"/>
    <w:bookmarkEnd w:id="129"/>
    <w:p>
      <w:pPr>
        <w:ind w:left="5280"/>
        <w:spacing w:after="0"/>
        <w:rPr>
          <w:sz w:val="20"/>
          <w:szCs w:val="20"/>
          <w:color w:val="auto"/>
        </w:rPr>
      </w:pPr>
      <w:r>
        <w:rPr>
          <w:rFonts w:ascii="Arial" w:cs="Arial" w:eastAsia="Arial" w:hAnsi="Arial"/>
          <w:sz w:val="22"/>
          <w:szCs w:val="22"/>
          <w:b w:val="1"/>
          <w:bCs w:val="1"/>
          <w:color w:val="auto"/>
        </w:rPr>
        <w:t>Exhibit E</w:t>
      </w:r>
    </w:p>
    <w:p>
      <w:pPr>
        <w:spacing w:after="0" w:line="207"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CERTIFICATE FOR TRANSFER FROM THE NON-QUALIFIED FUND</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 THEQUALIFIED FUND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Bank of New York Mellon, as Trustee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8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9"/>
          <w:szCs w:val="19"/>
          <w:color w:val="auto"/>
        </w:rPr>
        <w:t>This Certificate is submitted pursuant to Section 2.03 of the San Diego Gas &amp; Electric Company Nuclear Facilities Non-Qualified CPUC Decommissioning Master Trust for San Onofre Nuclear Generating Stations, dated __________. All capitalized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terms used in this Certificate and not otherwise defined herein shall have the meanings assigned to such terms in the Master Trust.</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In your capacity as Trustee, you are hereby authorized and instructed as follows (complete one):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 pay $______________ in cash and the securities identified on the schedule attached hereto from the [Unit</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name’s] nonqualified fund to that Unit’s qualified fund; or</w:t>
      </w:r>
    </w:p>
    <w:p>
      <w:pPr>
        <w:spacing w:after="0" w:line="188"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With respect to such payment, the undersigned, being an Authorized Representative of San Diego Gas &amp; Electric Company (“Company”), a California corporation, and, in such capacity, being authorized and empowered to execute and deliver this certificate, hereby certifies to the Trustee of the San Diego Gas &amp; Electric Company Nuclear Facilities Non-Qualified CPUC Decommissioning Master Trust for San Onofre Nuclear Generating Stations, pursuant to Section 2.03 of the Master Trust, as follows:</w:t>
      </w:r>
    </w:p>
    <w:p>
      <w:pPr>
        <w:spacing w:after="0" w:line="174" w:lineRule="exact"/>
        <w:rPr>
          <w:sz w:val="20"/>
          <w:szCs w:val="20"/>
          <w:color w:val="auto"/>
        </w:rPr>
      </w:pPr>
    </w:p>
    <w:p>
      <w:pPr>
        <w:ind w:left="1960" w:hanging="655"/>
        <w:spacing w:after="0" w:line="238" w:lineRule="auto"/>
        <w:tabs>
          <w:tab w:leader="none" w:pos="19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amount stated herein to be paid from the San Diego Gas &amp; Electric Company Nuclear Facilities Non-Qualified CPUC Decommissioning Master Trust to the San Diego Gas &amp; Electric Company Nuclear Facilities Qualified CPUC Decommissioning Master Trust is in accordance with the rules of section 468A of the Code and the regulations thereunder.</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[Signature to follow]</w:t>
      </w:r>
    </w:p>
    <w:p>
      <w:pPr>
        <w:sectPr>
          <w:pgSz w:w="11900" w:h="16838" w:orient="portrait"/>
          <w:cols w:equalWidth="0" w:num="1">
            <w:col w:w="11360"/>
          </w:cols>
          <w:pgMar w:left="240" w:top="112" w:right="299" w:bottom="1440" w:gutter="0" w:footer="0" w:header="0"/>
        </w:sectPr>
      </w:pPr>
    </w:p>
    <w:bookmarkStart w:id="130" w:name="page131"/>
    <w:bookmarkEnd w:id="130"/>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Certificate in the capacity as shown below as of</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________.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_____________________________________</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Authorized Representative</w:t>
      </w:r>
    </w:p>
    <w:p>
      <w:pPr>
        <w:sectPr>
          <w:pgSz w:w="11900" w:h="16838" w:orient="portrait"/>
          <w:cols w:equalWidth="0" w:num="1">
            <w:col w:w="10420"/>
          </w:cols>
          <w:pgMar w:left="240" w:top="111" w:right="1239" w:bottom="1440" w:gutter="0" w:footer="0" w:header="0"/>
        </w:sectPr>
      </w:pPr>
    </w:p>
    <w:bookmarkStart w:id="131" w:name="page132"/>
    <w:bookmarkEnd w:id="131"/>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vMerge w:val="restart"/>
          </w:tcPr>
          <w:p>
            <w:pPr>
              <w:spacing w:after="0"/>
              <w:rPr>
                <w:sz w:val="20"/>
                <w:szCs w:val="20"/>
                <w:color w:val="auto"/>
              </w:rPr>
            </w:pPr>
            <w:r>
              <w:rPr>
                <w:rFonts w:ascii="Arial" w:cs="Arial" w:eastAsia="Arial" w:hAnsi="Arial"/>
                <w:sz w:val="18"/>
                <w:szCs w:val="18"/>
                <w:color w:val="auto"/>
              </w:rPr>
              <w:t>Fixed charges and preferred stock</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2007</w:t>
            </w:r>
          </w:p>
        </w:tc>
        <w:tc>
          <w:tcPr>
            <w:tcW w:w="1560" w:type="dxa"/>
            <w:vAlign w:val="bottom"/>
            <w:gridSpan w:val="2"/>
          </w:tcPr>
          <w:p>
            <w:pPr>
              <w:jc w:val="right"/>
              <w:ind w:right="310"/>
              <w:spacing w:after="0"/>
              <w:rPr>
                <w:sz w:val="20"/>
                <w:szCs w:val="20"/>
                <w:color w:val="auto"/>
              </w:rPr>
            </w:pPr>
            <w:r>
              <w:rPr>
                <w:rFonts w:ascii="Arial" w:cs="Arial" w:eastAsia="Arial" w:hAnsi="Arial"/>
                <w:sz w:val="18"/>
                <w:szCs w:val="18"/>
                <w:color w:val="auto"/>
              </w:rPr>
              <w:t>2008</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2009</w:t>
            </w:r>
          </w:p>
        </w:tc>
        <w:tc>
          <w:tcPr>
            <w:tcW w:w="1540" w:type="dxa"/>
            <w:vAlign w:val="bottom"/>
            <w:gridSpan w:val="2"/>
          </w:tcPr>
          <w:p>
            <w:pPr>
              <w:jc w:val="right"/>
              <w:ind w:right="270"/>
              <w:spacing w:after="0"/>
              <w:rPr>
                <w:sz w:val="20"/>
                <w:szCs w:val="20"/>
                <w:color w:val="auto"/>
              </w:rPr>
            </w:pPr>
            <w:r>
              <w:rPr>
                <w:rFonts w:ascii="Arial" w:cs="Arial" w:eastAsia="Arial" w:hAnsi="Arial"/>
                <w:sz w:val="18"/>
                <w:szCs w:val="18"/>
                <w:color w:val="auto"/>
              </w:rPr>
              <w:t>2010</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5"/>
        </w:trPr>
        <w:tc>
          <w:tcPr>
            <w:tcW w:w="3920" w:type="dxa"/>
            <w:vAlign w:val="bottom"/>
            <w:vMerge w:val="continue"/>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60"/>
              <w:spacing w:after="0" w:line="202" w:lineRule="exact"/>
              <w:rPr>
                <w:sz w:val="20"/>
                <w:szCs w:val="20"/>
                <w:color w:val="auto"/>
              </w:rPr>
            </w:pPr>
            <w:r>
              <w:rPr>
                <w:rFonts w:ascii="Arial" w:cs="Arial" w:eastAsia="Arial" w:hAnsi="Arial"/>
                <w:sz w:val="18"/>
                <w:szCs w:val="18"/>
                <w:color w:val="auto"/>
              </w:rPr>
              <w:t>dividends: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$ 379</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$ 353</w:t>
            </w:r>
          </w:p>
        </w:tc>
        <w:tc>
          <w:tcPr>
            <w:tcW w:w="15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$ 455</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$ 492</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$ 549</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Interest portion of annual rentals</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8"/>
                <w:szCs w:val="18"/>
                <w:color w:val="auto"/>
              </w:rPr>
              <w:t>Preferred dividends of subsidiaries (1)</w:t>
            </w:r>
          </w:p>
        </w:tc>
        <w:tc>
          <w:tcPr>
            <w:tcW w:w="11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14</w:t>
            </w:r>
          </w:p>
        </w:tc>
        <w:tc>
          <w:tcPr>
            <w:tcW w:w="15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13</w:t>
            </w:r>
          </w:p>
        </w:tc>
        <w:tc>
          <w:tcPr>
            <w:tcW w:w="15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11</w:t>
            </w:r>
          </w:p>
        </w:tc>
        <w:tc>
          <w:tcPr>
            <w:tcW w:w="15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5"/>
        </w:trPr>
        <w:tc>
          <w:tcPr>
            <w:tcW w:w="3920" w:type="dxa"/>
            <w:vAlign w:val="bottom"/>
          </w:tcPr>
          <w:p>
            <w:pPr>
              <w:ind w:left="240"/>
              <w:spacing w:after="0" w:line="195" w:lineRule="exact"/>
              <w:rPr>
                <w:sz w:val="20"/>
                <w:szCs w:val="20"/>
                <w:color w:val="auto"/>
              </w:rPr>
            </w:pPr>
            <w:r>
              <w:rPr>
                <w:rFonts w:ascii="Arial" w:cs="Arial" w:eastAsia="Arial" w:hAnsi="Arial"/>
                <w:sz w:val="18"/>
                <w:szCs w:val="18"/>
                <w:color w:val="auto"/>
              </w:rPr>
              <w:t>Total fixed charges</w:t>
            </w:r>
          </w:p>
        </w:tc>
        <w:tc>
          <w:tcPr>
            <w:tcW w:w="11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399</w:t>
            </w:r>
          </w:p>
        </w:tc>
        <w:tc>
          <w:tcPr>
            <w:tcW w:w="420" w:type="dxa"/>
            <w:vAlign w:val="bottom"/>
          </w:tcPr>
          <w:p>
            <w:pPr>
              <w:spacing w:after="0"/>
              <w:rPr>
                <w:sz w:val="16"/>
                <w:szCs w:val="16"/>
                <w:color w:val="auto"/>
              </w:rPr>
            </w:pPr>
          </w:p>
        </w:tc>
        <w:tc>
          <w:tcPr>
            <w:tcW w:w="11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369</w:t>
            </w:r>
          </w:p>
        </w:tc>
        <w:tc>
          <w:tcPr>
            <w:tcW w:w="400" w:type="dxa"/>
            <w:vAlign w:val="bottom"/>
          </w:tcPr>
          <w:p>
            <w:pPr>
              <w:spacing w:after="0"/>
              <w:rPr>
                <w:sz w:val="16"/>
                <w:szCs w:val="16"/>
                <w:color w:val="auto"/>
              </w:rPr>
            </w:pPr>
          </w:p>
        </w:tc>
        <w:tc>
          <w:tcPr>
            <w:tcW w:w="11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470</w:t>
            </w:r>
          </w:p>
        </w:tc>
        <w:tc>
          <w:tcPr>
            <w:tcW w:w="400" w:type="dxa"/>
            <w:vAlign w:val="bottom"/>
          </w:tcPr>
          <w:p>
            <w:pPr>
              <w:spacing w:after="0"/>
              <w:rPr>
                <w:sz w:val="16"/>
                <w:szCs w:val="16"/>
                <w:color w:val="auto"/>
              </w:rPr>
            </w:pPr>
          </w:p>
        </w:tc>
        <w:tc>
          <w:tcPr>
            <w:tcW w:w="11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506</w:t>
            </w:r>
          </w:p>
        </w:tc>
        <w:tc>
          <w:tcPr>
            <w:tcW w:w="420" w:type="dxa"/>
            <w:vAlign w:val="bottom"/>
          </w:tcPr>
          <w:p>
            <w:pPr>
              <w:spacing w:after="0"/>
              <w:rPr>
                <w:sz w:val="16"/>
                <w:szCs w:val="16"/>
                <w:color w:val="auto"/>
              </w:rPr>
            </w:pPr>
          </w:p>
        </w:tc>
        <w:tc>
          <w:tcPr>
            <w:tcW w:w="11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Preferred dividends for purpose of ratio</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3920" w:type="dxa"/>
            <w:vAlign w:val="bottom"/>
          </w:tcPr>
          <w:p>
            <w:pPr>
              <w:spacing w:after="0" w:line="182" w:lineRule="exact"/>
              <w:rPr>
                <w:sz w:val="20"/>
                <w:szCs w:val="20"/>
                <w:color w:val="auto"/>
              </w:rPr>
            </w:pPr>
            <w:r>
              <w:rPr>
                <w:rFonts w:ascii="Arial" w:cs="Arial" w:eastAsia="Arial" w:hAnsi="Arial"/>
                <w:sz w:val="18"/>
                <w:szCs w:val="18"/>
                <w:color w:val="auto"/>
              </w:rPr>
              <w:t>Total fixed charges and preferred</w:t>
            </w:r>
          </w:p>
        </w:tc>
        <w:tc>
          <w:tcPr>
            <w:tcW w:w="11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260"/>
              <w:spacing w:after="0"/>
              <w:rPr>
                <w:sz w:val="20"/>
                <w:szCs w:val="20"/>
                <w:color w:val="auto"/>
              </w:rPr>
            </w:pPr>
            <w:r>
              <w:rPr>
                <w:rFonts w:ascii="Arial" w:cs="Arial" w:eastAsia="Arial" w:hAnsi="Arial"/>
                <w:sz w:val="18"/>
                <w:szCs w:val="18"/>
                <w:color w:val="auto"/>
              </w:rPr>
              <w:t>dividends for purpose of ratio</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$ 399</w:t>
            </w:r>
          </w:p>
        </w:tc>
        <w:tc>
          <w:tcPr>
            <w:tcW w:w="15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$ 369</w:t>
            </w:r>
          </w:p>
        </w:tc>
        <w:tc>
          <w:tcPr>
            <w:tcW w:w="15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$ 470</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$ 506</w:t>
            </w:r>
          </w:p>
        </w:tc>
        <w:tc>
          <w:tcPr>
            <w:tcW w:w="15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$ 561</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Pretax income from continuing operations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60"/>
              <w:spacing w:after="0" w:line="202" w:lineRule="exact"/>
              <w:rPr>
                <w:sz w:val="20"/>
                <w:szCs w:val="20"/>
                <w:color w:val="auto"/>
              </w:rPr>
            </w:pPr>
            <w:r>
              <w:rPr>
                <w:rFonts w:ascii="Arial" w:cs="Arial" w:eastAsia="Arial" w:hAnsi="Arial"/>
                <w:sz w:val="18"/>
                <w:szCs w:val="18"/>
                <w:color w:val="auto"/>
              </w:rPr>
              <w:t>before adjustment for income or loss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60"/>
              <w:spacing w:after="0"/>
              <w:rPr>
                <w:sz w:val="20"/>
                <w:szCs w:val="20"/>
                <w:color w:val="auto"/>
              </w:rPr>
            </w:pPr>
            <w:r>
              <w:rPr>
                <w:rFonts w:ascii="Arial" w:cs="Arial" w:eastAsia="Arial" w:hAnsi="Arial"/>
                <w:sz w:val="18"/>
                <w:szCs w:val="18"/>
                <w:color w:val="auto"/>
              </w:rPr>
              <w:t>from equity investees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$ 1,538</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$ 1,009</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$ 977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$ 1,078</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$ 1,745</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Total fixed charges (from above)</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399</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15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470</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Distributed income of equity investees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133</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493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260</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Interest capitalized</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73</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line="203" w:lineRule="exact"/>
              <w:rPr>
                <w:sz w:val="20"/>
                <w:szCs w:val="20"/>
                <w:color w:val="auto"/>
              </w:rPr>
            </w:pPr>
            <w:r>
              <w:rPr>
                <w:rFonts w:ascii="Arial" w:cs="Arial" w:eastAsia="Arial" w:hAnsi="Arial"/>
                <w:sz w:val="18"/>
                <w:szCs w:val="18"/>
                <w:color w:val="auto"/>
              </w:rPr>
              <w:t>Preferred dividends of subsidiaries (1)</w:t>
            </w:r>
          </w:p>
        </w:tc>
        <w:tc>
          <w:tcPr>
            <w:tcW w:w="11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10</w:t>
            </w:r>
          </w:p>
        </w:tc>
        <w:tc>
          <w:tcPr>
            <w:tcW w:w="15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10</w:t>
            </w:r>
          </w:p>
        </w:tc>
        <w:tc>
          <w:tcPr>
            <w:tcW w:w="15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11</w:t>
            </w:r>
          </w:p>
        </w:tc>
        <w:tc>
          <w:tcPr>
            <w:tcW w:w="15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920" w:type="dxa"/>
            <w:vAlign w:val="bottom"/>
          </w:tcPr>
          <w:p>
            <w:pPr>
              <w:spacing w:after="0" w:line="182" w:lineRule="exact"/>
              <w:rPr>
                <w:sz w:val="20"/>
                <w:szCs w:val="20"/>
                <w:color w:val="auto"/>
              </w:rPr>
            </w:pPr>
            <w:r>
              <w:rPr>
                <w:rFonts w:ascii="Arial" w:cs="Arial" w:eastAsia="Arial" w:hAnsi="Arial"/>
                <w:sz w:val="18"/>
                <w:szCs w:val="18"/>
                <w:color w:val="auto"/>
              </w:rPr>
              <w:t>Total earnings for purpose of ratio</w:t>
            </w:r>
          </w:p>
        </w:tc>
        <w:tc>
          <w:tcPr>
            <w:tcW w:w="11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$ 1,846</w:t>
            </w:r>
          </w:p>
        </w:tc>
        <w:tc>
          <w:tcPr>
            <w:tcW w:w="4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$ 1,401</w:t>
            </w:r>
          </w:p>
        </w:tc>
        <w:tc>
          <w:tcPr>
            <w:tcW w:w="4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$ 1,854</w:t>
            </w:r>
          </w:p>
        </w:tc>
        <w:tc>
          <w:tcPr>
            <w:tcW w:w="4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$ 1,759</w:t>
            </w:r>
          </w:p>
        </w:tc>
        <w:tc>
          <w:tcPr>
            <w:tcW w:w="4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$ 2,365</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Ratio of earnings to combined fixed</w:t>
            </w: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920" w:type="dxa"/>
            <w:vAlign w:val="bottom"/>
            <w:vMerge w:val="continue"/>
          </w:tcPr>
          <w:p>
            <w:pPr>
              <w:spacing w:after="0"/>
              <w:rPr>
                <w:sz w:val="24"/>
                <w:szCs w:val="2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4.63</w:t>
            </w:r>
          </w:p>
        </w:tc>
        <w:tc>
          <w:tcPr>
            <w:tcW w:w="420" w:type="dxa"/>
            <w:vAlign w:val="bottom"/>
            <w:vMerge w:val="restart"/>
          </w:tcPr>
          <w:p>
            <w:pPr>
              <w:spacing w:after="0"/>
              <w:rPr>
                <w:sz w:val="24"/>
                <w:szCs w:val="2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400" w:type="dxa"/>
            <w:vAlign w:val="bottom"/>
            <w:vMerge w:val="restart"/>
          </w:tcPr>
          <w:p>
            <w:pPr>
              <w:spacing w:after="0"/>
              <w:rPr>
                <w:sz w:val="24"/>
                <w:szCs w:val="24"/>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3.94</w:t>
            </w:r>
          </w:p>
        </w:tc>
        <w:tc>
          <w:tcPr>
            <w:tcW w:w="400" w:type="dxa"/>
            <w:vAlign w:val="bottom"/>
            <w:vMerge w:val="restart"/>
          </w:tcPr>
          <w:p>
            <w:pPr>
              <w:spacing w:after="0"/>
              <w:rPr>
                <w:sz w:val="24"/>
                <w:szCs w:val="2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420" w:type="dxa"/>
            <w:vAlign w:val="bottom"/>
            <w:vMerge w:val="restart"/>
          </w:tcPr>
          <w:p>
            <w:pPr>
              <w:spacing w:after="0"/>
              <w:rPr>
                <w:sz w:val="24"/>
                <w:szCs w:val="2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68"/>
        </w:trPr>
        <w:tc>
          <w:tcPr>
            <w:tcW w:w="3920" w:type="dxa"/>
            <w:vAlign w:val="bottom"/>
          </w:tcPr>
          <w:p>
            <w:pPr>
              <w:ind w:left="260"/>
              <w:spacing w:after="0" w:line="143" w:lineRule="exact"/>
              <w:rPr>
                <w:sz w:val="20"/>
                <w:szCs w:val="20"/>
                <w:color w:val="auto"/>
              </w:rPr>
            </w:pPr>
            <w:r>
              <w:rPr>
                <w:rFonts w:ascii="Arial" w:cs="Arial" w:eastAsia="Arial" w:hAnsi="Arial"/>
                <w:sz w:val="16"/>
                <w:szCs w:val="16"/>
                <w:color w:val="auto"/>
              </w:rPr>
              <w:t>charges and preferred stock dividends</w:t>
            </w:r>
          </w:p>
        </w:tc>
        <w:tc>
          <w:tcPr>
            <w:tcW w:w="114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3.80</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3.94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3.48</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right="440" w:hanging="545"/>
        <w:spacing w:after="0" w:line="246" w:lineRule="auto"/>
        <w:tabs>
          <w:tab w:leader="none" w:pos="6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873" w:right="239" w:bottom="1440" w:gutter="0" w:footer="0" w:header="0"/>
        </w:sectPr>
      </w:pPr>
    </w:p>
    <w:bookmarkStart w:id="132" w:name="page133"/>
    <w:bookmarkEnd w:id="132"/>
    <w:p>
      <w:pPr>
        <w:jc w:val="center"/>
        <w:ind w:right="140"/>
        <w:spacing w:after="0"/>
        <w:rPr>
          <w:sz w:val="20"/>
          <w:szCs w:val="20"/>
          <w:color w:val="auto"/>
        </w:rPr>
      </w:pPr>
      <w:r>
        <w:rPr>
          <w:rFonts w:ascii="Arial" w:cs="Arial" w:eastAsia="Arial" w:hAnsi="Arial"/>
          <w:sz w:val="18"/>
          <w:szCs w:val="18"/>
          <w:b w:val="1"/>
          <w:bCs w:val="1"/>
          <w:color w:val="auto"/>
        </w:rPr>
        <w:t>EXHIBIT 12.2</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vMerge w:val="restart"/>
          </w:tcPr>
          <w:p>
            <w:pPr>
              <w:spacing w:after="0"/>
              <w:rPr>
                <w:sz w:val="20"/>
                <w:szCs w:val="20"/>
                <w:color w:val="auto"/>
              </w:rPr>
            </w:pPr>
            <w:r>
              <w:rPr>
                <w:rFonts w:ascii="Arial" w:cs="Arial" w:eastAsia="Arial" w:hAnsi="Arial"/>
                <w:sz w:val="18"/>
                <w:szCs w:val="18"/>
                <w:color w:val="auto"/>
              </w:rPr>
              <w:t>Fixed Charges and Preferred Stock</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1620" w:type="dxa"/>
            <w:vAlign w:val="bottom"/>
            <w:gridSpan w:val="2"/>
          </w:tcPr>
          <w:p>
            <w:pPr>
              <w:jc w:val="right"/>
              <w:ind w:right="330"/>
              <w:spacing w:after="0"/>
              <w:rPr>
                <w:sz w:val="20"/>
                <w:szCs w:val="20"/>
                <w:color w:val="auto"/>
              </w:rPr>
            </w:pPr>
            <w:r>
              <w:rPr>
                <w:rFonts w:ascii="Arial" w:cs="Arial" w:eastAsia="Arial" w:hAnsi="Arial"/>
                <w:sz w:val="18"/>
                <w:szCs w:val="18"/>
                <w:color w:val="auto"/>
              </w:rPr>
              <w:t>2008</w:t>
            </w:r>
          </w:p>
        </w:tc>
        <w:tc>
          <w:tcPr>
            <w:tcW w:w="1620" w:type="dxa"/>
            <w:vAlign w:val="bottom"/>
            <w:gridSpan w:val="2"/>
          </w:tcPr>
          <w:p>
            <w:pPr>
              <w:jc w:val="right"/>
              <w:ind w:right="330"/>
              <w:spacing w:after="0"/>
              <w:rPr>
                <w:sz w:val="20"/>
                <w:szCs w:val="20"/>
                <w:color w:val="auto"/>
              </w:rPr>
            </w:pPr>
            <w:r>
              <w:rPr>
                <w:rFonts w:ascii="Arial" w:cs="Arial" w:eastAsia="Arial" w:hAnsi="Arial"/>
                <w:sz w:val="18"/>
                <w:szCs w:val="18"/>
                <w:color w:val="auto"/>
              </w:rPr>
              <w:t>2009</w:t>
            </w:r>
          </w:p>
        </w:tc>
        <w:tc>
          <w:tcPr>
            <w:tcW w:w="1620" w:type="dxa"/>
            <w:vAlign w:val="bottom"/>
            <w:gridSpan w:val="2"/>
          </w:tcPr>
          <w:p>
            <w:pPr>
              <w:jc w:val="right"/>
              <w:ind w:right="330"/>
              <w:spacing w:after="0"/>
              <w:rPr>
                <w:sz w:val="20"/>
                <w:szCs w:val="20"/>
                <w:color w:val="auto"/>
              </w:rPr>
            </w:pPr>
            <w:r>
              <w:rPr>
                <w:rFonts w:ascii="Arial" w:cs="Arial" w:eastAsia="Arial" w:hAnsi="Arial"/>
                <w:sz w:val="18"/>
                <w:szCs w:val="18"/>
                <w:color w:val="auto"/>
              </w:rPr>
              <w:t>2010</w:t>
            </w:r>
          </w:p>
        </w:tc>
        <w:tc>
          <w:tcPr>
            <w:tcW w:w="1640" w:type="dxa"/>
            <w:vAlign w:val="bottom"/>
            <w:gridSpan w:val="2"/>
          </w:tcPr>
          <w:p>
            <w:pPr>
              <w:jc w:val="right"/>
              <w:ind w:right="3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5"/>
        </w:trPr>
        <w:tc>
          <w:tcPr>
            <w:tcW w:w="3580" w:type="dxa"/>
            <w:vAlign w:val="bottom"/>
            <w:vMerge w:val="continue"/>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Dividends:</w:t>
            </w: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$ 105</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$ 107</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$ 118</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$ 153</w:t>
            </w:r>
          </w:p>
        </w:tc>
        <w:tc>
          <w:tcPr>
            <w:tcW w:w="16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$ 193</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8"/>
                <w:szCs w:val="18"/>
                <w:color w:val="auto"/>
              </w:rPr>
              <w:t>Interest portion of annual rentals</w:t>
            </w:r>
          </w:p>
        </w:tc>
        <w:tc>
          <w:tcPr>
            <w:tcW w:w="12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Total fixed charges</w:t>
            </w:r>
          </w:p>
        </w:tc>
        <w:tc>
          <w:tcPr>
            <w:tcW w:w="12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108</w:t>
            </w:r>
          </w:p>
        </w:tc>
        <w:tc>
          <w:tcPr>
            <w:tcW w:w="420" w:type="dxa"/>
            <w:vAlign w:val="bottom"/>
          </w:tcPr>
          <w:p>
            <w:pPr>
              <w:spacing w:after="0"/>
              <w:rPr>
                <w:sz w:val="16"/>
                <w:szCs w:val="16"/>
                <w:color w:val="auto"/>
              </w:rPr>
            </w:pPr>
          </w:p>
        </w:tc>
        <w:tc>
          <w:tcPr>
            <w:tcW w:w="12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108</w:t>
            </w:r>
          </w:p>
        </w:tc>
        <w:tc>
          <w:tcPr>
            <w:tcW w:w="420" w:type="dxa"/>
            <w:vAlign w:val="bottom"/>
          </w:tcPr>
          <w:p>
            <w:pPr>
              <w:spacing w:after="0"/>
              <w:rPr>
                <w:sz w:val="16"/>
                <w:szCs w:val="16"/>
                <w:color w:val="auto"/>
              </w:rPr>
            </w:pPr>
          </w:p>
        </w:tc>
        <w:tc>
          <w:tcPr>
            <w:tcW w:w="12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119</w:t>
            </w:r>
          </w:p>
        </w:tc>
        <w:tc>
          <w:tcPr>
            <w:tcW w:w="420" w:type="dxa"/>
            <w:vAlign w:val="bottom"/>
          </w:tcPr>
          <w:p>
            <w:pPr>
              <w:spacing w:after="0"/>
              <w:rPr>
                <w:sz w:val="16"/>
                <w:szCs w:val="16"/>
                <w:color w:val="auto"/>
              </w:rPr>
            </w:pPr>
          </w:p>
        </w:tc>
        <w:tc>
          <w:tcPr>
            <w:tcW w:w="12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154</w:t>
            </w:r>
          </w:p>
        </w:tc>
        <w:tc>
          <w:tcPr>
            <w:tcW w:w="420" w:type="dxa"/>
            <w:vAlign w:val="bottom"/>
          </w:tcPr>
          <w:p>
            <w:pPr>
              <w:spacing w:after="0"/>
              <w:rPr>
                <w:sz w:val="16"/>
                <w:szCs w:val="16"/>
                <w:color w:val="auto"/>
              </w:rPr>
            </w:pPr>
          </w:p>
        </w:tc>
        <w:tc>
          <w:tcPr>
            <w:tcW w:w="1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8"/>
                <w:szCs w:val="18"/>
                <w:color w:val="auto"/>
              </w:rPr>
              <w:t>Preferred stock dividends (1)</w:t>
            </w:r>
          </w:p>
        </w:tc>
        <w:tc>
          <w:tcPr>
            <w:tcW w:w="12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7</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7</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7</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7</w:t>
            </w:r>
          </w:p>
        </w:tc>
        <w:tc>
          <w:tcPr>
            <w:tcW w:w="16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Combined fixed charges and</w:t>
            </w:r>
          </w:p>
        </w:tc>
        <w:tc>
          <w:tcPr>
            <w:tcW w:w="12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 dividends for</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$ 115</w:t>
            </w:r>
          </w:p>
        </w:tc>
        <w:tc>
          <w:tcPr>
            <w:tcW w:w="16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$ 115</w:t>
            </w:r>
          </w:p>
        </w:tc>
        <w:tc>
          <w:tcPr>
            <w:tcW w:w="16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$ 126</w:t>
            </w:r>
          </w:p>
        </w:tc>
        <w:tc>
          <w:tcPr>
            <w:tcW w:w="16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$ 161</w:t>
            </w:r>
          </w:p>
        </w:tc>
        <w:tc>
          <w:tcPr>
            <w:tcW w:w="16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$ 201</w:t>
            </w:r>
          </w:p>
        </w:tc>
        <w:tc>
          <w:tcPr>
            <w:tcW w:w="0" w:type="dxa"/>
            <w:vAlign w:val="bottom"/>
          </w:tcPr>
          <w:p>
            <w:pPr>
              <w:spacing w:after="0"/>
              <w:rPr>
                <w:sz w:val="1"/>
                <w:szCs w:val="1"/>
                <w:color w:val="auto"/>
              </w:rPr>
            </w:pPr>
          </w:p>
        </w:tc>
      </w:tr>
      <w:tr>
        <w:trPr>
          <w:trHeight w:val="163"/>
        </w:trPr>
        <w:tc>
          <w:tcPr>
            <w:tcW w:w="358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120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Pretax income from continuing</w:t>
            </w: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operations</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$ 406</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$ 451</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$ 550</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$ 531</w:t>
            </w:r>
          </w:p>
        </w:tc>
        <w:tc>
          <w:tcPr>
            <w:tcW w:w="16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$ 692</w:t>
            </w: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Total fixed charges (from above)</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108</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108</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119</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154</w:t>
            </w:r>
          </w:p>
        </w:tc>
        <w:tc>
          <w:tcPr>
            <w:tcW w:w="16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8"/>
                <w:szCs w:val="18"/>
                <w:color w:val="auto"/>
              </w:rPr>
              <w:t>Less: Interest capitalized</w:t>
            </w:r>
          </w:p>
        </w:tc>
        <w:tc>
          <w:tcPr>
            <w:tcW w:w="12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13</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4</w:t>
            </w:r>
          </w:p>
        </w:tc>
        <w:tc>
          <w:tcPr>
            <w:tcW w:w="16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80" w:type="dxa"/>
            <w:vAlign w:val="bottom"/>
          </w:tcPr>
          <w:p>
            <w:pPr>
              <w:spacing w:after="0" w:line="182" w:lineRule="exact"/>
              <w:rPr>
                <w:sz w:val="20"/>
                <w:szCs w:val="20"/>
                <w:color w:val="auto"/>
              </w:rPr>
            </w:pPr>
            <w:r>
              <w:rPr>
                <w:rFonts w:ascii="Arial" w:cs="Arial" w:eastAsia="Arial" w:hAnsi="Arial"/>
                <w:sz w:val="18"/>
                <w:szCs w:val="18"/>
                <w:color w:val="auto"/>
              </w:rPr>
              <w:t>Total earnings for purpose of ratio</w:t>
            </w:r>
          </w:p>
        </w:tc>
        <w:tc>
          <w:tcPr>
            <w:tcW w:w="120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$ 511</w:t>
            </w:r>
          </w:p>
        </w:tc>
        <w:tc>
          <w:tcPr>
            <w:tcW w:w="4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$ 546</w:t>
            </w:r>
          </w:p>
        </w:tc>
        <w:tc>
          <w:tcPr>
            <w:tcW w:w="4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$ 665</w:t>
            </w:r>
          </w:p>
        </w:tc>
        <w:tc>
          <w:tcPr>
            <w:tcW w:w="4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$ 684</w:t>
            </w:r>
          </w:p>
        </w:tc>
        <w:tc>
          <w:tcPr>
            <w:tcW w:w="4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$ 885</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Ratio of earnings to combined fixed</w:t>
            </w: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charges and preferred stock</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4.44</w:t>
            </w:r>
          </w:p>
        </w:tc>
        <w:tc>
          <w:tcPr>
            <w:tcW w:w="420" w:type="dxa"/>
            <w:vAlign w:val="bottom"/>
            <w:vMerge w:val="restart"/>
          </w:tcPr>
          <w:p>
            <w:pPr>
              <w:spacing w:after="0"/>
              <w:rPr>
                <w:sz w:val="17"/>
                <w:szCs w:val="17"/>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4.75</w:t>
            </w:r>
          </w:p>
        </w:tc>
        <w:tc>
          <w:tcPr>
            <w:tcW w:w="420" w:type="dxa"/>
            <w:vAlign w:val="bottom"/>
            <w:vMerge w:val="restart"/>
          </w:tcPr>
          <w:p>
            <w:pPr>
              <w:spacing w:after="0"/>
              <w:rPr>
                <w:sz w:val="17"/>
                <w:szCs w:val="17"/>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5.28</w:t>
            </w:r>
          </w:p>
        </w:tc>
        <w:tc>
          <w:tcPr>
            <w:tcW w:w="420" w:type="dxa"/>
            <w:vAlign w:val="bottom"/>
            <w:vMerge w:val="restart"/>
          </w:tcPr>
          <w:p>
            <w:pPr>
              <w:spacing w:after="0"/>
              <w:rPr>
                <w:sz w:val="17"/>
                <w:szCs w:val="17"/>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4.25</w:t>
            </w:r>
          </w:p>
        </w:tc>
        <w:tc>
          <w:tcPr>
            <w:tcW w:w="420" w:type="dxa"/>
            <w:vAlign w:val="bottom"/>
            <w:vMerge w:val="restart"/>
          </w:tcPr>
          <w:p>
            <w:pPr>
              <w:spacing w:after="0"/>
              <w:rPr>
                <w:sz w:val="17"/>
                <w:szCs w:val="17"/>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68"/>
        </w:trPr>
        <w:tc>
          <w:tcPr>
            <w:tcW w:w="358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120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Pr>
          <w:p>
            <w:pPr>
              <w:spacing w:after="0" w:line="182" w:lineRule="exact"/>
              <w:rPr>
                <w:sz w:val="20"/>
                <w:szCs w:val="20"/>
                <w:color w:val="auto"/>
              </w:rPr>
            </w:pPr>
            <w:r>
              <w:rPr>
                <w:rFonts w:ascii="Arial" w:cs="Arial" w:eastAsia="Arial" w:hAnsi="Arial"/>
                <w:sz w:val="18"/>
                <w:szCs w:val="18"/>
                <w:color w:val="auto"/>
              </w:rPr>
              <w:t>Ratio of earnings to fixed charges</w:t>
            </w:r>
          </w:p>
        </w:tc>
        <w:tc>
          <w:tcPr>
            <w:tcW w:w="120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4.73</w:t>
            </w:r>
          </w:p>
        </w:tc>
        <w:tc>
          <w:tcPr>
            <w:tcW w:w="4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5.06</w:t>
            </w:r>
          </w:p>
        </w:tc>
        <w:tc>
          <w:tcPr>
            <w:tcW w:w="4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5.59</w:t>
            </w:r>
          </w:p>
        </w:tc>
        <w:tc>
          <w:tcPr>
            <w:tcW w:w="4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4.44</w:t>
            </w:r>
          </w:p>
        </w:tc>
        <w:tc>
          <w:tcPr>
            <w:tcW w:w="4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right="220" w:hanging="591"/>
        <w:spacing w:after="0" w:line="246" w:lineRule="auto"/>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873" w:right="239" w:bottom="1440" w:gutter="0" w:footer="0" w:header="0"/>
        </w:sectPr>
      </w:pPr>
    </w:p>
    <w:bookmarkStart w:id="133" w:name="page134"/>
    <w:bookmarkEnd w:id="133"/>
    <w:p>
      <w:pPr>
        <w:jc w:val="center"/>
        <w:ind w:right="140"/>
        <w:spacing w:after="0"/>
        <w:rPr>
          <w:sz w:val="20"/>
          <w:szCs w:val="20"/>
          <w:color w:val="auto"/>
        </w:rPr>
      </w:pPr>
      <w:r>
        <w:rPr>
          <w:rFonts w:ascii="Arial" w:cs="Arial" w:eastAsia="Arial" w:hAnsi="Arial"/>
          <w:sz w:val="18"/>
          <w:szCs w:val="18"/>
          <w:b w:val="1"/>
          <w:bCs w:val="1"/>
          <w:color w:val="auto"/>
        </w:rPr>
        <w:t>EXHIBIT 12.3</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SOUTHERN CALIFORNIA GAS COMPANY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1640" w:type="dxa"/>
            <w:vAlign w:val="bottom"/>
            <w:gridSpan w:val="2"/>
          </w:tcPr>
          <w:p>
            <w:pPr>
              <w:jc w:val="right"/>
              <w:ind w:right="350"/>
              <w:spacing w:after="0"/>
              <w:rPr>
                <w:sz w:val="20"/>
                <w:szCs w:val="20"/>
                <w:color w:val="auto"/>
              </w:rPr>
            </w:pPr>
            <w:r>
              <w:rPr>
                <w:rFonts w:ascii="Arial" w:cs="Arial" w:eastAsia="Arial" w:hAnsi="Arial"/>
                <w:sz w:val="18"/>
                <w:szCs w:val="18"/>
                <w:color w:val="auto"/>
              </w:rPr>
              <w:t>2008</w:t>
            </w:r>
          </w:p>
        </w:tc>
        <w:tc>
          <w:tcPr>
            <w:tcW w:w="1640" w:type="dxa"/>
            <w:vAlign w:val="bottom"/>
            <w:gridSpan w:val="2"/>
          </w:tcPr>
          <w:p>
            <w:pPr>
              <w:jc w:val="right"/>
              <w:ind w:right="350"/>
              <w:spacing w:after="0"/>
              <w:rPr>
                <w:sz w:val="20"/>
                <w:szCs w:val="20"/>
                <w:color w:val="auto"/>
              </w:rPr>
            </w:pPr>
            <w:r>
              <w:rPr>
                <w:rFonts w:ascii="Arial" w:cs="Arial" w:eastAsia="Arial" w:hAnsi="Arial"/>
                <w:sz w:val="18"/>
                <w:szCs w:val="18"/>
                <w:color w:val="auto"/>
              </w:rPr>
              <w:t>2009</w:t>
            </w:r>
          </w:p>
        </w:tc>
        <w:tc>
          <w:tcPr>
            <w:tcW w:w="1640" w:type="dxa"/>
            <w:vAlign w:val="bottom"/>
            <w:gridSpan w:val="2"/>
          </w:tcPr>
          <w:p>
            <w:pPr>
              <w:jc w:val="right"/>
              <w:ind w:right="350"/>
              <w:spacing w:after="0"/>
              <w:rPr>
                <w:sz w:val="20"/>
                <w:szCs w:val="20"/>
                <w:color w:val="auto"/>
              </w:rPr>
            </w:pPr>
            <w:r>
              <w:rPr>
                <w:rFonts w:ascii="Arial" w:cs="Arial" w:eastAsia="Arial" w:hAnsi="Arial"/>
                <w:sz w:val="18"/>
                <w:szCs w:val="18"/>
                <w:color w:val="auto"/>
              </w:rPr>
              <w:t>2010</w:t>
            </w:r>
          </w:p>
        </w:tc>
        <w:tc>
          <w:tcPr>
            <w:tcW w:w="1660" w:type="dxa"/>
            <w:vAlign w:val="bottom"/>
            <w:gridSpan w:val="2"/>
          </w:tcPr>
          <w:p>
            <w:pPr>
              <w:jc w:val="right"/>
              <w:ind w:right="3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5"/>
        </w:trPr>
        <w:tc>
          <w:tcPr>
            <w:tcW w:w="3480" w:type="dxa"/>
            <w:vAlign w:val="bottom"/>
            <w:vMerge w:val="continue"/>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$ 72</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$ 65</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$ 74</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$ 72</w:t>
            </w:r>
          </w:p>
        </w:tc>
        <w:tc>
          <w:tcPr>
            <w:tcW w:w="16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$ 77</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Arial" w:cs="Arial" w:eastAsia="Arial" w:hAnsi="Arial"/>
                <w:sz w:val="18"/>
                <w:szCs w:val="18"/>
                <w:color w:val="auto"/>
              </w:rPr>
              <w:t>Interest portion of annual rentals</w:t>
            </w:r>
          </w:p>
        </w:tc>
        <w:tc>
          <w:tcPr>
            <w:tcW w:w="12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2</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2</w:t>
            </w:r>
          </w:p>
        </w:tc>
        <w:tc>
          <w:tcPr>
            <w:tcW w:w="16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3480" w:type="dxa"/>
            <w:vAlign w:val="bottom"/>
          </w:tcPr>
          <w:p>
            <w:pPr>
              <w:spacing w:after="0" w:line="195" w:lineRule="exact"/>
              <w:rPr>
                <w:sz w:val="20"/>
                <w:szCs w:val="20"/>
                <w:color w:val="auto"/>
              </w:rPr>
            </w:pPr>
            <w:r>
              <w:rPr>
                <w:rFonts w:ascii="Arial" w:cs="Arial" w:eastAsia="Arial" w:hAnsi="Arial"/>
                <w:sz w:val="18"/>
                <w:szCs w:val="18"/>
                <w:color w:val="auto"/>
              </w:rPr>
              <w:t>Total fixed charges</w:t>
            </w:r>
          </w:p>
        </w:tc>
        <w:tc>
          <w:tcPr>
            <w:tcW w:w="1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75</w:t>
            </w:r>
          </w:p>
        </w:tc>
        <w:tc>
          <w:tcPr>
            <w:tcW w:w="420" w:type="dxa"/>
            <w:vAlign w:val="bottom"/>
          </w:tcPr>
          <w:p>
            <w:pPr>
              <w:spacing w:after="0"/>
              <w:rPr>
                <w:sz w:val="16"/>
                <w:szCs w:val="16"/>
                <w:color w:val="auto"/>
              </w:rPr>
            </w:pPr>
          </w:p>
        </w:tc>
        <w:tc>
          <w:tcPr>
            <w:tcW w:w="12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67</w:t>
            </w:r>
          </w:p>
        </w:tc>
        <w:tc>
          <w:tcPr>
            <w:tcW w:w="420" w:type="dxa"/>
            <w:vAlign w:val="bottom"/>
          </w:tcPr>
          <w:p>
            <w:pPr>
              <w:spacing w:after="0"/>
              <w:rPr>
                <w:sz w:val="16"/>
                <w:szCs w:val="16"/>
                <w:color w:val="auto"/>
              </w:rPr>
            </w:pPr>
          </w:p>
        </w:tc>
        <w:tc>
          <w:tcPr>
            <w:tcW w:w="12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75</w:t>
            </w:r>
          </w:p>
        </w:tc>
        <w:tc>
          <w:tcPr>
            <w:tcW w:w="420" w:type="dxa"/>
            <w:vAlign w:val="bottom"/>
          </w:tcPr>
          <w:p>
            <w:pPr>
              <w:spacing w:after="0"/>
              <w:rPr>
                <w:sz w:val="16"/>
                <w:szCs w:val="16"/>
                <w:color w:val="auto"/>
              </w:rPr>
            </w:pPr>
          </w:p>
        </w:tc>
        <w:tc>
          <w:tcPr>
            <w:tcW w:w="12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74</w:t>
            </w:r>
          </w:p>
        </w:tc>
        <w:tc>
          <w:tcPr>
            <w:tcW w:w="440" w:type="dxa"/>
            <w:vAlign w:val="bottom"/>
          </w:tcPr>
          <w:p>
            <w:pPr>
              <w:spacing w:after="0"/>
              <w:rPr>
                <w:sz w:val="16"/>
                <w:szCs w:val="16"/>
                <w:color w:val="auto"/>
              </w:rPr>
            </w:pPr>
          </w:p>
        </w:tc>
        <w:tc>
          <w:tcPr>
            <w:tcW w:w="1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Arial" w:cs="Arial" w:eastAsia="Arial" w:hAnsi="Arial"/>
                <w:sz w:val="18"/>
                <w:szCs w:val="18"/>
                <w:color w:val="auto"/>
              </w:rPr>
              <w:t>Preferred stock dividends (1)</w:t>
            </w:r>
          </w:p>
        </w:tc>
        <w:tc>
          <w:tcPr>
            <w:tcW w:w="12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2</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2</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2</w:t>
            </w:r>
          </w:p>
        </w:tc>
        <w:tc>
          <w:tcPr>
            <w:tcW w:w="16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5"/>
        </w:trPr>
        <w:tc>
          <w:tcPr>
            <w:tcW w:w="3480" w:type="dxa"/>
            <w:vAlign w:val="bottom"/>
          </w:tcPr>
          <w:p>
            <w:pPr>
              <w:spacing w:after="0" w:line="195" w:lineRule="exact"/>
              <w:rPr>
                <w:sz w:val="20"/>
                <w:szCs w:val="20"/>
                <w:color w:val="auto"/>
              </w:rPr>
            </w:pPr>
            <w:r>
              <w:rPr>
                <w:rFonts w:ascii="Arial" w:cs="Arial" w:eastAsia="Arial" w:hAnsi="Arial"/>
                <w:sz w:val="18"/>
                <w:szCs w:val="18"/>
                <w:color w:val="auto"/>
              </w:rPr>
              <w:t>Combined fixed charges and</w:t>
            </w:r>
          </w:p>
        </w:tc>
        <w:tc>
          <w:tcPr>
            <w:tcW w:w="12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 dividends for</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$ 77</w:t>
            </w:r>
          </w:p>
        </w:tc>
        <w:tc>
          <w:tcPr>
            <w:tcW w:w="16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$ 69</w:t>
            </w:r>
          </w:p>
        </w:tc>
        <w:tc>
          <w:tcPr>
            <w:tcW w:w="16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$ 77</w:t>
            </w:r>
          </w:p>
        </w:tc>
        <w:tc>
          <w:tcPr>
            <w:tcW w:w="16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$ 76</w:t>
            </w:r>
          </w:p>
        </w:tc>
        <w:tc>
          <w:tcPr>
            <w:tcW w:w="16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$ 80</w:t>
            </w:r>
          </w:p>
        </w:tc>
        <w:tc>
          <w:tcPr>
            <w:tcW w:w="0" w:type="dxa"/>
            <w:vAlign w:val="bottom"/>
          </w:tcPr>
          <w:p>
            <w:pPr>
              <w:spacing w:after="0"/>
              <w:rPr>
                <w:sz w:val="1"/>
                <w:szCs w:val="1"/>
                <w:color w:val="auto"/>
              </w:rPr>
            </w:pPr>
          </w:p>
        </w:tc>
      </w:tr>
      <w:tr>
        <w:trPr>
          <w:trHeight w:val="163"/>
        </w:trPr>
        <w:tc>
          <w:tcPr>
            <w:tcW w:w="348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122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Pretax income from continuing</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60"/>
              <w:spacing w:after="0" w:line="202" w:lineRule="exact"/>
              <w:rPr>
                <w:sz w:val="20"/>
                <w:szCs w:val="20"/>
                <w:color w:val="auto"/>
              </w:rPr>
            </w:pPr>
            <w:r>
              <w:rPr>
                <w:rFonts w:ascii="Arial" w:cs="Arial" w:eastAsia="Arial" w:hAnsi="Arial"/>
                <w:sz w:val="18"/>
                <w:szCs w:val="18"/>
                <w:color w:val="auto"/>
              </w:rPr>
              <w:t>operations</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$ 391</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$ 385</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$ 418</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$ 463</w:t>
            </w:r>
          </w:p>
        </w:tc>
        <w:tc>
          <w:tcPr>
            <w:tcW w:w="16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$ 431</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Add: Total fixed charges (from</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60"/>
              <w:spacing w:after="0" w:line="202" w:lineRule="exact"/>
              <w:rPr>
                <w:sz w:val="20"/>
                <w:szCs w:val="20"/>
                <w:color w:val="auto"/>
              </w:rPr>
            </w:pPr>
            <w:r>
              <w:rPr>
                <w:rFonts w:ascii="Arial" w:cs="Arial" w:eastAsia="Arial" w:hAnsi="Arial"/>
                <w:sz w:val="18"/>
                <w:szCs w:val="18"/>
                <w:color w:val="auto"/>
              </w:rPr>
              <w:t>above)</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67</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75</w:t>
            </w:r>
          </w:p>
        </w:tc>
        <w:tc>
          <w:tcPr>
            <w:tcW w:w="16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74</w:t>
            </w:r>
          </w:p>
        </w:tc>
        <w:tc>
          <w:tcPr>
            <w:tcW w:w="16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Arial" w:cs="Arial" w:eastAsia="Arial" w:hAnsi="Arial"/>
                <w:sz w:val="18"/>
                <w:szCs w:val="18"/>
                <w:color w:val="auto"/>
              </w:rPr>
              <w:t>Less: Interest capitalized</w:t>
            </w:r>
          </w:p>
        </w:tc>
        <w:tc>
          <w:tcPr>
            <w:tcW w:w="12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w:t>
            </w:r>
          </w:p>
        </w:tc>
        <w:tc>
          <w:tcPr>
            <w:tcW w:w="16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480" w:type="dxa"/>
            <w:vAlign w:val="bottom"/>
          </w:tcPr>
          <w:p>
            <w:pPr>
              <w:spacing w:after="0" w:line="182" w:lineRule="exact"/>
              <w:rPr>
                <w:sz w:val="20"/>
                <w:szCs w:val="20"/>
                <w:color w:val="auto"/>
              </w:rPr>
            </w:pPr>
            <w:r>
              <w:rPr>
                <w:rFonts w:ascii="Arial" w:cs="Arial" w:eastAsia="Arial" w:hAnsi="Arial"/>
                <w:sz w:val="18"/>
                <w:szCs w:val="18"/>
                <w:color w:val="auto"/>
              </w:rPr>
              <w:t>Total earnings for purpose of ratio</w:t>
            </w:r>
          </w:p>
        </w:tc>
        <w:tc>
          <w:tcPr>
            <w:tcW w:w="1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$ 465</w:t>
            </w:r>
          </w:p>
        </w:tc>
        <w:tc>
          <w:tcPr>
            <w:tcW w:w="4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$ 452</w:t>
            </w:r>
          </w:p>
        </w:tc>
        <w:tc>
          <w:tcPr>
            <w:tcW w:w="4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$ 492</w:t>
            </w:r>
          </w:p>
        </w:tc>
        <w:tc>
          <w:tcPr>
            <w:tcW w:w="4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$ 536</w:t>
            </w:r>
          </w:p>
        </w:tc>
        <w:tc>
          <w:tcPr>
            <w:tcW w:w="4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$ 508</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Ratio of earnings to combined fixed</w:t>
            </w: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60"/>
              <w:spacing w:after="0" w:line="202" w:lineRule="exact"/>
              <w:rPr>
                <w:sz w:val="20"/>
                <w:szCs w:val="20"/>
                <w:color w:val="auto"/>
              </w:rPr>
            </w:pPr>
            <w:r>
              <w:rPr>
                <w:rFonts w:ascii="Arial" w:cs="Arial" w:eastAsia="Arial" w:hAnsi="Arial"/>
                <w:sz w:val="18"/>
                <w:szCs w:val="18"/>
                <w:color w:val="auto"/>
              </w:rPr>
              <w:t>charges and preferred stock</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6.04</w:t>
            </w:r>
          </w:p>
        </w:tc>
        <w:tc>
          <w:tcPr>
            <w:tcW w:w="420" w:type="dxa"/>
            <w:vAlign w:val="bottom"/>
            <w:vMerge w:val="restart"/>
          </w:tcPr>
          <w:p>
            <w:pPr>
              <w:spacing w:after="0"/>
              <w:rPr>
                <w:sz w:val="17"/>
                <w:szCs w:val="17"/>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8"/>
                <w:szCs w:val="18"/>
                <w:color w:val="auto"/>
              </w:rPr>
              <w:t>6.55</w:t>
            </w:r>
          </w:p>
        </w:tc>
        <w:tc>
          <w:tcPr>
            <w:tcW w:w="420" w:type="dxa"/>
            <w:vAlign w:val="bottom"/>
            <w:vMerge w:val="restart"/>
          </w:tcPr>
          <w:p>
            <w:pPr>
              <w:spacing w:after="0"/>
              <w:rPr>
                <w:sz w:val="17"/>
                <w:szCs w:val="17"/>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8"/>
                <w:szCs w:val="18"/>
                <w:color w:val="auto"/>
              </w:rPr>
              <w:t>6.39</w:t>
            </w:r>
          </w:p>
        </w:tc>
        <w:tc>
          <w:tcPr>
            <w:tcW w:w="420" w:type="dxa"/>
            <w:vAlign w:val="bottom"/>
            <w:vMerge w:val="restart"/>
          </w:tcPr>
          <w:p>
            <w:pPr>
              <w:spacing w:after="0"/>
              <w:rPr>
                <w:sz w:val="17"/>
                <w:szCs w:val="17"/>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8"/>
                <w:szCs w:val="18"/>
                <w:color w:val="auto"/>
              </w:rPr>
              <w:t>7.05</w:t>
            </w:r>
          </w:p>
        </w:tc>
        <w:tc>
          <w:tcPr>
            <w:tcW w:w="440" w:type="dxa"/>
            <w:vAlign w:val="bottom"/>
            <w:vMerge w:val="restart"/>
          </w:tcPr>
          <w:p>
            <w:pPr>
              <w:spacing w:after="0"/>
              <w:rPr>
                <w:sz w:val="17"/>
                <w:szCs w:val="17"/>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168"/>
        </w:trPr>
        <w:tc>
          <w:tcPr>
            <w:tcW w:w="348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122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tcPr>
          <w:p>
            <w:pPr>
              <w:spacing w:after="0" w:line="182" w:lineRule="exact"/>
              <w:rPr>
                <w:sz w:val="20"/>
                <w:szCs w:val="20"/>
                <w:color w:val="auto"/>
              </w:rPr>
            </w:pPr>
            <w:r>
              <w:rPr>
                <w:rFonts w:ascii="Arial" w:cs="Arial" w:eastAsia="Arial" w:hAnsi="Arial"/>
                <w:sz w:val="18"/>
                <w:szCs w:val="18"/>
                <w:color w:val="auto"/>
              </w:rPr>
              <w:t>Ratio of earnings to fixed charges</w:t>
            </w:r>
          </w:p>
        </w:tc>
        <w:tc>
          <w:tcPr>
            <w:tcW w:w="1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6.20</w:t>
            </w:r>
          </w:p>
        </w:tc>
        <w:tc>
          <w:tcPr>
            <w:tcW w:w="4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6.75</w:t>
            </w:r>
          </w:p>
        </w:tc>
        <w:tc>
          <w:tcPr>
            <w:tcW w:w="4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6.56</w:t>
            </w:r>
          </w:p>
        </w:tc>
        <w:tc>
          <w:tcPr>
            <w:tcW w:w="4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7.24</w:t>
            </w:r>
          </w:p>
        </w:tc>
        <w:tc>
          <w:tcPr>
            <w:tcW w:w="44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180" w:hanging="611"/>
        <w:spacing w:after="0" w:line="246" w:lineRule="auto"/>
        <w:tabs>
          <w:tab w:leader="none" w:pos="7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873" w:right="239" w:bottom="1440" w:gutter="0" w:footer="0" w:header="0"/>
        </w:sectPr>
      </w:pPr>
    </w:p>
    <w:bookmarkStart w:id="134" w:name="page135"/>
    <w:bookmarkEnd w:id="134"/>
    <w:p>
      <w:pPr>
        <w:spacing w:after="0"/>
        <w:rPr>
          <w:sz w:val="20"/>
          <w:szCs w:val="20"/>
          <w:color w:val="auto"/>
        </w:rPr>
      </w:pPr>
      <w:r>
        <w:rPr>
          <w:rFonts w:ascii="Arial" w:cs="Arial" w:eastAsia="Arial" w:hAnsi="Arial"/>
          <w:sz w:val="25"/>
          <w:szCs w:val="25"/>
          <w:color w:val="auto"/>
        </w:rPr>
        <w:t>SEMPRA ENERGY FINANCIAL REPORT</w:t>
      </w:r>
    </w:p>
    <w:p>
      <w:pPr>
        <w:spacing w:after="0" w:line="234" w:lineRule="auto"/>
        <w:rPr>
          <w:sz w:val="20"/>
          <w:szCs w:val="20"/>
          <w:color w:val="auto"/>
        </w:rPr>
      </w:pPr>
      <w:r>
        <w:rPr>
          <w:rFonts w:ascii="Arial" w:cs="Arial" w:eastAsia="Arial" w:hAnsi="Arial"/>
          <w:sz w:val="25"/>
          <w:szCs w:val="25"/>
          <w:color w:val="auto"/>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800"/>
              <w:spacing w:after="0"/>
              <w:rPr>
                <w:sz w:val="20"/>
                <w:szCs w:val="20"/>
                <w:color w:val="auto"/>
              </w:rPr>
            </w:pPr>
            <w:r>
              <w:rPr>
                <w:rFonts w:ascii="Arial" w:cs="Arial" w:eastAsia="Arial" w:hAnsi="Arial"/>
                <w:sz w:val="18"/>
                <w:szCs w:val="18"/>
                <w:i w:val="1"/>
                <w:iCs w:val="1"/>
                <w:color w:val="auto"/>
              </w:rPr>
              <w:t>Page</w:t>
            </w:r>
          </w:p>
        </w:tc>
      </w:tr>
      <w:tr>
        <w:trPr>
          <w:trHeight w:val="204"/>
        </w:trPr>
        <w:tc>
          <w:tcPr>
            <w:tcW w:w="20" w:type="dxa"/>
            <w:vAlign w:val="bottom"/>
          </w:tcPr>
          <w:p>
            <w:pPr>
              <w:spacing w:after="0"/>
              <w:rPr>
                <w:sz w:val="17"/>
                <w:szCs w:val="17"/>
                <w:color w:val="auto"/>
              </w:rPr>
            </w:pPr>
          </w:p>
        </w:tc>
        <w:tc>
          <w:tcPr>
            <w:tcW w:w="9580" w:type="dxa"/>
            <w:vAlign w:val="bottom"/>
            <w:gridSpan w:val="3"/>
          </w:tcPr>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tc>
        <w:tc>
          <w:tcPr>
            <w:tcW w:w="1820" w:type="dxa"/>
            <w:vAlign w:val="bottom"/>
          </w:tcPr>
          <w:p>
            <w:pPr>
              <w:spacing w:after="0"/>
              <w:rPr>
                <w:sz w:val="17"/>
                <w:szCs w:val="17"/>
                <w:color w:val="auto"/>
              </w:rPr>
            </w:pPr>
          </w:p>
        </w:tc>
      </w:tr>
      <w:tr>
        <w:trPr>
          <w:trHeight w:val="176"/>
        </w:trPr>
        <w:tc>
          <w:tcPr>
            <w:tcW w:w="2400" w:type="dxa"/>
            <w:vAlign w:val="bottom"/>
            <w:gridSpan w:val="2"/>
          </w:tcPr>
          <w:p>
            <w:pPr>
              <w:spacing w:after="0" w:line="176" w:lineRule="exact"/>
              <w:rPr>
                <w:sz w:val="20"/>
                <w:szCs w:val="20"/>
                <w:color w:val="auto"/>
              </w:rPr>
            </w:pPr>
            <w:r>
              <w:rPr>
                <w:rFonts w:ascii="Arial" w:cs="Arial" w:eastAsia="Arial" w:hAnsi="Arial"/>
                <w:sz w:val="16"/>
                <w:szCs w:val="16"/>
                <w:color w:val="auto"/>
              </w:rPr>
              <w:t>Our Business</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99"/>
              <w:spacing w:after="0" w:line="176" w:lineRule="exact"/>
              <w:rPr>
                <w:sz w:val="20"/>
                <w:szCs w:val="20"/>
                <w:color w:val="auto"/>
              </w:rPr>
            </w:pPr>
            <w:r>
              <w:rPr>
                <w:rFonts w:ascii="Arial" w:cs="Arial" w:eastAsia="Arial" w:hAnsi="Arial"/>
                <w:sz w:val="16"/>
                <w:szCs w:val="16"/>
                <w:color w:val="auto"/>
                <w:w w:val="89"/>
              </w:rPr>
              <w:t>2</w:t>
            </w:r>
          </w:p>
        </w:tc>
      </w:tr>
      <w:tr>
        <w:trPr>
          <w:trHeight w:val="176"/>
        </w:trPr>
        <w:tc>
          <w:tcPr>
            <w:tcW w:w="2400" w:type="dxa"/>
            <w:vAlign w:val="bottom"/>
            <w:gridSpan w:val="2"/>
          </w:tcPr>
          <w:p>
            <w:pPr>
              <w:spacing w:after="0" w:line="176" w:lineRule="exact"/>
              <w:rPr>
                <w:sz w:val="20"/>
                <w:szCs w:val="20"/>
                <w:color w:val="auto"/>
              </w:rPr>
            </w:pPr>
            <w:r>
              <w:rPr>
                <w:rFonts w:ascii="Arial" w:cs="Arial" w:eastAsia="Arial" w:hAnsi="Arial"/>
                <w:sz w:val="16"/>
                <w:szCs w:val="16"/>
                <w:color w:val="auto"/>
              </w:rPr>
              <w:t>Executive Summary</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99"/>
              <w:spacing w:after="0" w:line="176" w:lineRule="exact"/>
              <w:rPr>
                <w:sz w:val="20"/>
                <w:szCs w:val="20"/>
                <w:color w:val="auto"/>
              </w:rPr>
            </w:pPr>
            <w:r>
              <w:rPr>
                <w:rFonts w:ascii="Arial" w:cs="Arial" w:eastAsia="Arial" w:hAnsi="Arial"/>
                <w:sz w:val="16"/>
                <w:szCs w:val="16"/>
                <w:color w:val="auto"/>
                <w:w w:val="89"/>
              </w:rPr>
              <w:t>8</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Business Strategy</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99"/>
              <w:spacing w:after="0" w:line="176" w:lineRule="exact"/>
              <w:rPr>
                <w:sz w:val="20"/>
                <w:szCs w:val="20"/>
                <w:color w:val="auto"/>
              </w:rPr>
            </w:pPr>
            <w:r>
              <w:rPr>
                <w:rFonts w:ascii="Arial" w:cs="Arial" w:eastAsia="Arial" w:hAnsi="Arial"/>
                <w:sz w:val="16"/>
                <w:szCs w:val="16"/>
                <w:color w:val="auto"/>
                <w:w w:val="89"/>
              </w:rPr>
              <w:t>8</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Key Issues in 2011</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99"/>
              <w:spacing w:after="0" w:line="176" w:lineRule="exact"/>
              <w:rPr>
                <w:sz w:val="20"/>
                <w:szCs w:val="20"/>
                <w:color w:val="auto"/>
              </w:rPr>
            </w:pPr>
            <w:r>
              <w:rPr>
                <w:rFonts w:ascii="Arial" w:cs="Arial" w:eastAsia="Arial" w:hAnsi="Arial"/>
                <w:sz w:val="16"/>
                <w:szCs w:val="16"/>
                <w:color w:val="auto"/>
                <w:w w:val="89"/>
              </w:rPr>
              <w:t>9</w:t>
            </w:r>
          </w:p>
        </w:tc>
      </w:tr>
      <w:tr>
        <w:trPr>
          <w:trHeight w:val="176"/>
        </w:trPr>
        <w:tc>
          <w:tcPr>
            <w:tcW w:w="2400" w:type="dxa"/>
            <w:vAlign w:val="bottom"/>
            <w:gridSpan w:val="2"/>
          </w:tcPr>
          <w:p>
            <w:pPr>
              <w:spacing w:after="0" w:line="176" w:lineRule="exact"/>
              <w:rPr>
                <w:sz w:val="20"/>
                <w:szCs w:val="20"/>
                <w:color w:val="auto"/>
              </w:rPr>
            </w:pPr>
            <w:r>
              <w:rPr>
                <w:rFonts w:ascii="Arial" w:cs="Arial" w:eastAsia="Arial" w:hAnsi="Arial"/>
                <w:sz w:val="16"/>
                <w:szCs w:val="16"/>
                <w:color w:val="auto"/>
              </w:rPr>
              <w:t>Results of Operations</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10</w:t>
            </w:r>
          </w:p>
        </w:tc>
      </w:tr>
      <w:tr>
        <w:trPr>
          <w:trHeight w:val="176"/>
        </w:trPr>
        <w:tc>
          <w:tcPr>
            <w:tcW w:w="20" w:type="dxa"/>
            <w:vAlign w:val="bottom"/>
          </w:tcPr>
          <w:p>
            <w:pPr>
              <w:spacing w:after="0"/>
              <w:rPr>
                <w:sz w:val="15"/>
                <w:szCs w:val="15"/>
                <w:color w:val="auto"/>
              </w:rPr>
            </w:pPr>
          </w:p>
        </w:tc>
        <w:tc>
          <w:tcPr>
            <w:tcW w:w="6300" w:type="dxa"/>
            <w:vAlign w:val="bottom"/>
            <w:gridSpan w:val="2"/>
          </w:tcPr>
          <w:p>
            <w:pPr>
              <w:ind w:left="320"/>
              <w:spacing w:after="0" w:line="176" w:lineRule="exact"/>
              <w:rPr>
                <w:sz w:val="20"/>
                <w:szCs w:val="20"/>
                <w:color w:val="auto"/>
              </w:rPr>
            </w:pPr>
            <w:r>
              <w:rPr>
                <w:rFonts w:ascii="Arial" w:cs="Arial" w:eastAsia="Arial" w:hAnsi="Arial"/>
                <w:sz w:val="16"/>
                <w:szCs w:val="16"/>
                <w:color w:val="auto"/>
              </w:rPr>
              <w:t>Overall Results of Operations of Sempra Energy and Factors Affecting the Results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10</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Business Unit Results</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12</w:t>
            </w:r>
          </w:p>
        </w:tc>
      </w:tr>
      <w:tr>
        <w:trPr>
          <w:trHeight w:val="176"/>
        </w:trPr>
        <w:tc>
          <w:tcPr>
            <w:tcW w:w="20" w:type="dxa"/>
            <w:vAlign w:val="bottom"/>
          </w:tcPr>
          <w:p>
            <w:pPr>
              <w:spacing w:after="0"/>
              <w:rPr>
                <w:sz w:val="15"/>
                <w:szCs w:val="15"/>
                <w:color w:val="auto"/>
              </w:rPr>
            </w:pPr>
          </w:p>
        </w:tc>
        <w:tc>
          <w:tcPr>
            <w:tcW w:w="6300" w:type="dxa"/>
            <w:vAlign w:val="bottom"/>
            <w:gridSpan w:val="2"/>
          </w:tcPr>
          <w:p>
            <w:pPr>
              <w:ind w:left="320"/>
              <w:spacing w:after="0" w:line="176" w:lineRule="exact"/>
              <w:rPr>
                <w:sz w:val="20"/>
                <w:szCs w:val="20"/>
                <w:color w:val="auto"/>
              </w:rPr>
            </w:pPr>
            <w:r>
              <w:rPr>
                <w:rFonts w:ascii="Arial" w:cs="Arial" w:eastAsia="Arial" w:hAnsi="Arial"/>
                <w:sz w:val="16"/>
                <w:szCs w:val="16"/>
                <w:color w:val="auto"/>
              </w:rPr>
              <w:t>Changes in Revenues, Costs and Earnings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16</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Transactions with Affiliates</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32</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Book Value Per Share</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32</w:t>
            </w:r>
          </w:p>
        </w:tc>
      </w:tr>
      <w:tr>
        <w:trPr>
          <w:trHeight w:val="176"/>
        </w:trPr>
        <w:tc>
          <w:tcPr>
            <w:tcW w:w="2400" w:type="dxa"/>
            <w:vAlign w:val="bottom"/>
            <w:gridSpan w:val="2"/>
          </w:tcPr>
          <w:p>
            <w:pPr>
              <w:spacing w:after="0" w:line="176" w:lineRule="exact"/>
              <w:rPr>
                <w:sz w:val="20"/>
                <w:szCs w:val="20"/>
                <w:color w:val="auto"/>
              </w:rPr>
            </w:pPr>
            <w:r>
              <w:rPr>
                <w:rFonts w:ascii="Arial" w:cs="Arial" w:eastAsia="Arial" w:hAnsi="Arial"/>
                <w:sz w:val="16"/>
                <w:szCs w:val="16"/>
                <w:color w:val="auto"/>
              </w:rPr>
              <w:t>Capital Resources and Liquidity</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32</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Overview</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32</w:t>
            </w:r>
          </w:p>
        </w:tc>
      </w:tr>
      <w:tr>
        <w:trPr>
          <w:trHeight w:val="176"/>
        </w:trPr>
        <w:tc>
          <w:tcPr>
            <w:tcW w:w="20" w:type="dxa"/>
            <w:vAlign w:val="bottom"/>
          </w:tcPr>
          <w:p>
            <w:pPr>
              <w:spacing w:after="0"/>
              <w:rPr>
                <w:sz w:val="15"/>
                <w:szCs w:val="15"/>
                <w:color w:val="auto"/>
              </w:rPr>
            </w:pPr>
          </w:p>
        </w:tc>
        <w:tc>
          <w:tcPr>
            <w:tcW w:w="6300" w:type="dxa"/>
            <w:vAlign w:val="bottom"/>
            <w:gridSpan w:val="2"/>
          </w:tcPr>
          <w:p>
            <w:pPr>
              <w:ind w:left="320"/>
              <w:spacing w:after="0" w:line="176" w:lineRule="exact"/>
              <w:rPr>
                <w:sz w:val="20"/>
                <w:szCs w:val="20"/>
                <w:color w:val="auto"/>
              </w:rPr>
            </w:pPr>
            <w:r>
              <w:rPr>
                <w:rFonts w:ascii="Arial" w:cs="Arial" w:eastAsia="Arial" w:hAnsi="Arial"/>
                <w:sz w:val="16"/>
                <w:szCs w:val="16"/>
                <w:color w:val="auto"/>
              </w:rPr>
              <w:t>Cash Flows from Operating Activities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35</w:t>
            </w:r>
          </w:p>
        </w:tc>
      </w:tr>
      <w:tr>
        <w:trPr>
          <w:trHeight w:val="176"/>
        </w:trPr>
        <w:tc>
          <w:tcPr>
            <w:tcW w:w="20" w:type="dxa"/>
            <w:vAlign w:val="bottom"/>
          </w:tcPr>
          <w:p>
            <w:pPr>
              <w:spacing w:after="0"/>
              <w:rPr>
                <w:sz w:val="15"/>
                <w:szCs w:val="15"/>
                <w:color w:val="auto"/>
              </w:rPr>
            </w:pPr>
          </w:p>
        </w:tc>
        <w:tc>
          <w:tcPr>
            <w:tcW w:w="6300" w:type="dxa"/>
            <w:vAlign w:val="bottom"/>
            <w:gridSpan w:val="2"/>
          </w:tcPr>
          <w:p>
            <w:pPr>
              <w:ind w:left="320"/>
              <w:spacing w:after="0" w:line="176" w:lineRule="exact"/>
              <w:rPr>
                <w:sz w:val="20"/>
                <w:szCs w:val="20"/>
                <w:color w:val="auto"/>
              </w:rPr>
            </w:pPr>
            <w:r>
              <w:rPr>
                <w:rFonts w:ascii="Arial" w:cs="Arial" w:eastAsia="Arial" w:hAnsi="Arial"/>
                <w:sz w:val="16"/>
                <w:szCs w:val="16"/>
                <w:color w:val="auto"/>
              </w:rPr>
              <w:t>Cash Flows from Investing Activities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37</w:t>
            </w:r>
          </w:p>
        </w:tc>
      </w:tr>
      <w:tr>
        <w:trPr>
          <w:trHeight w:val="176"/>
        </w:trPr>
        <w:tc>
          <w:tcPr>
            <w:tcW w:w="20" w:type="dxa"/>
            <w:vAlign w:val="bottom"/>
          </w:tcPr>
          <w:p>
            <w:pPr>
              <w:spacing w:after="0"/>
              <w:rPr>
                <w:sz w:val="15"/>
                <w:szCs w:val="15"/>
                <w:color w:val="auto"/>
              </w:rPr>
            </w:pPr>
          </w:p>
        </w:tc>
        <w:tc>
          <w:tcPr>
            <w:tcW w:w="6300" w:type="dxa"/>
            <w:vAlign w:val="bottom"/>
            <w:gridSpan w:val="2"/>
          </w:tcPr>
          <w:p>
            <w:pPr>
              <w:ind w:left="320"/>
              <w:spacing w:after="0" w:line="176" w:lineRule="exact"/>
              <w:rPr>
                <w:sz w:val="20"/>
                <w:szCs w:val="20"/>
                <w:color w:val="auto"/>
              </w:rPr>
            </w:pPr>
            <w:r>
              <w:rPr>
                <w:rFonts w:ascii="Arial" w:cs="Arial" w:eastAsia="Arial" w:hAnsi="Arial"/>
                <w:sz w:val="16"/>
                <w:szCs w:val="16"/>
                <w:color w:val="auto"/>
              </w:rPr>
              <w:t>Cash Flows from Financing Activities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42</w:t>
            </w:r>
          </w:p>
        </w:tc>
      </w:tr>
      <w:tr>
        <w:trPr>
          <w:trHeight w:val="176"/>
        </w:trPr>
        <w:tc>
          <w:tcPr>
            <w:tcW w:w="2400" w:type="dxa"/>
            <w:vAlign w:val="bottom"/>
            <w:gridSpan w:val="2"/>
          </w:tcPr>
          <w:p>
            <w:pPr>
              <w:spacing w:after="0" w:line="176" w:lineRule="exact"/>
              <w:rPr>
                <w:sz w:val="20"/>
                <w:szCs w:val="20"/>
                <w:color w:val="auto"/>
              </w:rPr>
            </w:pPr>
            <w:r>
              <w:rPr>
                <w:rFonts w:ascii="Arial" w:cs="Arial" w:eastAsia="Arial" w:hAnsi="Arial"/>
                <w:sz w:val="16"/>
                <w:szCs w:val="16"/>
                <w:color w:val="auto"/>
              </w:rPr>
              <w:t>Credit Ratings</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47</w:t>
            </w:r>
          </w:p>
        </w:tc>
      </w:tr>
      <w:tr>
        <w:trPr>
          <w:trHeight w:val="176"/>
        </w:trPr>
        <w:tc>
          <w:tcPr>
            <w:tcW w:w="6320" w:type="dxa"/>
            <w:vAlign w:val="bottom"/>
            <w:gridSpan w:val="3"/>
          </w:tcPr>
          <w:p>
            <w:pPr>
              <w:spacing w:after="0" w:line="176" w:lineRule="exact"/>
              <w:rPr>
                <w:sz w:val="20"/>
                <w:szCs w:val="20"/>
                <w:color w:val="auto"/>
              </w:rPr>
            </w:pPr>
            <w:r>
              <w:rPr>
                <w:rFonts w:ascii="Arial" w:cs="Arial" w:eastAsia="Arial" w:hAnsi="Arial"/>
                <w:sz w:val="16"/>
                <w:szCs w:val="16"/>
                <w:color w:val="auto"/>
              </w:rPr>
              <w:t>Factors Influencing Future Performance</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48</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Sempra Energy Overview</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48</w:t>
            </w:r>
          </w:p>
        </w:tc>
      </w:tr>
      <w:tr>
        <w:trPr>
          <w:trHeight w:val="176"/>
        </w:trPr>
        <w:tc>
          <w:tcPr>
            <w:tcW w:w="20" w:type="dxa"/>
            <w:vAlign w:val="bottom"/>
          </w:tcPr>
          <w:p>
            <w:pPr>
              <w:spacing w:after="0"/>
              <w:rPr>
                <w:sz w:val="15"/>
                <w:szCs w:val="15"/>
                <w:color w:val="auto"/>
              </w:rPr>
            </w:pPr>
          </w:p>
        </w:tc>
        <w:tc>
          <w:tcPr>
            <w:tcW w:w="6300" w:type="dxa"/>
            <w:vAlign w:val="bottom"/>
            <w:gridSpan w:val="2"/>
          </w:tcPr>
          <w:p>
            <w:pPr>
              <w:ind w:left="320"/>
              <w:spacing w:after="0" w:line="176" w:lineRule="exact"/>
              <w:rPr>
                <w:sz w:val="20"/>
                <w:szCs w:val="20"/>
                <w:color w:val="auto"/>
              </w:rPr>
            </w:pPr>
            <w:r>
              <w:rPr>
                <w:rFonts w:ascii="Arial" w:cs="Arial" w:eastAsia="Arial" w:hAnsi="Arial"/>
                <w:sz w:val="16"/>
                <w:szCs w:val="16"/>
                <w:color w:val="auto"/>
              </w:rPr>
              <w:t>Financial Derivatives Reforms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51</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Litigation</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51</w:t>
            </w:r>
          </w:p>
        </w:tc>
      </w:tr>
      <w:tr>
        <w:trPr>
          <w:trHeight w:val="176"/>
        </w:trPr>
        <w:tc>
          <w:tcPr>
            <w:tcW w:w="20" w:type="dxa"/>
            <w:vAlign w:val="bottom"/>
          </w:tcPr>
          <w:p>
            <w:pPr>
              <w:spacing w:after="0"/>
              <w:rPr>
                <w:sz w:val="15"/>
                <w:szCs w:val="15"/>
                <w:color w:val="auto"/>
              </w:rPr>
            </w:pPr>
          </w:p>
        </w:tc>
        <w:tc>
          <w:tcPr>
            <w:tcW w:w="6300" w:type="dxa"/>
            <w:vAlign w:val="bottom"/>
            <w:gridSpan w:val="2"/>
          </w:tcPr>
          <w:p>
            <w:pPr>
              <w:ind w:left="320"/>
              <w:spacing w:after="0" w:line="176" w:lineRule="exact"/>
              <w:rPr>
                <w:sz w:val="20"/>
                <w:szCs w:val="20"/>
                <w:color w:val="auto"/>
              </w:rPr>
            </w:pPr>
            <w:r>
              <w:rPr>
                <w:rFonts w:ascii="Arial" w:cs="Arial" w:eastAsia="Arial" w:hAnsi="Arial"/>
                <w:sz w:val="16"/>
                <w:szCs w:val="16"/>
                <w:color w:val="auto"/>
              </w:rPr>
              <w:t>Sempra Utilities – Industry Developments and Capital Projects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51</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Sempra Global Investments</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51</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Market Risk</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53</w:t>
            </w:r>
          </w:p>
        </w:tc>
      </w:tr>
      <w:tr>
        <w:trPr>
          <w:trHeight w:val="176"/>
        </w:trPr>
        <w:tc>
          <w:tcPr>
            <w:tcW w:w="6320" w:type="dxa"/>
            <w:vAlign w:val="bottom"/>
            <w:gridSpan w:val="3"/>
          </w:tcPr>
          <w:p>
            <w:pPr>
              <w:spacing w:after="0" w:line="176" w:lineRule="exact"/>
              <w:rPr>
                <w:sz w:val="20"/>
                <w:szCs w:val="20"/>
                <w:color w:val="auto"/>
              </w:rPr>
            </w:pPr>
            <w:r>
              <w:rPr>
                <w:rFonts w:ascii="Arial" w:cs="Arial" w:eastAsia="Arial" w:hAnsi="Arial"/>
                <w:sz w:val="16"/>
                <w:szCs w:val="16"/>
                <w:color w:val="auto"/>
              </w:rPr>
              <w:t>Critical Accounting Policies and Estimates, and Key Noncash Performance Indicators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56</w:t>
            </w:r>
          </w:p>
        </w:tc>
      </w:tr>
      <w:tr>
        <w:trPr>
          <w:trHeight w:val="176"/>
        </w:trPr>
        <w:tc>
          <w:tcPr>
            <w:tcW w:w="20" w:type="dxa"/>
            <w:vAlign w:val="bottom"/>
          </w:tcPr>
          <w:p>
            <w:pPr>
              <w:spacing w:after="0"/>
              <w:rPr>
                <w:sz w:val="15"/>
                <w:szCs w:val="15"/>
                <w:color w:val="auto"/>
              </w:rPr>
            </w:pPr>
          </w:p>
        </w:tc>
        <w:tc>
          <w:tcPr>
            <w:tcW w:w="2380" w:type="dxa"/>
            <w:vAlign w:val="bottom"/>
          </w:tcPr>
          <w:p>
            <w:pPr>
              <w:ind w:left="320"/>
              <w:spacing w:after="0" w:line="176" w:lineRule="exact"/>
              <w:rPr>
                <w:sz w:val="20"/>
                <w:szCs w:val="20"/>
                <w:color w:val="auto"/>
              </w:rPr>
            </w:pPr>
            <w:r>
              <w:rPr>
                <w:rFonts w:ascii="Arial" w:cs="Arial" w:eastAsia="Arial" w:hAnsi="Arial"/>
                <w:sz w:val="16"/>
                <w:szCs w:val="16"/>
                <w:color w:val="auto"/>
              </w:rPr>
              <w:t>New Accounting Standards</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62</w:t>
            </w:r>
          </w:p>
        </w:tc>
      </w:tr>
      <w:tr>
        <w:trPr>
          <w:trHeight w:val="194"/>
        </w:trPr>
        <w:tc>
          <w:tcPr>
            <w:tcW w:w="6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Information Regarding Forward-Looking Statements</w:t>
            </w:r>
          </w:p>
        </w:tc>
        <w:tc>
          <w:tcPr>
            <w:tcW w:w="3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63</w:t>
            </w:r>
          </w:p>
        </w:tc>
      </w:tr>
      <w:tr>
        <w:trPr>
          <w:trHeight w:val="183"/>
        </w:trPr>
        <w:tc>
          <w:tcPr>
            <w:tcW w:w="24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Common Stock Data</w:t>
            </w:r>
          </w:p>
        </w:tc>
        <w:tc>
          <w:tcPr>
            <w:tcW w:w="39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119"/>
              <w:spacing w:after="0" w:line="176" w:lineRule="exact"/>
              <w:rPr>
                <w:sz w:val="20"/>
                <w:szCs w:val="20"/>
                <w:color w:val="auto"/>
              </w:rPr>
            </w:pPr>
            <w:r>
              <w:rPr>
                <w:rFonts w:ascii="Arial" w:cs="Arial" w:eastAsia="Arial" w:hAnsi="Arial"/>
                <w:sz w:val="16"/>
                <w:szCs w:val="16"/>
                <w:color w:val="auto"/>
              </w:rPr>
              <w:t>64</w:t>
            </w:r>
          </w:p>
        </w:tc>
      </w:tr>
      <w:tr>
        <w:trPr>
          <w:trHeight w:val="183"/>
        </w:trPr>
        <w:tc>
          <w:tcPr>
            <w:tcW w:w="632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6"/>
                <w:szCs w:val="16"/>
                <w:b w:val="1"/>
                <w:bCs w:val="1"/>
                <w:color w:val="auto"/>
              </w:rPr>
              <w:t>Performance Graph – Comparative Total Shareholder Returns</w:t>
            </w:r>
          </w:p>
        </w:tc>
        <w:tc>
          <w:tcPr>
            <w:tcW w:w="3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119"/>
              <w:spacing w:after="0" w:line="176" w:lineRule="exact"/>
              <w:rPr>
                <w:sz w:val="20"/>
                <w:szCs w:val="20"/>
                <w:color w:val="auto"/>
              </w:rPr>
            </w:pPr>
            <w:r>
              <w:rPr>
                <w:rFonts w:ascii="Arial" w:cs="Arial" w:eastAsia="Arial" w:hAnsi="Arial"/>
                <w:sz w:val="16"/>
                <w:szCs w:val="16"/>
                <w:color w:val="auto"/>
              </w:rPr>
              <w:t>65</w:t>
            </w:r>
          </w:p>
        </w:tc>
      </w:tr>
      <w:tr>
        <w:trPr>
          <w:trHeight w:val="183"/>
        </w:trPr>
        <w:tc>
          <w:tcPr>
            <w:tcW w:w="24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Five-Year Summaries</w:t>
            </w:r>
          </w:p>
        </w:tc>
        <w:tc>
          <w:tcPr>
            <w:tcW w:w="39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119"/>
              <w:spacing w:after="0" w:line="176" w:lineRule="exact"/>
              <w:rPr>
                <w:sz w:val="20"/>
                <w:szCs w:val="20"/>
                <w:color w:val="auto"/>
              </w:rPr>
            </w:pPr>
            <w:r>
              <w:rPr>
                <w:rFonts w:ascii="Arial" w:cs="Arial" w:eastAsia="Arial" w:hAnsi="Arial"/>
                <w:sz w:val="16"/>
                <w:szCs w:val="16"/>
                <w:color w:val="auto"/>
              </w:rPr>
              <w:t>66</w:t>
            </w:r>
          </w:p>
        </w:tc>
      </w:tr>
      <w:tr>
        <w:trPr>
          <w:trHeight w:val="204"/>
        </w:trPr>
        <w:tc>
          <w:tcPr>
            <w:tcW w:w="2400" w:type="dxa"/>
            <w:vAlign w:val="bottom"/>
            <w:gridSpan w:val="2"/>
          </w:tcPr>
          <w:p>
            <w:pPr>
              <w:spacing w:after="0"/>
              <w:rPr>
                <w:sz w:val="20"/>
                <w:szCs w:val="20"/>
                <w:color w:val="auto"/>
              </w:rPr>
            </w:pPr>
            <w:r>
              <w:rPr>
                <w:rFonts w:ascii="Arial" w:cs="Arial" w:eastAsia="Arial" w:hAnsi="Arial"/>
                <w:sz w:val="16"/>
                <w:szCs w:val="16"/>
                <w:b w:val="1"/>
                <w:bCs w:val="1"/>
                <w:color w:val="auto"/>
              </w:rPr>
              <w:t>Controls and Procedures</w:t>
            </w:r>
          </w:p>
        </w:tc>
        <w:tc>
          <w:tcPr>
            <w:tcW w:w="39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76"/>
        </w:trPr>
        <w:tc>
          <w:tcPr>
            <w:tcW w:w="6320" w:type="dxa"/>
            <w:vAlign w:val="bottom"/>
            <w:gridSpan w:val="3"/>
          </w:tcPr>
          <w:p>
            <w:pPr>
              <w:spacing w:after="0" w:line="176" w:lineRule="exact"/>
              <w:rPr>
                <w:sz w:val="20"/>
                <w:szCs w:val="20"/>
                <w:color w:val="auto"/>
              </w:rPr>
            </w:pPr>
            <w:r>
              <w:rPr>
                <w:rFonts w:ascii="Arial" w:cs="Arial" w:eastAsia="Arial" w:hAnsi="Arial"/>
                <w:sz w:val="16"/>
                <w:szCs w:val="16"/>
                <w:color w:val="auto"/>
              </w:rPr>
              <w:t>Evaluation of Disclosure Controls and Procedures</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68</w:t>
            </w:r>
          </w:p>
        </w:tc>
      </w:tr>
      <w:tr>
        <w:trPr>
          <w:trHeight w:val="194"/>
        </w:trPr>
        <w:tc>
          <w:tcPr>
            <w:tcW w:w="6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Management’s Report on Internal Control over Financial Reporting</w:t>
            </w:r>
          </w:p>
        </w:tc>
        <w:tc>
          <w:tcPr>
            <w:tcW w:w="3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68</w:t>
            </w:r>
          </w:p>
        </w:tc>
      </w:tr>
      <w:tr>
        <w:trPr>
          <w:trHeight w:val="183"/>
        </w:trPr>
        <w:tc>
          <w:tcPr>
            <w:tcW w:w="9600" w:type="dxa"/>
            <w:vAlign w:val="bottom"/>
            <w:tcBorders>
              <w:bottom w:val="single" w:sz="8" w:color="auto"/>
            </w:tcBorders>
            <w:gridSpan w:val="4"/>
          </w:tcPr>
          <w:p>
            <w:pPr>
              <w:spacing w:after="0" w:line="176" w:lineRule="exact"/>
              <w:rPr>
                <w:sz w:val="20"/>
                <w:szCs w:val="20"/>
                <w:color w:val="auto"/>
              </w:rPr>
            </w:pPr>
            <w:r>
              <w:rPr>
                <w:rFonts w:ascii="Arial" w:cs="Arial" w:eastAsia="Arial" w:hAnsi="Arial"/>
                <w:sz w:val="16"/>
                <w:szCs w:val="16"/>
                <w:b w:val="1"/>
                <w:bCs w:val="1"/>
                <w:color w:val="auto"/>
              </w:rPr>
              <w:t>Changes In and Disagreements With Accountants on Accounting and Financial Disclosure</w:t>
            </w:r>
          </w:p>
        </w:tc>
        <w:tc>
          <w:tcPr>
            <w:tcW w:w="1820" w:type="dxa"/>
            <w:vAlign w:val="bottom"/>
            <w:tcBorders>
              <w:bottom w:val="single" w:sz="8" w:color="auto"/>
            </w:tcBorders>
          </w:tcPr>
          <w:p>
            <w:pPr>
              <w:jc w:val="center"/>
              <w:ind w:left="119"/>
              <w:spacing w:after="0" w:line="176" w:lineRule="exact"/>
              <w:rPr>
                <w:sz w:val="20"/>
                <w:szCs w:val="20"/>
                <w:color w:val="auto"/>
              </w:rPr>
            </w:pPr>
            <w:r>
              <w:rPr>
                <w:rFonts w:ascii="Arial" w:cs="Arial" w:eastAsia="Arial" w:hAnsi="Arial"/>
                <w:sz w:val="16"/>
                <w:szCs w:val="16"/>
                <w:color w:val="auto"/>
              </w:rPr>
              <w:t>68</w:t>
            </w:r>
          </w:p>
        </w:tc>
      </w:tr>
      <w:tr>
        <w:trPr>
          <w:trHeight w:val="183"/>
        </w:trPr>
        <w:tc>
          <w:tcPr>
            <w:tcW w:w="632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6"/>
                <w:szCs w:val="16"/>
                <w:b w:val="1"/>
                <w:bCs w:val="1"/>
                <w:color w:val="auto"/>
              </w:rPr>
              <w:t>Reports of Independent Registered Public Accounting Firm</w:t>
            </w:r>
          </w:p>
        </w:tc>
        <w:tc>
          <w:tcPr>
            <w:tcW w:w="3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119"/>
              <w:spacing w:after="0" w:line="176" w:lineRule="exact"/>
              <w:rPr>
                <w:sz w:val="20"/>
                <w:szCs w:val="20"/>
                <w:color w:val="auto"/>
              </w:rPr>
            </w:pPr>
            <w:r>
              <w:rPr>
                <w:rFonts w:ascii="Arial" w:cs="Arial" w:eastAsia="Arial" w:hAnsi="Arial"/>
                <w:sz w:val="16"/>
                <w:szCs w:val="16"/>
                <w:color w:val="auto"/>
              </w:rPr>
              <w:t>69</w:t>
            </w:r>
          </w:p>
        </w:tc>
      </w:tr>
      <w:tr>
        <w:trPr>
          <w:trHeight w:val="204"/>
        </w:trPr>
        <w:tc>
          <w:tcPr>
            <w:tcW w:w="6320" w:type="dxa"/>
            <w:vAlign w:val="bottom"/>
            <w:gridSpan w:val="3"/>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3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76"/>
        </w:trPr>
        <w:tc>
          <w:tcPr>
            <w:tcW w:w="2400" w:type="dxa"/>
            <w:vAlign w:val="bottom"/>
            <w:gridSpan w:val="2"/>
          </w:tcPr>
          <w:p>
            <w:pPr>
              <w:spacing w:after="0" w:line="176" w:lineRule="exact"/>
              <w:rPr>
                <w:sz w:val="20"/>
                <w:szCs w:val="20"/>
                <w:color w:val="auto"/>
              </w:rPr>
            </w:pPr>
            <w:r>
              <w:rPr>
                <w:rFonts w:ascii="Arial" w:cs="Arial" w:eastAsia="Arial" w:hAnsi="Arial"/>
                <w:sz w:val="16"/>
                <w:szCs w:val="16"/>
                <w:color w:val="auto"/>
              </w:rPr>
              <w:t>Sempra Energy</w:t>
            </w:r>
          </w:p>
        </w:tc>
        <w:tc>
          <w:tcPr>
            <w:tcW w:w="3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75</w:t>
            </w:r>
          </w:p>
        </w:tc>
      </w:tr>
      <w:tr>
        <w:trPr>
          <w:trHeight w:val="176"/>
        </w:trPr>
        <w:tc>
          <w:tcPr>
            <w:tcW w:w="6320" w:type="dxa"/>
            <w:vAlign w:val="bottom"/>
            <w:gridSpan w:val="3"/>
          </w:tcPr>
          <w:p>
            <w:pPr>
              <w:spacing w:after="0" w:line="176" w:lineRule="exact"/>
              <w:rPr>
                <w:sz w:val="20"/>
                <w:szCs w:val="20"/>
                <w:color w:val="auto"/>
              </w:rPr>
            </w:pPr>
            <w:r>
              <w:rPr>
                <w:rFonts w:ascii="Arial" w:cs="Arial" w:eastAsia="Arial" w:hAnsi="Arial"/>
                <w:sz w:val="16"/>
                <w:szCs w:val="16"/>
                <w:color w:val="auto"/>
              </w:rPr>
              <w:t>San Diego Gas &amp; Electric Company</w:t>
            </w:r>
          </w:p>
        </w:tc>
        <w:tc>
          <w:tcPr>
            <w:tcW w:w="3280" w:type="dxa"/>
            <w:vAlign w:val="bottom"/>
          </w:tcPr>
          <w:p>
            <w:pPr>
              <w:spacing w:after="0"/>
              <w:rPr>
                <w:sz w:val="15"/>
                <w:szCs w:val="15"/>
                <w:color w:val="auto"/>
              </w:rPr>
            </w:pPr>
          </w:p>
        </w:tc>
        <w:tc>
          <w:tcPr>
            <w:tcW w:w="1820" w:type="dxa"/>
            <w:vAlign w:val="bottom"/>
          </w:tcPr>
          <w:p>
            <w:pPr>
              <w:jc w:val="center"/>
              <w:ind w:left="119"/>
              <w:spacing w:after="0" w:line="176" w:lineRule="exact"/>
              <w:rPr>
                <w:sz w:val="20"/>
                <w:szCs w:val="20"/>
                <w:color w:val="auto"/>
              </w:rPr>
            </w:pPr>
            <w:r>
              <w:rPr>
                <w:rFonts w:ascii="Arial" w:cs="Arial" w:eastAsia="Arial" w:hAnsi="Arial"/>
                <w:sz w:val="16"/>
                <w:szCs w:val="16"/>
                <w:color w:val="auto"/>
              </w:rPr>
              <w:t>82</w:t>
            </w:r>
          </w:p>
        </w:tc>
      </w:tr>
      <w:tr>
        <w:trPr>
          <w:trHeight w:val="194"/>
        </w:trPr>
        <w:tc>
          <w:tcPr>
            <w:tcW w:w="6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Southern California Gas Company</w:t>
            </w:r>
          </w:p>
        </w:tc>
        <w:tc>
          <w:tcPr>
            <w:tcW w:w="3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88</w:t>
            </w:r>
          </w:p>
        </w:tc>
      </w:tr>
      <w:tr>
        <w:trPr>
          <w:trHeight w:val="183"/>
        </w:trPr>
        <w:tc>
          <w:tcPr>
            <w:tcW w:w="632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6"/>
                <w:szCs w:val="16"/>
                <w:b w:val="1"/>
                <w:bCs w:val="1"/>
                <w:color w:val="auto"/>
              </w:rPr>
              <w:t>Notes to Consolidated Financial Statements</w:t>
            </w:r>
          </w:p>
        </w:tc>
        <w:tc>
          <w:tcPr>
            <w:tcW w:w="3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119"/>
              <w:spacing w:after="0" w:line="176" w:lineRule="exact"/>
              <w:rPr>
                <w:sz w:val="20"/>
                <w:szCs w:val="20"/>
                <w:color w:val="auto"/>
              </w:rPr>
            </w:pPr>
            <w:r>
              <w:rPr>
                <w:rFonts w:ascii="Arial" w:cs="Arial" w:eastAsia="Arial" w:hAnsi="Arial"/>
                <w:sz w:val="16"/>
                <w:szCs w:val="16"/>
                <w:color w:val="auto"/>
              </w:rPr>
              <w:t>93</w:t>
            </w:r>
          </w:p>
        </w:tc>
      </w:tr>
      <w:tr>
        <w:trPr>
          <w:trHeight w:val="183"/>
        </w:trPr>
        <w:tc>
          <w:tcPr>
            <w:tcW w:w="24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Glossary</w:t>
            </w:r>
          </w:p>
        </w:tc>
        <w:tc>
          <w:tcPr>
            <w:tcW w:w="39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99"/>
              <w:spacing w:after="0" w:line="176" w:lineRule="exact"/>
              <w:rPr>
                <w:sz w:val="20"/>
                <w:szCs w:val="20"/>
                <w:color w:val="auto"/>
              </w:rPr>
            </w:pPr>
            <w:r>
              <w:rPr>
                <w:rFonts w:ascii="Arial" w:cs="Arial" w:eastAsia="Arial" w:hAnsi="Arial"/>
                <w:sz w:val="16"/>
                <w:szCs w:val="16"/>
                <w:color w:val="auto"/>
              </w:rPr>
              <w:t>204</w:t>
            </w:r>
          </w:p>
        </w:tc>
      </w:tr>
      <w:tr>
        <w:trPr>
          <w:trHeight w:val="380"/>
        </w:trPr>
        <w:tc>
          <w:tcPr>
            <w:tcW w:w="960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97"/>
              </w:rPr>
              <w:t>This Financial Report is a combined report for the following separate companies (each a separate Securities and Exchange Commission registrant):</w:t>
            </w:r>
          </w:p>
        </w:tc>
        <w:tc>
          <w:tcPr>
            <w:tcW w:w="1820" w:type="dxa"/>
            <w:vAlign w:val="bottom"/>
          </w:tcPr>
          <w:p>
            <w:pPr>
              <w:spacing w:after="0"/>
              <w:rPr>
                <w:sz w:val="24"/>
                <w:szCs w:val="24"/>
                <w:color w:val="auto"/>
              </w:rPr>
            </w:pPr>
          </w:p>
        </w:tc>
      </w:tr>
      <w:tr>
        <w:trPr>
          <w:trHeight w:val="378"/>
        </w:trPr>
        <w:tc>
          <w:tcPr>
            <w:tcW w:w="2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Sempra Energy</w:t>
            </w:r>
          </w:p>
        </w:tc>
        <w:tc>
          <w:tcPr>
            <w:tcW w:w="392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San Diego Gas &amp; Electric Company</w:t>
            </w:r>
          </w:p>
        </w:tc>
        <w:tc>
          <w:tcPr>
            <w:tcW w:w="328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Southern California Gas Company</w:t>
            </w: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120"/>
        <w:spacing w:after="0" w:line="260" w:lineRule="auto"/>
        <w:rPr>
          <w:sz w:val="20"/>
          <w:szCs w:val="20"/>
          <w:color w:val="auto"/>
        </w:rPr>
      </w:pPr>
      <w:r>
        <w:rPr>
          <w:rFonts w:ascii="Arial" w:cs="Arial" w:eastAsia="Arial" w:hAnsi="Arial"/>
          <w:sz w:val="23"/>
          <w:szCs w:val="23"/>
          <w:color w:val="auto"/>
        </w:rPr>
        <w:t>MANAGEMENT’S DISCUSSION AND ANALYSIS OF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of the 2011 Annual Report includes</w:t>
      </w:r>
    </w:p>
    <w:p>
      <w:pPr>
        <w:spacing w:after="0" w:line="225" w:lineRule="exact"/>
        <w:rPr>
          <w:sz w:val="20"/>
          <w:szCs w:val="20"/>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description of our business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executive summary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discussion and analysis of our operating results for 2009 through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Information about our capital resources and liquidity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Major factors expected to influence our future operating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discussion of market risk affecting our businesses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table of accounting policies that we consider critical to our financial condition and results of operations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You should read Management’s Discussion and Analysis of Financial Condition and Results of Operations in conjunction with the Consolidated Financial Statements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62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OUR BUSINESS</w:t>
      </w:r>
    </w:p>
    <w:p>
      <w:pPr>
        <w:sectPr>
          <w:pgSz w:w="11900" w:h="16838" w:orient="portrait"/>
          <w:cols w:equalWidth="0" w:num="1">
            <w:col w:w="11420"/>
          </w:cols>
          <w:pgMar w:left="240" w:top="623" w:right="239" w:bottom="0" w:gutter="0" w:footer="0" w:header="0"/>
          <w:type w:val="continuous"/>
        </w:sectPr>
      </w:pPr>
    </w:p>
    <w:bookmarkStart w:id="135" w:name="page136"/>
    <w:bookmarkEnd w:id="135"/>
    <w:p>
      <w:pPr>
        <w:ind w:right="160"/>
        <w:spacing w:after="0" w:line="257" w:lineRule="auto"/>
        <w:rPr>
          <w:sz w:val="20"/>
          <w:szCs w:val="20"/>
          <w:color w:val="auto"/>
        </w:rPr>
      </w:pPr>
      <w:r>
        <w:rPr>
          <w:rFonts w:ascii="Arial" w:cs="Arial" w:eastAsia="Arial" w:hAnsi="Arial"/>
          <w:sz w:val="18"/>
          <w:szCs w:val="18"/>
          <w:color w:val="auto"/>
        </w:rPr>
        <w:t>Sempra Energy is a Fortune 500 energy-services holding company whose business units develop energy infrastructure, operate utilities and provide related services to their customers. Our operations are divided principally between the Sempra Utilities and Sempra Global. The Sempra Utilities consist of two California regulated public utility companies, (1) San Diego Gas &amp; Electric Company (SDG&amp;E) and (2) Southern California Gas Company (SoCalGas). Sempra Global’s businesses develop and operate energy infrastructure and provide related natural gas and electricity services, including utility companies.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780415</wp:posOffset>
            </wp:positionV>
            <wp:extent cx="4716780" cy="3078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1678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Figure 1: Sempra Energy’s Business Units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Effective January 1, 2012, in connection with several key executive appointments made in September 2011, management realigned some of the company’s major subsidiaries to better fit its strategic direction and to enhance the management and integration of our assets. This realignment will result in a change in reportable segments in 2012, primarily to regroup the Sempra Global business units under two new operating units, Sempra U.S. Gas &amp; Power and Sempra International. These operating units will include the following reportable segments: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U.S. Gas &amp; Power</w:t>
      </w:r>
    </w:p>
    <w:p>
      <w:pPr>
        <w:spacing w:after="0" w:line="205" w:lineRule="exact"/>
        <w:rPr>
          <w:sz w:val="20"/>
          <w:szCs w:val="20"/>
          <w:color w:val="auto"/>
        </w:rPr>
      </w:pPr>
    </w:p>
    <w:p>
      <w:pPr>
        <w:ind w:left="340" w:hanging="188"/>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Sempra Natural 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Sempra Renewables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International</w:t>
      </w:r>
    </w:p>
    <w:p>
      <w:pPr>
        <w:spacing w:after="0" w:line="205" w:lineRule="exact"/>
        <w:rPr>
          <w:sz w:val="20"/>
          <w:szCs w:val="20"/>
          <w:color w:val="auto"/>
        </w:rPr>
      </w:pPr>
    </w:p>
    <w:p>
      <w:pPr>
        <w:ind w:left="340" w:hanging="188"/>
        <w:spacing w:after="0"/>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Sempra Mexico</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Sempra South American Utilities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SDG&amp;E and SoCalGas will continue to be separate, 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25" w:lineRule="exact"/>
        <w:rPr>
          <w:sz w:val="20"/>
          <w:szCs w:val="20"/>
          <w:color w:val="auto"/>
        </w:rPr>
      </w:pPr>
    </w:p>
    <w:p>
      <w:pPr>
        <w:ind w:left="340" w:hanging="188"/>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References in this report to “we,” “our” and “Sempra Energy Consolidated” are to Sempra Energy and its consolidated entities, collectively, unless otherwise indicated by its context.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business units, which are also our reportable segments, through December 31, 2011.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UTILITIES</w:t>
      </w:r>
    </w:p>
    <w:p>
      <w:pPr>
        <w:sectPr>
          <w:pgSz w:w="11900" w:h="16838" w:orient="portrait"/>
          <w:cols w:equalWidth="0" w:num="1">
            <w:col w:w="11320"/>
          </w:cols>
          <w:pgMar w:left="240" w:top="341" w:right="339" w:bottom="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394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Pr>
          <w:p>
            <w:pPr>
              <w:spacing w:after="0" w:line="162" w:lineRule="exact"/>
              <w:rPr>
                <w:sz w:val="20"/>
                <w:szCs w:val="20"/>
                <w:color w:val="auto"/>
              </w:rPr>
            </w:pPr>
            <w:r>
              <w:rPr>
                <w:rFonts w:ascii="Arial" w:cs="Arial" w:eastAsia="Arial" w:hAnsi="Arial"/>
                <w:sz w:val="16"/>
                <w:szCs w:val="16"/>
                <w:b w:val="1"/>
                <w:bCs w:val="1"/>
                <w:color w:val="auto"/>
              </w:rPr>
              <w:t>SAN DIEGO GAS &amp; ELECTRIC COMPANY</w:t>
            </w:r>
          </w:p>
        </w:tc>
        <w:tc>
          <w:tcPr>
            <w:tcW w:w="480" w:type="dxa"/>
            <w:vAlign w:val="bottom"/>
          </w:tcPr>
          <w:p>
            <w:pPr>
              <w:ind w:left="280"/>
              <w:spacing w:after="0" w:line="162" w:lineRule="exact"/>
              <w:rPr>
                <w:sz w:val="20"/>
                <w:szCs w:val="20"/>
                <w:color w:val="auto"/>
              </w:rPr>
            </w:pPr>
            <w:r>
              <w:rPr>
                <w:rFonts w:ascii="Arial" w:cs="Arial" w:eastAsia="Arial" w:hAnsi="Arial"/>
                <w:sz w:val="16"/>
                <w:szCs w:val="16"/>
                <w:color w:val="auto"/>
              </w:rPr>
              <w:t>§</w:t>
            </w:r>
          </w:p>
        </w:tc>
        <w:tc>
          <w:tcPr>
            <w:tcW w:w="7100" w:type="dxa"/>
            <w:vAlign w:val="bottom"/>
            <w:gridSpan w:val="2"/>
          </w:tcPr>
          <w:p>
            <w:pPr>
              <w:ind w:left="100"/>
              <w:spacing w:after="0" w:line="162" w:lineRule="exact"/>
              <w:rPr>
                <w:sz w:val="20"/>
                <w:szCs w:val="20"/>
                <w:color w:val="auto"/>
              </w:rPr>
            </w:pPr>
            <w:r>
              <w:rPr>
                <w:rFonts w:ascii="Arial" w:cs="Arial" w:eastAsia="Arial" w:hAnsi="Arial"/>
                <w:sz w:val="16"/>
                <w:szCs w:val="16"/>
                <w:color w:val="auto"/>
              </w:rPr>
              <w:t>Provides electricity to 3.4 million consumers Serves the county of San Diego, California and an</w:t>
            </w:r>
          </w:p>
        </w:tc>
        <w:tc>
          <w:tcPr>
            <w:tcW w:w="0" w:type="dxa"/>
            <w:vAlign w:val="bottom"/>
          </w:tcPr>
          <w:p>
            <w:pPr>
              <w:spacing w:after="0"/>
              <w:rPr>
                <w:sz w:val="1"/>
                <w:szCs w:val="1"/>
                <w:color w:val="auto"/>
              </w:rPr>
            </w:pPr>
          </w:p>
        </w:tc>
      </w:tr>
      <w:tr>
        <w:trPr>
          <w:trHeight w:val="177"/>
        </w:trPr>
        <w:tc>
          <w:tcPr>
            <w:tcW w:w="384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(SDG&amp;E)</w:t>
            </w:r>
          </w:p>
        </w:tc>
        <w:tc>
          <w:tcPr>
            <w:tcW w:w="3640" w:type="dxa"/>
            <w:vAlign w:val="bottom"/>
            <w:gridSpan w:val="2"/>
            <w:vMerge w:val="restart"/>
          </w:tcPr>
          <w:p>
            <w:pPr>
              <w:ind w:left="280"/>
              <w:spacing w:after="0"/>
              <w:rPr>
                <w:sz w:val="20"/>
                <w:szCs w:val="20"/>
                <w:color w:val="auto"/>
              </w:rPr>
            </w:pPr>
            <w:r>
              <w:rPr>
                <w:rFonts w:ascii="Arial" w:cs="Arial" w:eastAsia="Arial" w:hAnsi="Arial"/>
                <w:sz w:val="16"/>
                <w:szCs w:val="16"/>
                <w:color w:val="auto"/>
              </w:rPr>
              <w:t>(1.4 million meters)</w:t>
            </w:r>
          </w:p>
        </w:tc>
        <w:tc>
          <w:tcPr>
            <w:tcW w:w="3940" w:type="dxa"/>
            <w:vAlign w:val="bottom"/>
          </w:tcPr>
          <w:p>
            <w:pPr>
              <w:ind w:left="140"/>
              <w:spacing w:after="0" w:line="178" w:lineRule="exact"/>
              <w:rPr>
                <w:sz w:val="20"/>
                <w:szCs w:val="20"/>
                <w:color w:val="auto"/>
              </w:rPr>
            </w:pPr>
            <w:r>
              <w:rPr>
                <w:rFonts w:ascii="Arial" w:cs="Arial" w:eastAsia="Arial" w:hAnsi="Arial"/>
                <w:sz w:val="16"/>
                <w:szCs w:val="16"/>
                <w:color w:val="auto"/>
              </w:rPr>
              <w:t>adjacent portion of southern Orange County</w:t>
            </w:r>
          </w:p>
        </w:tc>
        <w:tc>
          <w:tcPr>
            <w:tcW w:w="0" w:type="dxa"/>
            <w:vAlign w:val="bottom"/>
          </w:tcPr>
          <w:p>
            <w:pPr>
              <w:spacing w:after="0"/>
              <w:rPr>
                <w:sz w:val="1"/>
                <w:szCs w:val="1"/>
                <w:color w:val="auto"/>
              </w:rPr>
            </w:pPr>
          </w:p>
        </w:tc>
      </w:tr>
      <w:tr>
        <w:trPr>
          <w:trHeight w:val="73"/>
        </w:trPr>
        <w:tc>
          <w:tcPr>
            <w:tcW w:w="3840" w:type="dxa"/>
            <w:vAlign w:val="bottom"/>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640" w:type="dxa"/>
            <w:vAlign w:val="bottom"/>
            <w:gridSpan w:val="2"/>
            <w:vMerge w:val="continue"/>
          </w:tcPr>
          <w:p>
            <w:pPr>
              <w:spacing w:after="0"/>
              <w:rPr>
                <w:sz w:val="6"/>
                <w:szCs w:val="6"/>
                <w:color w:val="auto"/>
              </w:rPr>
            </w:pPr>
          </w:p>
        </w:tc>
        <w:tc>
          <w:tcPr>
            <w:tcW w:w="3940" w:type="dxa"/>
            <w:vAlign w:val="bottom"/>
            <w:vMerge w:val="restart"/>
          </w:tcPr>
          <w:p>
            <w:pPr>
              <w:ind w:left="140"/>
              <w:spacing w:after="0" w:line="176" w:lineRule="exact"/>
              <w:rPr>
                <w:sz w:val="20"/>
                <w:szCs w:val="20"/>
                <w:color w:val="auto"/>
              </w:rPr>
            </w:pPr>
            <w:r>
              <w:rPr>
                <w:rFonts w:ascii="Arial" w:cs="Arial" w:eastAsia="Arial" w:hAnsi="Arial"/>
                <w:sz w:val="16"/>
                <w:szCs w:val="16"/>
                <w:color w:val="auto"/>
              </w:rPr>
              <w:t>covering 4,100 square miles</w:t>
            </w:r>
          </w:p>
        </w:tc>
        <w:tc>
          <w:tcPr>
            <w:tcW w:w="0" w:type="dxa"/>
            <w:vAlign w:val="bottom"/>
          </w:tcPr>
          <w:p>
            <w:pPr>
              <w:spacing w:after="0"/>
              <w:rPr>
                <w:sz w:val="1"/>
                <w:szCs w:val="1"/>
                <w:color w:val="auto"/>
              </w:rPr>
            </w:pPr>
          </w:p>
        </w:tc>
      </w:tr>
      <w:tr>
        <w:trPr>
          <w:trHeight w:val="102"/>
        </w:trPr>
        <w:tc>
          <w:tcPr>
            <w:tcW w:w="38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3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840" w:type="dxa"/>
            <w:vAlign w:val="bottom"/>
            <w:gridSpan w:val="2"/>
          </w:tcPr>
          <w:p>
            <w:pPr>
              <w:spacing w:after="0" w:line="176" w:lineRule="exact"/>
              <w:rPr>
                <w:sz w:val="20"/>
                <w:szCs w:val="20"/>
                <w:color w:val="auto"/>
              </w:rPr>
            </w:pPr>
            <w:r>
              <w:rPr>
                <w:rFonts w:ascii="Arial" w:cs="Arial" w:eastAsia="Arial" w:hAnsi="Arial"/>
                <w:sz w:val="16"/>
                <w:szCs w:val="16"/>
                <w:color w:val="auto"/>
              </w:rPr>
              <w:t>electric generation, transmission and distribution,</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3160" w:type="dxa"/>
            <w:vAlign w:val="bottom"/>
            <w:vMerge w:val="restart"/>
          </w:tcPr>
          <w:p>
            <w:pPr>
              <w:ind w:left="100"/>
              <w:spacing w:after="0"/>
              <w:rPr>
                <w:sz w:val="20"/>
                <w:szCs w:val="20"/>
                <w:color w:val="auto"/>
              </w:rPr>
            </w:pPr>
            <w:r>
              <w:rPr>
                <w:rFonts w:ascii="Arial" w:cs="Arial" w:eastAsia="Arial" w:hAnsi="Arial"/>
                <w:sz w:val="16"/>
                <w:szCs w:val="16"/>
                <w:color w:val="auto"/>
              </w:rPr>
              <w:t>Provides natural gas to 3.1 million</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40" w:type="dxa"/>
            <w:vAlign w:val="bottom"/>
            <w:gridSpan w:val="2"/>
            <w:vMerge w:val="restart"/>
          </w:tcPr>
          <w:p>
            <w:pPr>
              <w:spacing w:after="0"/>
              <w:rPr>
                <w:sz w:val="20"/>
                <w:szCs w:val="20"/>
                <w:color w:val="auto"/>
              </w:rPr>
            </w:pPr>
            <w:r>
              <w:rPr>
                <w:rFonts w:ascii="Arial" w:cs="Arial" w:eastAsia="Arial" w:hAnsi="Arial"/>
                <w:sz w:val="16"/>
                <w:szCs w:val="16"/>
                <w:color w:val="auto"/>
              </w:rPr>
              <w:t>and natural gas distribution</w:t>
            </w:r>
          </w:p>
        </w:tc>
        <w:tc>
          <w:tcPr>
            <w:tcW w:w="480" w:type="dxa"/>
            <w:vAlign w:val="bottom"/>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40" w:type="dxa"/>
            <w:vAlign w:val="bottom"/>
            <w:gridSpan w:val="2"/>
            <w:vMerge w:val="continue"/>
          </w:tcPr>
          <w:p>
            <w:pPr>
              <w:spacing w:after="0"/>
              <w:rPr>
                <w:sz w:val="4"/>
                <w:szCs w:val="4"/>
                <w:color w:val="auto"/>
              </w:rPr>
            </w:pPr>
          </w:p>
        </w:tc>
        <w:tc>
          <w:tcPr>
            <w:tcW w:w="3640" w:type="dxa"/>
            <w:vAlign w:val="bottom"/>
            <w:gridSpan w:val="2"/>
            <w:vMerge w:val="restart"/>
          </w:tcPr>
          <w:p>
            <w:pPr>
              <w:ind w:left="280"/>
              <w:spacing w:after="0"/>
              <w:rPr>
                <w:sz w:val="20"/>
                <w:szCs w:val="20"/>
                <w:color w:val="auto"/>
              </w:rPr>
            </w:pPr>
            <w:r>
              <w:rPr>
                <w:rFonts w:ascii="Arial" w:cs="Arial" w:eastAsia="Arial" w:hAnsi="Arial"/>
                <w:sz w:val="16"/>
                <w:szCs w:val="16"/>
                <w:color w:val="auto"/>
              </w:rPr>
              <w:t>consumers (855,000 meters)</w:t>
            </w:r>
          </w:p>
        </w:tc>
        <w:tc>
          <w:tcPr>
            <w:tcW w:w="3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20" w:type="dxa"/>
            <w:vAlign w:val="bottom"/>
          </w:tcPr>
          <w:p>
            <w:pPr>
              <w:spacing w:after="0" w:line="162" w:lineRule="exact"/>
              <w:rPr>
                <w:sz w:val="20"/>
                <w:szCs w:val="20"/>
                <w:color w:val="auto"/>
              </w:rPr>
            </w:pPr>
            <w:r>
              <w:rPr>
                <w:rFonts w:ascii="Arial" w:cs="Arial" w:eastAsia="Arial" w:hAnsi="Arial"/>
                <w:sz w:val="16"/>
                <w:szCs w:val="16"/>
                <w:b w:val="1"/>
                <w:bCs w:val="1"/>
                <w:color w:val="auto"/>
              </w:rPr>
              <w:t>SOUTHERN CALIFORNIA GAS COMPANY</w:t>
            </w:r>
          </w:p>
        </w:tc>
        <w:tc>
          <w:tcPr>
            <w:tcW w:w="480" w:type="dxa"/>
            <w:vAlign w:val="bottom"/>
          </w:tcPr>
          <w:p>
            <w:pPr>
              <w:ind w:left="280"/>
              <w:spacing w:after="0" w:line="162" w:lineRule="exact"/>
              <w:rPr>
                <w:sz w:val="20"/>
                <w:szCs w:val="20"/>
                <w:color w:val="auto"/>
              </w:rPr>
            </w:pPr>
            <w:r>
              <w:rPr>
                <w:rFonts w:ascii="Arial" w:cs="Arial" w:eastAsia="Arial" w:hAnsi="Arial"/>
                <w:sz w:val="16"/>
                <w:szCs w:val="16"/>
                <w:color w:val="auto"/>
              </w:rPr>
              <w:t>§</w:t>
            </w:r>
          </w:p>
        </w:tc>
        <w:tc>
          <w:tcPr>
            <w:tcW w:w="3160" w:type="dxa"/>
            <w:vAlign w:val="bottom"/>
          </w:tcPr>
          <w:p>
            <w:pPr>
              <w:ind w:left="100"/>
              <w:spacing w:after="0" w:line="162" w:lineRule="exact"/>
              <w:rPr>
                <w:sz w:val="20"/>
                <w:szCs w:val="20"/>
                <w:color w:val="auto"/>
              </w:rPr>
            </w:pPr>
            <w:r>
              <w:rPr>
                <w:rFonts w:ascii="Arial" w:cs="Arial" w:eastAsia="Arial" w:hAnsi="Arial"/>
                <w:sz w:val="16"/>
                <w:szCs w:val="16"/>
                <w:color w:val="auto"/>
              </w:rPr>
              <w:t>Residential, commercial, industrial, utility</w:t>
            </w:r>
          </w:p>
        </w:tc>
        <w:tc>
          <w:tcPr>
            <w:tcW w:w="3940" w:type="dxa"/>
            <w:vAlign w:val="bottom"/>
          </w:tcPr>
          <w:p>
            <w:pPr>
              <w:ind w:left="140"/>
              <w:spacing w:after="0" w:line="162"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177"/>
        </w:trPr>
        <w:tc>
          <w:tcPr>
            <w:tcW w:w="384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(SOCALGAS)</w:t>
            </w:r>
          </w:p>
        </w:tc>
        <w:tc>
          <w:tcPr>
            <w:tcW w:w="3640" w:type="dxa"/>
            <w:vAlign w:val="bottom"/>
            <w:gridSpan w:val="2"/>
            <w:vMerge w:val="restart"/>
          </w:tcPr>
          <w:p>
            <w:pPr>
              <w:ind w:left="280"/>
              <w:spacing w:after="0"/>
              <w:rPr>
                <w:sz w:val="20"/>
                <w:szCs w:val="20"/>
                <w:color w:val="auto"/>
              </w:rPr>
            </w:pPr>
            <w:r>
              <w:rPr>
                <w:rFonts w:ascii="Arial" w:cs="Arial" w:eastAsia="Arial" w:hAnsi="Arial"/>
                <w:sz w:val="16"/>
                <w:szCs w:val="16"/>
                <w:color w:val="auto"/>
              </w:rPr>
              <w:t>electric generation and wholesale customers</w:t>
            </w:r>
          </w:p>
        </w:tc>
        <w:tc>
          <w:tcPr>
            <w:tcW w:w="3940" w:type="dxa"/>
            <w:vAlign w:val="bottom"/>
          </w:tcPr>
          <w:p>
            <w:pPr>
              <w:ind w:left="140"/>
              <w:spacing w:after="0" w:line="178" w:lineRule="exact"/>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73"/>
        </w:trPr>
        <w:tc>
          <w:tcPr>
            <w:tcW w:w="3840" w:type="dxa"/>
            <w:vAlign w:val="bottom"/>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640" w:type="dxa"/>
            <w:vAlign w:val="bottom"/>
            <w:gridSpan w:val="2"/>
            <w:vMerge w:val="continue"/>
          </w:tcPr>
          <w:p>
            <w:pPr>
              <w:spacing w:after="0"/>
              <w:rPr>
                <w:sz w:val="6"/>
                <w:szCs w:val="6"/>
                <w:color w:val="auto"/>
              </w:rPr>
            </w:pPr>
          </w:p>
        </w:tc>
        <w:tc>
          <w:tcPr>
            <w:tcW w:w="3940" w:type="dxa"/>
            <w:vAlign w:val="bottom"/>
            <w:vMerge w:val="restart"/>
          </w:tcPr>
          <w:p>
            <w:pPr>
              <w:ind w:left="140"/>
              <w:spacing w:after="0" w:line="176" w:lineRule="exact"/>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02"/>
        </w:trPr>
        <w:tc>
          <w:tcPr>
            <w:tcW w:w="38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3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6"/>
                <w:szCs w:val="16"/>
                <w:color w:val="auto"/>
              </w:rPr>
              <w:t>natural gas distribution, transmission and storage</w:t>
            </w:r>
          </w:p>
        </w:tc>
        <w:tc>
          <w:tcPr>
            <w:tcW w:w="480" w:type="dxa"/>
            <w:vAlign w:val="bottom"/>
          </w:tcPr>
          <w:p>
            <w:pPr>
              <w:ind w:left="280"/>
              <w:spacing w:after="0"/>
              <w:rPr>
                <w:sz w:val="20"/>
                <w:szCs w:val="20"/>
                <w:color w:val="auto"/>
              </w:rPr>
            </w:pPr>
            <w:r>
              <w:rPr>
                <w:rFonts w:ascii="Arial" w:cs="Arial" w:eastAsia="Arial" w:hAnsi="Arial"/>
                <w:sz w:val="16"/>
                <w:szCs w:val="16"/>
                <w:color w:val="auto"/>
              </w:rPr>
              <w:t>§</w:t>
            </w:r>
          </w:p>
        </w:tc>
        <w:tc>
          <w:tcPr>
            <w:tcW w:w="7100" w:type="dxa"/>
            <w:vAlign w:val="bottom"/>
            <w:gridSpan w:val="2"/>
          </w:tcPr>
          <w:p>
            <w:pPr>
              <w:ind w:left="100"/>
              <w:spacing w:after="0" w:line="324" w:lineRule="exact"/>
              <w:rPr>
                <w:sz w:val="20"/>
                <w:szCs w:val="20"/>
                <w:color w:val="auto"/>
              </w:rPr>
            </w:pPr>
            <w:r>
              <w:rPr>
                <w:rFonts w:ascii="Arial" w:cs="Arial" w:eastAsia="Arial" w:hAnsi="Arial"/>
                <w:sz w:val="16"/>
                <w:szCs w:val="16"/>
                <w:color w:val="auto"/>
              </w:rPr>
              <w:t>Covers a population of 21 million (5.8 million</w:t>
            </w:r>
            <w:r>
              <w:rPr>
                <w:rFonts w:ascii="Arial" w:cs="Arial" w:eastAsia="Arial" w:hAnsi="Arial"/>
                <w:sz w:val="32"/>
                <w:szCs w:val="32"/>
                <w:color w:val="auto"/>
                <w:vertAlign w:val="superscript"/>
              </w:rPr>
              <w:t>covering 20,000 square miles</w:t>
            </w:r>
          </w:p>
        </w:tc>
        <w:tc>
          <w:tcPr>
            <w:tcW w:w="0" w:type="dxa"/>
            <w:vAlign w:val="bottom"/>
          </w:tcPr>
          <w:p>
            <w:pPr>
              <w:spacing w:after="0"/>
              <w:rPr>
                <w:sz w:val="1"/>
                <w:szCs w:val="1"/>
                <w:color w:val="auto"/>
              </w:rPr>
            </w:pPr>
          </w:p>
        </w:tc>
      </w:tr>
    </w:tbl>
    <w:p>
      <w:pPr>
        <w:ind w:left="4120"/>
        <w:spacing w:after="0"/>
        <w:rPr>
          <w:sz w:val="20"/>
          <w:szCs w:val="20"/>
          <w:color w:val="auto"/>
        </w:rPr>
      </w:pPr>
      <w:r>
        <w:rPr>
          <w:rFonts w:ascii="Arial" w:cs="Arial" w:eastAsia="Arial" w:hAnsi="Arial"/>
          <w:sz w:val="16"/>
          <w:szCs w:val="16"/>
          <w:color w:val="auto"/>
        </w:rPr>
        <w:t>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refer to SDG&amp;E and SoCalGas collectively as the Sempra Utilities, which do not include the utilities in our Sempra Pipelines &amp; Storage business unit described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SDG&amp;E provides electricity to 3.4 million consumers and natural gas to 3.1 million consumers. It delivers the electricity through 1.4 million meters in San Diego County and an adjacent portion of southern Orange County, California. SDG&amp;E’s electric energy is purchased from others or generated from its own electric generation facilities and its 20-percent ownership interest in the San Onofre Nuclear Generating Station (SONGS). SDG&amp;E’s electric generation facilities include Palomar, Miramar I and II, Desert Star Energy Center (purchased from Sempra Generation in October 2011) and Cuyamaca Peak Energy Plant (purchased in January 2012). SDG&amp;E also delivers natural gas through 855,000 meters in San Diego County and transports electricity and natural gas for others. SDG&amp;E’s service territory encompasses 4,100 square miles.</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Sempra Energy indirectly owns all of the common stock of SDG&amp;E. SDG&amp;E also has publicly held preferred stock. The preferred stock has liquidation preferences totaling $79 million and represents less than 3% of the ordinary voting power of SDG&amp;E shares.</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SDG&amp;E’s financial statements include a variable interest entity (VIE), Otay Mesa Energy Center LLC (Otay Mesa VIE), of which SDG&amp;E is the primary beneficiary. As we discuss in Note 1 of the Notes to Consolidated Financial Statements under “Variable Interest Entities,” SDG&amp;E has a long-term power purchase agreement with Otay Mesa VIE.</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SoCalGas is the nation’s largest natural gas distribution utility. It owns and operates a natural gas distribution, transmission and storage system that supplies natural gas throughout its approximately 20,000 square miles of service territory. Its service territory extends from San Luis Obispo, California in the north to the Mexican border in the south, excluding San Diego County, the city of Long Beach and the desert area of San Bernardino County. SoCalGas provides natural gas service to residential, commercial, industrial, utility electric generation and wholesale customers through 5.8 million meters, covering a population of 21 million.</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Sempra Energy indirectly owns all of the common stock of SoCalGas. SoCalGas also has publicly held preferred stock. The preferred stock has liquidation preferences totaling $22 million and represents less than 1% of the ordinary voting power of SoCalGas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GLOBAL</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MARKET</w:t>
            </w:r>
          </w:p>
        </w:tc>
        <w:tc>
          <w:tcPr>
            <w:tcW w:w="11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tcPr>
          <w:p>
            <w:pPr>
              <w:spacing w:after="0" w:line="164" w:lineRule="exact"/>
              <w:rPr>
                <w:sz w:val="20"/>
                <w:szCs w:val="20"/>
                <w:color w:val="auto"/>
              </w:rPr>
            </w:pPr>
            <w:r>
              <w:rPr>
                <w:rFonts w:ascii="Arial" w:cs="Arial" w:eastAsia="Arial" w:hAnsi="Arial"/>
                <w:sz w:val="16"/>
                <w:szCs w:val="16"/>
                <w:b w:val="1"/>
                <w:bCs w:val="1"/>
                <w:color w:val="auto"/>
              </w:rPr>
              <w:t>SEMPRA GENERATION</w:t>
            </w:r>
          </w:p>
        </w:tc>
        <w:tc>
          <w:tcPr>
            <w:tcW w:w="3080" w:type="dxa"/>
            <w:vAlign w:val="bottom"/>
          </w:tcPr>
          <w:p>
            <w:pPr>
              <w:ind w:left="220"/>
              <w:spacing w:after="0" w:line="164" w:lineRule="exact"/>
              <w:rPr>
                <w:sz w:val="20"/>
                <w:szCs w:val="20"/>
                <w:color w:val="auto"/>
              </w:rPr>
            </w:pPr>
            <w:r>
              <w:rPr>
                <w:rFonts w:ascii="Arial" w:cs="Arial" w:eastAsia="Arial" w:hAnsi="Arial"/>
                <w:sz w:val="16"/>
                <w:szCs w:val="16"/>
                <w:color w:val="auto"/>
              </w:rPr>
              <w:t>§   Wholesale electricity</w:t>
            </w:r>
          </w:p>
        </w:tc>
        <w:tc>
          <w:tcPr>
            <w:tcW w:w="114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64"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line="176" w:lineRule="exact"/>
              <w:rPr>
                <w:sz w:val="20"/>
                <w:szCs w:val="20"/>
                <w:color w:val="auto"/>
              </w:rPr>
            </w:pPr>
            <w:r>
              <w:rPr>
                <w:rFonts w:ascii="Arial" w:cs="Arial" w:eastAsia="Arial" w:hAnsi="Arial"/>
                <w:sz w:val="16"/>
                <w:szCs w:val="16"/>
                <w:color w:val="auto"/>
              </w:rPr>
              <w:t>Develops, owns and operates, or holds interests in,</w:t>
            </w:r>
          </w:p>
        </w:tc>
        <w:tc>
          <w:tcPr>
            <w:tcW w:w="3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900" w:type="dxa"/>
            <w:vAlign w:val="bottom"/>
            <w:gridSpan w:val="2"/>
          </w:tcPr>
          <w:p>
            <w:pPr>
              <w:spacing w:after="0"/>
              <w:rPr>
                <w:sz w:val="20"/>
                <w:szCs w:val="20"/>
                <w:color w:val="auto"/>
              </w:rPr>
            </w:pPr>
            <w:r>
              <w:rPr>
                <w:rFonts w:ascii="Arial" w:cs="Arial" w:eastAsia="Arial" w:hAnsi="Arial"/>
                <w:sz w:val="16"/>
                <w:szCs w:val="16"/>
                <w:color w:val="auto"/>
              </w:rPr>
              <w:t>electric power plants and energy projects</w:t>
            </w:r>
          </w:p>
        </w:tc>
        <w:tc>
          <w:tcPr>
            <w:tcW w:w="3080" w:type="dxa"/>
            <w:vAlign w:val="bottom"/>
          </w:tcPr>
          <w:p>
            <w:pPr>
              <w:spacing w:after="0"/>
              <w:rPr>
                <w:sz w:val="16"/>
                <w:szCs w:val="16"/>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53" w:right="239" w:bottom="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PIPELINES &amp; STORAGE</w:t>
      </w:r>
    </w:p>
    <w:p>
      <w:pPr>
        <w:spacing w:after="0" w:line="12"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Develops, owns and operates, or holds interests in, natural gas and propane pipelines, natural gas storage facilities, and natural gas and electric utilities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93" w:hanging="293"/>
        <w:spacing w:after="0"/>
        <w:tabs>
          <w:tab w:leader="none" w:pos="29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Natural gas</w:t>
      </w:r>
    </w:p>
    <w:p>
      <w:pPr>
        <w:spacing w:after="0" w:line="248" w:lineRule="exact"/>
        <w:rPr>
          <w:rFonts w:ascii="Arial" w:cs="Arial" w:eastAsia="Arial" w:hAnsi="Arial"/>
          <w:sz w:val="16"/>
          <w:szCs w:val="16"/>
          <w:color w:val="auto"/>
        </w:rPr>
      </w:pPr>
    </w:p>
    <w:p>
      <w:pPr>
        <w:ind w:left="293" w:hanging="293"/>
        <w:spacing w:after="0"/>
        <w:tabs>
          <w:tab w:leader="none" w:pos="29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-417830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84" w:hanging="284"/>
        <w:spacing w:after="0"/>
        <w:tabs>
          <w:tab w:leader="none" w:pos="28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U.S.A.</w:t>
      </w:r>
    </w:p>
    <w:p>
      <w:pPr>
        <w:spacing w:after="0" w:line="248" w:lineRule="exact"/>
        <w:rPr>
          <w:rFonts w:ascii="Arial" w:cs="Arial" w:eastAsia="Arial" w:hAnsi="Arial"/>
          <w:sz w:val="16"/>
          <w:szCs w:val="16"/>
          <w:color w:val="auto"/>
        </w:rPr>
      </w:pPr>
    </w:p>
    <w:p>
      <w:pPr>
        <w:ind w:left="284" w:hanging="284"/>
        <w:spacing w:after="0"/>
        <w:tabs>
          <w:tab w:leader="none" w:pos="28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Mexico</w:t>
      </w:r>
    </w:p>
    <w:p>
      <w:pPr>
        <w:spacing w:after="0" w:line="248" w:lineRule="exact"/>
        <w:rPr>
          <w:rFonts w:ascii="Arial" w:cs="Arial" w:eastAsia="Arial" w:hAnsi="Arial"/>
          <w:sz w:val="16"/>
          <w:szCs w:val="16"/>
          <w:color w:val="auto"/>
        </w:rPr>
      </w:pPr>
    </w:p>
    <w:p>
      <w:pPr>
        <w:ind w:left="284" w:hanging="284"/>
        <w:spacing w:after="0"/>
        <w:tabs>
          <w:tab w:leader="none" w:pos="28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Argentina</w:t>
      </w:r>
    </w:p>
    <w:p>
      <w:pPr>
        <w:spacing w:after="0" w:line="248" w:lineRule="exact"/>
        <w:rPr>
          <w:rFonts w:ascii="Arial" w:cs="Arial" w:eastAsia="Arial" w:hAnsi="Arial"/>
          <w:sz w:val="16"/>
          <w:szCs w:val="16"/>
          <w:color w:val="auto"/>
        </w:rPr>
      </w:pPr>
    </w:p>
    <w:p>
      <w:pPr>
        <w:ind w:left="284" w:hanging="284"/>
        <w:spacing w:after="0"/>
        <w:tabs>
          <w:tab w:leader="none" w:pos="28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Chile</w:t>
      </w:r>
    </w:p>
    <w:p>
      <w:pPr>
        <w:spacing w:after="0" w:line="248" w:lineRule="exact"/>
        <w:rPr>
          <w:rFonts w:ascii="Arial" w:cs="Arial" w:eastAsia="Arial" w:hAnsi="Arial"/>
          <w:sz w:val="16"/>
          <w:szCs w:val="16"/>
          <w:color w:val="auto"/>
        </w:rPr>
      </w:pPr>
    </w:p>
    <w:p>
      <w:pPr>
        <w:ind w:left="284" w:hanging="284"/>
        <w:spacing w:after="0"/>
        <w:tabs>
          <w:tab w:leader="none" w:pos="28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Peru</w:t>
      </w:r>
    </w:p>
    <w:p>
      <w:pPr>
        <w:spacing w:after="0" w:line="200" w:lineRule="exact"/>
        <w:rPr>
          <w:sz w:val="20"/>
          <w:szCs w:val="20"/>
          <w:color w:val="auto"/>
        </w:rPr>
      </w:pPr>
    </w:p>
    <w:p>
      <w:pPr>
        <w:sectPr>
          <w:pgSz w:w="11900" w:h="16838" w:orient="portrait"/>
          <w:cols w:equalWidth="0" w:num="3">
            <w:col w:w="3800" w:space="327"/>
            <w:col w:w="3088" w:space="720"/>
            <w:col w:w="3484"/>
          </w:cols>
          <w:pgMar w:left="240" w:top="153" w:right="239" w:bottom="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LNG</w:t>
      </w:r>
    </w:p>
    <w:p>
      <w:pPr>
        <w:spacing w:after="0" w:line="12"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Develops, owns and operates terminals for importation and export of liquefied natural gas (LNG) and sale of natural gas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93" w:hanging="293"/>
        <w:spacing w:after="0"/>
        <w:tabs>
          <w:tab w:leader="none" w:pos="29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Liquefied natural gas</w:t>
      </w:r>
    </w:p>
    <w:p>
      <w:pPr>
        <w:spacing w:after="0" w:line="248" w:lineRule="exact"/>
        <w:rPr>
          <w:rFonts w:ascii="Arial" w:cs="Arial" w:eastAsia="Arial" w:hAnsi="Arial"/>
          <w:sz w:val="16"/>
          <w:szCs w:val="16"/>
          <w:color w:val="auto"/>
        </w:rPr>
      </w:pPr>
    </w:p>
    <w:p>
      <w:pPr>
        <w:ind w:left="293" w:hanging="293"/>
        <w:spacing w:after="0"/>
        <w:tabs>
          <w:tab w:leader="none" w:pos="29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-417830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422275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84" w:hanging="284"/>
        <w:spacing w:after="0"/>
        <w:tabs>
          <w:tab w:leader="none" w:pos="28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U.S.A.</w:t>
      </w:r>
    </w:p>
    <w:p>
      <w:pPr>
        <w:spacing w:after="0" w:line="248" w:lineRule="exact"/>
        <w:rPr>
          <w:rFonts w:ascii="Arial" w:cs="Arial" w:eastAsia="Arial" w:hAnsi="Arial"/>
          <w:sz w:val="16"/>
          <w:szCs w:val="16"/>
          <w:color w:val="auto"/>
        </w:rPr>
      </w:pPr>
    </w:p>
    <w:p>
      <w:pPr>
        <w:ind w:left="284" w:hanging="284"/>
        <w:spacing w:after="0"/>
        <w:tabs>
          <w:tab w:leader="none" w:pos="28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Mexico</w:t>
      </w:r>
    </w:p>
    <w:p>
      <w:pPr>
        <w:spacing w:after="0" w:line="248" w:lineRule="exact"/>
        <w:rPr>
          <w:rFonts w:ascii="Arial" w:cs="Arial" w:eastAsia="Arial" w:hAnsi="Arial"/>
          <w:sz w:val="16"/>
          <w:szCs w:val="16"/>
          <w:color w:val="auto"/>
        </w:rPr>
      </w:pPr>
    </w:p>
    <w:p>
      <w:pPr>
        <w:ind w:left="284" w:hanging="284"/>
        <w:spacing w:after="0"/>
        <w:tabs>
          <w:tab w:leader="none" w:pos="28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Global</w:t>
      </w:r>
    </w:p>
    <w:p>
      <w:pPr>
        <w:spacing w:after="0" w:line="200" w:lineRule="exact"/>
        <w:rPr>
          <w:sz w:val="20"/>
          <w:szCs w:val="20"/>
          <w:color w:val="auto"/>
        </w:rPr>
      </w:pPr>
    </w:p>
    <w:p>
      <w:pPr>
        <w:sectPr>
          <w:pgSz w:w="11900" w:h="16838" w:orient="portrait"/>
          <w:cols w:equalWidth="0" w:num="3">
            <w:col w:w="3780" w:space="347"/>
            <w:col w:w="3088" w:space="720"/>
            <w:col w:w="3484"/>
          </w:cols>
          <w:pgMar w:left="240" w:top="153" w:right="23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Sempra Global is a holding company for most of our subsidiaries that are not subject to California utility regulation. Sempra Global’s principal business units, which provide energy-related services, are</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Sempra Generation</w:t>
      </w:r>
    </w:p>
    <w:p>
      <w:pPr>
        <w:sectPr>
          <w:pgSz w:w="11900" w:h="16838" w:orient="portrait"/>
          <w:cols w:equalWidth="0" w:num="1">
            <w:col w:w="11420"/>
          </w:cols>
          <w:pgMar w:left="240" w:top="153" w:right="239" w:bottom="0" w:gutter="0" w:footer="0" w:header="0"/>
          <w:type w:val="continuous"/>
        </w:sectPr>
      </w:pPr>
    </w:p>
    <w:bookmarkStart w:id="137" w:name="page138"/>
    <w:bookmarkEnd w:id="137"/>
    <w:p>
      <w:pPr>
        <w:spacing w:after="0" w:line="29" w:lineRule="exact"/>
        <w:rPr>
          <w:sz w:val="20"/>
          <w:szCs w:val="20"/>
          <w:color w:val="auto"/>
        </w:rPr>
      </w:pPr>
    </w:p>
    <w:p>
      <w:pPr>
        <w:ind w:left="340" w:hanging="188"/>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Sempra Pipelines &amp; Storage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Sempra LNG</w:t>
      </w:r>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description of each business unit follows. All references in this Annual Report to “Sempra Generation,” “Sempra Pipelines &amp; Storage” and “Sempra LNG” are to the respective principal business units of Sempra Global and are not intended to refer to any legal entity with the same or similar name.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Generation business unit:</w:t>
      </w:r>
    </w:p>
    <w:p>
      <w:pPr>
        <w:spacing w:after="0" w:line="225" w:lineRule="exact"/>
        <w:rPr>
          <w:sz w:val="20"/>
          <w:szCs w:val="20"/>
          <w:color w:val="auto"/>
        </w:rPr>
      </w:pPr>
    </w:p>
    <w:p>
      <w:pPr>
        <w:ind w:left="340" w:hanging="188"/>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develops, owns, operates and invests in renewable energy generation projects in the U.S. and Mexico under long-term contracts;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develops, owns and operates natural gas-fired power plants serving wholesale electricity markets in North America;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includes the operating results of Sempra Rockies Marketing, which holds firm service capacity on the Rockies Express Pipeline.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Renewables Facilities</w:t>
      </w:r>
    </w:p>
    <w:p>
      <w:pPr>
        <w:spacing w:after="0" w:line="2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information about each of Sempra Generation’s renewables facilities that were operational as of December 31, 2011. The generating capacity of these facilities is fully contracted under long-term contracts, as we discuss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GENERATION RENEWABLES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20"/>
                <w:szCs w:val="20"/>
                <w:color w:val="auto"/>
              </w:rPr>
            </w:pPr>
            <w:r>
              <w:rPr>
                <w:rFonts w:ascii="Arial" w:cs="Arial" w:eastAsia="Arial" w:hAnsi="Arial"/>
                <w:sz w:val="14"/>
                <w:szCs w:val="14"/>
                <w:i w:val="1"/>
                <w:iCs w:val="1"/>
                <w:color w:val="auto"/>
              </w:rPr>
              <w:t>Capacity in Megawatts (MW)</w:t>
            </w: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vMerge w:val="restart"/>
          </w:tcPr>
          <w:p>
            <w:pPr>
              <w:jc w:val="right"/>
              <w:ind w:right="182"/>
              <w:spacing w:after="0"/>
              <w:rPr>
                <w:sz w:val="20"/>
                <w:szCs w:val="20"/>
                <w:color w:val="auto"/>
              </w:rPr>
            </w:pPr>
            <w:r>
              <w:rPr>
                <w:rFonts w:ascii="Arial" w:cs="Arial" w:eastAsia="Arial" w:hAnsi="Arial"/>
                <w:sz w:val="14"/>
                <w:szCs w:val="14"/>
                <w:color w:val="auto"/>
              </w:rPr>
              <w:t>First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2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Maximum Generating Capacity</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2"/>
              <w:spacing w:after="0" w:line="157" w:lineRule="exact"/>
              <w:rPr>
                <w:sz w:val="20"/>
                <w:szCs w:val="20"/>
                <w:color w:val="auto"/>
              </w:rPr>
            </w:pPr>
            <w:r>
              <w:rPr>
                <w:rFonts w:ascii="Arial" w:cs="Arial" w:eastAsia="Arial" w:hAnsi="Arial"/>
                <w:sz w:val="14"/>
                <w:szCs w:val="14"/>
                <w:color w:val="auto"/>
              </w:rPr>
              <w:t>In Service</w:t>
            </w:r>
          </w:p>
        </w:tc>
        <w:tc>
          <w:tcPr>
            <w:tcW w:w="380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24"/>
        </w:trPr>
        <w:tc>
          <w:tcPr>
            <w:tcW w:w="3980" w:type="dxa"/>
            <w:vAlign w:val="bottom"/>
          </w:tcPr>
          <w:p>
            <w:pPr>
              <w:spacing w:after="0"/>
              <w:rPr>
                <w:sz w:val="20"/>
                <w:szCs w:val="20"/>
                <w:color w:val="auto"/>
              </w:rPr>
            </w:pPr>
            <w:r>
              <w:rPr>
                <w:rFonts w:ascii="Arial" w:cs="Arial" w:eastAsia="Arial" w:hAnsi="Arial"/>
                <w:sz w:val="16"/>
                <w:szCs w:val="16"/>
                <w:color w:val="auto"/>
              </w:rPr>
              <w:t>Cedar Creek 2 Wind Farm (50% owned)</w:t>
            </w:r>
          </w:p>
        </w:tc>
        <w:tc>
          <w:tcPr>
            <w:tcW w:w="2100" w:type="dxa"/>
            <w:vAlign w:val="bottom"/>
          </w:tcPr>
          <w:p>
            <w:pPr>
              <w:jc w:val="right"/>
              <w:spacing w:after="0"/>
              <w:rPr>
                <w:sz w:val="20"/>
                <w:szCs w:val="20"/>
                <w:color w:val="auto"/>
              </w:rPr>
            </w:pPr>
            <w:r>
              <w:rPr>
                <w:rFonts w:ascii="Arial" w:cs="Arial" w:eastAsia="Arial" w:hAnsi="Arial"/>
                <w:sz w:val="16"/>
                <w:szCs w:val="16"/>
                <w:color w:val="auto"/>
              </w:rPr>
              <w:t>125</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2011</w:t>
            </w:r>
          </w:p>
        </w:tc>
        <w:tc>
          <w:tcPr>
            <w:tcW w:w="3800" w:type="dxa"/>
            <w:vAlign w:val="bottom"/>
          </w:tcPr>
          <w:p>
            <w:pPr>
              <w:ind w:left="40"/>
              <w:spacing w:after="0"/>
              <w:rPr>
                <w:sz w:val="20"/>
                <w:szCs w:val="20"/>
                <w:color w:val="auto"/>
              </w:rPr>
            </w:pPr>
            <w:r>
              <w:rPr>
                <w:rFonts w:ascii="Arial" w:cs="Arial" w:eastAsia="Arial" w:hAnsi="Arial"/>
                <w:sz w:val="16"/>
                <w:szCs w:val="16"/>
                <w:color w:val="auto"/>
              </w:rPr>
              <w:t>New Raymer, CO</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Fowler Ridge 2 Wind Farm (50% owned)</w:t>
            </w:r>
          </w:p>
        </w:tc>
        <w:tc>
          <w:tcPr>
            <w:tcW w:w="210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2009</w:t>
            </w:r>
          </w:p>
        </w:tc>
        <w:tc>
          <w:tcPr>
            <w:tcW w:w="3800" w:type="dxa"/>
            <w:vAlign w:val="bottom"/>
          </w:tcPr>
          <w:p>
            <w:pPr>
              <w:ind w:left="40"/>
              <w:spacing w:after="0"/>
              <w:rPr>
                <w:sz w:val="20"/>
                <w:szCs w:val="20"/>
                <w:color w:val="auto"/>
              </w:rPr>
            </w:pPr>
            <w:r>
              <w:rPr>
                <w:rFonts w:ascii="Arial" w:cs="Arial" w:eastAsia="Arial" w:hAnsi="Arial"/>
                <w:sz w:val="16"/>
                <w:szCs w:val="16"/>
                <w:color w:val="auto"/>
              </w:rPr>
              <w:t>Benton County, IN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Copper Mountain Solar 1</w:t>
            </w:r>
          </w:p>
        </w:tc>
        <w:tc>
          <w:tcPr>
            <w:tcW w:w="2100" w:type="dxa"/>
            <w:vAlign w:val="bottom"/>
          </w:tcPr>
          <w:p>
            <w:pPr>
              <w:jc w:val="right"/>
              <w:spacing w:after="0"/>
              <w:rPr>
                <w:sz w:val="20"/>
                <w:szCs w:val="20"/>
                <w:color w:val="auto"/>
              </w:rPr>
            </w:pPr>
            <w:r>
              <w:rPr>
                <w:rFonts w:ascii="Arial" w:cs="Arial" w:eastAsia="Arial" w:hAnsi="Arial"/>
                <w:sz w:val="16"/>
                <w:szCs w:val="16"/>
                <w:color w:val="auto"/>
              </w:rPr>
              <w:t>58</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40" w:type="dxa"/>
            <w:vAlign w:val="bottom"/>
          </w:tcPr>
          <w:p>
            <w:pPr>
              <w:jc w:val="right"/>
              <w:spacing w:after="0"/>
              <w:rPr>
                <w:sz w:val="20"/>
                <w:szCs w:val="20"/>
                <w:color w:val="auto"/>
              </w:rPr>
            </w:pPr>
            <w:r>
              <w:rPr>
                <w:rFonts w:ascii="Arial" w:cs="Arial" w:eastAsia="Arial" w:hAnsi="Arial"/>
                <w:sz w:val="16"/>
                <w:szCs w:val="16"/>
                <w:color w:val="auto"/>
              </w:rPr>
              <w:t>2010</w:t>
            </w:r>
          </w:p>
        </w:tc>
        <w:tc>
          <w:tcPr>
            <w:tcW w:w="3800" w:type="dxa"/>
            <w:vAlign w:val="bottom"/>
          </w:tcPr>
          <w:p>
            <w:pPr>
              <w:ind w:left="40"/>
              <w:spacing w:after="0"/>
              <w:rPr>
                <w:sz w:val="20"/>
                <w:szCs w:val="20"/>
                <w:color w:val="auto"/>
              </w:rPr>
            </w:pPr>
            <w:r>
              <w:rPr>
                <w:rFonts w:ascii="Arial" w:cs="Arial" w:eastAsia="Arial" w:hAnsi="Arial"/>
                <w:sz w:val="16"/>
                <w:szCs w:val="16"/>
                <w:color w:val="auto"/>
              </w:rPr>
              <w:t>Boulder City, NV</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20"/>
                <w:szCs w:val="20"/>
                <w:color w:val="auto"/>
              </w:rPr>
            </w:pPr>
            <w:r>
              <w:rPr>
                <w:rFonts w:ascii="Arial" w:cs="Arial" w:eastAsia="Arial" w:hAnsi="Arial"/>
                <w:sz w:val="16"/>
                <w:szCs w:val="16"/>
                <w:color w:val="auto"/>
              </w:rPr>
              <w:t>Mesquite Solar 1</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40" w:type="dxa"/>
            <w:vAlign w:val="bottom"/>
          </w:tcPr>
          <w:p>
            <w:pPr>
              <w:jc w:val="right"/>
              <w:spacing w:after="0"/>
              <w:rPr>
                <w:sz w:val="20"/>
                <w:szCs w:val="20"/>
                <w:color w:val="auto"/>
              </w:rPr>
            </w:pPr>
            <w:r>
              <w:rPr>
                <w:rFonts w:ascii="Arial" w:cs="Arial" w:eastAsia="Arial" w:hAnsi="Arial"/>
                <w:sz w:val="16"/>
                <w:szCs w:val="16"/>
                <w:color w:val="auto"/>
              </w:rPr>
              <w:t>2011</w:t>
            </w:r>
          </w:p>
        </w:tc>
        <w:tc>
          <w:tcPr>
            <w:tcW w:w="3800" w:type="dxa"/>
            <w:vAlign w:val="bottom"/>
          </w:tcPr>
          <w:p>
            <w:pPr>
              <w:ind w:left="40"/>
              <w:spacing w:after="0"/>
              <w:rPr>
                <w:sz w:val="20"/>
                <w:szCs w:val="20"/>
                <w:color w:val="auto"/>
              </w:rPr>
            </w:pPr>
            <w:r>
              <w:rPr>
                <w:rFonts w:ascii="Arial" w:cs="Arial" w:eastAsia="Arial" w:hAnsi="Arial"/>
                <w:sz w:val="16"/>
                <w:szCs w:val="16"/>
                <w:color w:val="auto"/>
              </w:rPr>
              <w:t>Arlington, AZ</w:t>
            </w:r>
          </w:p>
        </w:tc>
        <w:tc>
          <w:tcPr>
            <w:tcW w:w="0" w:type="dxa"/>
            <w:vAlign w:val="bottom"/>
          </w:tcPr>
          <w:p>
            <w:pPr>
              <w:spacing w:after="0"/>
              <w:rPr>
                <w:sz w:val="1"/>
                <w:szCs w:val="1"/>
                <w:color w:val="auto"/>
              </w:rPr>
            </w:pPr>
          </w:p>
        </w:tc>
      </w:tr>
      <w:tr>
        <w:trPr>
          <w:trHeight w:val="217"/>
        </w:trPr>
        <w:tc>
          <w:tcPr>
            <w:tcW w:w="3980" w:type="dxa"/>
            <w:vAlign w:val="bottom"/>
          </w:tcPr>
          <w:p>
            <w:pPr>
              <w:ind w:left="380"/>
              <w:spacing w:after="0"/>
              <w:rPr>
                <w:sz w:val="20"/>
                <w:szCs w:val="20"/>
                <w:color w:val="auto"/>
              </w:rPr>
            </w:pPr>
            <w:r>
              <w:rPr>
                <w:rFonts w:ascii="Arial" w:cs="Arial" w:eastAsia="Arial" w:hAnsi="Arial"/>
                <w:sz w:val="16"/>
                <w:szCs w:val="16"/>
                <w:color w:val="auto"/>
              </w:rPr>
              <w:t>Total MW in operation</w:t>
            </w:r>
          </w:p>
        </w:tc>
        <w:tc>
          <w:tcPr>
            <w:tcW w:w="2100" w:type="dxa"/>
            <w:vAlign w:val="bottom"/>
          </w:tcPr>
          <w:p>
            <w:pPr>
              <w:jc w:val="right"/>
              <w:spacing w:after="0"/>
              <w:rPr>
                <w:sz w:val="20"/>
                <w:szCs w:val="20"/>
                <w:color w:val="auto"/>
              </w:rPr>
            </w:pPr>
            <w:r>
              <w:rPr>
                <w:rFonts w:ascii="Arial" w:cs="Arial" w:eastAsia="Arial" w:hAnsi="Arial"/>
                <w:sz w:val="16"/>
                <w:szCs w:val="16"/>
                <w:color w:val="auto"/>
              </w:rPr>
              <w:t>325</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hanging="372"/>
        <w:spacing w:after="0"/>
        <w:tabs>
          <w:tab w:leader="none" w:pos="380" w:val="left"/>
        </w:tabs>
        <w:numPr>
          <w:ilvl w:val="0"/>
          <w:numId w:val="159"/>
        </w:numPr>
        <w:rPr>
          <w:rFonts w:ascii="Arial" w:cs="Arial" w:eastAsia="Arial" w:hAnsi="Arial"/>
          <w:sz w:val="14"/>
          <w:szCs w:val="14"/>
          <w:i w:val="1"/>
          <w:iCs w:val="1"/>
          <w:color w:val="auto"/>
        </w:rPr>
      </w:pPr>
      <w:r>
        <w:rPr>
          <w:rFonts w:ascii="Arial" w:cs="Arial" w:eastAsia="Arial" w:hAnsi="Arial"/>
          <w:sz w:val="14"/>
          <w:szCs w:val="14"/>
          <w:i w:val="1"/>
          <w:iCs w:val="1"/>
          <w:color w:val="auto"/>
        </w:rPr>
        <w:t>Sempra Generation’s share.</w:t>
      </w:r>
    </w:p>
    <w:p>
      <w:pPr>
        <w:spacing w:after="0" w:line="25" w:lineRule="exact"/>
        <w:rPr>
          <w:rFonts w:ascii="Arial" w:cs="Arial" w:eastAsia="Arial" w:hAnsi="Arial"/>
          <w:sz w:val="14"/>
          <w:szCs w:val="14"/>
          <w:i w:val="1"/>
          <w:iCs w:val="1"/>
          <w:color w:val="auto"/>
        </w:rPr>
      </w:pPr>
    </w:p>
    <w:p>
      <w:pPr>
        <w:ind w:left="380" w:hanging="372"/>
        <w:spacing w:after="0"/>
        <w:tabs>
          <w:tab w:leader="none" w:pos="380" w:val="left"/>
        </w:tabs>
        <w:numPr>
          <w:ilvl w:val="0"/>
          <w:numId w:val="15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10-MW facility previously referred to as El Dorado Solar, which was first placed in service in 2008.</w:t>
      </w:r>
    </w:p>
    <w:p>
      <w:pPr>
        <w:spacing w:after="0" w:line="14" w:lineRule="exact"/>
        <w:rPr>
          <w:rFonts w:ascii="Arial" w:cs="Arial" w:eastAsia="Arial" w:hAnsi="Arial"/>
          <w:sz w:val="14"/>
          <w:szCs w:val="14"/>
          <w:i w:val="1"/>
          <w:iCs w:val="1"/>
          <w:color w:val="auto"/>
        </w:rPr>
      </w:pPr>
    </w:p>
    <w:p>
      <w:pPr>
        <w:ind w:left="380" w:hanging="372"/>
        <w:spacing w:after="0"/>
        <w:tabs>
          <w:tab w:leader="none" w:pos="380" w:val="left"/>
        </w:tabs>
        <w:numPr>
          <w:ilvl w:val="0"/>
          <w:numId w:val="15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only the portion of the project that was completed in 2011. The entire 150-MW project is expected to be completed in early 2013.</w:t>
      </w:r>
    </w:p>
    <w:p>
      <w:pPr>
        <w:spacing w:after="0" w:line="21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October 2010, Sempra Generation invested $209 million for a 50-percent ownership interest in Cedar Creek 2 Wind Farm (Cedar Creek 2), a joint venture with BP Wind Energy (a wholly owned subsidiary of BP p.l.c.) for the development of a 250-megawatt (MW) wind farm in northern Colorado, which was placed in service in June 2011. Public Service Company of Colorado, an Xcel Energy subsidiary, has contracted for all of the power from the facility for 25 years. Our investment in Cedar Creek 2 is accounted for as an equity method investment.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2009, Sempra Generation invested $235 million and became an equal partner with BP Wind Energy in the development of the 200-MW Fowler Ridge 2 Wind Farm (Fowler Ridge 2) northwest of Indianapolis, Indiana. Fowler Ridge 2 went into full commercial operation in December 2009. The project’s entire power output has been sold under four long-term contracts, each for 50 MW and 20-year terms. Our investment in Fowler Ridge 2 is accounted for as an equity method investment.</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December 2010, Sempra Generation completed the construction of Copper Mountain Solar, a 48-MW solar generation facility located in Boulder City, Nevada, on land adjacent to a 10-MW solar facility formerly referred to as El Dorado Solar. Pacific Gas and Electric Company (PG&amp;E) has contracted for all of the power from these facilities, now combined and referred to as Copper Mountain Solar 1, under separate 20-year contracts.</w:t>
      </w:r>
    </w:p>
    <w:p>
      <w:pPr>
        <w:spacing w:after="0" w:line="16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Construction on the 150-MW Mesquite Solar 1 photovoltaic solar installation in Arlington, Arizona, began in June 2011. In December 2011, 42 MW were placed in service and are now delivering renewable electricity to the power grid. Sempra Generation anticipates that the project will be completed in early 2013. Power from the facility is sold to PG&amp;E under a 20-year contract.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Plants</w:t>
      </w:r>
    </w:p>
    <w:p>
      <w:pPr>
        <w:spacing w:after="0" w:line="2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Sempra Generation sells electricity under short-term and long-term contracts and into the spot market and other competitive markets. While it may also purchase electricity in the open market to satisfy its contractual obligations, Sempra Generation generally purchases natural gas to fuel its natural gas-fired power plants, which at December 31, 2011 include</w:t>
      </w:r>
    </w:p>
    <w:p>
      <w:pPr>
        <w:spacing w:after="0" w:line="181" w:lineRule="exact"/>
        <w:rPr>
          <w:sz w:val="20"/>
          <w:szCs w:val="20"/>
          <w:color w:val="auto"/>
        </w:rPr>
      </w:pPr>
    </w:p>
    <w:p>
      <w:pPr>
        <w:ind w:left="340" w:hanging="188"/>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Mesquite Power, a 1,250-MW facility in Arlington, Arizona, which first went into service in 2003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Termoeléctrica de Mexicali, a 625-MW facility in Mexicali, Baja California, Mexico, which also went into service in 2003</w:t>
      </w:r>
    </w:p>
    <w:p>
      <w:pPr>
        <w:spacing w:after="0" w:line="25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Sempra Generation’s El Dorado natural gas-fired generation plant (excluding the solar facility) was sold to SDG&amp;E on October 1, 2011. This sale, pursuant to an option to acquire the plant that was exercised by SDG&amp;E in 2007, coincided with the end of a contract with the California Department of Water Resources (DWR). During the first three quarters of 2011, these 100%-owned natural gas-fueled facilities sold the majority of their output under this long-term purchased-power contract with the DWR that provided for 1,200 MW to be supplied during all hours and an additional 400 MW during on-peak hours, and that ended on September 30, 2011.</w:t>
      </w:r>
    </w:p>
    <w:p>
      <w:pPr>
        <w:spacing w:after="0" w:line="17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In June 2011, Sempra Generation entered into a 25-year contract with various members of Southwest Public Power Resources Group (SPPR Group), an association of 40 not-for-profit utilities in Arizona and southern Nevada, for 240 MW of electricity. Under the terms of the agreement, Sempra Generation will provide 21 participating SPPR Group members with firm, day-ahead dispatchable power delivered to the Palo Verde hub beginning in January 2015.</w:t>
      </w:r>
    </w:p>
    <w:p>
      <w:pPr>
        <w:spacing w:after="0" w:line="13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Sempra Generation also has other purchased-power transactions, primarily with RBS Sempra Commodities LLP (RBS Sempra Commodities), to sell varying amounts of power through 2012. In connection with the 2011 sale of businesses within RBS Sempra Commodities, substantially all of these transactions with</w:t>
      </w:r>
    </w:p>
    <w:p>
      <w:pPr>
        <w:sectPr>
          <w:pgSz w:w="11900" w:h="16867" w:orient="portrait"/>
          <w:cols w:equalWidth="0" w:num="1">
            <w:col w:w="11420"/>
          </w:cols>
          <w:pgMar w:left="240" w:top="368" w:right="239" w:bottom="0" w:gutter="0" w:footer="0" w:header="0"/>
        </w:sectPr>
      </w:pPr>
    </w:p>
    <w:bookmarkStart w:id="138" w:name="page139"/>
    <w:bookmarkEnd w:id="138"/>
    <w:p>
      <w:pPr>
        <w:ind w:right="160"/>
        <w:spacing w:after="0" w:line="277" w:lineRule="auto"/>
        <w:rPr>
          <w:sz w:val="20"/>
          <w:szCs w:val="20"/>
          <w:color w:val="auto"/>
        </w:rPr>
      </w:pPr>
      <w:r>
        <w:rPr>
          <w:rFonts w:ascii="Arial" w:cs="Arial" w:eastAsia="Arial" w:hAnsi="Arial"/>
          <w:sz w:val="18"/>
          <w:szCs w:val="18"/>
          <w:color w:val="auto"/>
        </w:rPr>
        <w:t>RBS Sempra Commodities were assigned to J.P. Morgan Ventures Energy Corporation (J.P. Morgan Ventures) by May 1, 2011. The remaining output of our natural gas facilities is available to be sold into energy markets on a day-to-day basis.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From 2003 through 2010, Sempra Generation had a 50-percent equity interest in Elk Hills Power (Elk Hills), a 550-MW merchant plant located in Bakersfield, California. Elk Hills offered its output into the California market on a daily basis. Sempra Generation sold its interest in Elk Hills on December 31, 2010, as we discuss in Note 4 of the 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Sempra Pipelines &amp; Storage develops, owns and operates, or holds interests in, natural gas pipelines and storage facilities in the United States, and natural gas and propane pipelines in Mexico, and in companies that provide natural gas or electric services in Mexico, Argentina, Chile and Peru. On April 6, 2011, Sempra Pipelines &amp; Storage completed the acquisition of AEI’s interests in Chilquinta Energía S.A. (Chilquinta Energía) in Chile and Luz del Sur S.A.A. (Luz del Sur) in Peru. Upon completion of the transaction, Sempra Pipelines &amp; Storage owned 100 percent of Chilquinta Energía and approximately 76 percent of Luz del Sur, and the companies are now consolidated. Pursuant to a tender offer that was completed in September 2011, Sempra Pipelines &amp; Storage now owns 79.82 percent of Luz del Sur, as we discuss in Note 3 of the Notes to Consolidated Financial Statements. The remaining shares of Luz del Sur are held by institutional investors and the general public.</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Chilquinta Energía is an electric distribution utility serving more than 600,000 customers in the cities of Valparaiso and Viña del Mar in central Chile. Luz del Sur is an electric distribution utility that serves more than 900,000 customers in the southern zone of metropolitan Lima, Peru, and delivers approximately one-third of all power used in the country. As part of the transaction, Sempra Pipelines &amp; Storage also acquired AEI’s interests in two energy-services companies, Tecnored S.A. (Tecnored) and Tecsur S.A. (Tecsur).</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Sempra Pipelines &amp; Storage also is currently pursuing the sale of its interests in the Argentine utilities, which we discuss further in Note 4 of the Notes to Consolidated Financial Statements.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Sempra Pipelines &amp; Storage’s natural gas distribution utility, Ecogas Mexico, S de RL de CV (Ecogas), operates in three separate areas in Mexico, and had a customer count of 89,800 and sales volume of 60 million cubic feet per day in 2011. Sempra Pipelines &amp; Storage’s natural gas pipeline systems in Mexico had a contracted capacity for up to 4,700 million cubic feet per day in 2011.</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Sempra Pipelines &amp; Storage also owns and operates, or holds interests in, natural gas underground storage and related pipeline facilities in Alabama and Mississippi (Sempra Midstream) and owns Mobile Gas Service Corporation (Mobile Gas), a regulated natural gas distribution utility in southwest Alabama. These businesses were formerly the operations of EnergySouth, Inc., which we acquired in October 2008. Sempra Midstream Services (Midstream Services) provides natural gas marketing, trading and risk management activities through the utilization and optimization of contracted natural gas supply, transportation and storage capacity, as well as optimizing Sempra Midstream assets in the short-term services market.</w:t>
      </w:r>
    </w:p>
    <w:p>
      <w:pPr>
        <w:spacing w:after="0" w:line="16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Sempra Pipelines &amp; Storage, Kinder Morgan Energy Partners, L.P. (KMP) and ConocoPhillips jointly own, through Rockies Express Pipeline LLC (Rockies Express), the Rockies Express Pipeline (REX) that links producing areas in the Rocky Mountain region to the upper Midwest and the eastern United States. The 1,679-mile natural gas pipeline became fully operational in 2009. Our ownership interest in the pipeline is 25 percent. Sempra Rockies Marketing, part of our Sempra Generation segment, has an agreement with Rockies Express for 200 million cubic feet per day of capacity on REX, which has a total capacity of 1.8 billion cubic feet (Bcf) per day. Sempra Rockies Marketing has released a portion of its capacity to RBS Sempra Commodities, which capacity was assigned to J.P. Morgan Ventures effective January 1, 2011 in connection with the sale of businesses within RBS Sempra Commodities.</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Sempra LNG develops, owns and operates terminals for importing and exporting LNG, and has supply and marketing agreements to purchase and sell LNG and natural gas. Sempra LNG utilizes its LNG terminals by entering into long-term firm capacity service agreements when able to do so. Under these agreements, customers pay Sempra LNG capacity reservation and usage fees to use its facilities to receive, store and regasify the customer’s LNG. Sempra LNG also may enter into short-term and/or long-term supply agreements to purchase LNG to be received, stored and regasified at its terminals for sale to other parties.</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Sempra LNG’s Energía Costa Azul LNG terminal in Baja California, Mexico began commercial operations in May 2008 and is capable of processing 1 Bcf of natural gas per day. The Energía Costa Azul facility currently generates revenue under a capacity services agreement with Shell México Gas Natural (Shell), expiring in 2028, that permits Shell to use one-half of the terminal’s capacity. In April 2009, Shell assigned a portion of its terminal capacity at Energía Costa Azul to Gazprom Marketing &amp; Trading Mexico (Gazprom), transferring all further rights and obligations with respect to the assigned capacity.</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 nitrogen-injection facility at Energía Costa Azul placed in service by Sempra LNG in December 2009 allows the terminal to process LNG cargoes from a wider variety of sources and provides additional revenue from payments for capacity reservation and usage fees for nitrogen injection services for Shell and Gazprom.</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Sempra LNG has an LNG purchase agreement with Tangguh PSC Contractors (Tangguh PSC) for the supply of the equivalent of 500 million cubic feet of natural gas per day from Tangguh PSC’s Indonesian liquefaction facility to the Energía Costa Azul receipt terminal at a price based on the Southern California border index for natural gas. Sempra LNG has a contract through 2022 to sell an average of approximately 150 million cubic feet per day of natural gas to Mexico’s national electric company, Federal Electricity Commission (Comisión Federal de Electricidad, or CFE) at prices that are based on the Southern California border index. If LNG volumes received from Tangguh PSC are not sufficient to satisfy the commitment to CFE, Sempra LNG may purchase natural gas from other suppliers. Sempra LNG also had an agreement to sell to RBS Sempra Commodities any volumes purchased from Tangguh PSC that are not sold to the CFE. In connection with the 2010 sale of businesses within RBS Sempra Commodities, substantially all contracts with RBS Sempra Commodities were assigned to J.P. Morgan Ventures by May 1, 2011, as we discuss in Note 1 of the Notes to Consolidated Financial Statements.</w:t>
      </w:r>
    </w:p>
    <w:p>
      <w:pPr>
        <w:spacing w:after="0" w:line="16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Sempra LNG’s Cameron LNG terminal in Hackberry, Louisiana, began commercial operations in July 2009 and is capable of processing 1.5 Bcf of natural gas per day. Cameron LNG generates revenue under a capacity services agreement for approximately 600 million cubic feet of natural gas per day through 2029. In January 2012, the U.S. Department of Energy (DOE) approved Cameron LNG’s application for an LNG export license.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Sempra LNG also owns property in Port Arthur, Texas, that it is evaluating for potential development.</w:t>
      </w:r>
    </w:p>
    <w:p>
      <w:pPr>
        <w:sectPr>
          <w:pgSz w:w="11900" w:h="16838" w:orient="portrait"/>
          <w:cols w:equalWidth="0" w:num="1">
            <w:col w:w="11420"/>
          </w:cols>
          <w:pgMar w:left="240" w:top="125" w:right="239" w:bottom="32" w:gutter="0" w:footer="0" w:header="0"/>
        </w:sectPr>
      </w:pPr>
    </w:p>
    <w:bookmarkStart w:id="139" w:name="page140"/>
    <w:bookmarkEnd w:id="139"/>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 LLP</w:t>
      </w:r>
    </w:p>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The Royal Bank of Scotland plc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 4 of the Notes to Consolidated Financial Statements in the Annual Report.</w:t>
      </w:r>
    </w:p>
    <w:p>
      <w:pPr>
        <w:spacing w:after="0" w:line="18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activity in the partnership no longer meets the quantitative thresholds that require Sempra Commodities to be reported as a reportable segment under applicable accounting rules, and we do not consider the remaining wind-down activities of the partnership to be of continuing significance. As a result, effective January 1, 2011, we are reporting the former Sempra Commodities segment in Parent and Other, and have restated prior year information to be consistent with this treatment.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SEMPRA UTILITIES AND OTHER UTILITIES</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Sempra Utilities are regulated by federal, state and local governmental agencies. The primary regulatory agency is the California Public Utilities Commission (CPUC). The CPUC regulates the Sempra Utilities’ rates and operations in California, except for SDG&amp;E’s electric transmission operations. The Federal Energy Regulatory Commission (FERC) regulates SDG&amp;E’s electric transmission operations. The FERC also regulates interstate transportation of natural gas and various related matters.</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Nuclear Regulatory Commission (NRC) regulates SONGS, in which SDG&amp;E owns a 20-percent interest. Municipalities and other local authorities regulate the location of utility assets, including natural gas pipelines and electric lines. Sempra Energy’s other business units are also regulated by the FERC, various state commissions, local governmental entities, and other similar authorities in countries other than the United States.</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South American utilities are regulated by federal and local government agencies. The National Energy Commission (Comisión Nacional de Energía, or CNE) regulates Chilquinta Energía in Chile. The Energy and Mining Investment Supervisory Body (Organismo Supervisor de la Inversión en Energía y Minería, or OSINERGMIN) of the National Electricity Office under the Ministry of Energy and Mines regulates Luz del Sur in Peru.</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Ecogas, our natural gas distribution utility in Northern Mexico, is subject to regulation by the Energy Regulatory Commission (Comisión Reguladora de Energía, or CRE) and by the labor and environmental agencies of city, state and federal governments in Mexico.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Mobile Gas, our natural gas distribution utility serving southwest Alabama, is regulated by the Alabama Public Service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EXECUTIVE SUMMARY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ongoing focus is to enhance shareholder value and meet customer needs by developing and operating a stable portfolio of integrated energy businesses with long-term, predictable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key components of our strategy include</w:t>
      </w:r>
    </w:p>
    <w:p>
      <w:pPr>
        <w:spacing w:after="0" w:line="225" w:lineRule="exact"/>
        <w:rPr>
          <w:sz w:val="20"/>
          <w:szCs w:val="20"/>
          <w:color w:val="auto"/>
        </w:rPr>
      </w:pPr>
    </w:p>
    <w:p>
      <w:pPr>
        <w:ind w:left="340" w:hanging="188"/>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investment in our utilities;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development of natural gas and renewable-energy infrastructure.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have based our strategy on a market view that recognizes emerging state and federal policies that point toward the following business priorities:</w:t>
      </w:r>
    </w:p>
    <w:p>
      <w:pPr>
        <w:spacing w:after="0" w:line="237" w:lineRule="exact"/>
        <w:rPr>
          <w:sz w:val="20"/>
          <w:szCs w:val="20"/>
          <w:color w:val="auto"/>
        </w:rPr>
      </w:pPr>
    </w:p>
    <w:p>
      <w:pPr>
        <w:ind w:left="500" w:hanging="231"/>
        <w:spacing w:after="0"/>
        <w:tabs>
          <w:tab w:leader="none" w:pos="5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cleaner fuels</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natural gas</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renewables</w:t>
      </w:r>
    </w:p>
    <w:p>
      <w:pPr>
        <w:spacing w:after="0" w:line="252" w:lineRule="exact"/>
        <w:rPr>
          <w:rFonts w:ascii="Arial" w:cs="Arial" w:eastAsia="Arial" w:hAnsi="Arial"/>
          <w:sz w:val="18"/>
          <w:szCs w:val="18"/>
          <w:color w:val="auto"/>
        </w:rPr>
      </w:pPr>
    </w:p>
    <w:p>
      <w:pPr>
        <w:ind w:left="500" w:hanging="231"/>
        <w:spacing w:after="0"/>
        <w:tabs>
          <w:tab w:leader="none" w:pos="5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enabling infrastructure</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natural gas pipelines, storage and LNG terminals</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electric transmission and advanced meters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ISSUES IN 2011</w:t>
      </w:r>
    </w:p>
    <w:p>
      <w:pPr>
        <w:spacing w:after="0" w:line="2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Below are several key issues that affected our business in 2011; some of these issues may continue to affect our future results. Each issue includes the page number you may reference for additional details.</w:t>
      </w:r>
    </w:p>
    <w:p>
      <w:pPr>
        <w:spacing w:after="0" w:line="170" w:lineRule="exact"/>
        <w:rPr>
          <w:sz w:val="20"/>
          <w:szCs w:val="20"/>
          <w:color w:val="auto"/>
        </w:rPr>
      </w:pPr>
    </w:p>
    <w:p>
      <w:pPr>
        <w:ind w:left="340" w:hanging="188"/>
        <w:spacing w:after="0"/>
        <w:tabs>
          <w:tab w:leader="none" w:pos="3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 March 2011, we completed a $500 million repurchase of our common stock under a Collared Accelerated Share Acquisition Program (44).</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April 2011, we completed the acquisition of AEI’s interests in two South American utilities, Chilquinta Energía and Luz del Sur (114).</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SDG&amp;E is approximately 70 percent complete on the construction of the Sunrise Powerlink electric transmission line begun in the fall of 2010 and</w:t>
      </w:r>
    </w:p>
    <w:p>
      <w:pPr>
        <w:sectPr>
          <w:pgSz w:w="11900" w:h="16849" w:orient="portrait"/>
          <w:cols w:equalWidth="0" w:num="1">
            <w:col w:w="11420"/>
          </w:cols>
          <w:pgMar w:left="240" w:top="121" w:right="239" w:bottom="0" w:gutter="0" w:footer="0" w:header="0"/>
        </w:sectPr>
      </w:pPr>
    </w:p>
    <w:bookmarkStart w:id="140" w:name="page141"/>
    <w:bookmarkEnd w:id="140"/>
    <w:p>
      <w:pPr>
        <w:ind w:left="340"/>
        <w:spacing w:after="0"/>
        <w:rPr>
          <w:sz w:val="20"/>
          <w:szCs w:val="20"/>
          <w:color w:val="auto"/>
        </w:rPr>
      </w:pPr>
      <w:r>
        <w:rPr>
          <w:rFonts w:ascii="Arial" w:cs="Arial" w:eastAsia="Arial" w:hAnsi="Arial"/>
          <w:sz w:val="18"/>
          <w:szCs w:val="18"/>
          <w:color w:val="auto"/>
        </w:rPr>
        <w:t>expects the transmission line to be completed and in-service in the second half of 2012 (189).</w:t>
      </w:r>
    </w:p>
    <w:p>
      <w:pPr>
        <w:spacing w:after="0" w:line="252" w:lineRule="exact"/>
        <w:rPr>
          <w:sz w:val="20"/>
          <w:szCs w:val="20"/>
          <w:color w:val="auto"/>
        </w:rPr>
      </w:pPr>
    </w:p>
    <w:p>
      <w:pPr>
        <w:ind w:left="340" w:hanging="188"/>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Cedar Creek 2 Wind Farm, which Sempra Generation jointly owns with BP Wind Energy, went into service in June 2011 (5).</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 June 30, 2011, Pacific Enterprises, the holding company for SoCalGas, redeemed all five series of its outstanding preferred stock for $80 million (177).</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July 2011, the CPUC approved a settlement agreement filed by SDG&amp;E in April 2011 regarding SDG&amp;E’s request to make a tax equity investment in the holding company of a wind farm project (184).</w:t>
      </w:r>
    </w:p>
    <w:p>
      <w:pPr>
        <w:spacing w:after="0" w:line="197"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July 2011, the Sempra Utilities filed revised applications to their original 2012 General Rate Case (GRC) applications, primarily to reflect the impact of the Tax Relief, Unemployment Insurance Reauthorization, and Job Creation Act of 2010. In February 2012, the Sempra Utilities filed amendments to update the July 2011 revision (49).</w:t>
      </w:r>
    </w:p>
    <w:p>
      <w:pPr>
        <w:spacing w:after="0" w:line="208"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August 2011, the Sempra Utilities filed their Pipeline Safety Enhancement Plan to test or replace all natural gas transmission pipelines that have not been pressure tested. The first phase of the two-phase plan is expected to cost $3.1 billion ($2.5 billion for SoCalGas and $600 million for SDG&amp;E) over the 10-year period of 2012 to 2022 (185).</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 September 30, 2011, Sempra Generation’s 10-year contract to provide energy to the DWR ended (5).</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Sempra Generation sold the El Dorado natural gas-fired generation plant to SDG&amp;E on October 1, 2011 (181).</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December 2011, the CPUC approved SDG&amp;E’s request for revenue requirement for the recovery of the incremental increase in its general liability and wildfire liability insurance premium costs for the 2010/2011 policy period (185).</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SDG&amp;E substantially completed the installation of approximately 1.4 million electric and 855,000 natural gas advanced meters in 2011 (184).</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December 2011, Sempra Generation placed in service 42 MW of the 150-MW Mesquite Solar 1 photovoltaic solar installation project in Arizona (52).</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We received $623 million in distributions from RBS Sempra Commodities, reducing our remaining investment in the joint venture to $126 million (33).</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SDG&amp;E continues to settle claims related to the 2007 California wildfire litigation; however, a substantial number of unresolved claims against SDG&amp;E remain (187).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25" w:lineRule="exact"/>
        <w:rPr>
          <w:sz w:val="20"/>
          <w:szCs w:val="20"/>
          <w:color w:val="auto"/>
        </w:rPr>
      </w:pPr>
    </w:p>
    <w:p>
      <w:pPr>
        <w:ind w:left="340" w:hanging="188"/>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Our business unit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 OF OPERATIONS OF SEMPRA ENERGY AND FACTORS AFFECTING THE RESULTS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show our overall operations from 2007 to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2272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27266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OVERALL OPERATIONS OF SEMPRA ENERGY FROM 2007 TO 2011</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and shares in millions, except per share amounts)</w:t>
      </w:r>
    </w:p>
    <w:p>
      <w:pPr>
        <w:sectPr>
          <w:pgSz w:w="11900" w:h="16838" w:orient="portrait"/>
          <w:cols w:equalWidth="0" w:num="1">
            <w:col w:w="11420"/>
          </w:cols>
          <w:pgMar w:left="240" w:top="125" w:right="23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288155" cy="1852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42881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Our earnings increased by $618 million in 2011 to $1.4 billion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before and after-tax gain of $277 million resulting from the remeasurement of our equity method investments at Sempra Pipelines &amp; Storage related to its acquisition of additional interests in Chilquinta Energía and Luz del Sur;</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$139 million after-tax write-down in 2010 of our investment in RBS Sempra Commodities;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$93 million after-tax litigation expense in 2010 related to an agreement to settle certain energy crisis litigation ($87 million at Sempra Generation and $6 million at Parent and Other), as we discuss in Note 15 of the Notes to Consolidated Financial Statements;</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improved results at SDG&amp;E and Sempra LNG;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 xml:space="preserve">higher earnings at Sempra Pipelines &amp; Storage primarily related to the acquisition of additional interests in Chilquinta Energía and Luz del Sur; </w:t>
      </w:r>
      <w:r>
        <w:rPr>
          <w:rFonts w:ascii="Arial" w:cs="Arial" w:eastAsia="Arial" w:hAnsi="Arial"/>
          <w:sz w:val="16"/>
          <w:szCs w:val="16"/>
          <w:b w:val="1"/>
          <w:bCs w:val="1"/>
          <w:color w:val="auto"/>
        </w:rPr>
        <w:t>offset by</w:t>
      </w:r>
    </w:p>
    <w:p>
      <w:pPr>
        <w:spacing w:after="0" w:line="279" w:lineRule="exact"/>
        <w:rPr>
          <w:rFonts w:ascii="Arial" w:cs="Arial" w:eastAsia="Arial" w:hAnsi="Arial"/>
          <w:sz w:val="16"/>
          <w:szCs w:val="16"/>
          <w:b w:val="1"/>
          <w:bCs w:val="1"/>
          <w:color w:val="auto"/>
        </w:rPr>
      </w:pPr>
    </w:p>
    <w:p>
      <w:pPr>
        <w:ind w:left="340" w:hanging="188"/>
        <w:spacing w:after="0"/>
        <w:tabs>
          <w:tab w:leader="none" w:pos="3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lower earnings at Sempra Generation (excluding the energy crisis litigation expense), primarily due to the expiration of the DWR contract;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higher losses at Parent and Other (excluding the investment write-down and energy crisis litigation expense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2011 increased by $2.64 per share to $5.62 per share. Components of this increase include</w:t>
      </w:r>
    </w:p>
    <w:p>
      <w:pPr>
        <w:spacing w:after="0" w:line="225" w:lineRule="exact"/>
        <w:rPr>
          <w:sz w:val="20"/>
          <w:szCs w:val="20"/>
          <w:color w:val="auto"/>
        </w:rPr>
      </w:pPr>
    </w:p>
    <w:p>
      <w:pPr>
        <w:ind w:left="340" w:hanging="188"/>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remeasurement gain in 2011 ($1.15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investment write-down in 2010 ($0.56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settlement-related litigation expense in 2010 ($0.38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higher earnings (excluding the impacts of the 2011 remeasurement gain and the investment write-down and litigation settlement charge in 2010); and</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decrease in the number of shares outstanding primarily as a result of our $500 million share repurchase program initiated in September 2010 and completed in March 2011.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188"/>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$327 million lower joint-venture earnings from RBS Sempra Commodities;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the $139 million after-tax write-down of our investment in RBS Sempra Commodities;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 xml:space="preserve">$93 million after-tax litigation expense in 2010 related to the agreement to settle certain energy crisis litigation;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improved results at Sempra Pipelines &amp; Storage, Sempra LNG, and the Sempra Utilities.</w:t>
      </w:r>
    </w:p>
    <w:p>
      <w:pPr>
        <w:spacing w:after="0" w:line="2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Operating results at Sempra Pipelines &amp; Storage in 2009 were negatively impacted by an after-tax write-off of $64 million related to certain assets at one of its natural gas storage projects. Sempra Pipelines &amp; Storage owns 75 percent of Liberty Gas Storage, LLC (Liberty), the partnership that owns the project.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Diluted earnings per share in 2010 compared to 2009 decreased by $1.54 per share due to decreased earnings. Components of this decrease include</w:t>
      </w:r>
    </w:p>
    <w:p>
      <w:pPr>
        <w:spacing w:after="0" w:line="237" w:lineRule="exact"/>
        <w:rPr>
          <w:sz w:val="20"/>
          <w:szCs w:val="20"/>
          <w:color w:val="auto"/>
        </w:rPr>
      </w:pPr>
    </w:p>
    <w:p>
      <w:pPr>
        <w:ind w:left="340" w:hanging="188"/>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lower joint-venture earnings from RBS Sempra Commodities ($1.32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investment write-down in 2010 ($0.56 per share);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 xml:space="preserve">the settlement-related litigation expense in 2010 ($0.38 per share);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higher earnings (excluding the impacts of the lower joint-venture earnings and the investment write-down and litigation settlement charge in 2010, and the write-off of Liberty assets in 2009);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write-off of assets at Liberty in 2009 ($0.26 per share).</w:t>
      </w:r>
    </w:p>
    <w:p>
      <w:pPr>
        <w:sectPr>
          <w:pgSz w:w="11900" w:h="16838" w:orient="portrait"/>
          <w:cols w:equalWidth="0" w:num="1">
            <w:col w:w="11420"/>
          </w:cols>
          <w:pgMar w:left="240" w:top="1440" w:right="239" w:bottom="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The impact from reduced shares outstanding due to our 2010 share repurchase program was negligible.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business unit, which we discuss below in “Business Unit Results.”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BUSINESS UNIT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jc w:val="right"/>
              <w:ind w:right="199"/>
              <w:spacing w:after="0" w:line="159" w:lineRule="exact"/>
              <w:rPr>
                <w:sz w:val="20"/>
                <w:szCs w:val="20"/>
                <w:color w:val="auto"/>
              </w:rPr>
            </w:pPr>
            <w:r>
              <w:rPr>
                <w:rFonts w:ascii="Arial" w:cs="Arial" w:eastAsia="Arial" w:hAnsi="Arial"/>
                <w:sz w:val="14"/>
                <w:szCs w:val="14"/>
                <w:color w:val="auto"/>
              </w:rPr>
              <w:t>Years ended December 31,</w:t>
            </w: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640" w:type="dxa"/>
            <w:vAlign w:val="bottom"/>
          </w:tcPr>
          <w:p>
            <w:pPr>
              <w:spacing w:after="0" w:line="164" w:lineRule="exact"/>
              <w:rPr>
                <w:sz w:val="20"/>
                <w:szCs w:val="20"/>
                <w:color w:val="auto"/>
              </w:rPr>
            </w:pPr>
            <w:r>
              <w:rPr>
                <w:rFonts w:ascii="Arial" w:cs="Arial" w:eastAsia="Arial" w:hAnsi="Arial"/>
                <w:sz w:val="16"/>
                <w:szCs w:val="16"/>
                <w:color w:val="auto"/>
              </w:rPr>
              <w:t>Sempra Utilities:</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SDG&amp;E(1)</w:t>
            </w:r>
          </w:p>
        </w:tc>
        <w:tc>
          <w:tcPr>
            <w:tcW w:w="460" w:type="dxa"/>
            <w:vAlign w:val="bottom"/>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431</w:t>
            </w:r>
          </w:p>
        </w:tc>
        <w:tc>
          <w:tcPr>
            <w:tcW w:w="82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32 %</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369</w:t>
            </w:r>
          </w:p>
        </w:tc>
        <w:tc>
          <w:tcPr>
            <w:tcW w:w="8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50 %</w:t>
            </w:r>
          </w:p>
        </w:tc>
        <w:tc>
          <w:tcPr>
            <w:tcW w:w="58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344</w:t>
            </w:r>
          </w:p>
        </w:tc>
        <w:tc>
          <w:tcPr>
            <w:tcW w:w="9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31 %</w:t>
            </w: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SoCalGas(1)</w:t>
            </w:r>
          </w:p>
        </w:tc>
        <w:tc>
          <w:tcPr>
            <w:tcW w:w="460" w:type="dxa"/>
            <w:vAlign w:val="bottom"/>
          </w:tcPr>
          <w:p>
            <w:pPr>
              <w:spacing w:after="0"/>
              <w:rPr>
                <w:sz w:val="15"/>
                <w:szCs w:val="15"/>
                <w:color w:val="auto"/>
              </w:rPr>
            </w:pP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287</w:t>
            </w:r>
          </w:p>
        </w:tc>
        <w:tc>
          <w:tcPr>
            <w:tcW w:w="8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21</w:t>
            </w:r>
          </w:p>
        </w:tc>
        <w:tc>
          <w:tcPr>
            <w:tcW w:w="360" w:type="dxa"/>
            <w:vAlign w:val="bottom"/>
          </w:tcPr>
          <w:p>
            <w:pPr>
              <w:spacing w:after="0"/>
              <w:rPr>
                <w:sz w:val="15"/>
                <w:szCs w:val="15"/>
                <w:color w:val="auto"/>
              </w:rPr>
            </w:pPr>
          </w:p>
        </w:tc>
        <w:tc>
          <w:tcPr>
            <w:tcW w:w="140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286</w:t>
            </w:r>
          </w:p>
        </w:tc>
        <w:tc>
          <w:tcPr>
            <w:tcW w:w="8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39</w:t>
            </w:r>
          </w:p>
        </w:tc>
        <w:tc>
          <w:tcPr>
            <w:tcW w:w="580" w:type="dxa"/>
            <w:vAlign w:val="bottom"/>
          </w:tcPr>
          <w:p>
            <w:pPr>
              <w:spacing w:after="0"/>
              <w:rPr>
                <w:sz w:val="15"/>
                <w:szCs w:val="15"/>
                <w:color w:val="auto"/>
              </w:rPr>
            </w:pP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273</w:t>
            </w:r>
          </w:p>
        </w:tc>
        <w:tc>
          <w:tcPr>
            <w:tcW w:w="92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25</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Sempra Global:</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Generation</w:t>
            </w:r>
          </w:p>
        </w:tc>
        <w:tc>
          <w:tcPr>
            <w:tcW w:w="460" w:type="dxa"/>
            <w:vAlign w:val="bottom"/>
          </w:tcPr>
          <w:p>
            <w:pPr>
              <w:spacing w:after="0"/>
              <w:rPr>
                <w:sz w:val="15"/>
                <w:szCs w:val="15"/>
                <w:color w:val="auto"/>
              </w:rPr>
            </w:pP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137</w:t>
            </w:r>
          </w:p>
        </w:tc>
        <w:tc>
          <w:tcPr>
            <w:tcW w:w="8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10</w:t>
            </w:r>
          </w:p>
        </w:tc>
        <w:tc>
          <w:tcPr>
            <w:tcW w:w="360" w:type="dxa"/>
            <w:vAlign w:val="bottom"/>
          </w:tcPr>
          <w:p>
            <w:pPr>
              <w:spacing w:after="0"/>
              <w:rPr>
                <w:sz w:val="15"/>
                <w:szCs w:val="15"/>
                <w:color w:val="auto"/>
              </w:rPr>
            </w:pPr>
          </w:p>
        </w:tc>
        <w:tc>
          <w:tcPr>
            <w:tcW w:w="140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103</w:t>
            </w:r>
          </w:p>
        </w:tc>
        <w:tc>
          <w:tcPr>
            <w:tcW w:w="8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14</w:t>
            </w:r>
          </w:p>
        </w:tc>
        <w:tc>
          <w:tcPr>
            <w:tcW w:w="580" w:type="dxa"/>
            <w:vAlign w:val="bottom"/>
          </w:tcPr>
          <w:p>
            <w:pPr>
              <w:spacing w:after="0"/>
              <w:rPr>
                <w:sz w:val="15"/>
                <w:szCs w:val="15"/>
                <w:color w:val="auto"/>
              </w:rPr>
            </w:pP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169</w:t>
            </w:r>
          </w:p>
        </w:tc>
        <w:tc>
          <w:tcPr>
            <w:tcW w:w="92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15</w:t>
            </w: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5"/>
                <w:szCs w:val="15"/>
                <w:color w:val="auto"/>
              </w:rPr>
            </w:pP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527</w:t>
            </w:r>
          </w:p>
        </w:tc>
        <w:tc>
          <w:tcPr>
            <w:tcW w:w="8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39</w:t>
            </w:r>
          </w:p>
        </w:tc>
        <w:tc>
          <w:tcPr>
            <w:tcW w:w="360" w:type="dxa"/>
            <w:vAlign w:val="bottom"/>
          </w:tcPr>
          <w:p>
            <w:pPr>
              <w:spacing w:after="0"/>
              <w:rPr>
                <w:sz w:val="15"/>
                <w:szCs w:val="15"/>
                <w:color w:val="auto"/>
              </w:rPr>
            </w:pPr>
          </w:p>
        </w:tc>
        <w:tc>
          <w:tcPr>
            <w:tcW w:w="140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159</w:t>
            </w:r>
          </w:p>
        </w:tc>
        <w:tc>
          <w:tcPr>
            <w:tcW w:w="8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21</w:t>
            </w:r>
          </w:p>
        </w:tc>
        <w:tc>
          <w:tcPr>
            <w:tcW w:w="580" w:type="dxa"/>
            <w:vAlign w:val="bottom"/>
          </w:tcPr>
          <w:p>
            <w:pPr>
              <w:spacing w:after="0"/>
              <w:rPr>
                <w:sz w:val="15"/>
                <w:szCs w:val="15"/>
                <w:color w:val="auto"/>
              </w:rPr>
            </w:pP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101</w:t>
            </w:r>
          </w:p>
        </w:tc>
        <w:tc>
          <w:tcPr>
            <w:tcW w:w="92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9</w:t>
            </w: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LNG</w:t>
            </w:r>
          </w:p>
        </w:tc>
        <w:tc>
          <w:tcPr>
            <w:tcW w:w="460" w:type="dxa"/>
            <w:vAlign w:val="bottom"/>
          </w:tcPr>
          <w:p>
            <w:pPr>
              <w:spacing w:after="0"/>
              <w:rPr>
                <w:sz w:val="15"/>
                <w:szCs w:val="15"/>
                <w:color w:val="auto"/>
              </w:rPr>
            </w:pP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99</w:t>
            </w:r>
          </w:p>
        </w:tc>
        <w:tc>
          <w:tcPr>
            <w:tcW w:w="8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40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68</w:t>
            </w:r>
          </w:p>
        </w:tc>
        <w:tc>
          <w:tcPr>
            <w:tcW w:w="8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9</w:t>
            </w:r>
          </w:p>
        </w:tc>
        <w:tc>
          <w:tcPr>
            <w:tcW w:w="580" w:type="dxa"/>
            <w:vAlign w:val="bottom"/>
          </w:tcPr>
          <w:p>
            <w:pPr>
              <w:spacing w:after="0"/>
              <w:rPr>
                <w:sz w:val="15"/>
                <w:szCs w:val="15"/>
                <w:color w:val="auto"/>
              </w:rPr>
            </w:pP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16</w:t>
            </w:r>
          </w:p>
        </w:tc>
        <w:tc>
          <w:tcPr>
            <w:tcW w:w="92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1</w:t>
            </w:r>
          </w:p>
        </w:tc>
      </w:tr>
      <w:tr>
        <w:trPr>
          <w:trHeight w:val="194"/>
        </w:trPr>
        <w:tc>
          <w:tcPr>
            <w:tcW w:w="3660" w:type="dxa"/>
            <w:vAlign w:val="bottom"/>
            <w:gridSpan w:val="2"/>
          </w:tcPr>
          <w:p>
            <w:pPr>
              <w:spacing w:after="0"/>
              <w:rPr>
                <w:sz w:val="20"/>
                <w:szCs w:val="20"/>
                <w:color w:val="auto"/>
              </w:rPr>
            </w:pPr>
            <w:r>
              <w:rPr>
                <w:rFonts w:ascii="Arial" w:cs="Arial" w:eastAsia="Arial" w:hAnsi="Arial"/>
                <w:sz w:val="16"/>
                <w:szCs w:val="16"/>
                <w:color w:val="auto"/>
              </w:rPr>
              <w:t>Parent and other(2)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(124)</w:t>
            </w: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(246)</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w:t>
            </w: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216</w:t>
            </w: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19</w:t>
            </w:r>
          </w:p>
        </w:tc>
      </w:tr>
      <w:tr>
        <w:trPr>
          <w:trHeight w:val="195"/>
        </w:trPr>
        <w:tc>
          <w:tcPr>
            <w:tcW w:w="366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1,357</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100 %</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41"/>
              <w:spacing w:after="0"/>
              <w:rPr>
                <w:sz w:val="20"/>
                <w:szCs w:val="20"/>
                <w:color w:val="auto"/>
              </w:rPr>
            </w:pPr>
            <w:r>
              <w:rPr>
                <w:rFonts w:ascii="Arial" w:cs="Arial" w:eastAsia="Arial" w:hAnsi="Arial"/>
                <w:sz w:val="16"/>
                <w:szCs w:val="16"/>
                <w:color w:val="auto"/>
              </w:rPr>
              <w:t>739</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100 %</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1,119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hanging="310"/>
        <w:spacing w:after="0"/>
        <w:tabs>
          <w:tab w:leader="none" w:pos="460" w:val="left"/>
        </w:tabs>
        <w:numPr>
          <w:ilvl w:val="0"/>
          <w:numId w:val="170"/>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13" w:lineRule="exact"/>
        <w:rPr>
          <w:rFonts w:ascii="Arial" w:cs="Arial" w:eastAsia="Arial" w:hAnsi="Arial"/>
          <w:sz w:val="14"/>
          <w:szCs w:val="14"/>
          <w:i w:val="1"/>
          <w:iCs w:val="1"/>
          <w:color w:val="auto"/>
        </w:rPr>
      </w:pPr>
    </w:p>
    <w:p>
      <w:pPr>
        <w:ind w:left="460" w:right="180" w:hanging="310"/>
        <w:spacing w:after="0" w:line="250" w:lineRule="auto"/>
        <w:tabs>
          <w:tab w:leader="none" w:pos="460" w:val="left"/>
        </w:tabs>
        <w:numPr>
          <w:ilvl w:val="0"/>
          <w:numId w:val="17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corporate interest expense ($137 million in 2011, $148 million in 2010 and $141 million in 2009), results from our former Sempra Commodities segment (losses of $16 million and $155 million in 2011 and 2010, respectively, and earnings of $338 million in 2009), intercompany eliminations recorded in consolidation and certain corporate costs incurred at Sempra Global.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section is a discussion of earnings (losses) by Sempra Energy business unit, as presented in the table above. Variance amounts are the after-tax earnings impact,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248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BUSINESS UNIT – SEMPRA UTILITIES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31410" cy="18611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3141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SDG&amp;E business unit recorded earnings of:</w:t>
      </w:r>
    </w:p>
    <w:p>
      <w:pPr>
        <w:spacing w:after="0" w:line="225" w:lineRule="exact"/>
        <w:rPr>
          <w:sz w:val="20"/>
          <w:szCs w:val="20"/>
          <w:color w:val="auto"/>
        </w:rPr>
      </w:pPr>
    </w:p>
    <w:p>
      <w:pPr>
        <w:ind w:left="340" w:hanging="188"/>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$431 million in 2011 ($436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$369 million in 2010 ($374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$344 million in 2009 ($349 million before preferred dividends)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$62 million (17%) in 2011 was primarily due to:</w:t>
      </w:r>
    </w:p>
    <w:p>
      <w:pPr>
        <w:spacing w:after="0" w:line="225" w:lineRule="exact"/>
        <w:rPr>
          <w:sz w:val="20"/>
          <w:szCs w:val="20"/>
          <w:color w:val="auto"/>
        </w:rPr>
      </w:pPr>
    </w:p>
    <w:p>
      <w:pPr>
        <w:ind w:left="200" w:hanging="183"/>
        <w:spacing w:after="0"/>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$31 million increase in allowance for funds used during construction (AFUDC) related to equity, net of higher interest expense;</w:t>
      </w:r>
    </w:p>
    <w:p>
      <w:pPr>
        <w:spacing w:after="0" w:line="252"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$28 million favorable earnings impact due to revenues for incremental wildfire insurance premiums exceeding premium expense in 2011 compared to the incremental expense for wildfire insurance premiums exceeding revenues for the incremental premiums in 2010. Revenues for the incremental premiums in 2011 were for the policy period July 2010 through December 2011 compared to revenues for the incremental premiums in 2010 for the period July 2009 through June 2010;</w:t>
      </w:r>
    </w:p>
    <w:p>
      <w:pPr>
        <w:spacing w:after="0" w:line="213" w:lineRule="exact"/>
        <w:rPr>
          <w:rFonts w:ascii="Arial" w:cs="Arial" w:eastAsia="Arial" w:hAnsi="Arial"/>
          <w:sz w:val="18"/>
          <w:szCs w:val="18"/>
          <w:color w:val="auto"/>
        </w:rPr>
      </w:pPr>
    </w:p>
    <w:p>
      <w:pPr>
        <w:ind w:left="200" w:hanging="183"/>
        <w:spacing w:after="0" w:line="277" w:lineRule="auto"/>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$13 million higher authorized margin for CPUC-regulated operations, net of higher depreciation and operation and maintenance expenses (excluding insurance premiums for wildfire coverage and litigation);</w:t>
      </w:r>
    </w:p>
    <w:p>
      <w:pPr>
        <w:spacing w:after="0" w:line="197" w:lineRule="exact"/>
        <w:rPr>
          <w:rFonts w:ascii="Arial" w:cs="Arial" w:eastAsia="Arial" w:hAnsi="Arial"/>
          <w:sz w:val="18"/>
          <w:szCs w:val="18"/>
          <w:color w:val="auto"/>
        </w:rPr>
      </w:pPr>
    </w:p>
    <w:p>
      <w:pPr>
        <w:ind w:left="200" w:hanging="183"/>
        <w:spacing w:after="0"/>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$7 million lower expenses associated with the settlement of 2007 wildfire claims; and</w:t>
      </w:r>
    </w:p>
    <w:p>
      <w:pPr>
        <w:spacing w:after="0" w:line="248" w:lineRule="exact"/>
        <w:rPr>
          <w:rFonts w:ascii="Arial" w:cs="Arial" w:eastAsia="Arial" w:hAnsi="Arial"/>
          <w:sz w:val="18"/>
          <w:szCs w:val="18"/>
          <w:color w:val="auto"/>
        </w:rPr>
      </w:pPr>
    </w:p>
    <w:p>
      <w:pPr>
        <w:ind w:left="200" w:hanging="183"/>
        <w:spacing w:after="0"/>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$5 million higher regulatory incentive awards;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200" w:hanging="183"/>
        <w:spacing w:after="0"/>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$10 million primarily from the favorable resolution of prior year’s tax matters in 2010;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$8 million lower favorable resolution of litigation matters in 2011.</w:t>
      </w:r>
    </w:p>
    <w:p>
      <w:pPr>
        <w:sectPr>
          <w:pgSz w:w="11900" w:h="16838" w:orient="portrait"/>
          <w:cols w:equalWidth="0" w:num="1">
            <w:col w:w="11420"/>
          </w:cols>
          <w:pgMar w:left="240" w:top="368" w:right="239" w:bottom="0" w:gutter="0" w:footer="0" w:header="0"/>
        </w:sectPr>
      </w:pPr>
    </w:p>
    <w:bookmarkStart w:id="143" w:name="page144"/>
    <w:bookmarkEnd w:id="143"/>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$25 million (7%) in 2010 compared to 2009 was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$28 million higher authorized margin for CPUC-regulated operations and lower operation and maintenance expenses (excluding insurance premiums for wildfire coverage and litigation related expenses), net of higher depreciation expense;</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$16 million from the CPUC decision in 2010 authorizing recovery of a portion of the incremental wildfire insurance premiums for the policy year July 2009 through June 2010;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$8 million higher electric transmission margin;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$20 million higher liability insurance premiums for wildfire coverage;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$13 million net unfavorable impact from an increase in litigation reserves in 2010, including $20 million in 2010 for settlement of 2007 wildfire claims, offset by $7 million higher favorable resolution of litigation matters in 2010 compared to 2009.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SoCalGas business unit recorded earnings of:</w:t>
      </w:r>
    </w:p>
    <w:p>
      <w:pPr>
        <w:spacing w:after="0" w:line="225" w:lineRule="exact"/>
        <w:rPr>
          <w:sz w:val="20"/>
          <w:szCs w:val="20"/>
          <w:color w:val="auto"/>
        </w:rPr>
      </w:pPr>
    </w:p>
    <w:p>
      <w:pPr>
        <w:ind w:left="340" w:hanging="188"/>
        <w:spacing w:after="0"/>
        <w:tabs>
          <w:tab w:leader="none" w:pos="3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$287 million in 2011 ($288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$286 million in 2010 ($287 million before preferred dividends)</w:t>
      </w:r>
    </w:p>
    <w:p>
      <w:pPr>
        <w:spacing w:after="0" w:line="252" w:lineRule="exact"/>
        <w:rPr>
          <w:rFonts w:ascii="Arial" w:cs="Arial" w:eastAsia="Arial" w:hAnsi="Arial"/>
          <w:sz w:val="18"/>
          <w:szCs w:val="18"/>
          <w:color w:val="auto"/>
        </w:rPr>
      </w:pPr>
    </w:p>
    <w:p>
      <w:pPr>
        <w:ind w:right="6520" w:firstLine="152"/>
        <w:spacing w:after="0" w:line="581" w:lineRule="auto"/>
        <w:tabs>
          <w:tab w:leader="none" w:pos="32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$273 million in 2009 ($274 million before preferred dividends) The $1 million increase in earnings in 2011 was primarily due to:</w:t>
      </w:r>
    </w:p>
    <w:p>
      <w:pPr>
        <w:ind w:left="340" w:hanging="188"/>
        <w:spacing w:after="0"/>
        <w:tabs>
          <w:tab w:leader="none" w:pos="34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$13 million due to the write-off of deferred tax assets in 2010 as a result of the change in U.S. tax law regarding the Medicare Part D subsidy;</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$9 million higher authorized margin for CPUC-regulated operations, net of higher depreciation and operation and maintenance expenses; and</w:t>
      </w:r>
    </w:p>
    <w:p>
      <w:pPr>
        <w:spacing w:after="0" w:line="259" w:lineRule="exact"/>
        <w:rPr>
          <w:rFonts w:ascii="Arial" w:cs="Arial" w:eastAsia="Arial" w:hAnsi="Arial"/>
          <w:sz w:val="17"/>
          <w:szCs w:val="17"/>
          <w:color w:val="auto"/>
        </w:rPr>
      </w:pPr>
    </w:p>
    <w:p>
      <w:pPr>
        <w:ind w:left="200" w:hanging="183"/>
        <w:spacing w:after="0"/>
        <w:tabs>
          <w:tab w:leader="none" w:pos="2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$3 million higher equity-related AFUDC, net of higher interest expense;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$7 million lower regulatory incentive awards;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$7 million due to the favorable resolution of a legal matter in 2010;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$6 million lower non-core natural gas storage revenue.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$11 million higher authorized margin for CPUC-regulated operations in excess of higher depreciation and operation and maintenance expenses;</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$8 million higher regulatory incentive awards;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$8 million net favorable impact from a favorable resolution of litigation matters in 2010 compared to litigation expense in 2009;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$13 million due to the write-off of deferred tax assets as a result of the change in U.S. tax law regarding the Medicare Part D subsidy.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BUSINESS UNIT – SEMPRA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685790" cy="1903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8579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Generation recorded earnings of:</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$137 million in 2011</w:t>
      </w:r>
    </w:p>
    <w:p>
      <w:pPr>
        <w:sectPr>
          <w:pgSz w:w="11900" w:h="16874" w:orient="portrait"/>
          <w:cols w:equalWidth="0" w:num="1">
            <w:col w:w="11420"/>
          </w:cols>
          <w:pgMar w:left="240" w:top="368" w:right="239" w:bottom="0" w:gutter="0" w:footer="0" w:header="0"/>
        </w:sectPr>
      </w:pPr>
    </w:p>
    <w:bookmarkStart w:id="144" w:name="page145"/>
    <w:bookmarkEnd w:id="144"/>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$103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$169 million in 2009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line="277" w:lineRule="auto"/>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$85 million decreased litigation expense primarily related to a 2010 agreement to settle energy crisis litigation, as we discuss in Note 15 of the Notes to Consolidated Financial Statements;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$16 million decreased gas plant operation and maintenance expense primarily as a result of 2010 major maintenance at the Mexicali and Mesquite power plants, and from the sale of El Dorado to SDG&amp;E as of October 1, 2011;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$57 million lower earnings from operations primarily due to the end of the DWR contract as of September 30, 2011, and less favorable pricing in 2011;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$15 million higher mark-to-market losses on forward contracts in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$87 million in litigation expense related to an agreement to settle energy crisis litigation associated with the DWR contract;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$31 million lower earnings from operations, primarily from increased scheduled plant maintenance and associated down time in 2010, and expenses and associated down time from earthquake damage to our Mexicali power plant in the second quarter of 2010;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$48 million increased tax incentives from renewable energy investments in 2010.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Pipelines &amp; Storage business unit recorded earnings of:</w:t>
      </w:r>
    </w:p>
    <w:p>
      <w:pPr>
        <w:spacing w:after="0" w:line="225" w:lineRule="exact"/>
        <w:rPr>
          <w:sz w:val="20"/>
          <w:szCs w:val="20"/>
          <w:color w:val="auto"/>
        </w:rPr>
      </w:pPr>
    </w:p>
    <w:p>
      <w:pPr>
        <w:ind w:left="340" w:hanging="188"/>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$527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$159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$101 million in 2009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$368 million in 2011 was primarily due to:</w:t>
      </w:r>
    </w:p>
    <w:p>
      <w:pPr>
        <w:spacing w:after="0" w:line="225" w:lineRule="exact"/>
        <w:rPr>
          <w:sz w:val="20"/>
          <w:szCs w:val="20"/>
          <w:color w:val="auto"/>
        </w:rPr>
      </w:pPr>
    </w:p>
    <w:p>
      <w:pPr>
        <w:ind w:left="340" w:hanging="188"/>
        <w:spacing w:after="0"/>
        <w:tabs>
          <w:tab w:leader="none" w:pos="3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a $277 million gain related to the remeasurement of the Chilquinta Energía and Luz del Sur equity method investments;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$55 million higher earnings primarily related to the acquisition of additional interests in Chilquinta Energía and Luz del Sur in April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$44 million (pretax) write-down of our investment in Argentina in 2010, less a related income tax benefit of $15 million;</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$13 million higher earnings from pipeline assets in Mexico acquired in April 2010;</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$10 million higher earnings from foreign currency rate effect primarily for previously held net U.S. dollar monetary position in Chile;</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$8 million higher earnings primarily related to natural gas optimization activities at Midstream Services;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 xml:space="preserve">a $6 million release of a tax valuation allowance in Mexico;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$48 million (pretax) in proceeds received from a legal settlement in 2010, less a related income tax effect of $17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$64 million lower earnings in 2009 from a write-off of assets at Liberty;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$48 million (pretax) in proceeds received from a legal settlement in 2010, less a related income tax effect of $17 million;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$20 million higher earnings related to a Mexican pipeline acquisition in April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$7 million higher operating results from its investments in Chile and Peru;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a $44 million (pretax) write-down of our investment in Argentina, less a related income tax benefit of $15 million;</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$13 million from the resolution of prior years’ income tax issues which favorably impacted 2009 earnings;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$10 million lower earnings attributable to natural gas optimization activities at Midstream Services; and</w:t>
      </w:r>
    </w:p>
    <w:p>
      <w:pPr>
        <w:sectPr>
          <w:pgSz w:w="11900" w:h="16838" w:orient="portrait"/>
          <w:cols w:equalWidth="0" w:num="1">
            <w:col w:w="11420"/>
          </w:cols>
          <w:pgMar w:left="240" w:top="368" w:right="239" w:bottom="0" w:gutter="0" w:footer="0" w:header="0"/>
        </w:sectPr>
      </w:pPr>
    </w:p>
    <w:bookmarkStart w:id="145" w:name="page146"/>
    <w:bookmarkEnd w:id="145"/>
    <w:p>
      <w:pPr>
        <w:ind w:left="340" w:hanging="188"/>
        <w:spacing w:after="0" w:line="277" w:lineRule="auto"/>
        <w:tabs>
          <w:tab w:leader="none" w:pos="34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$7 million lower earnings in Mexico primarily due to the favorable impact of the adoption of regulatory accounting in 2009 and the expiration of a transportation service contract at the end of 2009.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LNG recorded earnings of:</w:t>
      </w:r>
    </w:p>
    <w:p>
      <w:pPr>
        <w:spacing w:after="0" w:line="225" w:lineRule="exact"/>
        <w:rPr>
          <w:sz w:val="20"/>
          <w:szCs w:val="20"/>
          <w:color w:val="auto"/>
        </w:rPr>
      </w:pPr>
    </w:p>
    <w:p>
      <w:pPr>
        <w:ind w:left="340" w:hanging="188"/>
        <w:spacing w:after="0"/>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$99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$68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$16 million in 2009</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2011 was primarily due to higher earnings from contractual counterparty obligations for non-delivery of cargoes, and $18 million in gains in 2011 associated with marketing activities not expected to recur.</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increase in 2010 earnings of $52 million was due to higher earnings from operations, primarily due to a full year of operations of the Cameron LNG terminal and the nitrogen-injection facility at the Energía Costa Azul terminal and a full year of performance under the Tangguh LNG purchase agreement, compared to partial-year periods for such operations and agreement in 2009.</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(Losses) earnings for Parent and Other were</w:t>
      </w:r>
    </w:p>
    <w:p>
      <w:pPr>
        <w:spacing w:after="0" w:line="225" w:lineRule="exact"/>
        <w:rPr>
          <w:sz w:val="20"/>
          <w:szCs w:val="20"/>
          <w:color w:val="auto"/>
        </w:rPr>
      </w:pPr>
    </w:p>
    <w:p>
      <w:pPr>
        <w:ind w:left="340" w:hanging="188"/>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$(124)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$(246)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$216 million in 2009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losses of $122 million (50%) in 2011 was primarily due to:</w:t>
      </w:r>
    </w:p>
    <w:p>
      <w:pPr>
        <w:spacing w:after="0" w:line="225" w:lineRule="exact"/>
        <w:rPr>
          <w:sz w:val="20"/>
          <w:szCs w:val="20"/>
          <w:color w:val="auto"/>
        </w:rPr>
      </w:pPr>
    </w:p>
    <w:p>
      <w:pPr>
        <w:ind w:left="340" w:hanging="188"/>
        <w:spacing w:after="0"/>
        <w:tabs>
          <w:tab w:leader="none" w:pos="34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a $10 million write-down of our investment in the RBS Sempra Commodities joint venture in 2011 compared to $139 million in 2010; and</w:t>
      </w:r>
    </w:p>
    <w:p>
      <w:pPr>
        <w:spacing w:after="0" w:line="252" w:lineRule="exact"/>
        <w:rPr>
          <w:rFonts w:ascii="Arial" w:cs="Arial" w:eastAsia="Arial" w:hAnsi="Arial"/>
          <w:sz w:val="18"/>
          <w:szCs w:val="18"/>
          <w:b w:val="1"/>
          <w:bCs w:val="1"/>
          <w:color w:val="auto"/>
        </w:rPr>
      </w:pPr>
    </w:p>
    <w:p>
      <w:pPr>
        <w:ind w:left="340" w:right="20" w:hanging="188"/>
        <w:spacing w:after="0" w:line="277" w:lineRule="auto"/>
        <w:tabs>
          <w:tab w:leader="none" w:pos="34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 xml:space="preserve">other joint venture related expenses in 2010, including transaction costs related to the sales within RBS Sempra Commodities and litigation expense;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$5 million equity loss in 2011 from our former commodities-marketing businesses compared to equity earnings of $25 million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Losses of $246 million in 2010 compared to earnings in 2009 of $216 million were primarily due to:</w:t>
      </w:r>
    </w:p>
    <w:p>
      <w:pPr>
        <w:spacing w:after="0" w:line="225" w:lineRule="exact"/>
        <w:rPr>
          <w:sz w:val="20"/>
          <w:szCs w:val="20"/>
          <w:color w:val="auto"/>
        </w:rPr>
      </w:pPr>
    </w:p>
    <w:p>
      <w:pPr>
        <w:jc w:val="both"/>
        <w:ind w:left="340" w:hanging="188"/>
        <w:spacing w:after="0" w:line="264" w:lineRule="auto"/>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$327 million lower equity earnings from RBS Sempra Commodities, which were adversely impacted by the sale on July 1, 2010 of the global metals and oil businesses and the European natural gas and power business; lower volatility in the U.S. natural gas and power business; and the disruptions caused by the process to sell the partnership’s businesses;</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$139 million write-down in 2010 of our investment in the RBS Sempra Commodities joint venture;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other joint venture related expenses in 2010, including transaction costs related to the sales within RBS Sempra Commodities and litigation expense;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lower general and administrative expenses and higher income tax benefits, partially offset by higher net interest expense, excluding results related to our former Sempra Commodities segment.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3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the specific line items of the Consolidated Statements of Operations for Sempra Energy, SDG&amp;E and SoCalGas.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revenues at:</w:t>
      </w:r>
    </w:p>
    <w:p>
      <w:pPr>
        <w:spacing w:after="0" w:line="225" w:lineRule="exact"/>
        <w:rPr>
          <w:sz w:val="20"/>
          <w:szCs w:val="20"/>
          <w:color w:val="auto"/>
        </w:rPr>
      </w:pPr>
    </w:p>
    <w:p>
      <w:pPr>
        <w:ind w:left="340" w:hanging="188"/>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Mobile Gas</w:t>
      </w:r>
    </w:p>
    <w:p>
      <w:pPr>
        <w:sectPr>
          <w:pgSz w:w="11900" w:h="16838" w:orient="portrait"/>
          <w:cols w:equalWidth="0" w:num="1">
            <w:col w:w="11420"/>
          </w:cols>
          <w:pgMar w:left="240" w:top="125" w:right="239" w:bottom="0" w:gutter="0" w:footer="0" w:header="0"/>
        </w:sectPr>
      </w:pPr>
    </w:p>
    <w:bookmarkStart w:id="146" w:name="page147"/>
    <w:bookmarkEnd w:id="146"/>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Ecogas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 revenues at:</w:t>
      </w:r>
    </w:p>
    <w:p>
      <w:pPr>
        <w:spacing w:after="0" w:line="225" w:lineRule="exact"/>
        <w:rPr>
          <w:sz w:val="20"/>
          <w:szCs w:val="20"/>
          <w:color w:val="auto"/>
        </w:rPr>
      </w:pPr>
    </w:p>
    <w:p>
      <w:pPr>
        <w:ind w:left="340" w:hanging="188"/>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Chilquinta Energía</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Luz del Sur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Intercompany revenues included in the separate revenues of each utility are eliminated in the Sempra Energy Consolidated Statements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Sempra Utilities</w:t>
      </w:r>
    </w:p>
    <w:p>
      <w:pPr>
        <w:spacing w:after="0" w:line="20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current regulatory framework for SoCalGas and SDG&amp;E permits the cost of natural gas purchased for core customers (primarily residential and small commercial and industrial customers) to be passed on to customers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Notes 1 and 14 of the Notes to Consolidated Financial Statements.</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Utilities Revenues and Cost of Sales for Sempra Energy, net of intercompany activity.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color w:val="auto"/>
              </w:rPr>
              <w:t>2011</w:t>
            </w: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80" w:type="dxa"/>
            <w:vAlign w:val="bottom"/>
          </w:tcPr>
          <w:p>
            <w:pPr>
              <w:spacing w:after="0" w:line="164" w:lineRule="exact"/>
              <w:rPr>
                <w:sz w:val="20"/>
                <w:szCs w:val="20"/>
                <w:color w:val="auto"/>
              </w:rPr>
            </w:pPr>
            <w:r>
              <w:rPr>
                <w:rFonts w:ascii="Arial" w:cs="Arial" w:eastAsia="Arial" w:hAnsi="Arial"/>
                <w:sz w:val="16"/>
                <w:szCs w:val="16"/>
                <w:b w:val="1"/>
                <w:bCs w:val="1"/>
                <w:color w:val="auto"/>
              </w:rPr>
              <w:t>Electric revenues: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640" w:type="dxa"/>
            <w:vAlign w:val="bottom"/>
            <w:gridSpan w:val="2"/>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2,830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2,535</w:t>
            </w:r>
          </w:p>
        </w:tc>
        <w:tc>
          <w:tcPr>
            <w:tcW w:w="440" w:type="dxa"/>
            <w:vAlign w:val="bottom"/>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2,426</w:t>
            </w: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Sempra Pipelines &amp; Storage</w:t>
            </w: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1,009</w:t>
            </w:r>
          </w:p>
        </w:tc>
        <w:tc>
          <w:tcPr>
            <w:tcW w:w="80" w:type="dxa"/>
            <w:vAlign w:val="bottom"/>
          </w:tcPr>
          <w:p>
            <w:pPr>
              <w:spacing w:after="0"/>
              <w:rPr>
                <w:sz w:val="15"/>
                <w:szCs w:val="15"/>
                <w:color w:val="auto"/>
              </w:rPr>
            </w:pP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Arial" w:cs="Arial" w:eastAsia="Arial" w:hAnsi="Arial"/>
                <w:sz w:val="16"/>
                <w:szCs w:val="16"/>
                <w:color w:val="auto"/>
              </w:rPr>
              <w:t>Eliminations and adjustments</w:t>
            </w:r>
          </w:p>
        </w:tc>
        <w:tc>
          <w:tcPr>
            <w:tcW w:w="1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3"/>
        </w:trPr>
        <w:tc>
          <w:tcPr>
            <w:tcW w:w="4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Natural gas revenues:</w:t>
            </w:r>
          </w:p>
        </w:tc>
        <w:tc>
          <w:tcPr>
            <w:tcW w:w="1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3,833</w:t>
            </w: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2,528</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157"/>
        </w:trPr>
        <w:tc>
          <w:tcPr>
            <w:tcW w:w="450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SoCalGas</w:t>
            </w: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3,816</w:t>
            </w:r>
          </w:p>
        </w:tc>
        <w:tc>
          <w:tcPr>
            <w:tcW w:w="80" w:type="dxa"/>
            <w:vAlign w:val="bottom"/>
          </w:tcPr>
          <w:p>
            <w:pPr>
              <w:spacing w:after="0"/>
              <w:rPr>
                <w:sz w:val="15"/>
                <w:szCs w:val="15"/>
                <w:color w:val="auto"/>
              </w:rPr>
            </w:pP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3,822</w:t>
            </w:r>
          </w:p>
        </w:tc>
        <w:tc>
          <w:tcPr>
            <w:tcW w:w="44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3,355</w:t>
            </w: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543</w:t>
            </w:r>
          </w:p>
        </w:tc>
        <w:tc>
          <w:tcPr>
            <w:tcW w:w="80" w:type="dxa"/>
            <w:vAlign w:val="bottom"/>
          </w:tcPr>
          <w:p>
            <w:pPr>
              <w:spacing w:after="0"/>
              <w:rPr>
                <w:sz w:val="15"/>
                <w:szCs w:val="15"/>
                <w:color w:val="auto"/>
              </w:rPr>
            </w:pP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514</w:t>
            </w:r>
          </w:p>
        </w:tc>
        <w:tc>
          <w:tcPr>
            <w:tcW w:w="44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Sempra Pipelines &amp; Storage</w:t>
            </w: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184</w:t>
            </w:r>
          </w:p>
        </w:tc>
        <w:tc>
          <w:tcPr>
            <w:tcW w:w="80" w:type="dxa"/>
            <w:vAlign w:val="bottom"/>
          </w:tcPr>
          <w:p>
            <w:pPr>
              <w:spacing w:after="0"/>
              <w:rPr>
                <w:sz w:val="15"/>
                <w:szCs w:val="15"/>
                <w:color w:val="auto"/>
              </w:rPr>
            </w:pP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44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Arial" w:cs="Arial" w:eastAsia="Arial" w:hAnsi="Arial"/>
                <w:sz w:val="16"/>
                <w:szCs w:val="16"/>
                <w:color w:val="auto"/>
              </w:rPr>
              <w:t>Eliminations and adjustments</w:t>
            </w:r>
          </w:p>
        </w:tc>
        <w:tc>
          <w:tcPr>
            <w:tcW w:w="1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4,489</w:t>
            </w: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4,491</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ind w:left="320"/>
              <w:spacing w:after="0" w:line="169" w:lineRule="exact"/>
              <w:rPr>
                <w:sz w:val="20"/>
                <w:szCs w:val="20"/>
                <w:color w:val="auto"/>
              </w:rPr>
            </w:pPr>
            <w:r>
              <w:rPr>
                <w:rFonts w:ascii="Arial" w:cs="Arial" w:eastAsia="Arial" w:hAnsi="Arial"/>
                <w:sz w:val="16"/>
                <w:szCs w:val="16"/>
                <w:color w:val="auto"/>
              </w:rPr>
              <w:t>Total</w:t>
            </w:r>
          </w:p>
        </w:tc>
        <w:tc>
          <w:tcPr>
            <w:tcW w:w="1200" w:type="dxa"/>
            <w:vAlign w:val="bottom"/>
          </w:tcPr>
          <w:p>
            <w:pPr>
              <w:spacing w:after="0"/>
              <w:rPr>
                <w:sz w:val="15"/>
                <w:szCs w:val="15"/>
                <w:color w:val="auto"/>
              </w:rPr>
            </w:pPr>
          </w:p>
        </w:tc>
        <w:tc>
          <w:tcPr>
            <w:tcW w:w="44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8,322</w:t>
            </w: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7,019</w:t>
            </w:r>
          </w:p>
        </w:tc>
        <w:tc>
          <w:tcPr>
            <w:tcW w:w="44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6,421</w:t>
            </w:r>
          </w:p>
        </w:tc>
        <w:tc>
          <w:tcPr>
            <w:tcW w:w="0" w:type="dxa"/>
            <w:vAlign w:val="bottom"/>
          </w:tcPr>
          <w:p>
            <w:pPr>
              <w:spacing w:after="0"/>
              <w:rPr>
                <w:sz w:val="1"/>
                <w:szCs w:val="1"/>
                <w:color w:val="auto"/>
              </w:rPr>
            </w:pPr>
          </w:p>
        </w:tc>
      </w:tr>
      <w:tr>
        <w:trPr>
          <w:trHeight w:val="164"/>
        </w:trPr>
        <w:tc>
          <w:tcPr>
            <w:tcW w:w="45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Cost of natural gas: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SoCalGas</w:t>
            </w:r>
          </w:p>
        </w:tc>
        <w:tc>
          <w:tcPr>
            <w:tcW w:w="1640" w:type="dxa"/>
            <w:vAlign w:val="bottom"/>
            <w:gridSpan w:val="2"/>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1,568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1,699</w:t>
            </w:r>
          </w:p>
        </w:tc>
        <w:tc>
          <w:tcPr>
            <w:tcW w:w="440" w:type="dxa"/>
            <w:vAlign w:val="bottom"/>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226</w:t>
            </w:r>
          </w:p>
        </w:tc>
        <w:tc>
          <w:tcPr>
            <w:tcW w:w="80" w:type="dxa"/>
            <w:vAlign w:val="bottom"/>
          </w:tcPr>
          <w:p>
            <w:pPr>
              <w:spacing w:after="0"/>
              <w:rPr>
                <w:sz w:val="15"/>
                <w:szCs w:val="15"/>
                <w:color w:val="auto"/>
              </w:rPr>
            </w:pP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217</w:t>
            </w:r>
          </w:p>
        </w:tc>
        <w:tc>
          <w:tcPr>
            <w:tcW w:w="44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Sempra Pipelines &amp; Storage</w:t>
            </w: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90</w:t>
            </w:r>
          </w:p>
        </w:tc>
        <w:tc>
          <w:tcPr>
            <w:tcW w:w="80" w:type="dxa"/>
            <w:vAlign w:val="bottom"/>
          </w:tcPr>
          <w:p>
            <w:pPr>
              <w:spacing w:after="0"/>
              <w:rPr>
                <w:sz w:val="15"/>
                <w:szCs w:val="15"/>
                <w:color w:val="auto"/>
              </w:rPr>
            </w:pP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111</w:t>
            </w:r>
          </w:p>
        </w:tc>
        <w:tc>
          <w:tcPr>
            <w:tcW w:w="44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Arial" w:cs="Arial" w:eastAsia="Arial" w:hAnsi="Arial"/>
                <w:sz w:val="16"/>
                <w:szCs w:val="16"/>
                <w:color w:val="auto"/>
              </w:rPr>
              <w:t>Eliminations and adjustments</w:t>
            </w:r>
          </w:p>
        </w:tc>
        <w:tc>
          <w:tcPr>
            <w:tcW w:w="1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ind w:left="320"/>
              <w:spacing w:after="0" w:line="169" w:lineRule="exact"/>
              <w:rPr>
                <w:sz w:val="20"/>
                <w:szCs w:val="20"/>
                <w:color w:val="auto"/>
              </w:rPr>
            </w:pPr>
            <w:r>
              <w:rPr>
                <w:rFonts w:ascii="Arial" w:cs="Arial" w:eastAsia="Arial" w:hAnsi="Arial"/>
                <w:sz w:val="16"/>
                <w:szCs w:val="16"/>
                <w:color w:val="auto"/>
              </w:rPr>
              <w:t>Total</w:t>
            </w:r>
          </w:p>
        </w:tc>
        <w:tc>
          <w:tcPr>
            <w:tcW w:w="1200" w:type="dxa"/>
            <w:vAlign w:val="bottom"/>
          </w:tcPr>
          <w:p>
            <w:pPr>
              <w:spacing w:after="0"/>
              <w:rPr>
                <w:sz w:val="15"/>
                <w:szCs w:val="15"/>
                <w:color w:val="auto"/>
              </w:rPr>
            </w:pPr>
          </w:p>
        </w:tc>
        <w:tc>
          <w:tcPr>
            <w:tcW w:w="44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1,866</w:t>
            </w: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2,012</w:t>
            </w:r>
          </w:p>
        </w:tc>
        <w:tc>
          <w:tcPr>
            <w:tcW w:w="44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164"/>
        </w:trPr>
        <w:tc>
          <w:tcPr>
            <w:tcW w:w="45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Cost of electric fuel and purchased power:</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640" w:type="dxa"/>
            <w:vAlign w:val="bottom"/>
            <w:gridSpan w:val="2"/>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76" w:lineRule="exact"/>
              <w:rPr>
                <w:sz w:val="20"/>
                <w:szCs w:val="20"/>
                <w:color w:val="auto"/>
              </w:rPr>
            </w:pPr>
            <w:r>
              <w:rPr>
                <w:rFonts w:ascii="Arial" w:cs="Arial" w:eastAsia="Arial" w:hAnsi="Arial"/>
                <w:sz w:val="16"/>
                <w:szCs w:val="16"/>
                <w:color w:val="auto"/>
              </w:rPr>
              <w:t>715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line="176" w:lineRule="exact"/>
              <w:rPr>
                <w:sz w:val="20"/>
                <w:szCs w:val="20"/>
                <w:color w:val="auto"/>
              </w:rPr>
            </w:pPr>
            <w:r>
              <w:rPr>
                <w:rFonts w:ascii="Arial" w:cs="Arial" w:eastAsia="Arial" w:hAnsi="Arial"/>
                <w:sz w:val="16"/>
                <w:szCs w:val="16"/>
                <w:color w:val="auto"/>
              </w:rPr>
              <w:t>637</w:t>
            </w:r>
          </w:p>
        </w:tc>
        <w:tc>
          <w:tcPr>
            <w:tcW w:w="440" w:type="dxa"/>
            <w:vAlign w:val="bottom"/>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Arial" w:cs="Arial" w:eastAsia="Arial" w:hAnsi="Arial"/>
                <w:sz w:val="16"/>
                <w:szCs w:val="16"/>
                <w:color w:val="auto"/>
              </w:rPr>
              <w:t>Sempra Pipelines &amp; Storage</w:t>
            </w:r>
          </w:p>
        </w:tc>
        <w:tc>
          <w:tcPr>
            <w:tcW w:w="1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Borders>
              <w:bottom w:val="single" w:sz="8" w:color="auto"/>
            </w:tcBorders>
          </w:tcPr>
          <w:p>
            <w:pPr>
              <w:ind w:left="320"/>
              <w:spacing w:after="0" w:line="169" w:lineRule="exact"/>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1,397</w:t>
            </w: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637</w:t>
            </w:r>
          </w:p>
        </w:tc>
        <w:tc>
          <w:tcPr>
            <w:tcW w:w="44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2011, electric revenues increased by $1.3 billion (52%) to $3.8 billion and our cost of electric fuel and purchased power increased by $760 million (119%) to $1.4 billion. The increase in electric revenues included</w:t>
      </w:r>
    </w:p>
    <w:p>
      <w:pPr>
        <w:spacing w:after="0" w:line="170" w:lineRule="exact"/>
        <w:rPr>
          <w:sz w:val="20"/>
          <w:szCs w:val="20"/>
          <w:color w:val="auto"/>
        </w:rPr>
      </w:pPr>
    </w:p>
    <w:p>
      <w:pPr>
        <w:ind w:left="340" w:hanging="188"/>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$1.0 billion from the consolidation of electric revenues of Chilquinta Energía and Luz del Sur acquired in April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$295 million at SDG&amp;E, which we discuss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cost of electric fuel and purchased power included:</w:t>
      </w:r>
    </w:p>
    <w:p>
      <w:pPr>
        <w:spacing w:after="0" w:line="225" w:lineRule="exact"/>
        <w:rPr>
          <w:sz w:val="20"/>
          <w:szCs w:val="20"/>
          <w:color w:val="auto"/>
        </w:rPr>
      </w:pPr>
    </w:p>
    <w:p>
      <w:pPr>
        <w:ind w:left="340" w:hanging="188"/>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$682 million from the consolidation of Chilquinta Energía and Luz del Sur acquired in April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$78 million at SDG&amp;E, which we discuss below.</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2010, our electric revenues increased by $109 million (5%) to $2.5 billion and our cost of electric fuel and purchased power decreased by $35 million (5%) to $637 million. The increases were attributable to SDG&amp;E, which we discuss below.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w:t>
      </w:r>
    </w:p>
    <w:p>
      <w:pPr>
        <w:spacing w:after="0" w:line="2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natural gas revenues in 2011 were essentially unchanged when compared to 2010 at $4.5 billion, while the cost of natural gas sold decreased by $146 million (7%) to $1.9 billion. Natural gas revenues in 2011 compared to 2010 were impacted by:</w:t>
      </w:r>
    </w:p>
    <w:p>
      <w:pPr>
        <w:sectPr>
          <w:pgSz w:w="11900" w:h="16888" w:orient="portrait"/>
          <w:cols w:equalWidth="0" w:num="1">
            <w:col w:w="11420"/>
          </w:cols>
          <w:pgMar w:left="240" w:top="368" w:right="239" w:bottom="0" w:gutter="0" w:footer="0" w:header="0"/>
        </w:sectPr>
      </w:pPr>
    </w:p>
    <w:bookmarkStart w:id="147" w:name="page148"/>
    <w:bookmarkEnd w:id="147"/>
    <w:p>
      <w:pPr>
        <w:spacing w:after="0" w:line="22" w:lineRule="exact"/>
        <w:rPr>
          <w:sz w:val="20"/>
          <w:szCs w:val="20"/>
          <w:color w:val="auto"/>
        </w:rPr>
      </w:pPr>
    </w:p>
    <w:p>
      <w:pPr>
        <w:ind w:left="340" w:hanging="188"/>
        <w:spacing w:after="0" w:line="277" w:lineRule="auto"/>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$131 million decrease in cost of natural gas sold at SoCalGas, which was caused primarily by lower natural gas prices, partially offset by higher volumes sold;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$16 million lower revenues at Sempra Pipelines &amp; Storage’s two natural gas utilities, Mobile Gas and Ecogas;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$12 million lower regulatory awards in 2011 at SoCalGas;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$105 million higher recovery of Sempra Utilities’ CPUC-authorized costs, which revenues are fully offset in operation and maintenance expenses; and</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$62 million higher authorized base margin at the Sempra Utilities.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2010, our natural gas revenues increased by $489 million (12%) to $4.5 billion, and the cost of natural gas increased by $367 million (22%) to $2.0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due to:</w:t>
      </w:r>
    </w:p>
    <w:p>
      <w:pPr>
        <w:spacing w:after="0" w:line="211" w:lineRule="exact"/>
        <w:rPr>
          <w:sz w:val="20"/>
          <w:szCs w:val="20"/>
          <w:color w:val="auto"/>
        </w:rPr>
      </w:pPr>
    </w:p>
    <w:p>
      <w:pPr>
        <w:ind w:left="340" w:hanging="188"/>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 increase in cost of natural gas, which was caused primarily by higher natural gas prices;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$58 million higher authorized base margin in accordance with the CPUC’s 2008 GRC decision;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$47 million higher recovery of CPUC-authorized costs, which revenues are fully offset in operation and maintenance expenses;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$13 million higher regulatory awards in 2010 at SoCalGas.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revenues and cost of natural gas individually for SDG&amp;E and SoCalGas below.</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shows electric revenues for SDG&amp;E. Because the cost of electricity is substantially recovered in rates, changes in the cost are reflected in the changes in revenues.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 ELECTRIC DISTRIBUTION AND TRANSMISSION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4"/>
        </w:trPr>
        <w:tc>
          <w:tcPr>
            <w:tcW w:w="3160" w:type="dxa"/>
            <w:vAlign w:val="bottom"/>
          </w:tcPr>
          <w:p>
            <w:pPr>
              <w:spacing w:after="0"/>
              <w:rPr>
                <w:sz w:val="14"/>
                <w:szCs w:val="14"/>
                <w:color w:val="auto"/>
              </w:rPr>
            </w:pPr>
          </w:p>
        </w:tc>
        <w:tc>
          <w:tcPr>
            <w:tcW w:w="1620" w:type="dxa"/>
            <w:vAlign w:val="bottom"/>
            <w:tcBorders>
              <w:bottom w:val="single" w:sz="8" w:color="auto"/>
            </w:tcBorders>
            <w:gridSpan w:val="2"/>
          </w:tcPr>
          <w:p>
            <w:pPr>
              <w:jc w:val="center"/>
              <w:ind w:left="981"/>
              <w:spacing w:after="0" w:line="157" w:lineRule="exact"/>
              <w:rPr>
                <w:sz w:val="20"/>
                <w:szCs w:val="20"/>
                <w:color w:val="auto"/>
              </w:rPr>
            </w:pPr>
            <w:r>
              <w:rPr>
                <w:rFonts w:ascii="Arial" w:cs="Arial" w:eastAsia="Arial" w:hAnsi="Arial"/>
                <w:sz w:val="14"/>
                <w:szCs w:val="14"/>
                <w:color w:val="auto"/>
              </w:rPr>
              <w:t>2011</w:t>
            </w:r>
          </w:p>
        </w:tc>
        <w:tc>
          <w:tcPr>
            <w:tcW w:w="1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861"/>
              <w:spacing w:after="0" w:line="157" w:lineRule="exact"/>
              <w:rPr>
                <w:sz w:val="20"/>
                <w:szCs w:val="20"/>
                <w:color w:val="auto"/>
              </w:rPr>
            </w:pPr>
            <w:r>
              <w:rPr>
                <w:rFonts w:ascii="Arial" w:cs="Arial" w:eastAsia="Arial" w:hAnsi="Arial"/>
                <w:sz w:val="14"/>
                <w:szCs w:val="14"/>
                <w:color w:val="auto"/>
              </w:rPr>
              <w:t>2010</w:t>
            </w:r>
          </w:p>
        </w:tc>
        <w:tc>
          <w:tcPr>
            <w:tcW w:w="1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861"/>
              <w:spacing w:after="0" w:line="157" w:lineRule="exact"/>
              <w:rPr>
                <w:sz w:val="20"/>
                <w:szCs w:val="20"/>
                <w:color w:val="auto"/>
              </w:rPr>
            </w:pPr>
            <w:r>
              <w:rPr>
                <w:rFonts w:ascii="Arial" w:cs="Arial" w:eastAsia="Arial" w:hAnsi="Arial"/>
                <w:sz w:val="14"/>
                <w:szCs w:val="14"/>
                <w:color w:val="auto"/>
              </w:rPr>
              <w:t>2009</w:t>
            </w:r>
          </w:p>
        </w:tc>
        <w:tc>
          <w:tcPr>
            <w:tcW w:w="1140" w:type="dxa"/>
            <w:vAlign w:val="bottom"/>
            <w:tcBorders>
              <w:bottom w:val="single" w:sz="8" w:color="auto"/>
            </w:tcBorders>
          </w:tcPr>
          <w:p>
            <w:pPr>
              <w:spacing w:after="0"/>
              <w:rPr>
                <w:sz w:val="14"/>
                <w:szCs w:val="14"/>
                <w:color w:val="auto"/>
              </w:rPr>
            </w:pPr>
          </w:p>
        </w:tc>
      </w:tr>
      <w:tr>
        <w:trPr>
          <w:trHeight w:val="169"/>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2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Revenue</w:t>
            </w: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Revenue</w:t>
            </w: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r>
      <w:tr>
        <w:trPr>
          <w:trHeight w:val="164"/>
        </w:trPr>
        <w:tc>
          <w:tcPr>
            <w:tcW w:w="3160" w:type="dxa"/>
            <w:vAlign w:val="bottom"/>
          </w:tcPr>
          <w:p>
            <w:pPr>
              <w:spacing w:after="0" w:line="164" w:lineRule="exact"/>
              <w:rPr>
                <w:sz w:val="20"/>
                <w:szCs w:val="20"/>
                <w:color w:val="auto"/>
              </w:rPr>
            </w:pPr>
            <w:r>
              <w:rPr>
                <w:rFonts w:ascii="Arial" w:cs="Arial" w:eastAsia="Arial" w:hAnsi="Arial"/>
                <w:sz w:val="16"/>
                <w:szCs w:val="16"/>
                <w:color w:val="auto"/>
              </w:rPr>
              <w:t>Residential</w:t>
            </w: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7,374</w:t>
            </w:r>
          </w:p>
        </w:tc>
        <w:tc>
          <w:tcPr>
            <w:tcW w:w="340" w:type="dxa"/>
            <w:vAlign w:val="bottom"/>
          </w:tcPr>
          <w:p>
            <w:pPr>
              <w:jc w:val="center"/>
              <w:ind w:right="119"/>
              <w:spacing w:after="0" w:line="164"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line="164" w:lineRule="exact"/>
              <w:rPr>
                <w:sz w:val="20"/>
                <w:szCs w:val="20"/>
                <w:color w:val="auto"/>
              </w:rPr>
            </w:pPr>
            <w:r>
              <w:rPr>
                <w:rFonts w:ascii="Arial" w:cs="Arial" w:eastAsia="Arial" w:hAnsi="Arial"/>
                <w:sz w:val="16"/>
                <w:szCs w:val="16"/>
                <w:color w:val="auto"/>
              </w:rPr>
              <w:t>1,215</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7,304</w:t>
            </w:r>
          </w:p>
        </w:tc>
        <w:tc>
          <w:tcPr>
            <w:tcW w:w="340" w:type="dxa"/>
            <w:vAlign w:val="bottom"/>
          </w:tcPr>
          <w:p>
            <w:pPr>
              <w:jc w:val="center"/>
              <w:ind w:right="119"/>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40"/>
              <w:spacing w:after="0" w:line="164" w:lineRule="exact"/>
              <w:rPr>
                <w:sz w:val="20"/>
                <w:szCs w:val="20"/>
                <w:color w:val="auto"/>
              </w:rPr>
            </w:pPr>
            <w:r>
              <w:rPr>
                <w:rFonts w:ascii="Arial" w:cs="Arial" w:eastAsia="Arial" w:hAnsi="Arial"/>
                <w:sz w:val="16"/>
                <w:szCs w:val="16"/>
                <w:color w:val="auto"/>
              </w:rPr>
              <w:t>1,039</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7,536</w:t>
            </w:r>
          </w:p>
        </w:tc>
        <w:tc>
          <w:tcPr>
            <w:tcW w:w="340" w:type="dxa"/>
            <w:vAlign w:val="bottom"/>
          </w:tcPr>
          <w:p>
            <w:pPr>
              <w:jc w:val="center"/>
              <w:ind w:right="119"/>
              <w:spacing w:after="0" w:line="164"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1,041</w:t>
            </w:r>
          </w:p>
        </w:tc>
      </w:tr>
      <w:tr>
        <w:trPr>
          <w:trHeight w:val="176"/>
        </w:trPr>
        <w:tc>
          <w:tcPr>
            <w:tcW w:w="3160" w:type="dxa"/>
            <w:vAlign w:val="bottom"/>
          </w:tcPr>
          <w:p>
            <w:pPr>
              <w:spacing w:after="0" w:line="176" w:lineRule="exact"/>
              <w:rPr>
                <w:sz w:val="20"/>
                <w:szCs w:val="20"/>
                <w:color w:val="auto"/>
              </w:rPr>
            </w:pPr>
            <w:r>
              <w:rPr>
                <w:rFonts w:ascii="Arial" w:cs="Arial" w:eastAsia="Arial" w:hAnsi="Arial"/>
                <w:sz w:val="16"/>
                <w:szCs w:val="16"/>
                <w:color w:val="auto"/>
              </w:rPr>
              <w:t>Commercial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6,736</w:t>
            </w:r>
          </w:p>
        </w:tc>
        <w:tc>
          <w:tcPr>
            <w:tcW w:w="340" w:type="dxa"/>
            <w:vAlign w:val="bottom"/>
          </w:tcPr>
          <w:p>
            <w:pPr>
              <w:spacing w:after="0"/>
              <w:rPr>
                <w:sz w:val="15"/>
                <w:szCs w:val="15"/>
                <w:color w:val="auto"/>
              </w:rPr>
            </w:pPr>
          </w:p>
        </w:tc>
        <w:tc>
          <w:tcPr>
            <w:tcW w:w="12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1,000</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6,738</w:t>
            </w:r>
          </w:p>
        </w:tc>
        <w:tc>
          <w:tcPr>
            <w:tcW w:w="340" w:type="dxa"/>
            <w:vAlign w:val="bottom"/>
          </w:tcPr>
          <w:p>
            <w:pPr>
              <w:spacing w:after="0"/>
              <w:rPr>
                <w:sz w:val="15"/>
                <w:szCs w:val="15"/>
                <w:color w:val="auto"/>
              </w:rPr>
            </w:pPr>
          </w:p>
        </w:tc>
        <w:tc>
          <w:tcPr>
            <w:tcW w:w="13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884</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7,061</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890</w:t>
            </w:r>
          </w:p>
        </w:tc>
      </w:tr>
      <w:tr>
        <w:trPr>
          <w:trHeight w:val="176"/>
        </w:trPr>
        <w:tc>
          <w:tcPr>
            <w:tcW w:w="3160" w:type="dxa"/>
            <w:vAlign w:val="bottom"/>
          </w:tcPr>
          <w:p>
            <w:pPr>
              <w:spacing w:after="0" w:line="176" w:lineRule="exact"/>
              <w:rPr>
                <w:sz w:val="20"/>
                <w:szCs w:val="20"/>
                <w:color w:val="auto"/>
              </w:rPr>
            </w:pPr>
            <w:r>
              <w:rPr>
                <w:rFonts w:ascii="Arial" w:cs="Arial" w:eastAsia="Arial" w:hAnsi="Arial"/>
                <w:sz w:val="16"/>
                <w:szCs w:val="16"/>
                <w:color w:val="auto"/>
              </w:rPr>
              <w:t>Industrial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2,037</w:t>
            </w:r>
          </w:p>
        </w:tc>
        <w:tc>
          <w:tcPr>
            <w:tcW w:w="340" w:type="dxa"/>
            <w:vAlign w:val="bottom"/>
          </w:tcPr>
          <w:p>
            <w:pPr>
              <w:spacing w:after="0"/>
              <w:rPr>
                <w:sz w:val="15"/>
                <w:szCs w:val="15"/>
                <w:color w:val="auto"/>
              </w:rPr>
            </w:pPr>
          </w:p>
        </w:tc>
        <w:tc>
          <w:tcPr>
            <w:tcW w:w="12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247</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2,131</w:t>
            </w:r>
          </w:p>
        </w:tc>
        <w:tc>
          <w:tcPr>
            <w:tcW w:w="340" w:type="dxa"/>
            <w:vAlign w:val="bottom"/>
          </w:tcPr>
          <w:p>
            <w:pPr>
              <w:spacing w:after="0"/>
              <w:rPr>
                <w:sz w:val="15"/>
                <w:szCs w:val="15"/>
                <w:color w:val="auto"/>
              </w:rPr>
            </w:pPr>
          </w:p>
        </w:tc>
        <w:tc>
          <w:tcPr>
            <w:tcW w:w="13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229</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2,285</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238</w:t>
            </w:r>
          </w:p>
        </w:tc>
      </w:tr>
      <w:tr>
        <w:trPr>
          <w:trHeight w:val="176"/>
        </w:trPr>
        <w:tc>
          <w:tcPr>
            <w:tcW w:w="3160" w:type="dxa"/>
            <w:vAlign w:val="bottom"/>
          </w:tcPr>
          <w:p>
            <w:pPr>
              <w:spacing w:after="0" w:line="176" w:lineRule="exact"/>
              <w:rPr>
                <w:sz w:val="20"/>
                <w:szCs w:val="20"/>
                <w:color w:val="auto"/>
              </w:rPr>
            </w:pPr>
            <w:r>
              <w:rPr>
                <w:rFonts w:ascii="Arial" w:cs="Arial" w:eastAsia="Arial" w:hAnsi="Arial"/>
                <w:sz w:val="16"/>
                <w:szCs w:val="16"/>
                <w:color w:val="auto"/>
              </w:rPr>
              <w:t>Direct access</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3,265</w:t>
            </w:r>
          </w:p>
        </w:tc>
        <w:tc>
          <w:tcPr>
            <w:tcW w:w="340" w:type="dxa"/>
            <w:vAlign w:val="bottom"/>
          </w:tcPr>
          <w:p>
            <w:pPr>
              <w:spacing w:after="0"/>
              <w:rPr>
                <w:sz w:val="15"/>
                <w:szCs w:val="15"/>
                <w:color w:val="auto"/>
              </w:rPr>
            </w:pPr>
          </w:p>
        </w:tc>
        <w:tc>
          <w:tcPr>
            <w:tcW w:w="12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148</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3,202</w:t>
            </w:r>
          </w:p>
        </w:tc>
        <w:tc>
          <w:tcPr>
            <w:tcW w:w="340" w:type="dxa"/>
            <w:vAlign w:val="bottom"/>
          </w:tcPr>
          <w:p>
            <w:pPr>
              <w:spacing w:after="0"/>
              <w:rPr>
                <w:sz w:val="15"/>
                <w:szCs w:val="15"/>
                <w:color w:val="auto"/>
              </w:rPr>
            </w:pPr>
          </w:p>
        </w:tc>
        <w:tc>
          <w:tcPr>
            <w:tcW w:w="13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124</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3,119</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106</w:t>
            </w:r>
          </w:p>
        </w:tc>
      </w:tr>
      <w:tr>
        <w:trPr>
          <w:trHeight w:val="194"/>
        </w:trPr>
        <w:tc>
          <w:tcPr>
            <w:tcW w:w="316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64"/>
        </w:trPr>
        <w:tc>
          <w:tcPr>
            <w:tcW w:w="316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19,512</w:t>
            </w:r>
          </w:p>
        </w:tc>
        <w:tc>
          <w:tcPr>
            <w:tcW w:w="340" w:type="dxa"/>
            <w:vAlign w:val="bottom"/>
          </w:tcPr>
          <w:p>
            <w:pPr>
              <w:spacing w:after="0"/>
              <w:rPr>
                <w:sz w:val="14"/>
                <w:szCs w:val="14"/>
                <w:color w:val="auto"/>
              </w:rPr>
            </w:pPr>
          </w:p>
        </w:tc>
        <w:tc>
          <w:tcPr>
            <w:tcW w:w="1280" w:type="dxa"/>
            <w:vAlign w:val="bottom"/>
          </w:tcPr>
          <w:p>
            <w:pPr>
              <w:jc w:val="right"/>
              <w:ind w:right="120"/>
              <w:spacing w:after="0" w:line="164" w:lineRule="exact"/>
              <w:rPr>
                <w:sz w:val="20"/>
                <w:szCs w:val="20"/>
                <w:color w:val="auto"/>
              </w:rPr>
            </w:pPr>
            <w:r>
              <w:rPr>
                <w:rFonts w:ascii="Arial" w:cs="Arial" w:eastAsia="Arial" w:hAnsi="Arial"/>
                <w:sz w:val="16"/>
                <w:szCs w:val="16"/>
                <w:color w:val="auto"/>
              </w:rPr>
              <w:t>2,624</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19,483</w:t>
            </w:r>
          </w:p>
        </w:tc>
        <w:tc>
          <w:tcPr>
            <w:tcW w:w="340" w:type="dxa"/>
            <w:vAlign w:val="bottom"/>
          </w:tcPr>
          <w:p>
            <w:pPr>
              <w:spacing w:after="0"/>
              <w:rPr>
                <w:sz w:val="14"/>
                <w:szCs w:val="14"/>
                <w:color w:val="auto"/>
              </w:rPr>
            </w:pPr>
          </w:p>
        </w:tc>
        <w:tc>
          <w:tcPr>
            <w:tcW w:w="1300" w:type="dxa"/>
            <w:vAlign w:val="bottom"/>
          </w:tcPr>
          <w:p>
            <w:pPr>
              <w:jc w:val="right"/>
              <w:ind w:right="140"/>
              <w:spacing w:after="0" w:line="164" w:lineRule="exact"/>
              <w:rPr>
                <w:sz w:val="20"/>
                <w:szCs w:val="20"/>
                <w:color w:val="auto"/>
              </w:rPr>
            </w:pPr>
            <w:r>
              <w:rPr>
                <w:rFonts w:ascii="Arial" w:cs="Arial" w:eastAsia="Arial" w:hAnsi="Arial"/>
                <w:sz w:val="16"/>
                <w:szCs w:val="16"/>
                <w:color w:val="auto"/>
              </w:rPr>
              <w:t>2,289</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20,111</w:t>
            </w:r>
          </w:p>
        </w:tc>
        <w:tc>
          <w:tcPr>
            <w:tcW w:w="34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2,287</w:t>
            </w:r>
          </w:p>
        </w:tc>
      </w:tr>
      <w:tr>
        <w:trPr>
          <w:trHeight w:val="176"/>
        </w:trPr>
        <w:tc>
          <w:tcPr>
            <w:tcW w:w="3160" w:type="dxa"/>
            <w:vAlign w:val="bottom"/>
          </w:tcPr>
          <w:p>
            <w:pPr>
              <w:spacing w:after="0" w:line="176" w:lineRule="exact"/>
              <w:rPr>
                <w:sz w:val="20"/>
                <w:szCs w:val="20"/>
                <w:color w:val="auto"/>
              </w:rPr>
            </w:pPr>
            <w:r>
              <w:rPr>
                <w:rFonts w:ascii="Arial" w:cs="Arial" w:eastAsia="Arial" w:hAnsi="Arial"/>
                <w:sz w:val="16"/>
                <w:szCs w:val="16"/>
                <w:color w:val="auto"/>
              </w:rPr>
              <w:t>Other revenues</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117</w:t>
            </w: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108</w:t>
            </w: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137</w:t>
            </w:r>
          </w:p>
        </w:tc>
      </w:tr>
      <w:tr>
        <w:trPr>
          <w:trHeight w:val="194"/>
        </w:trPr>
        <w:tc>
          <w:tcPr>
            <w:tcW w:w="3160" w:type="dxa"/>
            <w:vAlign w:val="bottom"/>
          </w:tcPr>
          <w:p>
            <w:pPr>
              <w:spacing w:after="0"/>
              <w:rPr>
                <w:sz w:val="20"/>
                <w:szCs w:val="20"/>
                <w:color w:val="auto"/>
              </w:rPr>
            </w:pPr>
            <w:r>
              <w:rPr>
                <w:rFonts w:ascii="Arial" w:cs="Arial" w:eastAsia="Arial" w:hAnsi="Arial"/>
                <w:sz w:val="16"/>
                <w:szCs w:val="16"/>
                <w:color w:val="auto"/>
              </w:rPr>
              <w:t>Balancing accounts</w:t>
            </w:r>
          </w:p>
        </w:tc>
        <w:tc>
          <w:tcPr>
            <w:tcW w:w="1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89</w:t>
            </w: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138</w:t>
            </w: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95"/>
        </w:trPr>
        <w:tc>
          <w:tcPr>
            <w:tcW w:w="3160" w:type="dxa"/>
            <w:vAlign w:val="bottom"/>
          </w:tcPr>
          <w:p>
            <w:pPr>
              <w:ind w:left="180"/>
              <w:spacing w:after="0"/>
              <w:rPr>
                <w:sz w:val="20"/>
                <w:szCs w:val="20"/>
                <w:color w:val="auto"/>
              </w:rPr>
            </w:pPr>
            <w:r>
              <w:rPr>
                <w:rFonts w:ascii="Arial" w:cs="Arial" w:eastAsia="Arial" w:hAnsi="Arial"/>
                <w:sz w:val="16"/>
                <w:szCs w:val="16"/>
                <w:color w:val="auto"/>
              </w:rPr>
              <w:t>Total(1)</w:t>
            </w:r>
          </w:p>
        </w:tc>
        <w:tc>
          <w:tcPr>
            <w:tcW w:w="1280" w:type="dxa"/>
            <w:vAlign w:val="bottom"/>
          </w:tcPr>
          <w:p>
            <w:pPr>
              <w:spacing w:after="0"/>
              <w:rPr>
                <w:sz w:val="16"/>
                <w:szCs w:val="16"/>
                <w:color w:val="auto"/>
              </w:rPr>
            </w:pPr>
          </w:p>
        </w:tc>
        <w:tc>
          <w:tcPr>
            <w:tcW w:w="34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2,830</w:t>
            </w:r>
          </w:p>
        </w:tc>
        <w:tc>
          <w:tcPr>
            <w:tcW w:w="1120" w:type="dxa"/>
            <w:vAlign w:val="bottom"/>
          </w:tcPr>
          <w:p>
            <w:pPr>
              <w:spacing w:after="0"/>
              <w:rPr>
                <w:sz w:val="16"/>
                <w:szCs w:val="16"/>
                <w:color w:val="auto"/>
              </w:rPr>
            </w:pPr>
          </w:p>
        </w:tc>
        <w:tc>
          <w:tcPr>
            <w:tcW w:w="34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2,535</w:t>
            </w:r>
          </w:p>
        </w:tc>
        <w:tc>
          <w:tcPr>
            <w:tcW w:w="1120" w:type="dxa"/>
            <w:vAlign w:val="bottom"/>
          </w:tcPr>
          <w:p>
            <w:pPr>
              <w:spacing w:after="0"/>
              <w:rPr>
                <w:sz w:val="16"/>
                <w:szCs w:val="16"/>
                <w:color w:val="auto"/>
              </w:rPr>
            </w:pPr>
          </w:p>
        </w:tc>
        <w:tc>
          <w:tcPr>
            <w:tcW w:w="34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Includes sales to affiliates of $6 million in 2011, and $7 million in both 2010 and 2009.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2011, SDG&amp;E’s electric revenues increased by $295 million (12%) to $2.8 billion,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$81 million higher authorized base margin on electric generation and distribution, including $26 million due to the acquisition of the Desert Star generation facility on October 1,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$78 million increase in the cost of electric fuel and purchased power due to higher prices;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$57 million higher revenues associated with incremental wildfire insurance premiums;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$29 million higher recoverable expenses that are fully offset in operation and maintenance expenses;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$9 million higher authorized transmission margin;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$7 million higher regulatory awards.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$57 million higher authorized base margin on electric generation and distribution;</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$28 million increase due to tolling payments and natural gas supply costs in 2010 associated with the power generated by Otay Mesa VIE in excess of purchased power costs in 2009 for the equivalent amount of power;</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$28 million from the recovery of a portion of the incremental wildfire insurance premiums for the policy year July 2009 through June 2010; and</w:t>
      </w:r>
    </w:p>
    <w:p>
      <w:pPr>
        <w:spacing w:after="0" w:line="259" w:lineRule="exact"/>
        <w:rPr>
          <w:rFonts w:ascii="Arial" w:cs="Arial" w:eastAsia="Arial" w:hAnsi="Arial"/>
          <w:sz w:val="17"/>
          <w:szCs w:val="17"/>
          <w:color w:val="auto"/>
        </w:rPr>
      </w:pPr>
    </w:p>
    <w:p>
      <w:pPr>
        <w:ind w:left="340" w:hanging="188"/>
        <w:spacing w:after="0"/>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$18 million higher authorized transmission margin;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$31 million lower recoverable expenses that are fully offset in operation and maintenance expenses;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$3 million decrease in the cost of electric fuel and purchased power excluding Otay Mesa VIE.</w:t>
      </w:r>
    </w:p>
    <w:p>
      <w:pPr>
        <w:sectPr>
          <w:pgSz w:w="11900" w:h="16860" w:orient="portrait"/>
          <w:cols w:equalWidth="0" w:num="1">
            <w:col w:w="11420"/>
          </w:cols>
          <w:pgMar w:left="240" w:top="341" w:right="239" w:bottom="0" w:gutter="0" w:footer="0" w:header="0"/>
        </w:sectPr>
      </w:pPr>
    </w:p>
    <w:bookmarkStart w:id="148" w:name="page149"/>
    <w:bookmarkEnd w:id="148"/>
    <w:p>
      <w:pPr>
        <w:spacing w:after="0" w:line="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SDG&amp;E’s cost of electric fuel and purchased power decreased by $35 million (5%) to $637 million for 2010. This decrease was primarily due to a $32 million decrease in the cost of power purchased from third-party generators as a result of the start up of new power generation at Otay Mesa VIE, which commenced commercial operations in the fourth quarter of 2009, along with a $3 million decrease in other fuel and purchased power costs. Associated with this decrease, SDG&amp;E’s operating costs increased by $32 million from Otay Mesa VIE’s operations.</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do not include in the Consolidated Statements of Operations the commodity costs (and the revenues to recover those costs) associated with long-term contracts that are allocated to SDG&amp;E by the California DWR. However, we do include the associated volumes and distribution revenues in the table above. We provide further discussion of these contracts in Notes 1 and 14 of the Notes to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tables show natural gas revenues for SDG&amp;E and SoCalGas.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 NATURAL GAS SALES AND TRANSPORTATION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Natural Gas Sales</w:t>
            </w:r>
          </w:p>
        </w:tc>
        <w:tc>
          <w:tcPr>
            <w:tcW w:w="2300" w:type="dxa"/>
            <w:vAlign w:val="bottom"/>
            <w:tcBorders>
              <w:bottom w:val="single" w:sz="8" w:color="auto"/>
            </w:tcBorders>
            <w:gridSpan w:val="2"/>
          </w:tcPr>
          <w:p>
            <w:pPr>
              <w:jc w:val="right"/>
              <w:ind w:right="541"/>
              <w:spacing w:after="0"/>
              <w:rPr>
                <w:sz w:val="20"/>
                <w:szCs w:val="20"/>
                <w:color w:val="auto"/>
              </w:rPr>
            </w:pPr>
            <w:r>
              <w:rPr>
                <w:rFonts w:ascii="Arial" w:cs="Arial" w:eastAsia="Arial" w:hAnsi="Arial"/>
                <w:sz w:val="14"/>
                <w:szCs w:val="14"/>
                <w:color w:val="auto"/>
              </w:rPr>
              <w:t>Transportation</w:t>
            </w: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spacing w:after="0"/>
              <w:rPr>
                <w:sz w:val="14"/>
                <w:szCs w:val="14"/>
                <w:color w:val="auto"/>
              </w:rPr>
            </w:pPr>
          </w:p>
        </w:tc>
      </w:tr>
      <w:tr>
        <w:trPr>
          <w:trHeight w:val="169"/>
        </w:trPr>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Customer class</w:t>
            </w:r>
          </w:p>
        </w:tc>
        <w:tc>
          <w:tcPr>
            <w:tcW w:w="13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Revenue</w:t>
            </w: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Volumes</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Revenue</w:t>
            </w:r>
          </w:p>
        </w:tc>
      </w:tr>
      <w:tr>
        <w:trPr>
          <w:trHeight w:val="164"/>
        </w:trPr>
        <w:tc>
          <w:tcPr>
            <w:tcW w:w="2960" w:type="dxa"/>
            <w:vAlign w:val="bottom"/>
            <w:gridSpan w:val="2"/>
          </w:tcPr>
          <w:p>
            <w:pPr>
              <w:spacing w:after="0" w:line="164" w:lineRule="exact"/>
              <w:rPr>
                <w:sz w:val="20"/>
                <w:szCs w:val="20"/>
                <w:color w:val="auto"/>
              </w:rPr>
            </w:pPr>
            <w:r>
              <w:rPr>
                <w:rFonts w:ascii="Arial" w:cs="Arial" w:eastAsia="Arial" w:hAnsi="Arial"/>
                <w:sz w:val="16"/>
                <w:szCs w:val="16"/>
                <w:color w:val="auto"/>
              </w:rPr>
              <w:t>2011:</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280" w:type="dxa"/>
            <w:vAlign w:val="bottom"/>
          </w:tcPr>
          <w:p>
            <w:pPr>
              <w:jc w:val="center"/>
              <w:ind w:right="59"/>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341</w:t>
            </w:r>
          </w:p>
        </w:tc>
        <w:tc>
          <w:tcPr>
            <w:tcW w:w="2300" w:type="dxa"/>
            <w:vAlign w:val="bottom"/>
            <w:gridSpan w:val="2"/>
          </w:tcPr>
          <w:p>
            <w:pPr>
              <w:jc w:val="right"/>
              <w:ind w:right="981"/>
              <w:spacing w:after="0" w:line="176" w:lineRule="exact"/>
              <w:rPr>
                <w:sz w:val="20"/>
                <w:szCs w:val="20"/>
                <w:color w:val="auto"/>
              </w:rPr>
            </w:pPr>
            <w:r>
              <w:rPr>
                <w:rFonts w:ascii="Arial" w:cs="Arial" w:eastAsia="Arial" w:hAnsi="Arial"/>
                <w:sz w:val="16"/>
                <w:szCs w:val="16"/>
                <w:color w:val="auto"/>
              </w:rPr>
              <w:t>― $</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360" w:type="dxa"/>
            <w:vAlign w:val="bottom"/>
            <w:gridSpan w:val="2"/>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342</w:t>
            </w: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280" w:type="dxa"/>
            <w:vAlign w:val="bottom"/>
          </w:tcPr>
          <w:p>
            <w:pPr>
              <w:spacing w:after="0"/>
              <w:rPr>
                <w:sz w:val="15"/>
                <w:szCs w:val="15"/>
                <w:color w:val="auto"/>
              </w:rPr>
            </w:pPr>
          </w:p>
        </w:tc>
        <w:tc>
          <w:tcPr>
            <w:tcW w:w="13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103</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160" w:type="dxa"/>
            <w:vAlign w:val="bottom"/>
          </w:tcPr>
          <w:p>
            <w:pPr>
              <w:spacing w:after="0"/>
              <w:rPr>
                <w:sz w:val="15"/>
                <w:szCs w:val="15"/>
                <w:color w:val="auto"/>
              </w:rPr>
            </w:pP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10</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113</w:t>
            </w:r>
          </w:p>
        </w:tc>
      </w:tr>
      <w:tr>
        <w:trPr>
          <w:trHeight w:val="194"/>
        </w:trPr>
        <w:tc>
          <w:tcPr>
            <w:tcW w:w="2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64"/>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47</w:t>
            </w:r>
          </w:p>
        </w:tc>
        <w:tc>
          <w:tcPr>
            <w:tcW w:w="280" w:type="dxa"/>
            <w:vAlign w:val="bottom"/>
          </w:tcPr>
          <w:p>
            <w:pPr>
              <w:jc w:val="center"/>
              <w:ind w:right="59"/>
              <w:spacing w:after="0" w:line="164"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line="164" w:lineRule="exact"/>
              <w:rPr>
                <w:sz w:val="20"/>
                <w:szCs w:val="20"/>
                <w:color w:val="auto"/>
              </w:rPr>
            </w:pPr>
            <w:r>
              <w:rPr>
                <w:rFonts w:ascii="Arial" w:cs="Arial" w:eastAsia="Arial" w:hAnsi="Arial"/>
                <w:sz w:val="16"/>
                <w:szCs w:val="16"/>
                <w:color w:val="auto"/>
              </w:rPr>
              <w:t>444</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33</w:t>
            </w:r>
          </w:p>
        </w:tc>
        <w:tc>
          <w:tcPr>
            <w:tcW w:w="1160" w:type="dxa"/>
            <w:vAlign w:val="bottom"/>
          </w:tcPr>
          <w:p>
            <w:pPr>
              <w:jc w:val="right"/>
              <w:ind w:right="981"/>
              <w:spacing w:after="0" w:line="164"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19</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80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463</w:t>
            </w: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r>
      <w:tr>
        <w:trPr>
          <w:trHeight w:val="194"/>
        </w:trPr>
        <w:tc>
          <w:tcPr>
            <w:tcW w:w="2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183"/>
        </w:trPr>
        <w:tc>
          <w:tcPr>
            <w:tcW w:w="20" w:type="dxa"/>
            <w:vAlign w:val="bottom"/>
          </w:tcPr>
          <w:p>
            <w:pPr>
              <w:spacing w:after="0"/>
              <w:rPr>
                <w:sz w:val="15"/>
                <w:szCs w:val="15"/>
                <w:color w:val="auto"/>
              </w:rPr>
            </w:pPr>
          </w:p>
        </w:tc>
        <w:tc>
          <w:tcPr>
            <w:tcW w:w="294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Total(1)</w:t>
            </w:r>
          </w:p>
        </w:tc>
        <w:tc>
          <w:tcPr>
            <w:tcW w:w="1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543</w:t>
            </w:r>
          </w:p>
        </w:tc>
      </w:tr>
      <w:tr>
        <w:trPr>
          <w:trHeight w:val="164"/>
        </w:trPr>
        <w:tc>
          <w:tcPr>
            <w:tcW w:w="20" w:type="dxa"/>
            <w:vAlign w:val="bottom"/>
          </w:tcPr>
          <w:p>
            <w:pPr>
              <w:spacing w:after="0"/>
              <w:rPr>
                <w:sz w:val="14"/>
                <w:szCs w:val="14"/>
                <w:color w:val="auto"/>
              </w:rPr>
            </w:pPr>
          </w:p>
        </w:tc>
        <w:tc>
          <w:tcPr>
            <w:tcW w:w="2940" w:type="dxa"/>
            <w:vAlign w:val="bottom"/>
          </w:tcPr>
          <w:p>
            <w:pPr>
              <w:spacing w:after="0" w:line="164" w:lineRule="exact"/>
              <w:rPr>
                <w:sz w:val="20"/>
                <w:szCs w:val="20"/>
                <w:color w:val="auto"/>
              </w:rPr>
            </w:pPr>
            <w:r>
              <w:rPr>
                <w:rFonts w:ascii="Arial" w:cs="Arial" w:eastAsia="Arial" w:hAnsi="Arial"/>
                <w:sz w:val="16"/>
                <w:szCs w:val="16"/>
                <w:color w:val="auto"/>
              </w:rPr>
              <w:t>2010:</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280" w:type="dxa"/>
            <w:vAlign w:val="bottom"/>
          </w:tcPr>
          <w:p>
            <w:pPr>
              <w:jc w:val="center"/>
              <w:ind w:right="59"/>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340</w:t>
            </w:r>
          </w:p>
        </w:tc>
        <w:tc>
          <w:tcPr>
            <w:tcW w:w="2300" w:type="dxa"/>
            <w:vAlign w:val="bottom"/>
            <w:gridSpan w:val="2"/>
          </w:tcPr>
          <w:p>
            <w:pPr>
              <w:jc w:val="right"/>
              <w:ind w:right="981"/>
              <w:spacing w:after="0" w:line="176" w:lineRule="exact"/>
              <w:rPr>
                <w:sz w:val="20"/>
                <w:szCs w:val="20"/>
                <w:color w:val="auto"/>
              </w:rPr>
            </w:pPr>
            <w:r>
              <w:rPr>
                <w:rFonts w:ascii="Arial" w:cs="Arial" w:eastAsia="Arial" w:hAnsi="Arial"/>
                <w:sz w:val="16"/>
                <w:szCs w:val="16"/>
                <w:color w:val="auto"/>
              </w:rPr>
              <w:t>― $</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360" w:type="dxa"/>
            <w:vAlign w:val="bottom"/>
            <w:gridSpan w:val="2"/>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340</w:t>
            </w: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280" w:type="dxa"/>
            <w:vAlign w:val="bottom"/>
          </w:tcPr>
          <w:p>
            <w:pPr>
              <w:spacing w:after="0"/>
              <w:rPr>
                <w:sz w:val="15"/>
                <w:szCs w:val="15"/>
                <w:color w:val="auto"/>
              </w:rPr>
            </w:pPr>
          </w:p>
        </w:tc>
        <w:tc>
          <w:tcPr>
            <w:tcW w:w="13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106</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160" w:type="dxa"/>
            <w:vAlign w:val="bottom"/>
          </w:tcPr>
          <w:p>
            <w:pPr>
              <w:spacing w:after="0"/>
              <w:rPr>
                <w:sz w:val="15"/>
                <w:szCs w:val="15"/>
                <w:color w:val="auto"/>
              </w:rPr>
            </w:pP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12</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118</w:t>
            </w:r>
          </w:p>
        </w:tc>
      </w:tr>
      <w:tr>
        <w:trPr>
          <w:trHeight w:val="194"/>
        </w:trPr>
        <w:tc>
          <w:tcPr>
            <w:tcW w:w="2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64"/>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45</w:t>
            </w:r>
          </w:p>
        </w:tc>
        <w:tc>
          <w:tcPr>
            <w:tcW w:w="280" w:type="dxa"/>
            <w:vAlign w:val="bottom"/>
          </w:tcPr>
          <w:p>
            <w:pPr>
              <w:jc w:val="center"/>
              <w:ind w:right="59"/>
              <w:spacing w:after="0" w:line="164"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line="164" w:lineRule="exact"/>
              <w:rPr>
                <w:sz w:val="20"/>
                <w:szCs w:val="20"/>
                <w:color w:val="auto"/>
              </w:rPr>
            </w:pPr>
            <w:r>
              <w:rPr>
                <w:rFonts w:ascii="Arial" w:cs="Arial" w:eastAsia="Arial" w:hAnsi="Arial"/>
                <w:sz w:val="16"/>
                <w:szCs w:val="16"/>
                <w:color w:val="auto"/>
              </w:rPr>
              <w:t>446</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36</w:t>
            </w:r>
          </w:p>
        </w:tc>
        <w:tc>
          <w:tcPr>
            <w:tcW w:w="1160" w:type="dxa"/>
            <w:vAlign w:val="bottom"/>
          </w:tcPr>
          <w:p>
            <w:pPr>
              <w:jc w:val="right"/>
              <w:ind w:right="981"/>
              <w:spacing w:after="0" w:line="164"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19</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81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465</w:t>
            </w: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r>
      <w:tr>
        <w:trPr>
          <w:trHeight w:val="194"/>
        </w:trPr>
        <w:tc>
          <w:tcPr>
            <w:tcW w:w="2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20" w:type="dxa"/>
            <w:vAlign w:val="bottom"/>
          </w:tcPr>
          <w:p>
            <w:pPr>
              <w:spacing w:after="0"/>
              <w:rPr>
                <w:sz w:val="15"/>
                <w:szCs w:val="15"/>
                <w:color w:val="auto"/>
              </w:rPr>
            </w:pPr>
          </w:p>
        </w:tc>
        <w:tc>
          <w:tcPr>
            <w:tcW w:w="294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Total(1)</w:t>
            </w:r>
          </w:p>
        </w:tc>
        <w:tc>
          <w:tcPr>
            <w:tcW w:w="1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514</w:t>
            </w:r>
          </w:p>
        </w:tc>
      </w:tr>
      <w:tr>
        <w:trPr>
          <w:trHeight w:val="164"/>
        </w:trPr>
        <w:tc>
          <w:tcPr>
            <w:tcW w:w="20" w:type="dxa"/>
            <w:vAlign w:val="bottom"/>
          </w:tcPr>
          <w:p>
            <w:pPr>
              <w:spacing w:after="0"/>
              <w:rPr>
                <w:sz w:val="14"/>
                <w:szCs w:val="14"/>
                <w:color w:val="auto"/>
              </w:rPr>
            </w:pPr>
          </w:p>
        </w:tc>
        <w:tc>
          <w:tcPr>
            <w:tcW w:w="2940" w:type="dxa"/>
            <w:vAlign w:val="bottom"/>
          </w:tcPr>
          <w:p>
            <w:pPr>
              <w:spacing w:after="0" w:line="164" w:lineRule="exact"/>
              <w:rPr>
                <w:sz w:val="20"/>
                <w:szCs w:val="20"/>
                <w:color w:val="auto"/>
              </w:rPr>
            </w:pPr>
            <w:r>
              <w:rPr>
                <w:rFonts w:ascii="Arial" w:cs="Arial" w:eastAsia="Arial" w:hAnsi="Arial"/>
                <w:sz w:val="16"/>
                <w:szCs w:val="16"/>
                <w:color w:val="auto"/>
              </w:rPr>
              <w:t>2009:</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280" w:type="dxa"/>
            <w:vAlign w:val="bottom"/>
          </w:tcPr>
          <w:p>
            <w:pPr>
              <w:jc w:val="center"/>
              <w:ind w:right="59"/>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304</w:t>
            </w:r>
          </w:p>
        </w:tc>
        <w:tc>
          <w:tcPr>
            <w:tcW w:w="2300" w:type="dxa"/>
            <w:vAlign w:val="bottom"/>
            <w:gridSpan w:val="2"/>
          </w:tcPr>
          <w:p>
            <w:pPr>
              <w:jc w:val="right"/>
              <w:ind w:right="981"/>
              <w:spacing w:after="0" w:line="176" w:lineRule="exact"/>
              <w:rPr>
                <w:sz w:val="20"/>
                <w:szCs w:val="20"/>
                <w:color w:val="auto"/>
              </w:rPr>
            </w:pPr>
            <w:r>
              <w:rPr>
                <w:rFonts w:ascii="Arial" w:cs="Arial" w:eastAsia="Arial" w:hAnsi="Arial"/>
                <w:sz w:val="16"/>
                <w:szCs w:val="16"/>
                <w:color w:val="auto"/>
              </w:rPr>
              <w:t>― $</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360" w:type="dxa"/>
            <w:vAlign w:val="bottom"/>
            <w:gridSpan w:val="2"/>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304</w:t>
            </w: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280" w:type="dxa"/>
            <w:vAlign w:val="bottom"/>
          </w:tcPr>
          <w:p>
            <w:pPr>
              <w:spacing w:after="0"/>
              <w:rPr>
                <w:sz w:val="15"/>
                <w:szCs w:val="15"/>
                <w:color w:val="auto"/>
              </w:rPr>
            </w:pPr>
          </w:p>
        </w:tc>
        <w:tc>
          <w:tcPr>
            <w:tcW w:w="138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100</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160" w:type="dxa"/>
            <w:vAlign w:val="bottom"/>
          </w:tcPr>
          <w:p>
            <w:pPr>
              <w:spacing w:after="0"/>
              <w:rPr>
                <w:sz w:val="15"/>
                <w:szCs w:val="15"/>
                <w:color w:val="auto"/>
              </w:rPr>
            </w:pP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10</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110</w:t>
            </w:r>
          </w:p>
        </w:tc>
      </w:tr>
      <w:tr>
        <w:trPr>
          <w:trHeight w:val="194"/>
        </w:trPr>
        <w:tc>
          <w:tcPr>
            <w:tcW w:w="2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64"/>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45</w:t>
            </w:r>
          </w:p>
        </w:tc>
        <w:tc>
          <w:tcPr>
            <w:tcW w:w="280" w:type="dxa"/>
            <w:vAlign w:val="bottom"/>
          </w:tcPr>
          <w:p>
            <w:pPr>
              <w:jc w:val="center"/>
              <w:ind w:right="59"/>
              <w:spacing w:after="0" w:line="164"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line="164" w:lineRule="exact"/>
              <w:rPr>
                <w:sz w:val="20"/>
                <w:szCs w:val="20"/>
                <w:color w:val="auto"/>
              </w:rPr>
            </w:pPr>
            <w:r>
              <w:rPr>
                <w:rFonts w:ascii="Arial" w:cs="Arial" w:eastAsia="Arial" w:hAnsi="Arial"/>
                <w:sz w:val="16"/>
                <w:szCs w:val="16"/>
                <w:color w:val="auto"/>
              </w:rPr>
              <w:t>404</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72</w:t>
            </w:r>
          </w:p>
        </w:tc>
        <w:tc>
          <w:tcPr>
            <w:tcW w:w="1160" w:type="dxa"/>
            <w:vAlign w:val="bottom"/>
          </w:tcPr>
          <w:p>
            <w:pPr>
              <w:jc w:val="right"/>
              <w:ind w:right="981"/>
              <w:spacing w:after="0" w:line="164"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29</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117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433</w:t>
            </w: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r>
      <w:tr>
        <w:trPr>
          <w:trHeight w:val="194"/>
        </w:trPr>
        <w:tc>
          <w:tcPr>
            <w:tcW w:w="2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195"/>
        </w:trPr>
        <w:tc>
          <w:tcPr>
            <w:tcW w:w="20" w:type="dxa"/>
            <w:vAlign w:val="bottom"/>
          </w:tcPr>
          <w:p>
            <w:pPr>
              <w:spacing w:after="0"/>
              <w:rPr>
                <w:sz w:val="16"/>
                <w:szCs w:val="16"/>
                <w:color w:val="auto"/>
              </w:rPr>
            </w:pPr>
          </w:p>
        </w:tc>
        <w:tc>
          <w:tcPr>
            <w:tcW w:w="2940" w:type="dxa"/>
            <w:vAlign w:val="bottom"/>
          </w:tcPr>
          <w:p>
            <w:pPr>
              <w:ind w:left="340"/>
              <w:spacing w:after="0"/>
              <w:rPr>
                <w:sz w:val="20"/>
                <w:szCs w:val="20"/>
                <w:color w:val="auto"/>
              </w:rPr>
            </w:pPr>
            <w:r>
              <w:rPr>
                <w:rFonts w:ascii="Arial" w:cs="Arial" w:eastAsia="Arial" w:hAnsi="Arial"/>
                <w:sz w:val="16"/>
                <w:szCs w:val="16"/>
                <w:color w:val="auto"/>
              </w:rPr>
              <w:t>Total(1)</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Includes sales to affiliates of $1 million in each of 2011, 2010 and 2009.</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SDG&amp;E’s natural gas revenues increased by $29 million (6%) to $543 million in 2011 and the cost of natural gas sold increased by $9 million (4%) to $226 million. The increase in revenues was primarily due to:</w:t>
      </w:r>
    </w:p>
    <w:p>
      <w:pPr>
        <w:spacing w:after="0" w:line="170" w:lineRule="exact"/>
        <w:rPr>
          <w:sz w:val="20"/>
          <w:szCs w:val="20"/>
          <w:color w:val="auto"/>
        </w:rPr>
      </w:pPr>
    </w:p>
    <w:p>
      <w:pPr>
        <w:ind w:left="340" w:hanging="188"/>
        <w:spacing w:after="0"/>
        <w:tabs>
          <w:tab w:leader="none" w:pos="3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$9 million higher recovery of CPUC-authorized costs, which revenues are fully offset in operation and maintenance expenses;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 increase in cost of natural gas, which was caused primarily by higher volumes sold and higher natural gas prices, as we discuss below;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$8 million higher authorized base margin.</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2010, SDG&amp;E’s natural gas revenues increased by $24 million (5%) to $514 million, and the cost of natural gas increased by $11 million (5%) to $217 million. The increase in revenues was primarily due to:</w:t>
      </w:r>
    </w:p>
    <w:p>
      <w:pPr>
        <w:spacing w:after="0" w:line="170" w:lineRule="exact"/>
        <w:rPr>
          <w:sz w:val="20"/>
          <w:szCs w:val="20"/>
          <w:color w:val="auto"/>
        </w:rPr>
      </w:pPr>
    </w:p>
    <w:p>
      <w:pPr>
        <w:ind w:left="340" w:hanging="188"/>
        <w:spacing w:after="0"/>
        <w:tabs>
          <w:tab w:leader="none" w:pos="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$15 million higher recovery of CPUC-authorized costs, which revenues are fully offset in operation and maintenance expenses;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increase in cost of natural gas, which was caused primarily by higher natural gas prices, as we discuss below;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$6 million higher authorized base margin.</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average cost of natural gas was $4.83 per thousand cubic feet (Mcf) for 2011, $4.79 per Mcf for 2010 and $4.61 per Mcf for 2009. In 2011, the 1-percent increase of $0.04 per Mcf resulted in higher revenues and cost of $2 million compared to 2010. In 2010, the 4-percent increase of $0.18 per Mcf resulted in higher revenues and cost of $8 million compared to 2009.</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 NATURAL GAS SALES AND TRANSPORTATION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spacing w:after="0"/>
              <w:rPr>
                <w:sz w:val="14"/>
                <w:szCs w:val="14"/>
                <w:color w:val="auto"/>
              </w:rPr>
            </w:pPr>
          </w:p>
        </w:tc>
        <w:tc>
          <w:tcPr>
            <w:tcW w:w="284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4"/>
                <w:szCs w:val="14"/>
                <w:color w:val="auto"/>
              </w:rPr>
              <w:t>Natural Gas Sales</w:t>
            </w:r>
          </w:p>
        </w:tc>
        <w:tc>
          <w:tcPr>
            <w:tcW w:w="2260" w:type="dxa"/>
            <w:vAlign w:val="bottom"/>
            <w:tcBorders>
              <w:bottom w:val="single" w:sz="8" w:color="auto"/>
            </w:tcBorders>
            <w:gridSpan w:val="2"/>
          </w:tcPr>
          <w:p>
            <w:pPr>
              <w:jc w:val="center"/>
              <w:ind w:left="25"/>
              <w:spacing w:after="0"/>
              <w:rPr>
                <w:sz w:val="20"/>
                <w:szCs w:val="20"/>
                <w:color w:val="auto"/>
              </w:rPr>
            </w:pPr>
            <w:r>
              <w:rPr>
                <w:rFonts w:ascii="Arial" w:cs="Arial" w:eastAsia="Arial" w:hAnsi="Arial"/>
                <w:sz w:val="14"/>
                <w:szCs w:val="14"/>
                <w:color w:val="auto"/>
              </w:rPr>
              <w:t>Transportation</w:t>
            </w:r>
          </w:p>
        </w:tc>
        <w:tc>
          <w:tcPr>
            <w:tcW w:w="1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spacing w:after="0"/>
              <w:rPr>
                <w:sz w:val="14"/>
                <w:szCs w:val="14"/>
                <w:color w:val="auto"/>
              </w:rPr>
            </w:pPr>
          </w:p>
        </w:tc>
      </w:tr>
      <w:tr>
        <w:trPr>
          <w:trHeight w:val="169"/>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2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Revenue</w:t>
            </w:r>
          </w:p>
        </w:tc>
        <w:tc>
          <w:tcPr>
            <w:tcW w:w="11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color w:val="auto"/>
              </w:rPr>
              <w:t>Volumes</w:t>
            </w: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Revenue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Volumes</w:t>
            </w: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color w:val="auto"/>
              </w:rPr>
              <w:t>Revenue</w:t>
            </w:r>
          </w:p>
        </w:tc>
      </w:tr>
      <w:tr>
        <w:trPr>
          <w:trHeight w:val="164"/>
        </w:trPr>
        <w:tc>
          <w:tcPr>
            <w:tcW w:w="3340" w:type="dxa"/>
            <w:vAlign w:val="bottom"/>
          </w:tcPr>
          <w:p>
            <w:pPr>
              <w:spacing w:after="0" w:line="164" w:lineRule="exact"/>
              <w:rPr>
                <w:sz w:val="20"/>
                <w:szCs w:val="20"/>
                <w:color w:val="auto"/>
              </w:rPr>
            </w:pPr>
            <w:r>
              <w:rPr>
                <w:rFonts w:ascii="Arial" w:cs="Arial" w:eastAsia="Arial" w:hAnsi="Arial"/>
                <w:sz w:val="16"/>
                <w:szCs w:val="16"/>
                <w:color w:val="auto"/>
              </w:rPr>
              <w:t>2011:</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33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3"/>
              <w:spacing w:after="0"/>
              <w:rPr>
                <w:sz w:val="20"/>
                <w:szCs w:val="20"/>
                <w:color w:val="auto"/>
              </w:rPr>
            </w:pPr>
            <w:r>
              <w:rPr>
                <w:rFonts w:ascii="Arial" w:cs="Arial" w:eastAsia="Arial" w:hAnsi="Arial"/>
                <w:sz w:val="16"/>
                <w:szCs w:val="16"/>
                <w:color w:val="auto"/>
              </w:rPr>
              <w:t>2,358</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160" w:type="dxa"/>
            <w:vAlign w:val="bottom"/>
          </w:tcPr>
          <w:p>
            <w:pPr>
              <w:jc w:val="right"/>
              <w:ind w:right="963"/>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03"/>
              <w:spacing w:after="0"/>
              <w:rPr>
                <w:sz w:val="20"/>
                <w:szCs w:val="20"/>
                <w:color w:val="auto"/>
              </w:rPr>
            </w:pPr>
            <w:r>
              <w:rPr>
                <w:rFonts w:ascii="Arial" w:cs="Arial" w:eastAsia="Arial" w:hAnsi="Arial"/>
                <w:sz w:val="16"/>
                <w:szCs w:val="16"/>
                <w:color w:val="auto"/>
              </w:rPr>
              <w:t>4</w:t>
            </w:r>
          </w:p>
        </w:tc>
        <w:tc>
          <w:tcPr>
            <w:tcW w:w="680" w:type="dxa"/>
            <w:vAlign w:val="bottom"/>
          </w:tcPr>
          <w:p>
            <w:pPr>
              <w:jc w:val="right"/>
              <w:ind w:right="163"/>
              <w:spacing w:after="0"/>
              <w:rPr>
                <w:sz w:val="20"/>
                <w:szCs w:val="20"/>
                <w:color w:val="auto"/>
              </w:rPr>
            </w:pPr>
            <w:r>
              <w:rPr>
                <w:rFonts w:ascii="Arial" w:cs="Arial" w:eastAsia="Arial" w:hAnsi="Arial"/>
                <w:sz w:val="16"/>
                <w:szCs w:val="16"/>
                <w:color w:val="auto"/>
              </w:rPr>
              <w:t>254 $</w:t>
            </w:r>
          </w:p>
        </w:tc>
        <w:tc>
          <w:tcPr>
            <w:tcW w:w="1100" w:type="dxa"/>
            <w:vAlign w:val="bottom"/>
          </w:tcPr>
          <w:p>
            <w:pPr>
              <w:jc w:val="right"/>
              <w:spacing w:after="0"/>
              <w:rPr>
                <w:sz w:val="20"/>
                <w:szCs w:val="20"/>
                <w:color w:val="auto"/>
              </w:rPr>
            </w:pPr>
            <w:r>
              <w:rPr>
                <w:rFonts w:ascii="Arial" w:cs="Arial" w:eastAsia="Arial" w:hAnsi="Arial"/>
                <w:sz w:val="16"/>
                <w:szCs w:val="16"/>
                <w:color w:val="auto"/>
              </w:rPr>
              <w:t>2,362</w:t>
            </w:r>
          </w:p>
        </w:tc>
      </w:tr>
    </w:tbl>
    <w:p>
      <w:pPr>
        <w:sectPr>
          <w:pgSz w:w="11900" w:h="16905" w:orient="portrait"/>
          <w:cols w:equalWidth="0" w:num="1">
            <w:col w:w="11420"/>
          </w:cols>
          <w:pgMar w:left="240" w:top="611" w:right="239" w:bottom="0" w:gutter="0" w:footer="0" w:header="0"/>
        </w:sectPr>
      </w:pPr>
    </w:p>
    <w:bookmarkStart w:id="149" w:name="page150"/>
    <w:bookmarkEnd w:id="149"/>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spacing w:after="0"/>
              <w:rPr>
                <w:sz w:val="20"/>
                <w:szCs w:val="20"/>
                <w:color w:val="auto"/>
              </w:rPr>
            </w:pPr>
            <w:r>
              <w:rPr>
                <w:rFonts w:ascii="Arial" w:cs="Arial" w:eastAsia="Arial" w:hAnsi="Arial"/>
                <w:sz w:val="16"/>
                <w:szCs w:val="16"/>
                <w:color w:val="auto"/>
              </w:rPr>
              <w:t>103</w:t>
            </w:r>
          </w:p>
        </w:tc>
        <w:tc>
          <w:tcPr>
            <w:tcW w:w="540" w:type="dxa"/>
            <w:vAlign w:val="bottom"/>
          </w:tcPr>
          <w:p>
            <w:pPr>
              <w:spacing w:after="0"/>
              <w:rPr>
                <w:sz w:val="16"/>
                <w:szCs w:val="16"/>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759</w:t>
            </w:r>
          </w:p>
        </w:tc>
        <w:tc>
          <w:tcPr>
            <w:tcW w:w="800" w:type="dxa"/>
            <w:vAlign w:val="bottom"/>
          </w:tcPr>
          <w:p>
            <w:pPr>
              <w:jc w:val="right"/>
              <w:spacing w:after="0"/>
              <w:rPr>
                <w:sz w:val="20"/>
                <w:szCs w:val="20"/>
                <w:color w:val="auto"/>
              </w:rPr>
            </w:pPr>
            <w:r>
              <w:rPr>
                <w:rFonts w:ascii="Arial" w:cs="Arial" w:eastAsia="Arial" w:hAnsi="Arial"/>
                <w:sz w:val="16"/>
                <w:szCs w:val="16"/>
                <w:color w:val="auto"/>
              </w:rPr>
              <w:t>272</w:t>
            </w:r>
          </w:p>
        </w:tc>
        <w:tc>
          <w:tcPr>
            <w:tcW w:w="620" w:type="dxa"/>
            <w:vAlign w:val="bottom"/>
          </w:tcPr>
          <w:p>
            <w:pPr>
              <w:spacing w:after="0"/>
              <w:rPr>
                <w:sz w:val="16"/>
                <w:szCs w:val="16"/>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219</w:t>
            </w:r>
          </w:p>
        </w:tc>
        <w:tc>
          <w:tcPr>
            <w:tcW w:w="800" w:type="dxa"/>
            <w:vAlign w:val="bottom"/>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978</w:t>
            </w: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134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166</w:t>
            </w:r>
          </w:p>
        </w:tc>
        <w:tc>
          <w:tcPr>
            <w:tcW w:w="620" w:type="dxa"/>
            <w:vAlign w:val="bottom"/>
          </w:tcPr>
          <w:p>
            <w:pPr>
              <w:spacing w:after="0"/>
              <w:rPr>
                <w:sz w:val="15"/>
                <w:szCs w:val="15"/>
                <w:color w:val="auto"/>
              </w:rPr>
            </w:pPr>
          </w:p>
        </w:tc>
        <w:tc>
          <w:tcPr>
            <w:tcW w:w="12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42</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166</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r>
      <w:tr>
        <w:trPr>
          <w:trHeight w:val="194"/>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356</w:t>
            </w:r>
          </w:p>
        </w:tc>
        <w:tc>
          <w:tcPr>
            <w:tcW w:w="540" w:type="dxa"/>
            <w:vAlign w:val="bottom"/>
          </w:tcPr>
          <w:p>
            <w:pPr>
              <w:jc w:val="right"/>
              <w:ind w:right="339"/>
              <w:spacing w:after="0" w:line="164"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3,117</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587</w:t>
            </w:r>
          </w:p>
        </w:tc>
        <w:tc>
          <w:tcPr>
            <w:tcW w:w="62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284</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943</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Arial" w:cs="Arial" w:eastAsia="Arial" w:hAnsi="Arial"/>
                <w:sz w:val="16"/>
                <w:szCs w:val="16"/>
                <w:color w:val="auto"/>
              </w:rPr>
              <w:t>3,401</w:t>
            </w: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r>
      <w:tr>
        <w:trPr>
          <w:trHeight w:val="194"/>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183"/>
        </w:trPr>
        <w:tc>
          <w:tcPr>
            <w:tcW w:w="20" w:type="dxa"/>
            <w:vAlign w:val="bottom"/>
          </w:tcPr>
          <w:p>
            <w:pPr>
              <w:spacing w:after="0"/>
              <w:rPr>
                <w:sz w:val="15"/>
                <w:szCs w:val="15"/>
                <w:color w:val="auto"/>
              </w:rPr>
            </w:pPr>
          </w:p>
        </w:tc>
        <w:tc>
          <w:tcPr>
            <w:tcW w:w="332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Total(1)</w:t>
            </w: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5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3,816</w:t>
            </w:r>
          </w:p>
        </w:tc>
      </w:tr>
      <w:tr>
        <w:trPr>
          <w:trHeight w:val="164"/>
        </w:trPr>
        <w:tc>
          <w:tcPr>
            <w:tcW w:w="20" w:type="dxa"/>
            <w:vAlign w:val="bottom"/>
          </w:tcPr>
          <w:p>
            <w:pPr>
              <w:spacing w:after="0"/>
              <w:rPr>
                <w:sz w:val="14"/>
                <w:szCs w:val="14"/>
                <w:color w:val="auto"/>
              </w:rPr>
            </w:pPr>
          </w:p>
        </w:tc>
        <w:tc>
          <w:tcPr>
            <w:tcW w:w="3320" w:type="dxa"/>
            <w:vAlign w:val="bottom"/>
          </w:tcPr>
          <w:p>
            <w:pPr>
              <w:spacing w:after="0" w:line="164" w:lineRule="exact"/>
              <w:rPr>
                <w:sz w:val="20"/>
                <w:szCs w:val="20"/>
                <w:color w:val="auto"/>
              </w:rPr>
            </w:pPr>
            <w:r>
              <w:rPr>
                <w:rFonts w:ascii="Arial" w:cs="Arial" w:eastAsia="Arial" w:hAnsi="Arial"/>
                <w:sz w:val="16"/>
                <w:szCs w:val="16"/>
                <w:color w:val="auto"/>
              </w:rPr>
              <w:t>2010:</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245</w:t>
            </w:r>
          </w:p>
        </w:tc>
        <w:tc>
          <w:tcPr>
            <w:tcW w:w="54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2,302</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6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4</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246</w:t>
            </w:r>
          </w:p>
        </w:tc>
        <w:tc>
          <w:tcPr>
            <w:tcW w:w="560" w:type="dxa"/>
            <w:vAlign w:val="bottom"/>
            <w:gridSpan w:val="2"/>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2,306</w:t>
            </w: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102</w:t>
            </w:r>
          </w:p>
        </w:tc>
        <w:tc>
          <w:tcPr>
            <w:tcW w:w="540" w:type="dxa"/>
            <w:vAlign w:val="bottom"/>
          </w:tcPr>
          <w:p>
            <w:pPr>
              <w:spacing w:after="0"/>
              <w:rPr>
                <w:sz w:val="15"/>
                <w:szCs w:val="15"/>
                <w:color w:val="auto"/>
              </w:rPr>
            </w:pPr>
          </w:p>
        </w:tc>
        <w:tc>
          <w:tcPr>
            <w:tcW w:w="134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763</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268</w:t>
            </w:r>
          </w:p>
        </w:tc>
        <w:tc>
          <w:tcPr>
            <w:tcW w:w="620" w:type="dxa"/>
            <w:vAlign w:val="bottom"/>
          </w:tcPr>
          <w:p>
            <w:pPr>
              <w:spacing w:after="0"/>
              <w:rPr>
                <w:sz w:val="15"/>
                <w:szCs w:val="15"/>
                <w:color w:val="auto"/>
              </w:rPr>
            </w:pPr>
          </w:p>
        </w:tc>
        <w:tc>
          <w:tcPr>
            <w:tcW w:w="12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228</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370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991</w:t>
            </w: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134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187</w:t>
            </w:r>
          </w:p>
        </w:tc>
        <w:tc>
          <w:tcPr>
            <w:tcW w:w="620" w:type="dxa"/>
            <w:vAlign w:val="bottom"/>
          </w:tcPr>
          <w:p>
            <w:pPr>
              <w:spacing w:after="0"/>
              <w:rPr>
                <w:sz w:val="15"/>
                <w:szCs w:val="15"/>
                <w:color w:val="auto"/>
              </w:rPr>
            </w:pPr>
          </w:p>
        </w:tc>
        <w:tc>
          <w:tcPr>
            <w:tcW w:w="12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44</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187</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r>
      <w:tr>
        <w:trPr>
          <w:trHeight w:val="194"/>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347</w:t>
            </w:r>
          </w:p>
        </w:tc>
        <w:tc>
          <w:tcPr>
            <w:tcW w:w="540" w:type="dxa"/>
            <w:vAlign w:val="bottom"/>
          </w:tcPr>
          <w:p>
            <w:pPr>
              <w:jc w:val="right"/>
              <w:ind w:right="339"/>
              <w:spacing w:after="0" w:line="164"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3,065</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605</w:t>
            </w:r>
          </w:p>
        </w:tc>
        <w:tc>
          <w:tcPr>
            <w:tcW w:w="62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291</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952</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Arial" w:cs="Arial" w:eastAsia="Arial" w:hAnsi="Arial"/>
                <w:sz w:val="16"/>
                <w:szCs w:val="16"/>
                <w:color w:val="auto"/>
              </w:rPr>
              <w:t>3,356</w:t>
            </w: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92</w:t>
            </w:r>
          </w:p>
        </w:tc>
      </w:tr>
      <w:tr>
        <w:trPr>
          <w:trHeight w:val="194"/>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183"/>
        </w:trPr>
        <w:tc>
          <w:tcPr>
            <w:tcW w:w="20" w:type="dxa"/>
            <w:vAlign w:val="bottom"/>
          </w:tcPr>
          <w:p>
            <w:pPr>
              <w:spacing w:after="0"/>
              <w:rPr>
                <w:sz w:val="15"/>
                <w:szCs w:val="15"/>
                <w:color w:val="auto"/>
              </w:rPr>
            </w:pPr>
          </w:p>
        </w:tc>
        <w:tc>
          <w:tcPr>
            <w:tcW w:w="332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Total(1)</w:t>
            </w: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5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3,822</w:t>
            </w:r>
          </w:p>
        </w:tc>
      </w:tr>
      <w:tr>
        <w:trPr>
          <w:trHeight w:val="164"/>
        </w:trPr>
        <w:tc>
          <w:tcPr>
            <w:tcW w:w="20" w:type="dxa"/>
            <w:vAlign w:val="bottom"/>
          </w:tcPr>
          <w:p>
            <w:pPr>
              <w:spacing w:after="0"/>
              <w:rPr>
                <w:sz w:val="14"/>
                <w:szCs w:val="14"/>
                <w:color w:val="auto"/>
              </w:rPr>
            </w:pPr>
          </w:p>
        </w:tc>
        <w:tc>
          <w:tcPr>
            <w:tcW w:w="3320" w:type="dxa"/>
            <w:vAlign w:val="bottom"/>
          </w:tcPr>
          <w:p>
            <w:pPr>
              <w:spacing w:after="0" w:line="164" w:lineRule="exact"/>
              <w:rPr>
                <w:sz w:val="20"/>
                <w:szCs w:val="20"/>
                <w:color w:val="auto"/>
              </w:rPr>
            </w:pPr>
            <w:r>
              <w:rPr>
                <w:rFonts w:ascii="Arial" w:cs="Arial" w:eastAsia="Arial" w:hAnsi="Arial"/>
                <w:sz w:val="16"/>
                <w:szCs w:val="16"/>
                <w:color w:val="auto"/>
              </w:rPr>
              <w:t>2009:</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234</w:t>
            </w:r>
          </w:p>
        </w:tc>
        <w:tc>
          <w:tcPr>
            <w:tcW w:w="54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2,032</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6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3</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235</w:t>
            </w:r>
          </w:p>
        </w:tc>
        <w:tc>
          <w:tcPr>
            <w:tcW w:w="560" w:type="dxa"/>
            <w:vAlign w:val="bottom"/>
            <w:gridSpan w:val="2"/>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2,035</w:t>
            </w: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101</w:t>
            </w:r>
          </w:p>
        </w:tc>
        <w:tc>
          <w:tcPr>
            <w:tcW w:w="540" w:type="dxa"/>
            <w:vAlign w:val="bottom"/>
          </w:tcPr>
          <w:p>
            <w:pPr>
              <w:spacing w:after="0"/>
              <w:rPr>
                <w:sz w:val="15"/>
                <w:szCs w:val="15"/>
                <w:color w:val="auto"/>
              </w:rPr>
            </w:pPr>
          </w:p>
        </w:tc>
        <w:tc>
          <w:tcPr>
            <w:tcW w:w="134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674</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264</w:t>
            </w:r>
          </w:p>
        </w:tc>
        <w:tc>
          <w:tcPr>
            <w:tcW w:w="620" w:type="dxa"/>
            <w:vAlign w:val="bottom"/>
          </w:tcPr>
          <w:p>
            <w:pPr>
              <w:spacing w:after="0"/>
              <w:rPr>
                <w:sz w:val="15"/>
                <w:szCs w:val="15"/>
                <w:color w:val="auto"/>
              </w:rPr>
            </w:pPr>
          </w:p>
        </w:tc>
        <w:tc>
          <w:tcPr>
            <w:tcW w:w="12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219</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365</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893</w:t>
            </w: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134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620" w:type="dxa"/>
            <w:vAlign w:val="bottom"/>
          </w:tcPr>
          <w:p>
            <w:pPr>
              <w:spacing w:after="0"/>
              <w:rPr>
                <w:sz w:val="15"/>
                <w:szCs w:val="15"/>
                <w:color w:val="auto"/>
              </w:rPr>
            </w:pPr>
          </w:p>
        </w:tc>
        <w:tc>
          <w:tcPr>
            <w:tcW w:w="12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48</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r>
      <w:tr>
        <w:trPr>
          <w:trHeight w:val="194"/>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335</w:t>
            </w:r>
          </w:p>
        </w:tc>
        <w:tc>
          <w:tcPr>
            <w:tcW w:w="540" w:type="dxa"/>
            <w:vAlign w:val="bottom"/>
          </w:tcPr>
          <w:p>
            <w:pPr>
              <w:jc w:val="right"/>
              <w:ind w:right="339"/>
              <w:spacing w:after="0" w:line="164"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2,706</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606</w:t>
            </w:r>
          </w:p>
        </w:tc>
        <w:tc>
          <w:tcPr>
            <w:tcW w:w="62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283</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941</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Arial" w:cs="Arial" w:eastAsia="Arial" w:hAnsi="Arial"/>
                <w:sz w:val="16"/>
                <w:szCs w:val="16"/>
                <w:color w:val="auto"/>
              </w:rPr>
              <w:t>2,989</w:t>
            </w: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r>
      <w:tr>
        <w:trPr>
          <w:trHeight w:val="194"/>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r>
      <w:tr>
        <w:trPr>
          <w:trHeight w:val="195"/>
        </w:trPr>
        <w:tc>
          <w:tcPr>
            <w:tcW w:w="20" w:type="dxa"/>
            <w:vAlign w:val="bottom"/>
          </w:tcPr>
          <w:p>
            <w:pPr>
              <w:spacing w:after="0"/>
              <w:rPr>
                <w:sz w:val="16"/>
                <w:szCs w:val="16"/>
                <w:color w:val="auto"/>
              </w:rPr>
            </w:pPr>
          </w:p>
        </w:tc>
        <w:tc>
          <w:tcPr>
            <w:tcW w:w="3320" w:type="dxa"/>
            <w:vAlign w:val="bottom"/>
          </w:tcPr>
          <w:p>
            <w:pPr>
              <w:ind w:left="340"/>
              <w:spacing w:after="0"/>
              <w:rPr>
                <w:sz w:val="20"/>
                <w:szCs w:val="20"/>
                <w:color w:val="auto"/>
              </w:rPr>
            </w:pPr>
            <w:r>
              <w:rPr>
                <w:rFonts w:ascii="Arial" w:cs="Arial" w:eastAsia="Arial" w:hAnsi="Arial"/>
                <w:sz w:val="16"/>
                <w:szCs w:val="16"/>
                <w:color w:val="auto"/>
              </w:rPr>
              <w:t>Total(1)</w:t>
            </w: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Includes sales to affiliates of $53 million in 2011, $44 million in 2010, and $43 million in 2009.</w:t>
      </w:r>
    </w:p>
    <w:p>
      <w:pPr>
        <w:spacing w:after="0" w:line="2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SoCalGas’ natural gas revenues in 2011 were essentially unchanged when compared to 2010 at $3.8 billion, while the cost of natural gas sold decreased by $131 million (8%) to $1.6 billion in 2011 compared to 2010. Natural gas revenues in 2011 compared to 2010 were impacted by:</w:t>
      </w:r>
    </w:p>
    <w:p>
      <w:pPr>
        <w:spacing w:after="0" w:line="147" w:lineRule="exact"/>
        <w:rPr>
          <w:sz w:val="20"/>
          <w:szCs w:val="20"/>
          <w:color w:val="auto"/>
        </w:rPr>
      </w:pPr>
    </w:p>
    <w:p>
      <w:pPr>
        <w:ind w:left="340" w:hanging="188"/>
        <w:spacing w:after="0"/>
        <w:tabs>
          <w:tab w:leader="none" w:pos="3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decrease in cost of natural gas sold, which was caused primarily by lower natural gas prices, as we discuss below, offset by higher volumes sold; and</w:t>
      </w:r>
    </w:p>
    <w:p>
      <w:pPr>
        <w:spacing w:after="0" w:line="271" w:lineRule="exact"/>
        <w:rPr>
          <w:rFonts w:ascii="Arial" w:cs="Arial" w:eastAsia="Arial" w:hAnsi="Arial"/>
          <w:sz w:val="16"/>
          <w:szCs w:val="16"/>
          <w:color w:val="auto"/>
        </w:rPr>
      </w:pPr>
    </w:p>
    <w:p>
      <w:pPr>
        <w:ind w:left="340" w:hanging="188"/>
        <w:spacing w:after="0"/>
        <w:tabs>
          <w:tab w:leader="none" w:pos="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$12 million lower regulatory awards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$96 million higher recovery of CPUC-authorized costs, which revenues are fully offset in operation and maintenance expenses;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$54 million higher authorized base margin.</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2010, SoCalGas’ natural gas revenues increased by $467 million (14%) to $3.8 billion, and the cost of natural gas increased by $356 million (27%) to $1.7 billion. The increase in revenues in 2010 was primarily due to:</w:t>
      </w:r>
    </w:p>
    <w:p>
      <w:pPr>
        <w:spacing w:after="0" w:line="170" w:lineRule="exact"/>
        <w:rPr>
          <w:sz w:val="20"/>
          <w:szCs w:val="20"/>
          <w:color w:val="auto"/>
        </w:rPr>
      </w:pPr>
    </w:p>
    <w:p>
      <w:pPr>
        <w:ind w:left="340" w:hanging="188"/>
        <w:spacing w:after="0" w:line="277" w:lineRule="auto"/>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increase in cost of natural gas, which was caused primarily by higher natural gas prices, as we discuss below, and higher volumes due to colder weather in late 2010;</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$52 million higher authorized base margin;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$32 million higher recovery of CPUC-authorized costs, which revenues are fully offset in operation and maintenance expenses;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$13 million higher regulatory awards in 2010.</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average cost of natural gas was $4.41 per Mcf for 2011, $4.90 per Mcf for 2010, and $4.00 per Mcf for 2009. In 2011, the 10-percent decrease of $0.49 per Mcf resulted in lower revenues and cost of $175 million compared to 2010. In 2010, the 23-percent increase of $0.90 per Mcf resulted in higher revenues and cost of $310 million compared to 2009.</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 Utilities: Revenues and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Pipelines &amp; Storage’s utilities are Chilquinta Energía, Luz del Sur, Mobile Gas and Ecogas.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applicable accounting principles generally accepted in the United States of America (GAAP) for regulatory accounting. We discuss revenue recognition further for Chilquinta Energía and Luz del Sur in Note 1 of the 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Operations of Mobile Gas and Ecogas qualify for regulatory accounting treatment under applicable GAAP, similar to the Sempra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natural gas and electric revenue for Sempra Pipelines &amp; Storage’s utilities: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PIPELINES &amp; STORAGE UTILITIES: NATURAL GAS AND ELECTRIC REVENUE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2011</w:t>
            </w:r>
          </w:p>
        </w:tc>
        <w:tc>
          <w:tcPr>
            <w:tcW w:w="110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2010</w:t>
            </w:r>
          </w:p>
        </w:tc>
        <w:tc>
          <w:tcPr>
            <w:tcW w:w="112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2009</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280" w:type="dxa"/>
            <w:vAlign w:val="bottom"/>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4280" w:type="dxa"/>
            <w:vAlign w:val="bottom"/>
          </w:tcPr>
          <w:p>
            <w:pPr>
              <w:spacing w:after="0" w:line="164" w:lineRule="exact"/>
              <w:rPr>
                <w:sz w:val="20"/>
                <w:szCs w:val="20"/>
                <w:color w:val="auto"/>
              </w:rPr>
            </w:pPr>
            <w:r>
              <w:rPr>
                <w:rFonts w:ascii="Arial" w:cs="Arial" w:eastAsia="Arial" w:hAnsi="Arial"/>
                <w:sz w:val="16"/>
                <w:szCs w:val="16"/>
                <w:b w:val="1"/>
                <w:bCs w:val="1"/>
                <w:color w:val="auto"/>
              </w:rPr>
              <w:t>Natural Gas Sales (billion cubic feet):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line="176" w:lineRule="exact"/>
              <w:rPr>
                <w:sz w:val="20"/>
                <w:szCs w:val="20"/>
                <w:color w:val="auto"/>
              </w:rPr>
            </w:pPr>
            <w:r>
              <w:rPr>
                <w:rFonts w:ascii="Arial" w:cs="Arial" w:eastAsia="Arial" w:hAnsi="Arial"/>
                <w:sz w:val="16"/>
                <w:szCs w:val="16"/>
                <w:color w:val="auto"/>
              </w:rPr>
              <w:t>Mobile Gas</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3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93</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3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106</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20"/>
                <w:szCs w:val="20"/>
                <w:color w:val="auto"/>
              </w:rPr>
            </w:pPr>
            <w:r>
              <w:rPr>
                <w:rFonts w:ascii="Arial" w:cs="Arial" w:eastAsia="Arial" w:hAnsi="Arial"/>
                <w:sz w:val="16"/>
                <w:szCs w:val="16"/>
                <w:color w:val="auto"/>
              </w:rPr>
              <w:t>Ecogas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3"/>
        </w:trPr>
        <w:tc>
          <w:tcPr>
            <w:tcW w:w="4280" w:type="dxa"/>
            <w:vAlign w:val="bottom"/>
          </w:tcPr>
          <w:p>
            <w:pPr>
              <w:ind w:left="180"/>
              <w:spacing w:after="0" w:line="176" w:lineRule="exact"/>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62</w:t>
            </w:r>
          </w:p>
        </w:tc>
        <w:tc>
          <w:tcPr>
            <w:tcW w:w="3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184</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58</w:t>
            </w:r>
          </w:p>
        </w:tc>
        <w:tc>
          <w:tcPr>
            <w:tcW w:w="3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200</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51</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26"/>
        </w:trPr>
        <w:tc>
          <w:tcPr>
            <w:tcW w:w="4280" w:type="dxa"/>
            <w:vAlign w:val="bottom"/>
          </w:tcPr>
          <w:p>
            <w:pPr>
              <w:spacing w:after="0"/>
              <w:rPr>
                <w:sz w:val="20"/>
                <w:szCs w:val="20"/>
                <w:color w:val="auto"/>
              </w:rPr>
            </w:pPr>
            <w:r>
              <w:rPr>
                <w:rFonts w:ascii="Arial" w:cs="Arial" w:eastAsia="Arial" w:hAnsi="Arial"/>
                <w:sz w:val="16"/>
                <w:szCs w:val="16"/>
                <w:b w:val="1"/>
                <w:bCs w:val="1"/>
                <w:color w:val="auto"/>
              </w:rPr>
              <w:t>Electric Sales (million kilowatt hours)(1):</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line="176" w:lineRule="exact"/>
              <w:rPr>
                <w:sz w:val="20"/>
                <w:szCs w:val="20"/>
                <w:color w:val="auto"/>
              </w:rPr>
            </w:pPr>
            <w:r>
              <w:rPr>
                <w:rFonts w:ascii="Arial" w:cs="Arial" w:eastAsia="Arial" w:hAnsi="Arial"/>
                <w:sz w:val="16"/>
                <w:szCs w:val="16"/>
                <w:color w:val="auto"/>
              </w:rPr>
              <w:t>Luz del Sur</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4,715</w:t>
            </w:r>
          </w:p>
        </w:tc>
        <w:tc>
          <w:tcPr>
            <w:tcW w:w="3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487</w:t>
            </w:r>
          </w:p>
        </w:tc>
        <w:tc>
          <w:tcPr>
            <w:tcW w:w="1280" w:type="dxa"/>
            <w:vAlign w:val="bottom"/>
            <w:gridSpan w:val="2"/>
          </w:tcPr>
          <w:p>
            <w:pPr>
              <w:jc w:val="right"/>
              <w:ind w:right="139"/>
              <w:spacing w:after="0" w:line="176" w:lineRule="exact"/>
              <w:rPr>
                <w:sz w:val="20"/>
                <w:szCs w:val="20"/>
                <w:color w:val="auto"/>
              </w:rPr>
            </w:pPr>
            <w:r>
              <w:rPr>
                <w:rFonts w:ascii="Arial" w:cs="Arial" w:eastAsia="Arial" w:hAnsi="Arial"/>
                <w:sz w:val="16"/>
                <w:szCs w:val="16"/>
                <w:color w:val="auto"/>
              </w:rPr>
              <w:t>― $</w:t>
            </w:r>
          </w:p>
        </w:tc>
        <w:tc>
          <w:tcPr>
            <w:tcW w:w="11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59"/>
              <w:spacing w:after="0" w:line="176" w:lineRule="exact"/>
              <w:rPr>
                <w:sz w:val="20"/>
                <w:szCs w:val="20"/>
                <w:color w:val="auto"/>
              </w:rPr>
            </w:pPr>
            <w:r>
              <w:rPr>
                <w:rFonts w:ascii="Arial" w:cs="Arial" w:eastAsia="Arial" w:hAnsi="Arial"/>
                <w:sz w:val="16"/>
                <w:szCs w:val="16"/>
                <w:color w:val="auto"/>
              </w:rPr>
              <w:t>― $</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20"/>
                <w:szCs w:val="20"/>
                <w:color w:val="auto"/>
              </w:rPr>
            </w:pPr>
            <w:r>
              <w:rPr>
                <w:rFonts w:ascii="Arial" w:cs="Arial" w:eastAsia="Arial" w:hAnsi="Arial"/>
                <w:sz w:val="16"/>
                <w:szCs w:val="16"/>
                <w:color w:val="auto"/>
              </w:rPr>
              <w:t>Chilquinta Energía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6,574</w:t>
            </w: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968</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ectPr>
          <w:pgSz w:w="11900" w:h="16849" w:orient="portrait"/>
          <w:cols w:equalWidth="0" w:num="1">
            <w:col w:w="11420"/>
          </w:cols>
          <w:pgMar w:left="240" w:top="120" w:right="239" w:bottom="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20"/>
                <w:szCs w:val="20"/>
                <w:color w:val="auto"/>
              </w:rPr>
            </w:pPr>
            <w:r>
              <w:rPr>
                <w:rFonts w:ascii="Arial" w:cs="Arial" w:eastAsia="Arial" w:hAnsi="Arial"/>
                <w:sz w:val="16"/>
                <w:szCs w:val="16"/>
                <w:color w:val="auto"/>
              </w:rPr>
              <w:t>Other service revenues</w:t>
            </w:r>
          </w:p>
        </w:tc>
        <w:tc>
          <w:tcPr>
            <w:tcW w:w="1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41</w:t>
            </w:r>
          </w:p>
        </w:tc>
        <w:tc>
          <w:tcPr>
            <w:tcW w:w="1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r>
      <w:tr>
        <w:trPr>
          <w:trHeight w:val="195"/>
        </w:trPr>
        <w:tc>
          <w:tcPr>
            <w:tcW w:w="4280" w:type="dxa"/>
            <w:vAlign w:val="bottom"/>
          </w:tcPr>
          <w:p>
            <w:pPr>
              <w:ind w:left="180"/>
              <w:spacing w:after="0"/>
              <w:rPr>
                <w:sz w:val="20"/>
                <w:szCs w:val="20"/>
                <w:color w:val="auto"/>
              </w:rPr>
            </w:pPr>
            <w:r>
              <w:rPr>
                <w:rFonts w:ascii="Arial" w:cs="Arial" w:eastAsia="Arial" w:hAnsi="Arial"/>
                <w:sz w:val="16"/>
                <w:szCs w:val="16"/>
                <w:color w:val="auto"/>
              </w:rPr>
              <w:t>Total</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79"/>
              <w:spacing w:after="0"/>
              <w:rPr>
                <w:sz w:val="20"/>
                <w:szCs w:val="20"/>
                <w:color w:val="auto"/>
              </w:rPr>
            </w:pPr>
            <w:r>
              <w:rPr>
                <w:rFonts w:ascii="Arial" w:cs="Arial" w:eastAsia="Arial" w:hAnsi="Arial"/>
                <w:sz w:val="16"/>
                <w:szCs w:val="16"/>
                <w:color w:val="auto"/>
              </w:rPr>
              <w:t>1,009</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Pr>
          <w:p>
            <w:pPr>
              <w:ind w:left="5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180" w:firstLine="8"/>
        <w:spacing w:after="0" w:line="277" w:lineRule="auto"/>
        <w:tabs>
          <w:tab w:leader="none" w:pos="216" w:val="left"/>
        </w:tabs>
        <w:numPr>
          <w:ilvl w:val="0"/>
          <w:numId w:val="199"/>
        </w:numPr>
        <w:rPr>
          <w:rFonts w:ascii="Arial" w:cs="Arial" w:eastAsia="Arial" w:hAnsi="Arial"/>
          <w:sz w:val="14"/>
          <w:szCs w:val="14"/>
          <w:i w:val="1"/>
          <w:iCs w:val="1"/>
          <w:color w:val="auto"/>
        </w:rPr>
      </w:pPr>
      <w:r>
        <w:rPr>
          <w:rFonts w:ascii="Arial" w:cs="Arial" w:eastAsia="Arial" w:hAnsi="Arial"/>
          <w:sz w:val="14"/>
          <w:szCs w:val="14"/>
          <w:i w:val="1"/>
          <w:iCs w:val="1"/>
          <w:color w:val="auto"/>
        </w:rPr>
        <w:t>Luz del Sur and Chilquinta Energía were accounted for under the equity method until April 6, 2011, when they became consolidated entities upon our acquisition of additional ownership interests.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21" w:lineRule="exact"/>
        <w:rPr>
          <w:sz w:val="20"/>
          <w:szCs w:val="20"/>
          <w:color w:val="auto"/>
        </w:rPr>
      </w:pPr>
    </w:p>
    <w:p>
      <w:pPr>
        <w:ind w:right="5280"/>
        <w:spacing w:after="0" w:line="243" w:lineRule="auto"/>
        <w:rPr>
          <w:sz w:val="20"/>
          <w:szCs w:val="20"/>
          <w:color w:val="auto"/>
        </w:rPr>
      </w:pPr>
      <w:r>
        <w:rPr>
          <w:rFonts w:ascii="Arial" w:cs="Arial" w:eastAsia="Arial" w:hAnsi="Arial"/>
          <w:sz w:val="16"/>
          <w:szCs w:val="16"/>
          <w:b w:val="1"/>
          <w:bCs w:val="1"/>
          <w:color w:val="auto"/>
        </w:rPr>
        <w:t xml:space="preserve">ENERGY-RELATED BUSINESSES: REVENUES AND COST OF SALES 2009-2011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jc w:val="right"/>
              <w:ind w:right="199"/>
              <w:spacing w:after="0" w:line="159" w:lineRule="exact"/>
              <w:rPr>
                <w:sz w:val="20"/>
                <w:szCs w:val="20"/>
                <w:color w:val="auto"/>
              </w:rPr>
            </w:pPr>
            <w:r>
              <w:rPr>
                <w:rFonts w:ascii="Arial" w:cs="Arial" w:eastAsia="Arial" w:hAnsi="Arial"/>
                <w:sz w:val="14"/>
                <w:szCs w:val="14"/>
                <w:color w:val="auto"/>
              </w:rPr>
              <w:t>Years ended December 31,</w:t>
            </w: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tcPr>
          <w:p>
            <w:pPr>
              <w:spacing w:after="0" w:line="164" w:lineRule="exact"/>
              <w:rPr>
                <w:sz w:val="20"/>
                <w:szCs w:val="20"/>
                <w:color w:val="auto"/>
              </w:rPr>
            </w:pPr>
            <w:r>
              <w:rPr>
                <w:rFonts w:ascii="Arial" w:cs="Arial" w:eastAsia="Arial" w:hAnsi="Arial"/>
                <w:sz w:val="16"/>
                <w:szCs w:val="16"/>
                <w:color w:val="auto"/>
              </w:rPr>
              <w:t>REVENUES</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Generation</w:t>
            </w:r>
          </w:p>
        </w:tc>
        <w:tc>
          <w:tcPr>
            <w:tcW w:w="460" w:type="dxa"/>
            <w:vAlign w:val="bottom"/>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886</w:t>
            </w:r>
          </w:p>
        </w:tc>
        <w:tc>
          <w:tcPr>
            <w:tcW w:w="820" w:type="dxa"/>
            <w:vAlign w:val="bottom"/>
          </w:tcPr>
          <w:p>
            <w:pPr>
              <w:jc w:val="right"/>
              <w:ind w:right="39"/>
              <w:spacing w:after="0" w:line="176" w:lineRule="exact"/>
              <w:rPr>
                <w:sz w:val="20"/>
                <w:szCs w:val="20"/>
                <w:color w:val="auto"/>
              </w:rPr>
            </w:pPr>
            <w:r>
              <w:rPr>
                <w:rFonts w:ascii="Arial" w:cs="Arial" w:eastAsia="Arial" w:hAnsi="Arial"/>
                <w:sz w:val="16"/>
                <w:szCs w:val="16"/>
                <w:color w:val="auto"/>
              </w:rPr>
              <w:t>52 %</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1,172</w:t>
            </w:r>
          </w:p>
        </w:tc>
        <w:tc>
          <w:tcPr>
            <w:tcW w:w="8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59 %</w:t>
            </w:r>
          </w:p>
        </w:tc>
        <w:tc>
          <w:tcPr>
            <w:tcW w:w="58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1,179</w:t>
            </w:r>
          </w:p>
        </w:tc>
        <w:tc>
          <w:tcPr>
            <w:tcW w:w="9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5"/>
                <w:szCs w:val="15"/>
                <w:color w:val="auto"/>
              </w:rPr>
            </w:pP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250</w:t>
            </w:r>
          </w:p>
        </w:tc>
        <w:tc>
          <w:tcPr>
            <w:tcW w:w="8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14</w:t>
            </w:r>
          </w:p>
        </w:tc>
        <w:tc>
          <w:tcPr>
            <w:tcW w:w="360" w:type="dxa"/>
            <w:vAlign w:val="bottom"/>
          </w:tcPr>
          <w:p>
            <w:pPr>
              <w:spacing w:after="0"/>
              <w:rPr>
                <w:sz w:val="15"/>
                <w:szCs w:val="15"/>
                <w:color w:val="auto"/>
              </w:rPr>
            </w:pPr>
          </w:p>
        </w:tc>
        <w:tc>
          <w:tcPr>
            <w:tcW w:w="14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150</w:t>
            </w:r>
          </w:p>
        </w:tc>
        <w:tc>
          <w:tcPr>
            <w:tcW w:w="8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8</w:t>
            </w:r>
          </w:p>
        </w:tc>
        <w:tc>
          <w:tcPr>
            <w:tcW w:w="580" w:type="dxa"/>
            <w:vAlign w:val="bottom"/>
          </w:tcPr>
          <w:p>
            <w:pPr>
              <w:spacing w:after="0"/>
              <w:rPr>
                <w:sz w:val="15"/>
                <w:szCs w:val="15"/>
                <w:color w:val="auto"/>
              </w:rPr>
            </w:pP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264</w:t>
            </w:r>
          </w:p>
        </w:tc>
        <w:tc>
          <w:tcPr>
            <w:tcW w:w="92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LNG</w:t>
            </w:r>
          </w:p>
        </w:tc>
        <w:tc>
          <w:tcPr>
            <w:tcW w:w="460" w:type="dxa"/>
            <w:vAlign w:val="bottom"/>
          </w:tcPr>
          <w:p>
            <w:pPr>
              <w:spacing w:after="0"/>
              <w:rPr>
                <w:sz w:val="15"/>
                <w:szCs w:val="15"/>
                <w:color w:val="auto"/>
              </w:rPr>
            </w:pP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714</w:t>
            </w:r>
          </w:p>
        </w:tc>
        <w:tc>
          <w:tcPr>
            <w:tcW w:w="8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42</w:t>
            </w:r>
          </w:p>
        </w:tc>
        <w:tc>
          <w:tcPr>
            <w:tcW w:w="360" w:type="dxa"/>
            <w:vAlign w:val="bottom"/>
          </w:tcPr>
          <w:p>
            <w:pPr>
              <w:spacing w:after="0"/>
              <w:rPr>
                <w:sz w:val="15"/>
                <w:szCs w:val="15"/>
                <w:color w:val="auto"/>
              </w:rPr>
            </w:pPr>
          </w:p>
        </w:tc>
        <w:tc>
          <w:tcPr>
            <w:tcW w:w="14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711</w:t>
            </w:r>
          </w:p>
        </w:tc>
        <w:tc>
          <w:tcPr>
            <w:tcW w:w="8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36</w:t>
            </w:r>
          </w:p>
        </w:tc>
        <w:tc>
          <w:tcPr>
            <w:tcW w:w="580" w:type="dxa"/>
            <w:vAlign w:val="bottom"/>
          </w:tcPr>
          <w:p>
            <w:pPr>
              <w:spacing w:after="0"/>
              <w:rPr>
                <w:sz w:val="15"/>
                <w:szCs w:val="15"/>
                <w:color w:val="auto"/>
              </w:rPr>
            </w:pP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278</w:t>
            </w:r>
          </w:p>
        </w:tc>
        <w:tc>
          <w:tcPr>
            <w:tcW w:w="92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ind w:left="160"/>
              <w:spacing w:after="0"/>
              <w:rPr>
                <w:sz w:val="20"/>
                <w:szCs w:val="20"/>
                <w:color w:val="auto"/>
              </w:rPr>
            </w:pPr>
            <w:r>
              <w:rPr>
                <w:rFonts w:ascii="Arial" w:cs="Arial" w:eastAsia="Arial" w:hAnsi="Arial"/>
                <w:sz w:val="16"/>
                <w:szCs w:val="16"/>
                <w:color w:val="auto"/>
              </w:rPr>
              <w:t>Parent and other(1)</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(136)</w:t>
            </w: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(49)</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w:t>
            </w: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(36)</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ind w:left="340"/>
              <w:spacing w:after="0" w:line="176" w:lineRule="exact"/>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auto"/>
            </w:tcBorders>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40"/>
              <w:spacing w:after="0" w:line="176" w:lineRule="exact"/>
              <w:rPr>
                <w:sz w:val="20"/>
                <w:szCs w:val="20"/>
                <w:color w:val="auto"/>
              </w:rPr>
            </w:pPr>
            <w:r>
              <w:rPr>
                <w:rFonts w:ascii="Arial" w:cs="Arial" w:eastAsia="Arial" w:hAnsi="Arial"/>
                <w:sz w:val="16"/>
                <w:szCs w:val="16"/>
                <w:color w:val="auto"/>
              </w:rPr>
              <w:t>1,714</w:t>
            </w:r>
          </w:p>
        </w:tc>
        <w:tc>
          <w:tcPr>
            <w:tcW w:w="82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100 %</w:t>
            </w:r>
          </w:p>
        </w:tc>
        <w:tc>
          <w:tcPr>
            <w:tcW w:w="36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40"/>
              <w:spacing w:after="0" w:line="176" w:lineRule="exact"/>
              <w:rPr>
                <w:sz w:val="20"/>
                <w:szCs w:val="20"/>
                <w:color w:val="auto"/>
              </w:rPr>
            </w:pPr>
            <w:r>
              <w:rPr>
                <w:rFonts w:ascii="Arial" w:cs="Arial" w:eastAsia="Arial" w:hAnsi="Arial"/>
                <w:sz w:val="16"/>
                <w:szCs w:val="16"/>
                <w:color w:val="auto"/>
              </w:rPr>
              <w:t>1,984</w:t>
            </w:r>
          </w:p>
        </w:tc>
        <w:tc>
          <w:tcPr>
            <w:tcW w:w="80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100 %</w:t>
            </w:r>
          </w:p>
        </w:tc>
        <w:tc>
          <w:tcPr>
            <w:tcW w:w="580" w:type="dxa"/>
            <w:vAlign w:val="bottom"/>
            <w:tcBorders>
              <w:bottom w:val="single" w:sz="8" w:color="auto"/>
            </w:tcBorders>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60"/>
              <w:spacing w:after="0" w:line="176" w:lineRule="exact"/>
              <w:rPr>
                <w:sz w:val="20"/>
                <w:szCs w:val="20"/>
                <w:color w:val="auto"/>
              </w:rPr>
            </w:pPr>
            <w:r>
              <w:rPr>
                <w:rFonts w:ascii="Arial" w:cs="Arial" w:eastAsia="Arial" w:hAnsi="Arial"/>
                <w:sz w:val="16"/>
                <w:szCs w:val="16"/>
                <w:color w:val="auto"/>
              </w:rPr>
              <w:t>1,685</w:t>
            </w:r>
          </w:p>
        </w:tc>
        <w:tc>
          <w:tcPr>
            <w:tcW w:w="9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64"/>
        </w:trPr>
        <w:tc>
          <w:tcPr>
            <w:tcW w:w="3660" w:type="dxa"/>
            <w:vAlign w:val="bottom"/>
            <w:gridSpan w:val="2"/>
          </w:tcPr>
          <w:p>
            <w:pPr>
              <w:spacing w:after="0" w:line="164" w:lineRule="exact"/>
              <w:rPr>
                <w:sz w:val="20"/>
                <w:szCs w:val="20"/>
                <w:color w:val="auto"/>
              </w:rPr>
            </w:pPr>
            <w:r>
              <w:rPr>
                <w:rFonts w:ascii="Arial" w:cs="Arial" w:eastAsia="Arial" w:hAnsi="Arial"/>
                <w:sz w:val="16"/>
                <w:szCs w:val="16"/>
                <w:color w:val="auto"/>
              </w:rPr>
              <w:t>COST OF SALES(2)</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Generation</w:t>
            </w:r>
          </w:p>
        </w:tc>
        <w:tc>
          <w:tcPr>
            <w:tcW w:w="460" w:type="dxa"/>
            <w:vAlign w:val="bottom"/>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478</w:t>
            </w:r>
          </w:p>
        </w:tc>
        <w:tc>
          <w:tcPr>
            <w:tcW w:w="820" w:type="dxa"/>
            <w:vAlign w:val="bottom"/>
          </w:tcPr>
          <w:p>
            <w:pPr>
              <w:jc w:val="right"/>
              <w:ind w:right="39"/>
              <w:spacing w:after="0" w:line="176" w:lineRule="exact"/>
              <w:rPr>
                <w:sz w:val="20"/>
                <w:szCs w:val="20"/>
                <w:color w:val="auto"/>
              </w:rPr>
            </w:pPr>
            <w:r>
              <w:rPr>
                <w:rFonts w:ascii="Arial" w:cs="Arial" w:eastAsia="Arial" w:hAnsi="Arial"/>
                <w:sz w:val="16"/>
                <w:szCs w:val="16"/>
                <w:color w:val="auto"/>
              </w:rPr>
              <w:t>64 %</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656</w:t>
            </w:r>
          </w:p>
        </w:tc>
        <w:tc>
          <w:tcPr>
            <w:tcW w:w="8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63 %</w:t>
            </w:r>
          </w:p>
        </w:tc>
        <w:tc>
          <w:tcPr>
            <w:tcW w:w="58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668</w:t>
            </w:r>
          </w:p>
        </w:tc>
        <w:tc>
          <w:tcPr>
            <w:tcW w:w="9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5"/>
                <w:szCs w:val="15"/>
                <w:color w:val="auto"/>
              </w:rPr>
            </w:pP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17</w:t>
            </w:r>
          </w:p>
        </w:tc>
        <w:tc>
          <w:tcPr>
            <w:tcW w:w="8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4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14</w:t>
            </w:r>
          </w:p>
        </w:tc>
        <w:tc>
          <w:tcPr>
            <w:tcW w:w="8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1</w:t>
            </w:r>
          </w:p>
        </w:tc>
        <w:tc>
          <w:tcPr>
            <w:tcW w:w="580" w:type="dxa"/>
            <w:vAlign w:val="bottom"/>
          </w:tcPr>
          <w:p>
            <w:pPr>
              <w:spacing w:after="0"/>
              <w:rPr>
                <w:sz w:val="15"/>
                <w:szCs w:val="15"/>
                <w:color w:val="auto"/>
              </w:rPr>
            </w:pP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131</w:t>
            </w:r>
          </w:p>
        </w:tc>
        <w:tc>
          <w:tcPr>
            <w:tcW w:w="92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Sempra LNG</w:t>
            </w:r>
          </w:p>
        </w:tc>
        <w:tc>
          <w:tcPr>
            <w:tcW w:w="460" w:type="dxa"/>
            <w:vAlign w:val="bottom"/>
          </w:tcPr>
          <w:p>
            <w:pPr>
              <w:spacing w:after="0"/>
              <w:rPr>
                <w:sz w:val="15"/>
                <w:szCs w:val="15"/>
                <w:color w:val="auto"/>
              </w:rPr>
            </w:pPr>
          </w:p>
        </w:tc>
        <w:tc>
          <w:tcPr>
            <w:tcW w:w="12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386</w:t>
            </w:r>
          </w:p>
        </w:tc>
        <w:tc>
          <w:tcPr>
            <w:tcW w:w="8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52</w:t>
            </w:r>
          </w:p>
        </w:tc>
        <w:tc>
          <w:tcPr>
            <w:tcW w:w="360" w:type="dxa"/>
            <w:vAlign w:val="bottom"/>
          </w:tcPr>
          <w:p>
            <w:pPr>
              <w:spacing w:after="0"/>
              <w:rPr>
                <w:sz w:val="15"/>
                <w:szCs w:val="15"/>
                <w:color w:val="auto"/>
              </w:rPr>
            </w:pPr>
          </w:p>
        </w:tc>
        <w:tc>
          <w:tcPr>
            <w:tcW w:w="14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426</w:t>
            </w:r>
          </w:p>
        </w:tc>
        <w:tc>
          <w:tcPr>
            <w:tcW w:w="8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41</w:t>
            </w:r>
          </w:p>
        </w:tc>
        <w:tc>
          <w:tcPr>
            <w:tcW w:w="580" w:type="dxa"/>
            <w:vAlign w:val="bottom"/>
          </w:tcPr>
          <w:p>
            <w:pPr>
              <w:spacing w:after="0"/>
              <w:rPr>
                <w:sz w:val="15"/>
                <w:szCs w:val="15"/>
                <w:color w:val="auto"/>
              </w:rPr>
            </w:pPr>
          </w:p>
        </w:tc>
        <w:tc>
          <w:tcPr>
            <w:tcW w:w="122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108</w:t>
            </w:r>
          </w:p>
        </w:tc>
        <w:tc>
          <w:tcPr>
            <w:tcW w:w="92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ind w:left="160"/>
              <w:spacing w:after="0"/>
              <w:rPr>
                <w:sz w:val="20"/>
                <w:szCs w:val="20"/>
                <w:color w:val="auto"/>
              </w:rPr>
            </w:pPr>
            <w:r>
              <w:rPr>
                <w:rFonts w:ascii="Arial" w:cs="Arial" w:eastAsia="Arial" w:hAnsi="Arial"/>
                <w:sz w:val="16"/>
                <w:szCs w:val="16"/>
                <w:color w:val="auto"/>
              </w:rPr>
              <w:t>Parent and other(1)</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(135)</w:t>
            </w: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(50)</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(43)</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ind w:left="340"/>
              <w:spacing w:after="0"/>
              <w:rPr>
                <w:sz w:val="20"/>
                <w:szCs w:val="20"/>
                <w:color w:val="auto"/>
              </w:rPr>
            </w:pPr>
            <w:r>
              <w:rPr>
                <w:rFonts w:ascii="Arial" w:cs="Arial" w:eastAsia="Arial" w:hAnsi="Arial"/>
                <w:sz w:val="16"/>
                <w:szCs w:val="16"/>
                <w:color w:val="auto"/>
              </w:rPr>
              <w:t>Total cost of natural gas, electric fuel</w:t>
            </w:r>
          </w:p>
        </w:tc>
        <w:tc>
          <w:tcPr>
            <w:tcW w:w="460" w:type="dxa"/>
            <w:vAlign w:val="bottom"/>
            <w:vMerge w:val="restart"/>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340"/>
              <w:spacing w:after="0"/>
              <w:rPr>
                <w:sz w:val="20"/>
                <w:szCs w:val="20"/>
                <w:color w:val="auto"/>
              </w:rPr>
            </w:pPr>
            <w:r>
              <w:rPr>
                <w:rFonts w:ascii="Arial" w:cs="Arial" w:eastAsia="Arial" w:hAnsi="Arial"/>
                <w:sz w:val="16"/>
                <w:szCs w:val="16"/>
                <w:color w:val="auto"/>
              </w:rPr>
              <w:t>746</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100 %</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ind w:right="340"/>
              <w:spacing w:after="0"/>
              <w:rPr>
                <w:sz w:val="20"/>
                <w:szCs w:val="20"/>
                <w:color w:val="auto"/>
              </w:rPr>
            </w:pPr>
            <w:r>
              <w:rPr>
                <w:rFonts w:ascii="Arial" w:cs="Arial" w:eastAsia="Arial" w:hAnsi="Arial"/>
                <w:sz w:val="16"/>
                <w:szCs w:val="16"/>
                <w:color w:val="auto"/>
              </w:rPr>
              <w:t>1,046</w:t>
            </w: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100 %</w:t>
            </w:r>
          </w:p>
        </w:tc>
        <w:tc>
          <w:tcPr>
            <w:tcW w:w="58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360"/>
              <w:spacing w:after="0"/>
              <w:rPr>
                <w:sz w:val="20"/>
                <w:szCs w:val="20"/>
                <w:color w:val="auto"/>
              </w:rPr>
            </w:pPr>
            <w:r>
              <w:rPr>
                <w:rFonts w:ascii="Arial" w:cs="Arial" w:eastAsia="Arial" w:hAnsi="Arial"/>
                <w:sz w:val="16"/>
                <w:szCs w:val="16"/>
                <w:color w:val="auto"/>
              </w:rPr>
              <w:t>864</w:t>
            </w: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tcPr>
          <w:p>
            <w:pPr>
              <w:ind w:left="520"/>
              <w:spacing w:after="0" w:line="168" w:lineRule="exact"/>
              <w:rPr>
                <w:sz w:val="20"/>
                <w:szCs w:val="20"/>
                <w:color w:val="auto"/>
              </w:rPr>
            </w:pPr>
            <w:r>
              <w:rPr>
                <w:rFonts w:ascii="Arial" w:cs="Arial" w:eastAsia="Arial" w:hAnsi="Arial"/>
                <w:sz w:val="16"/>
                <w:szCs w:val="16"/>
                <w:color w:val="auto"/>
              </w:rPr>
              <w:t>and purchased power</w:t>
            </w:r>
          </w:p>
        </w:tc>
        <w:tc>
          <w:tcPr>
            <w:tcW w:w="46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tcPr>
          <w:p>
            <w:pPr>
              <w:ind w:left="160"/>
              <w:spacing w:after="0" w:line="164" w:lineRule="exact"/>
              <w:rPr>
                <w:sz w:val="20"/>
                <w:szCs w:val="20"/>
                <w:color w:val="auto"/>
              </w:rPr>
            </w:pPr>
            <w:r>
              <w:rPr>
                <w:rFonts w:ascii="Arial" w:cs="Arial" w:eastAsia="Arial" w:hAnsi="Arial"/>
                <w:sz w:val="16"/>
                <w:szCs w:val="16"/>
                <w:color w:val="auto"/>
              </w:rPr>
              <w:t>Sempra Generation</w:t>
            </w:r>
          </w:p>
        </w:tc>
        <w:tc>
          <w:tcPr>
            <w:tcW w:w="460" w:type="dxa"/>
            <w:vAlign w:val="bottom"/>
          </w:tcPr>
          <w:p>
            <w:pPr>
              <w:jc w:val="right"/>
              <w:ind w:right="279"/>
              <w:spacing w:after="0" w:line="164"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line="164" w:lineRule="exact"/>
              <w:rPr>
                <w:sz w:val="20"/>
                <w:szCs w:val="20"/>
                <w:color w:val="auto"/>
              </w:rPr>
            </w:pPr>
            <w:r>
              <w:rPr>
                <w:rFonts w:ascii="Arial" w:cs="Arial" w:eastAsia="Arial" w:hAnsi="Arial"/>
                <w:sz w:val="16"/>
                <w:szCs w:val="16"/>
                <w:color w:val="auto"/>
              </w:rPr>
              <w:t>79</w:t>
            </w:r>
          </w:p>
        </w:tc>
        <w:tc>
          <w:tcPr>
            <w:tcW w:w="820" w:type="dxa"/>
            <w:vAlign w:val="bottom"/>
          </w:tcPr>
          <w:p>
            <w:pPr>
              <w:jc w:val="right"/>
              <w:ind w:right="39"/>
              <w:spacing w:after="0" w:line="164" w:lineRule="exact"/>
              <w:rPr>
                <w:sz w:val="20"/>
                <w:szCs w:val="20"/>
                <w:color w:val="auto"/>
              </w:rPr>
            </w:pPr>
            <w:r>
              <w:rPr>
                <w:rFonts w:ascii="Arial" w:cs="Arial" w:eastAsia="Arial" w:hAnsi="Arial"/>
                <w:sz w:val="16"/>
                <w:szCs w:val="16"/>
                <w:color w:val="auto"/>
              </w:rPr>
              <w:t>58 %</w:t>
            </w:r>
          </w:p>
        </w:tc>
        <w:tc>
          <w:tcPr>
            <w:tcW w:w="36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40"/>
              <w:spacing w:after="0" w:line="164" w:lineRule="exact"/>
              <w:rPr>
                <w:sz w:val="20"/>
                <w:szCs w:val="20"/>
                <w:color w:val="auto"/>
              </w:rPr>
            </w:pPr>
            <w:r>
              <w:rPr>
                <w:rFonts w:ascii="Arial" w:cs="Arial" w:eastAsia="Arial" w:hAnsi="Arial"/>
                <w:sz w:val="16"/>
                <w:szCs w:val="16"/>
                <w:color w:val="auto"/>
              </w:rPr>
              <w:t>78</w:t>
            </w:r>
          </w:p>
        </w:tc>
        <w:tc>
          <w:tcPr>
            <w:tcW w:w="8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89 %</w:t>
            </w:r>
          </w:p>
        </w:tc>
        <w:tc>
          <w:tcPr>
            <w:tcW w:w="580" w:type="dxa"/>
            <w:vAlign w:val="bottom"/>
          </w:tcPr>
          <w:p>
            <w:pPr>
              <w:jc w:val="right"/>
              <w:ind w:right="299"/>
              <w:spacing w:after="0" w:line="164"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line="164" w:lineRule="exact"/>
              <w:rPr>
                <w:sz w:val="20"/>
                <w:szCs w:val="20"/>
                <w:color w:val="auto"/>
              </w:rPr>
            </w:pPr>
            <w:r>
              <w:rPr>
                <w:rFonts w:ascii="Arial" w:cs="Arial" w:eastAsia="Arial" w:hAnsi="Arial"/>
                <w:sz w:val="16"/>
                <w:szCs w:val="16"/>
                <w:color w:val="auto"/>
              </w:rPr>
              <w:t>62</w:t>
            </w:r>
          </w:p>
        </w:tc>
        <w:tc>
          <w:tcPr>
            <w:tcW w:w="92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Pr>
          <w:p>
            <w:pPr>
              <w:ind w:left="16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6"/>
                <w:szCs w:val="16"/>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45</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6"/>
                <w:szCs w:val="16"/>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ind w:left="160"/>
              <w:spacing w:after="0"/>
              <w:rPr>
                <w:sz w:val="20"/>
                <w:szCs w:val="20"/>
                <w:color w:val="auto"/>
              </w:rPr>
            </w:pPr>
            <w:r>
              <w:rPr>
                <w:rFonts w:ascii="Arial" w:cs="Arial" w:eastAsia="Arial" w:hAnsi="Arial"/>
                <w:sz w:val="16"/>
                <w:szCs w:val="16"/>
                <w:color w:val="auto"/>
              </w:rPr>
              <w:t>Sempra LNG</w:t>
            </w:r>
          </w:p>
        </w:tc>
        <w:tc>
          <w:tcPr>
            <w:tcW w:w="460" w:type="dxa"/>
            <w:vAlign w:val="bottom"/>
          </w:tcPr>
          <w:p>
            <w:pPr>
              <w:spacing w:after="0"/>
              <w:rPr>
                <w:sz w:val="15"/>
                <w:szCs w:val="15"/>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13</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5"/>
                <w:szCs w:val="15"/>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11</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580" w:type="dxa"/>
            <w:vAlign w:val="bottom"/>
          </w:tcPr>
          <w:p>
            <w:pPr>
              <w:spacing w:after="0"/>
              <w:rPr>
                <w:sz w:val="15"/>
                <w:szCs w:val="15"/>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16</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ind w:left="160"/>
              <w:spacing w:after="0"/>
              <w:rPr>
                <w:sz w:val="20"/>
                <w:szCs w:val="20"/>
                <w:color w:val="auto"/>
              </w:rPr>
            </w:pPr>
            <w:r>
              <w:rPr>
                <w:rFonts w:ascii="Arial" w:cs="Arial" w:eastAsia="Arial" w:hAnsi="Arial"/>
                <w:sz w:val="16"/>
                <w:szCs w:val="16"/>
                <w:color w:val="auto"/>
              </w:rPr>
              <w:t>Parent and other(1)</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Pr>
          <w:p>
            <w:pPr>
              <w:ind w:left="340"/>
              <w:spacing w:after="0"/>
              <w:rPr>
                <w:sz w:val="20"/>
                <w:szCs w:val="20"/>
                <w:color w:val="auto"/>
              </w:rPr>
            </w:pPr>
            <w:r>
              <w:rPr>
                <w:rFonts w:ascii="Arial" w:cs="Arial" w:eastAsia="Arial" w:hAnsi="Arial"/>
                <w:sz w:val="16"/>
                <w:szCs w:val="16"/>
                <w:color w:val="auto"/>
              </w:rPr>
              <w:t>Total other cost of sales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137</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100 %</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88</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100 %</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77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hanging="452"/>
        <w:spacing w:after="0"/>
        <w:tabs>
          <w:tab w:leader="none" w:pos="460" w:val="left"/>
        </w:tabs>
        <w:numPr>
          <w:ilvl w:val="0"/>
          <w:numId w:val="2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13" w:lineRule="exact"/>
        <w:rPr>
          <w:rFonts w:ascii="Arial" w:cs="Arial" w:eastAsia="Arial" w:hAnsi="Arial"/>
          <w:sz w:val="14"/>
          <w:szCs w:val="14"/>
          <w:i w:val="1"/>
          <w:iCs w:val="1"/>
          <w:color w:val="auto"/>
        </w:rPr>
      </w:pPr>
    </w:p>
    <w:p>
      <w:pPr>
        <w:ind w:left="460" w:hanging="452"/>
        <w:spacing w:after="0"/>
        <w:tabs>
          <w:tab w:leader="none" w:pos="460" w:val="left"/>
        </w:tabs>
        <w:numPr>
          <w:ilvl w:val="0"/>
          <w:numId w:val="20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Revenues from our energy-related businesses decreased by $270 million (14%) to $1.7 billion in 2011 compared to 2010. The decrease included</w:t>
      </w:r>
    </w:p>
    <w:p>
      <w:pPr>
        <w:spacing w:after="0" w:line="237" w:lineRule="exact"/>
        <w:rPr>
          <w:sz w:val="20"/>
          <w:szCs w:val="20"/>
          <w:color w:val="auto"/>
        </w:rPr>
      </w:pPr>
    </w:p>
    <w:p>
      <w:pPr>
        <w:ind w:left="340" w:hanging="188"/>
        <w:spacing w:after="0" w:line="277" w:lineRule="auto"/>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$286 million lower revenues at Sempra Generation due to decreased power sales primarily from the end of the DWR contract as of September 30, 2011, and less favorable pricing;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$100 million higher revenues at Sempra Pipelines &amp; Storage, including $70 million from the consolidation of revenues of Tecnored and Tecsur, two energy-services companies we acquired in April 2011, and $34 million from natural gas storage and marketing operations;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higher revenues at Sempra LNG from contractual counterparty obligations for non-delivery of cargoes, offset by lower natural gas revenues in 2011.</w:t>
      </w:r>
    </w:p>
    <w:p>
      <w:pPr>
        <w:spacing w:after="0" w:line="275"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The cost of natural gas, electric fuel and purchased power from our energy-related businesses decreased by $300 million (29%) to $746 million in 2011 compared to 2010. The decrease was primarily driven by the lower revenues at Sempra Generation and the lower natural gas revenues at Sempra LNG.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Increased intersegment activity, eliminated in consolidation, also contributed to the lower total revenues and cost of sales in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2010, revenues from our energy-related businesses increased by $299 million (18%) to $2.0 billion. The increase included</w:t>
      </w:r>
    </w:p>
    <w:p>
      <w:pPr>
        <w:spacing w:after="0" w:line="225" w:lineRule="exact"/>
        <w:rPr>
          <w:sz w:val="20"/>
          <w:szCs w:val="20"/>
          <w:color w:val="auto"/>
        </w:rPr>
      </w:pPr>
    </w:p>
    <w:p>
      <w:pPr>
        <w:ind w:left="340" w:hanging="188"/>
        <w:spacing w:after="0" w:line="277" w:lineRule="auto"/>
        <w:tabs>
          <w:tab w:leader="none" w:pos="3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$433 million higher revenues at Sempra LNG, primarily due to increased marketing operations and the start up of operations at its Cameron LNG terminal and the nitrogen-injection facility at the Energía Costa Azul terminal;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$123 million lower revenues at Sempra Pipelines &amp; Storage due to the expiration of the CFE natural gas supply contract in 2009. At the expiration of the contract, Sempra LNG began supplying the CFE under a separate contract ending December 2022.</w:t>
      </w:r>
    </w:p>
    <w:p>
      <w:pPr>
        <w:spacing w:after="0" w:line="19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Cost of natural gas, electric fuel and purchased power from our energy-related businesses increased by $182 million (21%) to $1.0 billion in 2010. The increase over 2009 was primarily associated with the higher revenues at Sempra LNG, partially offset by a decrease associated with the lower revenues at Sempra Pipelines &amp; Storage.</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2011, other cost of sales from our energy-related businesses increased by $49 million (56%) to $137 million primarily due to the consolidation of Tecnored and Tecsur starting in April 2011. Compared to 2009, our other cost of sales increased by $11 million (14%) to $88 million in 2010.</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 (including Litigation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table below, we provide a breakdown of our business units’ operation and maintenance expenses.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 AND MAINTENANCE(1)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160"/>
              <w:spacing w:after="0" w:line="159" w:lineRule="exact"/>
              <w:rPr>
                <w:sz w:val="20"/>
                <w:szCs w:val="20"/>
                <w:color w:val="auto"/>
              </w:rPr>
            </w:pPr>
            <w:r>
              <w:rPr>
                <w:rFonts w:ascii="Arial" w:cs="Arial" w:eastAsia="Arial" w:hAnsi="Arial"/>
                <w:sz w:val="14"/>
                <w:szCs w:val="14"/>
                <w:color w:val="auto"/>
              </w:rPr>
              <w:t>Years ended December 31,</w:t>
            </w:r>
          </w:p>
        </w:tc>
        <w:tc>
          <w:tcPr>
            <w:tcW w:w="1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2010</w:t>
            </w: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2009</w:t>
            </w:r>
          </w:p>
        </w:tc>
        <w:tc>
          <w:tcPr>
            <w:tcW w:w="88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980" w:type="dxa"/>
            <w:vAlign w:val="bottom"/>
          </w:tcPr>
          <w:p>
            <w:pPr>
              <w:spacing w:after="0" w:line="164" w:lineRule="exact"/>
              <w:rPr>
                <w:sz w:val="20"/>
                <w:szCs w:val="20"/>
                <w:color w:val="auto"/>
              </w:rPr>
            </w:pPr>
            <w:r>
              <w:rPr>
                <w:rFonts w:ascii="Arial" w:cs="Arial" w:eastAsia="Arial" w:hAnsi="Arial"/>
                <w:sz w:val="16"/>
                <w:szCs w:val="16"/>
                <w:color w:val="auto"/>
              </w:rPr>
              <w:t>Sempra Utilities: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SDG&amp;E</w:t>
            </w:r>
          </w:p>
        </w:tc>
        <w:tc>
          <w:tcPr>
            <w:tcW w:w="440" w:type="dxa"/>
            <w:vAlign w:val="bottom"/>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1,072</w:t>
            </w:r>
          </w:p>
        </w:tc>
        <w:tc>
          <w:tcPr>
            <w:tcW w:w="10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38 %   $</w:t>
            </w:r>
          </w:p>
        </w:tc>
        <w:tc>
          <w:tcPr>
            <w:tcW w:w="1360" w:type="dxa"/>
            <w:vAlign w:val="bottom"/>
          </w:tcPr>
          <w:p>
            <w:pPr>
              <w:jc w:val="right"/>
              <w:ind w:right="323"/>
              <w:spacing w:after="0" w:line="176" w:lineRule="exact"/>
              <w:rPr>
                <w:sz w:val="20"/>
                <w:szCs w:val="20"/>
                <w:color w:val="auto"/>
              </w:rPr>
            </w:pPr>
            <w:r>
              <w:rPr>
                <w:rFonts w:ascii="Arial" w:cs="Arial" w:eastAsia="Arial" w:hAnsi="Arial"/>
                <w:sz w:val="16"/>
                <w:szCs w:val="16"/>
                <w:color w:val="auto"/>
              </w:rPr>
              <w:t>987</w:t>
            </w:r>
          </w:p>
        </w:tc>
        <w:tc>
          <w:tcPr>
            <w:tcW w:w="1320" w:type="dxa"/>
            <w:vAlign w:val="bottom"/>
          </w:tcPr>
          <w:p>
            <w:pPr>
              <w:ind w:left="240"/>
              <w:spacing w:after="0" w:line="176" w:lineRule="exact"/>
              <w:rPr>
                <w:sz w:val="20"/>
                <w:szCs w:val="20"/>
                <w:color w:val="auto"/>
              </w:rPr>
            </w:pPr>
            <w:r>
              <w:rPr>
                <w:rFonts w:ascii="Arial" w:cs="Arial" w:eastAsia="Arial" w:hAnsi="Arial"/>
                <w:sz w:val="16"/>
                <w:szCs w:val="16"/>
                <w:color w:val="auto"/>
              </w:rPr>
              <w:t>37 %   $</w:t>
            </w:r>
          </w:p>
        </w:tc>
        <w:tc>
          <w:tcPr>
            <w:tcW w:w="118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960</w:t>
            </w:r>
          </w:p>
        </w:tc>
        <w:tc>
          <w:tcPr>
            <w:tcW w:w="88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39 %</w:t>
            </w: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SoCalGas</w:t>
            </w:r>
          </w:p>
        </w:tc>
        <w:tc>
          <w:tcPr>
            <w:tcW w:w="440" w:type="dxa"/>
            <w:vAlign w:val="bottom"/>
          </w:tcPr>
          <w:p>
            <w:pPr>
              <w:spacing w:after="0"/>
              <w:rPr>
                <w:sz w:val="15"/>
                <w:szCs w:val="15"/>
                <w:color w:val="auto"/>
              </w:rPr>
            </w:pPr>
          </w:p>
        </w:tc>
        <w:tc>
          <w:tcPr>
            <w:tcW w:w="116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1,305</w:t>
            </w:r>
          </w:p>
        </w:tc>
        <w:tc>
          <w:tcPr>
            <w:tcW w:w="108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46</w:t>
            </w:r>
          </w:p>
        </w:tc>
        <w:tc>
          <w:tcPr>
            <w:tcW w:w="1360" w:type="dxa"/>
            <w:vAlign w:val="bottom"/>
          </w:tcPr>
          <w:p>
            <w:pPr>
              <w:jc w:val="right"/>
              <w:ind w:right="323"/>
              <w:spacing w:after="0" w:line="176" w:lineRule="exact"/>
              <w:rPr>
                <w:sz w:val="20"/>
                <w:szCs w:val="20"/>
                <w:color w:val="auto"/>
              </w:rPr>
            </w:pPr>
            <w:r>
              <w:rPr>
                <w:rFonts w:ascii="Arial" w:cs="Arial" w:eastAsia="Arial" w:hAnsi="Arial"/>
                <w:sz w:val="16"/>
                <w:szCs w:val="16"/>
                <w:color w:val="auto"/>
              </w:rPr>
              <w:t>1,174</w:t>
            </w:r>
          </w:p>
        </w:tc>
        <w:tc>
          <w:tcPr>
            <w:tcW w:w="1320" w:type="dxa"/>
            <w:vAlign w:val="bottom"/>
          </w:tcPr>
          <w:p>
            <w:pPr>
              <w:ind w:left="240"/>
              <w:spacing w:after="0" w:line="176" w:lineRule="exact"/>
              <w:rPr>
                <w:sz w:val="20"/>
                <w:szCs w:val="20"/>
                <w:color w:val="auto"/>
              </w:rPr>
            </w:pPr>
            <w:r>
              <w:rPr>
                <w:rFonts w:ascii="Arial" w:cs="Arial" w:eastAsia="Arial" w:hAnsi="Arial"/>
                <w:sz w:val="16"/>
                <w:szCs w:val="16"/>
                <w:color w:val="auto"/>
              </w:rPr>
              <w:t>44</w:t>
            </w:r>
          </w:p>
        </w:tc>
        <w:tc>
          <w:tcPr>
            <w:tcW w:w="118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1,138</w:t>
            </w:r>
          </w:p>
        </w:tc>
        <w:tc>
          <w:tcPr>
            <w:tcW w:w="88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46</w:t>
            </w: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Sempra Global:</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3980" w:type="dxa"/>
            <w:vAlign w:val="bottom"/>
          </w:tcPr>
          <w:p>
            <w:pPr>
              <w:ind w:left="160"/>
              <w:spacing w:after="0"/>
              <w:rPr>
                <w:sz w:val="20"/>
                <w:szCs w:val="20"/>
                <w:color w:val="auto"/>
              </w:rPr>
            </w:pPr>
            <w:r>
              <w:rPr>
                <w:rFonts w:ascii="Arial" w:cs="Arial" w:eastAsia="Arial" w:hAnsi="Arial"/>
                <w:sz w:val="16"/>
                <w:szCs w:val="16"/>
                <w:color w:val="auto"/>
              </w:rPr>
              <w:t>Sempra Generation</w:t>
            </w:r>
          </w:p>
        </w:tc>
        <w:tc>
          <w:tcPr>
            <w:tcW w:w="440" w:type="dxa"/>
            <w:vAlign w:val="bottom"/>
          </w:tcPr>
          <w:p>
            <w:pPr>
              <w:spacing w:after="0"/>
              <w:rPr>
                <w:sz w:val="16"/>
                <w:szCs w:val="16"/>
                <w:color w:val="auto"/>
              </w:rPr>
            </w:pPr>
          </w:p>
        </w:tc>
        <w:tc>
          <w:tcPr>
            <w:tcW w:w="1160" w:type="dxa"/>
            <w:vAlign w:val="bottom"/>
          </w:tcPr>
          <w:p>
            <w:pPr>
              <w:jc w:val="right"/>
              <w:ind w:right="341"/>
              <w:spacing w:after="0"/>
              <w:rPr>
                <w:sz w:val="20"/>
                <w:szCs w:val="20"/>
                <w:color w:val="auto"/>
              </w:rPr>
            </w:pPr>
            <w:r>
              <w:rPr>
                <w:rFonts w:ascii="Arial" w:cs="Arial" w:eastAsia="Arial" w:hAnsi="Arial"/>
                <w:sz w:val="16"/>
                <w:szCs w:val="16"/>
                <w:color w:val="auto"/>
              </w:rPr>
              <w:t>106</w:t>
            </w:r>
          </w:p>
        </w:tc>
        <w:tc>
          <w:tcPr>
            <w:tcW w:w="1080" w:type="dxa"/>
            <w:vAlign w:val="bottom"/>
          </w:tcPr>
          <w:p>
            <w:pPr>
              <w:jc w:val="right"/>
              <w:ind w:right="599"/>
              <w:spacing w:after="0"/>
              <w:rPr>
                <w:sz w:val="20"/>
                <w:szCs w:val="20"/>
                <w:color w:val="auto"/>
              </w:rPr>
            </w:pPr>
            <w:r>
              <w:rPr>
                <w:rFonts w:ascii="Arial" w:cs="Arial" w:eastAsia="Arial" w:hAnsi="Arial"/>
                <w:sz w:val="16"/>
                <w:szCs w:val="16"/>
                <w:color w:val="auto"/>
              </w:rPr>
              <w:t>4</w:t>
            </w:r>
          </w:p>
        </w:tc>
        <w:tc>
          <w:tcPr>
            <w:tcW w:w="1360" w:type="dxa"/>
            <w:vAlign w:val="bottom"/>
          </w:tcPr>
          <w:p>
            <w:pPr>
              <w:jc w:val="right"/>
              <w:ind w:right="323"/>
              <w:spacing w:after="0"/>
              <w:rPr>
                <w:sz w:val="20"/>
                <w:szCs w:val="20"/>
                <w:color w:val="auto"/>
              </w:rPr>
            </w:pPr>
            <w:r>
              <w:rPr>
                <w:rFonts w:ascii="Arial" w:cs="Arial" w:eastAsia="Arial" w:hAnsi="Arial"/>
                <w:sz w:val="16"/>
                <w:szCs w:val="16"/>
                <w:color w:val="auto"/>
              </w:rPr>
              <w:t>268</w:t>
            </w:r>
          </w:p>
        </w:tc>
        <w:tc>
          <w:tcPr>
            <w:tcW w:w="1320" w:type="dxa"/>
            <w:vAlign w:val="bottom"/>
          </w:tcPr>
          <w:p>
            <w:pPr>
              <w:ind w:left="240"/>
              <w:spacing w:after="0"/>
              <w:rPr>
                <w:sz w:val="20"/>
                <w:szCs w:val="20"/>
                <w:color w:val="auto"/>
              </w:rPr>
            </w:pPr>
            <w:r>
              <w:rPr>
                <w:rFonts w:ascii="Arial" w:cs="Arial" w:eastAsia="Arial" w:hAnsi="Arial"/>
                <w:sz w:val="16"/>
                <w:szCs w:val="16"/>
                <w:color w:val="auto"/>
              </w:rPr>
              <w:t>10</w:t>
            </w:r>
          </w:p>
        </w:tc>
        <w:tc>
          <w:tcPr>
            <w:tcW w:w="1180" w:type="dxa"/>
            <w:vAlign w:val="bottom"/>
          </w:tcPr>
          <w:p>
            <w:pPr>
              <w:jc w:val="right"/>
              <w:ind w:right="341"/>
              <w:spacing w:after="0"/>
              <w:rPr>
                <w:sz w:val="20"/>
                <w:szCs w:val="20"/>
                <w:color w:val="auto"/>
              </w:rPr>
            </w:pPr>
            <w:r>
              <w:rPr>
                <w:rFonts w:ascii="Arial" w:cs="Arial" w:eastAsia="Arial" w:hAnsi="Arial"/>
                <w:sz w:val="16"/>
                <w:szCs w:val="16"/>
                <w:color w:val="auto"/>
              </w:rPr>
              <w:t>108</w:t>
            </w: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420"/>
          </w:cols>
          <w:pgMar w:left="240" w:top="128" w:right="239" w:bottom="0" w:gutter="0" w:footer="0" w:header="0"/>
        </w:sectPr>
      </w:pPr>
    </w:p>
    <w:bookmarkStart w:id="151" w:name="page152"/>
    <w:bookmarkEnd w:id="151"/>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ind w:left="180"/>
              <w:spacing w:after="0"/>
              <w:rPr>
                <w:sz w:val="20"/>
                <w:szCs w:val="20"/>
                <w:color w:val="auto"/>
              </w:rPr>
            </w:pPr>
            <w:r>
              <w:rPr>
                <w:rFonts w:ascii="Arial" w:cs="Arial" w:eastAsia="Arial" w:hAnsi="Arial"/>
                <w:sz w:val="16"/>
                <w:szCs w:val="16"/>
                <w:color w:val="auto"/>
              </w:rPr>
              <w:t>Sempra Pipelines &amp; Storage</w:t>
            </w:r>
          </w:p>
        </w:tc>
        <w:tc>
          <w:tcPr>
            <w:tcW w:w="44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227</w:t>
            </w:r>
          </w:p>
        </w:tc>
        <w:tc>
          <w:tcPr>
            <w:tcW w:w="1420" w:type="dxa"/>
            <w:vAlign w:val="bottom"/>
          </w:tcPr>
          <w:p>
            <w:pPr>
              <w:jc w:val="right"/>
              <w:ind w:right="799"/>
              <w:spacing w:after="0"/>
              <w:rPr>
                <w:sz w:val="20"/>
                <w:szCs w:val="20"/>
                <w:color w:val="auto"/>
              </w:rPr>
            </w:pPr>
            <w:r>
              <w:rPr>
                <w:rFonts w:ascii="Arial" w:cs="Arial" w:eastAsia="Arial" w:hAnsi="Arial"/>
                <w:sz w:val="16"/>
                <w:szCs w:val="16"/>
                <w:color w:val="auto"/>
              </w:rPr>
              <w:t>8</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105</w:t>
            </w:r>
          </w:p>
        </w:tc>
        <w:tc>
          <w:tcPr>
            <w:tcW w:w="1440" w:type="dxa"/>
            <w:vAlign w:val="bottom"/>
          </w:tcPr>
          <w:p>
            <w:pPr>
              <w:jc w:val="right"/>
              <w:ind w:right="819"/>
              <w:spacing w:after="0"/>
              <w:rPr>
                <w:sz w:val="20"/>
                <w:szCs w:val="20"/>
                <w:color w:val="auto"/>
              </w:rPr>
            </w:pPr>
            <w:r>
              <w:rPr>
                <w:rFonts w:ascii="Arial" w:cs="Arial" w:eastAsia="Arial" w:hAnsi="Arial"/>
                <w:sz w:val="16"/>
                <w:szCs w:val="16"/>
                <w:color w:val="auto"/>
              </w:rPr>
              <w:t>4</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83</w:t>
            </w:r>
          </w:p>
        </w:tc>
        <w:tc>
          <w:tcPr>
            <w:tcW w:w="1020" w:type="dxa"/>
            <w:vAlign w:val="bottom"/>
          </w:tcPr>
          <w:p>
            <w:pPr>
              <w:jc w:val="right"/>
              <w:ind w:right="379"/>
              <w:spacing w:after="0"/>
              <w:rPr>
                <w:sz w:val="20"/>
                <w:szCs w:val="20"/>
                <w:color w:val="auto"/>
              </w:rPr>
            </w:pPr>
            <w:r>
              <w:rPr>
                <w:rFonts w:ascii="Arial" w:cs="Arial" w:eastAsia="Arial" w:hAnsi="Arial"/>
                <w:sz w:val="16"/>
                <w:szCs w:val="16"/>
                <w:color w:val="auto"/>
              </w:rPr>
              <w:t>3</w:t>
            </w:r>
          </w:p>
        </w:tc>
      </w:tr>
      <w:tr>
        <w:trPr>
          <w:trHeight w:val="176"/>
        </w:trPr>
        <w:tc>
          <w:tcPr>
            <w:tcW w:w="4000" w:type="dxa"/>
            <w:vAlign w:val="bottom"/>
          </w:tcPr>
          <w:p>
            <w:pPr>
              <w:ind w:left="180"/>
              <w:spacing w:after="0" w:line="176" w:lineRule="exact"/>
              <w:rPr>
                <w:sz w:val="20"/>
                <w:szCs w:val="20"/>
                <w:color w:val="auto"/>
              </w:rPr>
            </w:pPr>
            <w:r>
              <w:rPr>
                <w:rFonts w:ascii="Arial" w:cs="Arial" w:eastAsia="Arial" w:hAnsi="Arial"/>
                <w:sz w:val="16"/>
                <w:szCs w:val="16"/>
                <w:color w:val="auto"/>
              </w:rPr>
              <w:t>Sempra LNG</w:t>
            </w:r>
          </w:p>
        </w:tc>
        <w:tc>
          <w:tcPr>
            <w:tcW w:w="440" w:type="dxa"/>
            <w:vAlign w:val="bottom"/>
          </w:tcPr>
          <w:p>
            <w:pPr>
              <w:spacing w:after="0"/>
              <w:rPr>
                <w:sz w:val="15"/>
                <w:szCs w:val="15"/>
                <w:color w:val="auto"/>
              </w:rPr>
            </w:pPr>
          </w:p>
        </w:tc>
        <w:tc>
          <w:tcPr>
            <w:tcW w:w="10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86</w:t>
            </w:r>
          </w:p>
        </w:tc>
        <w:tc>
          <w:tcPr>
            <w:tcW w:w="1420" w:type="dxa"/>
            <w:vAlign w:val="bottom"/>
          </w:tcPr>
          <w:p>
            <w:pPr>
              <w:jc w:val="right"/>
              <w:ind w:right="799"/>
              <w:spacing w:after="0" w:line="176" w:lineRule="exact"/>
              <w:rPr>
                <w:sz w:val="20"/>
                <w:szCs w:val="20"/>
                <w:color w:val="auto"/>
              </w:rPr>
            </w:pPr>
            <w:r>
              <w:rPr>
                <w:rFonts w:ascii="Arial" w:cs="Arial" w:eastAsia="Arial" w:hAnsi="Arial"/>
                <w:sz w:val="16"/>
                <w:szCs w:val="16"/>
                <w:color w:val="auto"/>
              </w:rPr>
              <w:t>3</w:t>
            </w:r>
          </w:p>
        </w:tc>
        <w:tc>
          <w:tcPr>
            <w:tcW w:w="104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83</w:t>
            </w:r>
          </w:p>
        </w:tc>
        <w:tc>
          <w:tcPr>
            <w:tcW w:w="1440" w:type="dxa"/>
            <w:vAlign w:val="bottom"/>
          </w:tcPr>
          <w:p>
            <w:pPr>
              <w:jc w:val="right"/>
              <w:ind w:right="819"/>
              <w:spacing w:after="0" w:line="176" w:lineRule="exact"/>
              <w:rPr>
                <w:sz w:val="20"/>
                <w:szCs w:val="20"/>
                <w:color w:val="auto"/>
              </w:rPr>
            </w:pPr>
            <w:r>
              <w:rPr>
                <w:rFonts w:ascii="Arial" w:cs="Arial" w:eastAsia="Arial" w:hAnsi="Arial"/>
                <w:sz w:val="16"/>
                <w:szCs w:val="16"/>
                <w:color w:val="auto"/>
              </w:rPr>
              <w:t>3</w:t>
            </w:r>
          </w:p>
        </w:tc>
        <w:tc>
          <w:tcPr>
            <w:tcW w:w="104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94</w:t>
            </w:r>
          </w:p>
        </w:tc>
        <w:tc>
          <w:tcPr>
            <w:tcW w:w="102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4</w:t>
            </w:r>
          </w:p>
        </w:tc>
      </w:tr>
      <w:tr>
        <w:trPr>
          <w:trHeight w:val="194"/>
        </w:trPr>
        <w:tc>
          <w:tcPr>
            <w:tcW w:w="4000" w:type="dxa"/>
            <w:vAlign w:val="bottom"/>
          </w:tcPr>
          <w:p>
            <w:pPr>
              <w:spacing w:after="0"/>
              <w:rPr>
                <w:sz w:val="20"/>
                <w:szCs w:val="20"/>
                <w:color w:val="auto"/>
              </w:rPr>
            </w:pPr>
            <w:r>
              <w:rPr>
                <w:rFonts w:ascii="Arial" w:cs="Arial" w:eastAsia="Arial" w:hAnsi="Arial"/>
                <w:sz w:val="16"/>
                <w:szCs w:val="16"/>
                <w:color w:val="auto"/>
              </w:rPr>
              <w:t>Parent and other(2)</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29</w:t>
            </w:r>
          </w:p>
        </w:tc>
        <w:tc>
          <w:tcPr>
            <w:tcW w:w="14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51</w:t>
            </w:r>
          </w:p>
        </w:tc>
        <w:tc>
          <w:tcPr>
            <w:tcW w:w="14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w:t>
            </w: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w:t>
            </w:r>
          </w:p>
        </w:tc>
      </w:tr>
      <w:tr>
        <w:trPr>
          <w:trHeight w:val="195"/>
        </w:trPr>
        <w:tc>
          <w:tcPr>
            <w:tcW w:w="4000" w:type="dxa"/>
            <w:vAlign w:val="bottom"/>
          </w:tcPr>
          <w:p>
            <w:pPr>
              <w:spacing w:after="0"/>
              <w:rPr>
                <w:sz w:val="20"/>
                <w:szCs w:val="20"/>
                <w:color w:val="auto"/>
              </w:rPr>
            </w:pPr>
            <w:r>
              <w:rPr>
                <w:rFonts w:ascii="Arial" w:cs="Arial" w:eastAsia="Arial" w:hAnsi="Arial"/>
                <w:sz w:val="16"/>
                <w:szCs w:val="16"/>
                <w:color w:val="auto"/>
              </w:rPr>
              <w:t>Total operation and maintenance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2,825</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100 %   $</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2,668</w:t>
            </w:r>
          </w:p>
        </w:tc>
        <w:tc>
          <w:tcPr>
            <w:tcW w:w="1440" w:type="dxa"/>
            <w:vAlign w:val="bottom"/>
          </w:tcPr>
          <w:p>
            <w:pPr>
              <w:jc w:val="right"/>
              <w:ind w:right="279"/>
              <w:spacing w:after="0"/>
              <w:rPr>
                <w:sz w:val="20"/>
                <w:szCs w:val="20"/>
                <w:color w:val="auto"/>
              </w:rPr>
            </w:pPr>
            <w:r>
              <w:rPr>
                <w:rFonts w:ascii="Arial" w:cs="Arial" w:eastAsia="Arial" w:hAnsi="Arial"/>
                <w:sz w:val="16"/>
                <w:szCs w:val="16"/>
                <w:color w:val="auto"/>
              </w:rPr>
              <w:t>100 %   $</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2,471</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hanging="532"/>
        <w:spacing w:after="0"/>
        <w:tabs>
          <w:tab w:leader="none" w:pos="540" w:val="left"/>
        </w:tabs>
        <w:numPr>
          <w:ilvl w:val="0"/>
          <w:numId w:val="20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Litigation Expense and Other Operation and Maintenance for Sempra Energy Consolidated.</w:t>
      </w:r>
    </w:p>
    <w:p>
      <w:pPr>
        <w:spacing w:after="0" w:line="13" w:lineRule="exact"/>
        <w:rPr>
          <w:rFonts w:ascii="Arial" w:cs="Arial" w:eastAsia="Arial" w:hAnsi="Arial"/>
          <w:sz w:val="14"/>
          <w:szCs w:val="14"/>
          <w:i w:val="1"/>
          <w:iCs w:val="1"/>
          <w:color w:val="auto"/>
        </w:rPr>
      </w:pPr>
    </w:p>
    <w:p>
      <w:pPr>
        <w:ind w:left="540" w:hanging="532"/>
        <w:spacing w:after="0"/>
        <w:tabs>
          <w:tab w:leader="none" w:pos="540" w:val="left"/>
        </w:tabs>
        <w:numPr>
          <w:ilvl w:val="0"/>
          <w:numId w:val="20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intercompany eliminations recorded in consolidation.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other operation and maintenance expenses increased by $157 million (6%) to $2.8 billion in 2011 primarily due to:</w:t>
      </w:r>
    </w:p>
    <w:p>
      <w:pPr>
        <w:spacing w:after="0" w:line="225" w:lineRule="exact"/>
        <w:rPr>
          <w:sz w:val="20"/>
          <w:szCs w:val="20"/>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higher operation and maintenance expenses at the Sempra Utilities, as we discuss below;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 xml:space="preserve">$122 million at Sempra Pipelines &amp; Storage, including $106 million from the consolidation of expenses of entities in Chile and Peru in 2011; </w:t>
      </w:r>
      <w:r>
        <w:rPr>
          <w:rFonts w:ascii="Arial" w:cs="Arial" w:eastAsia="Arial" w:hAnsi="Arial"/>
          <w:sz w:val="16"/>
          <w:szCs w:val="16"/>
          <w:b w:val="1"/>
          <w:bCs w:val="1"/>
          <w:color w:val="auto"/>
        </w:rPr>
        <w:t>offset by</w:t>
      </w:r>
    </w:p>
    <w:p>
      <w:pPr>
        <w:spacing w:after="0" w:line="279" w:lineRule="exact"/>
        <w:rPr>
          <w:rFonts w:ascii="Arial" w:cs="Arial" w:eastAsia="Arial" w:hAnsi="Arial"/>
          <w:sz w:val="16"/>
          <w:szCs w:val="16"/>
          <w:b w:val="1"/>
          <w:bCs w:val="1"/>
          <w:color w:val="auto"/>
        </w:rPr>
      </w:pPr>
    </w:p>
    <w:p>
      <w:pPr>
        <w:jc w:val="both"/>
        <w:ind w:left="340" w:hanging="188"/>
        <w:spacing w:after="0" w:line="264"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$162 million lower operation and maintenance expenses at Sempra Generation, including $145 million litigation expense in 2010 related to an agreement to settle certain energy crisis litigation, major scheduled plant maintenance in 2010 at the Mexicali and Mesquite power plants, and from the sale of El Dorado as of October 1, 2011; and</w:t>
      </w:r>
    </w:p>
    <w:p>
      <w:pPr>
        <w:spacing w:after="0" w:line="208"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$22 million lower operation and maintenance expenses at Parent and Other, which included $9 million litigation expense in 2010 related to an agreement to settle certain energy crisis litigation and lower other operation and maintenance expenses associated with our former commodities-marketing businesses, including transaction costs in 2010 related to the sales within RBS Sempra Commodities.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$197 million (8%) increase in our operation and maintenance expenses in 2010 compared to 2009 included</w:t>
      </w:r>
    </w:p>
    <w:p>
      <w:pPr>
        <w:spacing w:after="0" w:line="225" w:lineRule="exact"/>
        <w:rPr>
          <w:sz w:val="20"/>
          <w:szCs w:val="20"/>
          <w:color w:val="auto"/>
        </w:rPr>
      </w:pPr>
    </w:p>
    <w:p>
      <w:pPr>
        <w:ind w:left="340" w:right="20" w:hanging="188"/>
        <w:spacing w:after="0" w:line="277" w:lineRule="auto"/>
        <w:tabs>
          <w:tab w:leader="none" w:pos="3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$160 million from Sempra Generation, primarily due to $145 million of litigation expense in 2010 related to an agreement to settle certain energy crisis litigation;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higher operation and maintenance expenses at the Sempra Utilities, as we discuss below;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jc w:val="both"/>
        <w:ind w:left="340" w:hanging="188"/>
        <w:spacing w:after="0" w:line="257" w:lineRule="auto"/>
        <w:tabs>
          <w:tab w:leader="none" w:pos="3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$37 million lower operation and maintenance expenses at Parent and Other, primarily due to a reorganization in early 2010 that eliminated some central functions and moved other functions to the business units. This resulted in a reduction in general and administrative costs and also moved costs previously recognized by Parent and Other to the business units. The decrease was offset by higher operation and maintenance expenses at our former commodities-marketing businesses, including transaction costs related to the sales within RBS Sempra Commodities and $9 million litigation expense in 2010.</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SDG&amp;E’s operation and maintenance expenses increased by $85 million (9%) to $1.1 billion in 2011 primarily due to:</w:t>
      </w:r>
    </w:p>
    <w:p>
      <w:pPr>
        <w:spacing w:after="0" w:line="225" w:lineRule="exact"/>
        <w:rPr>
          <w:sz w:val="20"/>
          <w:szCs w:val="20"/>
          <w:color w:val="auto"/>
        </w:rPr>
      </w:pPr>
    </w:p>
    <w:p>
      <w:pPr>
        <w:ind w:left="340" w:hanging="188"/>
        <w:spacing w:after="0"/>
        <w:tabs>
          <w:tab w:leader="none" w:pos="3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$46 million higher other operational and maintenance costs, including a $15 million increase in liability insurance premiums for wildfire coverage; and</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$38 million higher recoverable expenses, primarily from expenses associated with customer distributed generation incentive programs and transmission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2010, SDG&amp;E’s operation and maintenance expenses increased by $27 million (3%) compared to 2009 primarily due to:</w:t>
      </w:r>
    </w:p>
    <w:p>
      <w:pPr>
        <w:spacing w:after="0" w:line="225" w:lineRule="exact"/>
        <w:rPr>
          <w:sz w:val="20"/>
          <w:szCs w:val="20"/>
          <w:color w:val="auto"/>
        </w:rPr>
      </w:pPr>
    </w:p>
    <w:p>
      <w:pPr>
        <w:ind w:left="340" w:hanging="188"/>
        <w:spacing w:after="0"/>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$19 million higher other operational and maintenance costs, including:</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$29 million higher liability insurance premiums for wildfire coverage and</w:t>
      </w:r>
    </w:p>
    <w:p>
      <w:pPr>
        <w:spacing w:after="0" w:line="248" w:lineRule="exact"/>
        <w:rPr>
          <w:rFonts w:ascii="Arial" w:cs="Arial" w:eastAsia="Arial" w:hAnsi="Arial"/>
          <w:sz w:val="18"/>
          <w:szCs w:val="18"/>
          <w:color w:val="auto"/>
        </w:rPr>
      </w:pPr>
    </w:p>
    <w:p>
      <w:pPr>
        <w:ind w:left="660" w:hanging="139"/>
        <w:spacing w:after="0"/>
        <w:tabs>
          <w:tab w:leader="none" w:pos="660"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 xml:space="preserve">$13 million at Otay Mesa VIE,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660" w:hanging="139"/>
        <w:spacing w:after="0"/>
        <w:tabs>
          <w:tab w:leader="none" w:pos="6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$15 million from the unfavorable resolution of a regulatory matter in 2009;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$23 million net unfavorable impact from an increase in litigation reserves in 2010 compared to the favorable resolution of litigation in 2009; </w:t>
      </w:r>
      <w:r>
        <w:rPr>
          <w:rFonts w:ascii="Arial" w:cs="Arial" w:eastAsia="Arial" w:hAnsi="Arial"/>
          <w:sz w:val="16"/>
          <w:szCs w:val="16"/>
          <w:b w:val="1"/>
          <w:bCs w:val="1"/>
          <w:color w:val="auto"/>
        </w:rPr>
        <w:t>offset by</w:t>
      </w:r>
    </w:p>
    <w:p>
      <w:pPr>
        <w:spacing w:after="0" w:line="279" w:lineRule="exact"/>
        <w:rPr>
          <w:rFonts w:ascii="Arial" w:cs="Arial" w:eastAsia="Arial" w:hAnsi="Arial"/>
          <w:sz w:val="16"/>
          <w:szCs w:val="16"/>
          <w:color w:val="auto"/>
        </w:rPr>
      </w:pPr>
    </w:p>
    <w:p>
      <w:pPr>
        <w:ind w:left="340" w:hanging="188"/>
        <w:spacing w:after="0"/>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$16 million lower recoverable expenses.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SoCalGas’ operation and maintenance expenses increased by $131 million (11%) to $1.3 billion in 2011 primarily due to:</w:t>
      </w:r>
    </w:p>
    <w:p>
      <w:pPr>
        <w:spacing w:after="0" w:line="225" w:lineRule="exact"/>
        <w:rPr>
          <w:sz w:val="20"/>
          <w:szCs w:val="20"/>
          <w:color w:val="auto"/>
        </w:rPr>
      </w:pPr>
    </w:p>
    <w:p>
      <w:pPr>
        <w:ind w:left="340" w:hanging="188"/>
        <w:spacing w:after="0"/>
        <w:tabs>
          <w:tab w:leader="none" w:pos="34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$96 million higher recoverable expenses, primarily from expenses associated with energy efficiency and employee benefit programs;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$20 million higher other operational and maintenance costs; and</w:t>
      </w:r>
    </w:p>
    <w:p>
      <w:pPr>
        <w:spacing w:after="0" w:line="252" w:lineRule="exact"/>
        <w:rPr>
          <w:rFonts w:ascii="Arial" w:cs="Arial" w:eastAsia="Arial" w:hAnsi="Arial"/>
          <w:sz w:val="18"/>
          <w:szCs w:val="18"/>
          <w:color w:val="auto"/>
        </w:rPr>
      </w:pPr>
    </w:p>
    <w:p>
      <w:pPr>
        <w:ind w:right="1660" w:firstLine="152"/>
        <w:spacing w:after="0" w:line="544" w:lineRule="auto"/>
        <w:tabs>
          <w:tab w:leader="none" w:pos="32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$5 million litigation expense in 2011 compared to a $10 million favorable impact from the resolution of a litigation matter in 2010. In 2010, SoCalGas’ operation and maintenance expenses increased by $36 million (3%) compared to 2009 due to:</w:t>
      </w:r>
    </w:p>
    <w:p>
      <w:pPr>
        <w:spacing w:after="0" w:line="5" w:lineRule="exact"/>
        <w:rPr>
          <w:rFonts w:ascii="Arial" w:cs="Arial" w:eastAsia="Arial" w:hAnsi="Arial"/>
          <w:sz w:val="17"/>
          <w:szCs w:val="17"/>
          <w:color w:val="auto"/>
        </w:rPr>
      </w:pPr>
    </w:p>
    <w:p>
      <w:pPr>
        <w:ind w:left="340" w:hanging="188"/>
        <w:spacing w:after="0"/>
        <w:tabs>
          <w:tab w:leader="none" w:pos="34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$32 million higher recoverable expenses, primarily from expenses associated with energy efficiency programs;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$17 million higher other operational and maintenance costs; </w:t>
      </w:r>
      <w:r>
        <w:rPr>
          <w:rFonts w:ascii="Arial" w:cs="Arial" w:eastAsia="Arial" w:hAnsi="Arial"/>
          <w:sz w:val="18"/>
          <w:szCs w:val="18"/>
          <w:b w:val="1"/>
          <w:bCs w:val="1"/>
          <w:color w:val="auto"/>
        </w:rPr>
        <w:t>offset by</w:t>
      </w:r>
    </w:p>
    <w:p>
      <w:pPr>
        <w:sectPr>
          <w:pgSz w:w="11900" w:h="16870" w:orient="portrait"/>
          <w:cols w:equalWidth="0" w:num="1">
            <w:col w:w="11420"/>
          </w:cols>
          <w:pgMar w:left="240" w:top="119" w:right="239" w:bottom="0" w:gutter="0" w:footer="0" w:header="0"/>
        </w:sectPr>
      </w:pPr>
    </w:p>
    <w:bookmarkStart w:id="152" w:name="page153"/>
    <w:bookmarkEnd w:id="152"/>
    <w:p>
      <w:pPr>
        <w:ind w:left="160"/>
        <w:spacing w:after="0"/>
        <w:rPr>
          <w:sz w:val="20"/>
          <w:szCs w:val="20"/>
          <w:color w:val="auto"/>
        </w:rPr>
      </w:pPr>
      <w:r>
        <w:rPr>
          <w:rFonts w:ascii="Arial" w:cs="Arial" w:eastAsia="Arial" w:hAnsi="Arial"/>
          <w:sz w:val="18"/>
          <w:szCs w:val="18"/>
          <w:color w:val="auto"/>
        </w:rPr>
        <w:t>§ $13 million net favorable impact from a favorable resolution of litigation reserves in 2010 compared to litigation expense in 2009.</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 and Amortization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depreciation and amortization expense was</w:t>
      </w:r>
    </w:p>
    <w:p>
      <w:pPr>
        <w:spacing w:after="0" w:line="225" w:lineRule="exact"/>
        <w:rPr>
          <w:sz w:val="20"/>
          <w:szCs w:val="20"/>
          <w:color w:val="auto"/>
        </w:rPr>
      </w:pPr>
    </w:p>
    <w:p>
      <w:pPr>
        <w:ind w:left="340" w:hanging="188"/>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$978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$867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$775 million in 2009</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increase in 2011 included</w:t>
      </w:r>
    </w:p>
    <w:p>
      <w:pPr>
        <w:spacing w:after="0" w:line="225" w:lineRule="exact"/>
        <w:rPr>
          <w:rFonts w:ascii="Arial" w:cs="Arial" w:eastAsia="Arial" w:hAnsi="Arial"/>
          <w:sz w:val="18"/>
          <w:szCs w:val="18"/>
          <w:color w:val="auto"/>
        </w:rPr>
      </w:pPr>
    </w:p>
    <w:p>
      <w:pPr>
        <w:ind w:left="340" w:hanging="188"/>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$48 million at Sempra Pipelines &amp; Storage, including $40 million from the consolidation of entities in Chile and Peru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$41 million at SDG&amp;E, primarily from higher electric plant depreciation;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$22 million at SoCalGas from an increase in net utility plant base.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2010 compared to 2009 included</w:t>
      </w:r>
    </w:p>
    <w:p>
      <w:pPr>
        <w:spacing w:after="0" w:line="225" w:lineRule="exact"/>
        <w:rPr>
          <w:sz w:val="20"/>
          <w:szCs w:val="20"/>
          <w:color w:val="auto"/>
        </w:rPr>
      </w:pPr>
    </w:p>
    <w:p>
      <w:pPr>
        <w:ind w:left="340" w:hanging="188"/>
        <w:spacing w:after="0"/>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$52 million at SDG&amp;E, primarily from higher electric plant depreciation, including a full year of operations at Otay Mesa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$16 million at SoCalGas from an increase in net utility plant base;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$16 million at Sempra LNG due to the start up of the Cameron LNG terminal and Energía Costa Azul LNG nitrogen injection facility in the second half of 2009.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Write-off of Long-lived Assets</w:t>
      </w:r>
    </w:p>
    <w:p>
      <w:pPr>
        <w:spacing w:after="0" w:line="20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2009, we recorded a $132 million write-off related to certain assets at one of Sempra Pipelines &amp; Storage’s Liberty natural gas storage projects. Sempra Energy’s after-tax share of this write-off was $64 million. We discuss the write-off of the assets in Note 1 of the Notes to Consolidated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(Losses), Before Income Tax</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(losses) from our investment in RBS Sempra Commodities, which was formed in April 2008, were</w:t>
      </w:r>
    </w:p>
    <w:p>
      <w:pPr>
        <w:spacing w:after="0" w:line="225" w:lineRule="exact"/>
        <w:rPr>
          <w:sz w:val="20"/>
          <w:szCs w:val="20"/>
          <w:color w:val="auto"/>
        </w:rPr>
      </w:pPr>
    </w:p>
    <w:p>
      <w:pPr>
        <w:ind w:left="340" w:hanging="188"/>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$(24)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$(314)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$463 million in 2009</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and RBS, our partner in the joint venture, sold substantially all of the partnership’s businesses and assets in four separate transactions completed in July, November and December of 2010 and February of 2011. Results for 2011 include a $16 million pretax write-down of our investment in RBS Sempra Commodities.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Equity earnings from our investment in RBS Sempra Commodities were adversely impacted by several factors in 2010, as we discuss in “Business Unit Results—Parent and Other.” Results for 2010 include a $305 million pretax write-down of our investment in RBS Sempra Commodities. This amount includes a $480 million loss related to the U.S. portion of our investment, partially offset by a $175 million gain on the non-U.S. portion. We discuss the write-down and additional information about the determination and allocation of this investment’s earnings in Note 4 of the 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Equity earnings, before income tax, from our other equity method investments were</w:t>
      </w:r>
    </w:p>
    <w:p>
      <w:pPr>
        <w:spacing w:after="0" w:line="225" w:lineRule="exact"/>
        <w:rPr>
          <w:sz w:val="20"/>
          <w:szCs w:val="20"/>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$33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$22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$36 million in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equity earnings, before income tax, in 2011 was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$13 million of losses in 2010 from Sempra Generation’s investment in Elk Hills, including a $10 million loss on the sale of the investment in December 2010; and</w:t>
      </w:r>
    </w:p>
    <w:p>
      <w:pPr>
        <w:sectPr>
          <w:pgSz w:w="11900" w:h="16838" w:orient="portrait"/>
          <w:cols w:equalWidth="0" w:num="1">
            <w:col w:w="11420"/>
          </w:cols>
          <w:pgMar w:left="240" w:top="368" w:right="239" w:bottom="0" w:gutter="0" w:footer="0" w:header="0"/>
        </w:sectPr>
      </w:pPr>
    </w:p>
    <w:bookmarkStart w:id="153" w:name="page154"/>
    <w:bookmarkEnd w:id="153"/>
    <w:p>
      <w:pPr>
        <w:ind w:left="340" w:hanging="188"/>
        <w:spacing w:after="0"/>
        <w:tabs>
          <w:tab w:leader="none" w:pos="34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 xml:space="preserve">$5 million decreased losses from our investments in housing partnerships;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$6 million of equity losses in 2011 from renewables projects at Sempra Generation compared to $1 million of equity earnings in 2010.</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2010, the decrease in our equity earnings before income taxes from other equity method investments was primarily due to the loss on the sale of Elk Hills in 2010. We provide further details about our investment in RBS Sempra Commodities and other equity method investments in Note 4 of the 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Remeasurement of Equity Method Investments</w:t>
      </w:r>
    </w:p>
    <w:p>
      <w:pPr>
        <w:spacing w:after="0" w:line="2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second quarter of 2011, we recorded a $277 million non-taxable gain from the remeasurement of our equity method investments in Chilquinta Energía in Chile and Luz del Sur in Peru. We provide additional discussion related to this gain below in “Income Taxes” and in Note 3 of the 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was</w:t>
      </w:r>
    </w:p>
    <w:p>
      <w:pPr>
        <w:spacing w:after="0" w:line="225" w:lineRule="exact"/>
        <w:rPr>
          <w:sz w:val="20"/>
          <w:szCs w:val="20"/>
          <w:color w:val="auto"/>
        </w:rPr>
      </w:pPr>
    </w:p>
    <w:p>
      <w:pPr>
        <w:ind w:left="340" w:hanging="188"/>
        <w:spacing w:after="0"/>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$130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$140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$149 million in 2009</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include here the allowance for equity funds used during construction (AFUDC) at the Sempra Utilities, interest on regulatory balancing accounts, gains and losses from our investments and interest rate swaps, and other sundry amounts.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decreased by $10 million (7%) in 2011 primarily due to:</w:t>
      </w:r>
    </w:p>
    <w:p>
      <w:pPr>
        <w:spacing w:after="0" w:line="221" w:lineRule="exact"/>
        <w:rPr>
          <w:sz w:val="20"/>
          <w:szCs w:val="20"/>
          <w:color w:val="auto"/>
        </w:rPr>
      </w:pPr>
    </w:p>
    <w:p>
      <w:pPr>
        <w:ind w:left="340" w:hanging="188"/>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proceeds of $48 million from a legal settlement at Sempra Pipelines &amp; Storage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$37 million increase in equity-related AFUDC in 2011 attributable to SDG&amp;E primarily associated with the construction of the Sunrise Powerlink electric transmission line; and</w:t>
      </w:r>
    </w:p>
    <w:p>
      <w:pPr>
        <w:spacing w:after="0" w:line="197"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$10 million lower losses on interest rate and foreign exchange instruments, including $34 million of losses on interest rate instruments in 2010 related to Otay Mesa VIE (discussed below), offset by a $15 million Mexican peso exchange loss in 2011 (discussed in “Income Taxes – Mexican Currency Exchange Rate and Inflation Impact on Income Taxes and Related Economic Hedging Activity” below) and a $10 million gain recognized on an interest rate instrument in 2010 at Parent and Other.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other income, net, in 2010 compared to 2009 was primarily due to:</w:t>
      </w:r>
    </w:p>
    <w:p>
      <w:pPr>
        <w:spacing w:after="0" w:line="225" w:lineRule="exact"/>
        <w:rPr>
          <w:sz w:val="20"/>
          <w:szCs w:val="20"/>
          <w:color w:val="auto"/>
        </w:rPr>
      </w:pPr>
    </w:p>
    <w:p>
      <w:pPr>
        <w:ind w:left="340" w:hanging="188"/>
        <w:spacing w:after="0"/>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$34 million in losses on interest rate instruments in 2010 at Otay Mesa VIE compared to $27 million in gains in 2009;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a $20 million decrease in gains from investment activity related to our executive retirement and deferred compensation plans in 2010; </w:t>
      </w:r>
      <w:r>
        <w:rPr>
          <w:rFonts w:ascii="Arial" w:cs="Arial" w:eastAsia="Arial" w:hAnsi="Arial"/>
          <w:sz w:val="17"/>
          <w:szCs w:val="17"/>
          <w:b w:val="1"/>
          <w:bCs w:val="1"/>
          <w:color w:val="auto"/>
        </w:rPr>
        <w:t>offset by</w:t>
      </w:r>
    </w:p>
    <w:p>
      <w:pPr>
        <w:spacing w:after="0" w:line="267" w:lineRule="exact"/>
        <w:rPr>
          <w:rFonts w:ascii="Arial" w:cs="Arial" w:eastAsia="Arial" w:hAnsi="Arial"/>
          <w:sz w:val="17"/>
          <w:szCs w:val="17"/>
          <w:color w:val="auto"/>
        </w:rPr>
      </w:pPr>
    </w:p>
    <w:p>
      <w:pPr>
        <w:ind w:left="340" w:hanging="188"/>
        <w:spacing w:after="0"/>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proceeds of $48 million from a legal settlement in 2010 at Sempra Pipelines &amp; Storage;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$18 million increase in AFUDC, including $14 million at SDG&amp;E primarily due to construction on the Sunrise Powerlink project;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$10 million gain recognized on an interest rate instrument in 2010 at Parent and Other.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was</w:t>
      </w:r>
    </w:p>
    <w:p>
      <w:pPr>
        <w:spacing w:after="0" w:line="225" w:lineRule="exact"/>
        <w:rPr>
          <w:sz w:val="20"/>
          <w:szCs w:val="20"/>
          <w:color w:val="auto"/>
        </w:rPr>
      </w:pPr>
    </w:p>
    <w:p>
      <w:pPr>
        <w:ind w:left="340" w:hanging="188"/>
        <w:spacing w:after="0"/>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$79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$10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$64 million in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increased by $69 million in 2011 primarily due to:</w:t>
      </w:r>
    </w:p>
    <w:p>
      <w:pPr>
        <w:spacing w:after="0" w:line="225" w:lineRule="exact"/>
        <w:rPr>
          <w:sz w:val="20"/>
          <w:szCs w:val="20"/>
          <w:color w:val="auto"/>
        </w:rPr>
      </w:pPr>
    </w:p>
    <w:p>
      <w:pPr>
        <w:ind w:left="340" w:hanging="188"/>
        <w:spacing w:after="0"/>
        <w:tabs>
          <w:tab w:leader="none" w:pos="3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$37 million increase in AFUDC primarily due to construction on the Sunrise Powerlink project;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$34 million of losses on interest rate instruments at Otay Mesa VIE in 2010. Otay Mesa VIE’s interest rate instrument’s activity was designated as a cash flow hedge as of April 1, 2011.</w:t>
      </w:r>
    </w:p>
    <w:p>
      <w:pPr>
        <w:sectPr>
          <w:pgSz w:w="11900" w:h="16838" w:orient="portrait"/>
          <w:cols w:equalWidth="0" w:num="1">
            <w:col w:w="11420"/>
          </w:cols>
          <w:pgMar w:left="240" w:top="365" w:right="239" w:bottom="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The decrease in other income, net, in 2010 compared to 2009 was primarily due to:</w:t>
      </w:r>
    </w:p>
    <w:p>
      <w:pPr>
        <w:spacing w:after="0" w:line="221" w:lineRule="exact"/>
        <w:rPr>
          <w:sz w:val="20"/>
          <w:szCs w:val="20"/>
          <w:color w:val="auto"/>
        </w:rPr>
      </w:pPr>
    </w:p>
    <w:p>
      <w:pPr>
        <w:ind w:left="340" w:hanging="188"/>
        <w:spacing w:after="0"/>
        <w:tabs>
          <w:tab w:leader="none" w:pos="3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$34 million in losses on interest rate instruments in 2010 at Otay Mesa VIE compared to $27 million in gains in 2009;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$14 million increase in AFUDC primarily due to construction on the Sunrise Powerlink project.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further details of the components of other income, net, in Note 1 of the Notes to Consolidated Financial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interest expense for Sempra Energy Consolidated, SDG&amp;E and SoCalGas.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43"/>
              <w:spacing w:after="0" w:line="159" w:lineRule="exact"/>
              <w:rPr>
                <w:sz w:val="20"/>
                <w:szCs w:val="20"/>
                <w:color w:val="auto"/>
              </w:rPr>
            </w:pPr>
            <w:r>
              <w:rPr>
                <w:rFonts w:ascii="Arial" w:cs="Arial" w:eastAsia="Arial" w:hAnsi="Arial"/>
                <w:sz w:val="14"/>
                <w:szCs w:val="14"/>
                <w:color w:val="auto"/>
              </w:rPr>
              <w:t>Years ended December 31,</w:t>
            </w: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803"/>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2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524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440" w:type="dxa"/>
            <w:vAlign w:val="bottom"/>
          </w:tcPr>
          <w:p>
            <w:pPr>
              <w:jc w:val="right"/>
              <w:ind w:right="1263"/>
              <w:spacing w:after="0" w:line="164"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line="164" w:lineRule="exact"/>
              <w:rPr>
                <w:sz w:val="20"/>
                <w:szCs w:val="20"/>
                <w:color w:val="auto"/>
              </w:rPr>
            </w:pPr>
            <w:r>
              <w:rPr>
                <w:rFonts w:ascii="Arial" w:cs="Arial" w:eastAsia="Arial" w:hAnsi="Arial"/>
                <w:sz w:val="16"/>
                <w:szCs w:val="16"/>
                <w:color w:val="auto"/>
              </w:rPr>
              <w:t>465</w:t>
            </w:r>
          </w:p>
        </w:tc>
        <w:tc>
          <w:tcPr>
            <w:tcW w:w="14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920" w:type="dxa"/>
            <w:vAlign w:val="bottom"/>
          </w:tcPr>
          <w:p>
            <w:pPr>
              <w:jc w:val="right"/>
              <w:spacing w:after="0" w:line="164" w:lineRule="exact"/>
              <w:rPr>
                <w:sz w:val="20"/>
                <w:szCs w:val="20"/>
                <w:color w:val="auto"/>
              </w:rPr>
            </w:pPr>
            <w:r>
              <w:rPr>
                <w:rFonts w:ascii="Arial" w:cs="Arial" w:eastAsia="Arial" w:hAnsi="Arial"/>
                <w:sz w:val="16"/>
                <w:szCs w:val="16"/>
                <w:color w:val="auto"/>
              </w:rPr>
              <w:t>436</w:t>
            </w:r>
          </w:p>
        </w:tc>
        <w:tc>
          <w:tcPr>
            <w:tcW w:w="480" w:type="dxa"/>
            <w:vAlign w:val="bottom"/>
          </w:tcPr>
          <w:p>
            <w:pPr>
              <w:jc w:val="right"/>
              <w:ind w:right="299"/>
              <w:spacing w:after="0" w:line="164" w:lineRule="exact"/>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367</w:t>
            </w:r>
          </w:p>
        </w:tc>
      </w:tr>
      <w:tr>
        <w:trPr>
          <w:trHeight w:val="176"/>
        </w:trPr>
        <w:tc>
          <w:tcPr>
            <w:tcW w:w="526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4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142</w:t>
            </w:r>
          </w:p>
        </w:tc>
        <w:tc>
          <w:tcPr>
            <w:tcW w:w="140" w:type="dxa"/>
            <w:vAlign w:val="bottom"/>
          </w:tcPr>
          <w:p>
            <w:pPr>
              <w:spacing w:after="0"/>
              <w:rPr>
                <w:sz w:val="15"/>
                <w:szCs w:val="15"/>
                <w:color w:val="auto"/>
              </w:rPr>
            </w:pPr>
          </w:p>
        </w:tc>
        <w:tc>
          <w:tcPr>
            <w:tcW w:w="1920" w:type="dxa"/>
            <w:vAlign w:val="bottom"/>
          </w:tcPr>
          <w:p>
            <w:pPr>
              <w:jc w:val="right"/>
              <w:spacing w:after="0" w:line="176" w:lineRule="exact"/>
              <w:rPr>
                <w:sz w:val="20"/>
                <w:szCs w:val="20"/>
                <w:color w:val="auto"/>
              </w:rPr>
            </w:pPr>
            <w:r>
              <w:rPr>
                <w:rFonts w:ascii="Arial" w:cs="Arial" w:eastAsia="Arial" w:hAnsi="Arial"/>
                <w:sz w:val="16"/>
                <w:szCs w:val="16"/>
                <w:color w:val="auto"/>
              </w:rPr>
              <w:t>136</w:t>
            </w:r>
          </w:p>
        </w:tc>
        <w:tc>
          <w:tcPr>
            <w:tcW w:w="48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104</w:t>
            </w:r>
          </w:p>
        </w:tc>
      </w:tr>
      <w:tr>
        <w:trPr>
          <w:trHeight w:val="194"/>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2011, our interest expense increased by $29 million (7%) primarily due to:</w:t>
      </w:r>
    </w:p>
    <w:p>
      <w:pPr>
        <w:spacing w:after="0" w:line="225" w:lineRule="exact"/>
        <w:rPr>
          <w:sz w:val="20"/>
          <w:szCs w:val="20"/>
          <w:color w:val="auto"/>
        </w:rPr>
      </w:pPr>
    </w:p>
    <w:p>
      <w:pPr>
        <w:ind w:left="340" w:hanging="188"/>
        <w:spacing w:after="0" w:line="308" w:lineRule="auto"/>
        <w:tabs>
          <w:tab w:leader="none" w:pos="340"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$41 million at Sempra Pipelines &amp; Storage, primarily from the consolidation of Chile and Peru in April 2011, and from lower capitalized interest in 2011 due to natural gas storage caverns at Bay Gas Storage, LLC (Bay Gas) and Mississippi Hub, LLC (Mississippi Hub) going into service; and</w:t>
      </w:r>
    </w:p>
    <w:p>
      <w:pPr>
        <w:spacing w:after="0" w:line="169" w:lineRule="exact"/>
        <w:rPr>
          <w:rFonts w:ascii="Arial" w:cs="Arial" w:eastAsia="Arial" w:hAnsi="Arial"/>
          <w:sz w:val="17"/>
          <w:szCs w:val="17"/>
          <w:b w:val="1"/>
          <w:bCs w:val="1"/>
          <w:color w:val="auto"/>
        </w:rPr>
      </w:pPr>
    </w:p>
    <w:p>
      <w:pPr>
        <w:ind w:left="340" w:hanging="188"/>
        <w:spacing w:after="0"/>
        <w:tabs>
          <w:tab w:leader="none" w:pos="34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 xml:space="preserve">$6 million at SDG&amp;E, which we discuss below;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$6 million lower interest expense related to energy crisis litigation reserves at Parent and Other;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$5 million higher capitalized interest associated with renewables projects at Sempra Generation.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$80 million higher interest expense, primarily from long-term debt issued in 2009 and 2010 at Parent and Other and 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$27 million lower capitalized interest, primarily at Sempra LNG due to completion of construction projects;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$14 million in interest expense at Otay Mesa VIE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$30 million lower interest expense from maturities of debt at Parent and Other;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$16 million lower short-term debt interest expense, primarily from lower average commercial paper borrowings and interest rates, and reduced interest expense related to energy crisis litigation reserves at Parent and Other.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for SDG&amp;E increased by $6 million (4%) in 2011 primarily due to issuances of long-term debt in 2011 and 2010, partially offset by higher AFUDC related to debt.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SDG&amp;E’s interest expense increased by $32 million (31%) in 2010 compared to 2009, primarily from long-term debt issued in 2009 and 2010, and from interest expense at Otay Mesa VIE in 2010.</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and effective income tax rates for Sempra Energy, SDG&amp;E and SoCalGas.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2"/>
          </w:tcPr>
          <w:p>
            <w:pPr>
              <w:jc w:val="right"/>
              <w:ind w:right="604"/>
              <w:spacing w:after="0" w:line="159" w:lineRule="exact"/>
              <w:rPr>
                <w:sz w:val="20"/>
                <w:szCs w:val="20"/>
                <w:color w:val="auto"/>
              </w:rPr>
            </w:pPr>
            <w:r>
              <w:rPr>
                <w:rFonts w:ascii="Arial" w:cs="Arial" w:eastAsia="Arial" w:hAnsi="Arial"/>
                <w:sz w:val="14"/>
                <w:szCs w:val="14"/>
                <w:color w:val="auto"/>
              </w:rPr>
              <w:t>Years ended December 31,</w:t>
            </w:r>
          </w:p>
        </w:tc>
        <w:tc>
          <w:tcPr>
            <w:tcW w:w="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1344"/>
              <w:spacing w:after="0"/>
              <w:rPr>
                <w:sz w:val="20"/>
                <w:szCs w:val="20"/>
                <w:color w:val="auto"/>
              </w:rPr>
            </w:pPr>
            <w:r>
              <w:rPr>
                <w:rFonts w:ascii="Arial" w:cs="Arial" w:eastAsia="Arial" w:hAnsi="Arial"/>
                <w:sz w:val="14"/>
                <w:szCs w:val="14"/>
                <w:color w:val="auto"/>
              </w:rPr>
              <w:t>2011</w:t>
            </w:r>
          </w:p>
        </w:tc>
        <w:tc>
          <w:tcPr>
            <w:tcW w:w="9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1364"/>
              <w:spacing w:after="0"/>
              <w:rPr>
                <w:sz w:val="20"/>
                <w:szCs w:val="20"/>
                <w:color w:val="auto"/>
              </w:rPr>
            </w:pPr>
            <w:r>
              <w:rPr>
                <w:rFonts w:ascii="Arial" w:cs="Arial" w:eastAsia="Arial" w:hAnsi="Arial"/>
                <w:sz w:val="14"/>
                <w:szCs w:val="14"/>
                <w:color w:val="auto"/>
              </w:rPr>
              <w:t>2010</w:t>
            </w:r>
          </w:p>
        </w:tc>
        <w:tc>
          <w:tcPr>
            <w:tcW w:w="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064"/>
              <w:spacing w:after="0"/>
              <w:rPr>
                <w:sz w:val="20"/>
                <w:szCs w:val="20"/>
                <w:color w:val="auto"/>
              </w:rPr>
            </w:pPr>
            <w:r>
              <w:rPr>
                <w:rFonts w:ascii="Arial" w:cs="Arial" w:eastAsia="Arial" w:hAnsi="Arial"/>
                <w:sz w:val="14"/>
                <w:szCs w:val="14"/>
                <w:color w:val="auto"/>
              </w:rPr>
              <w:t>2009</w:t>
            </w:r>
          </w:p>
        </w:tc>
      </w:tr>
      <w:tr>
        <w:trPr>
          <w:trHeight w:val="167"/>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jc w:val="center"/>
              <w:ind w:right="244"/>
              <w:spacing w:after="0"/>
              <w:rPr>
                <w:sz w:val="20"/>
                <w:szCs w:val="20"/>
                <w:color w:val="auto"/>
              </w:rPr>
            </w:pPr>
            <w:r>
              <w:rPr>
                <w:rFonts w:ascii="Arial" w:cs="Arial" w:eastAsia="Arial" w:hAnsi="Arial"/>
                <w:sz w:val="14"/>
                <w:szCs w:val="14"/>
                <w:color w:val="auto"/>
              </w:rPr>
              <w:t>Effective</w:t>
            </w:r>
          </w:p>
        </w:tc>
        <w:tc>
          <w:tcPr>
            <w:tcW w:w="960" w:type="dxa"/>
            <w:vAlign w:val="bottom"/>
          </w:tcPr>
          <w:p>
            <w:pPr>
              <w:spacing w:after="0"/>
              <w:rPr>
                <w:sz w:val="14"/>
                <w:szCs w:val="14"/>
                <w:color w:val="auto"/>
              </w:rPr>
            </w:pPr>
          </w:p>
        </w:tc>
        <w:tc>
          <w:tcPr>
            <w:tcW w:w="1820" w:type="dxa"/>
            <w:vAlign w:val="bottom"/>
          </w:tcPr>
          <w:p>
            <w:pPr>
              <w:jc w:val="center"/>
              <w:ind w:right="244"/>
              <w:spacing w:after="0"/>
              <w:rPr>
                <w:sz w:val="20"/>
                <w:szCs w:val="20"/>
                <w:color w:val="auto"/>
              </w:rPr>
            </w:pPr>
            <w:r>
              <w:rPr>
                <w:rFonts w:ascii="Arial" w:cs="Arial" w:eastAsia="Arial" w:hAnsi="Arial"/>
                <w:sz w:val="14"/>
                <w:szCs w:val="14"/>
                <w:color w:val="auto"/>
              </w:rPr>
              <w:t>Effective</w:t>
            </w:r>
          </w:p>
        </w:tc>
        <w:tc>
          <w:tcPr>
            <w:tcW w:w="9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17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4"/>
                <w:szCs w:val="14"/>
                <w:color w:val="auto"/>
              </w:rPr>
              <w:t>Income Tax</w:t>
            </w:r>
          </w:p>
        </w:tc>
        <w:tc>
          <w:tcPr>
            <w:tcW w:w="1800" w:type="dxa"/>
            <w:vAlign w:val="bottom"/>
          </w:tcPr>
          <w:p>
            <w:pPr>
              <w:jc w:val="center"/>
              <w:ind w:right="244"/>
              <w:spacing w:after="0"/>
              <w:rPr>
                <w:sz w:val="20"/>
                <w:szCs w:val="20"/>
                <w:color w:val="auto"/>
              </w:rPr>
            </w:pPr>
            <w:r>
              <w:rPr>
                <w:rFonts w:ascii="Arial" w:cs="Arial" w:eastAsia="Arial" w:hAnsi="Arial"/>
                <w:sz w:val="14"/>
                <w:szCs w:val="14"/>
                <w:color w:val="auto"/>
              </w:rPr>
              <w:t>Income</w:t>
            </w:r>
          </w:p>
        </w:tc>
        <w:tc>
          <w:tcPr>
            <w:tcW w:w="960" w:type="dxa"/>
            <w:vAlign w:val="bottom"/>
          </w:tcPr>
          <w:p>
            <w:pPr>
              <w:jc w:val="right"/>
              <w:ind w:right="63"/>
              <w:spacing w:after="0"/>
              <w:rPr>
                <w:sz w:val="20"/>
                <w:szCs w:val="20"/>
                <w:color w:val="auto"/>
              </w:rPr>
            </w:pPr>
            <w:r>
              <w:rPr>
                <w:rFonts w:ascii="Arial" w:cs="Arial" w:eastAsia="Arial" w:hAnsi="Arial"/>
                <w:sz w:val="14"/>
                <w:szCs w:val="14"/>
                <w:color w:val="auto"/>
              </w:rPr>
              <w:t>Income Tax</w:t>
            </w:r>
          </w:p>
        </w:tc>
        <w:tc>
          <w:tcPr>
            <w:tcW w:w="1820" w:type="dxa"/>
            <w:vAlign w:val="bottom"/>
          </w:tcPr>
          <w:p>
            <w:pPr>
              <w:jc w:val="center"/>
              <w:ind w:right="224"/>
              <w:spacing w:after="0"/>
              <w:rPr>
                <w:sz w:val="20"/>
                <w:szCs w:val="20"/>
                <w:color w:val="auto"/>
              </w:rPr>
            </w:pPr>
            <w:r>
              <w:rPr>
                <w:rFonts w:ascii="Arial" w:cs="Arial" w:eastAsia="Arial" w:hAnsi="Arial"/>
                <w:sz w:val="14"/>
                <w:szCs w:val="14"/>
                <w:color w:val="auto"/>
              </w:rPr>
              <w:t>Income</w:t>
            </w:r>
          </w:p>
        </w:tc>
        <w:tc>
          <w:tcPr>
            <w:tcW w:w="980" w:type="dxa"/>
            <w:vAlign w:val="bottom"/>
          </w:tcPr>
          <w:p>
            <w:pPr>
              <w:jc w:val="right"/>
              <w:ind w:right="83"/>
              <w:spacing w:after="0"/>
              <w:rPr>
                <w:sz w:val="20"/>
                <w:szCs w:val="20"/>
                <w:color w:val="auto"/>
              </w:rPr>
            </w:pPr>
            <w:r>
              <w:rPr>
                <w:rFonts w:ascii="Arial" w:cs="Arial" w:eastAsia="Arial" w:hAnsi="Arial"/>
                <w:sz w:val="14"/>
                <w:szCs w:val="14"/>
                <w:color w:val="auto"/>
              </w:rPr>
              <w:t>Income Tax</w:t>
            </w:r>
          </w:p>
        </w:tc>
        <w:tc>
          <w:tcPr>
            <w:tcW w:w="152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168"/>
        </w:trPr>
        <w:tc>
          <w:tcPr>
            <w:tcW w:w="20" w:type="dxa"/>
            <w:vAlign w:val="bottom"/>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Expense</w:t>
            </w:r>
          </w:p>
        </w:tc>
        <w:tc>
          <w:tcPr>
            <w:tcW w:w="180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color w:val="auto"/>
                <w:w w:val="98"/>
              </w:rPr>
              <w:t>Tax Rate</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Expense</w:t>
            </w:r>
          </w:p>
        </w:tc>
        <w:tc>
          <w:tcPr>
            <w:tcW w:w="182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color w:val="auto"/>
                <w:w w:val="98"/>
              </w:rPr>
              <w:t>Tax Rate</w:t>
            </w: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Expense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Tax Rate</w:t>
            </w:r>
          </w:p>
        </w:tc>
      </w:tr>
      <w:tr>
        <w:trPr>
          <w:trHeight w:val="164"/>
        </w:trPr>
        <w:tc>
          <w:tcPr>
            <w:tcW w:w="20" w:type="dxa"/>
            <w:vAlign w:val="bottom"/>
          </w:tcPr>
          <w:p>
            <w:pPr>
              <w:spacing w:after="0"/>
              <w:rPr>
                <w:sz w:val="14"/>
                <w:szCs w:val="14"/>
                <w:color w:val="auto"/>
              </w:rPr>
            </w:pPr>
          </w:p>
        </w:tc>
        <w:tc>
          <w:tcPr>
            <w:tcW w:w="266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64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366</w:t>
            </w:r>
          </w:p>
        </w:tc>
        <w:tc>
          <w:tcPr>
            <w:tcW w:w="1800" w:type="dxa"/>
            <w:vAlign w:val="bottom"/>
          </w:tcPr>
          <w:p>
            <w:pPr>
              <w:ind w:left="1020"/>
              <w:spacing w:after="0" w:line="164" w:lineRule="exact"/>
              <w:rPr>
                <w:sz w:val="20"/>
                <w:szCs w:val="20"/>
                <w:color w:val="auto"/>
              </w:rPr>
            </w:pPr>
            <w:r>
              <w:rPr>
                <w:rFonts w:ascii="Arial" w:cs="Arial" w:eastAsia="Arial" w:hAnsi="Arial"/>
                <w:sz w:val="16"/>
                <w:szCs w:val="16"/>
                <w:color w:val="auto"/>
              </w:rPr>
              <w:t>21 %   $</w:t>
            </w: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102</w:t>
            </w:r>
          </w:p>
        </w:tc>
        <w:tc>
          <w:tcPr>
            <w:tcW w:w="1820" w:type="dxa"/>
            <w:vAlign w:val="bottom"/>
          </w:tcPr>
          <w:p>
            <w:pPr>
              <w:ind w:left="1040"/>
              <w:spacing w:after="0" w:line="164" w:lineRule="exact"/>
              <w:rPr>
                <w:sz w:val="20"/>
                <w:szCs w:val="20"/>
                <w:color w:val="auto"/>
              </w:rPr>
            </w:pPr>
            <w:r>
              <w:rPr>
                <w:rFonts w:ascii="Arial" w:cs="Arial" w:eastAsia="Arial" w:hAnsi="Arial"/>
                <w:sz w:val="16"/>
                <w:szCs w:val="16"/>
                <w:color w:val="auto"/>
              </w:rPr>
              <w:t>13 %   $</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422</w:t>
            </w:r>
          </w:p>
        </w:tc>
        <w:tc>
          <w:tcPr>
            <w:tcW w:w="1520" w:type="dxa"/>
            <w:vAlign w:val="bottom"/>
          </w:tcPr>
          <w:p>
            <w:pPr>
              <w:ind w:left="1040"/>
              <w:spacing w:after="0" w:line="164" w:lineRule="exact"/>
              <w:rPr>
                <w:sz w:val="20"/>
                <w:szCs w:val="20"/>
                <w:color w:val="auto"/>
              </w:rPr>
            </w:pPr>
            <w:r>
              <w:rPr>
                <w:rFonts w:ascii="Arial" w:cs="Arial" w:eastAsia="Arial" w:hAnsi="Arial"/>
                <w:sz w:val="16"/>
                <w:szCs w:val="16"/>
                <w:color w:val="auto"/>
              </w:rPr>
              <w:t>29 %</w:t>
            </w:r>
          </w:p>
        </w:tc>
      </w:tr>
      <w:tr>
        <w:trPr>
          <w:trHeight w:val="176"/>
        </w:trPr>
        <w:tc>
          <w:tcPr>
            <w:tcW w:w="268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6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237</w:t>
            </w:r>
          </w:p>
        </w:tc>
        <w:tc>
          <w:tcPr>
            <w:tcW w:w="1800" w:type="dxa"/>
            <w:vAlign w:val="bottom"/>
          </w:tcPr>
          <w:p>
            <w:pPr>
              <w:ind w:left="1020"/>
              <w:spacing w:after="0" w:line="176" w:lineRule="exact"/>
              <w:rPr>
                <w:sz w:val="20"/>
                <w:szCs w:val="20"/>
                <w:color w:val="auto"/>
              </w:rPr>
            </w:pPr>
            <w:r>
              <w:rPr>
                <w:rFonts w:ascii="Arial" w:cs="Arial" w:eastAsia="Arial" w:hAnsi="Arial"/>
                <w:sz w:val="16"/>
                <w:szCs w:val="16"/>
                <w:color w:val="auto"/>
              </w:rPr>
              <w:t>34</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173</w:t>
            </w:r>
          </w:p>
        </w:tc>
        <w:tc>
          <w:tcPr>
            <w:tcW w:w="1820" w:type="dxa"/>
            <w:vAlign w:val="bottom"/>
          </w:tcPr>
          <w:p>
            <w:pPr>
              <w:ind w:left="1040"/>
              <w:spacing w:after="0" w:line="176" w:lineRule="exact"/>
              <w:rPr>
                <w:sz w:val="20"/>
                <w:szCs w:val="20"/>
                <w:color w:val="auto"/>
              </w:rPr>
            </w:pPr>
            <w:r>
              <w:rPr>
                <w:rFonts w:ascii="Arial" w:cs="Arial" w:eastAsia="Arial" w:hAnsi="Arial"/>
                <w:sz w:val="16"/>
                <w:szCs w:val="16"/>
                <w:color w:val="auto"/>
              </w:rPr>
              <w:t>33</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177</w:t>
            </w:r>
          </w:p>
        </w:tc>
        <w:tc>
          <w:tcPr>
            <w:tcW w:w="1520" w:type="dxa"/>
            <w:vAlign w:val="bottom"/>
          </w:tcPr>
          <w:p>
            <w:pPr>
              <w:ind w:left="1040"/>
              <w:spacing w:after="0" w:line="176" w:lineRule="exact"/>
              <w:rPr>
                <w:sz w:val="20"/>
                <w:szCs w:val="20"/>
                <w:color w:val="auto"/>
              </w:rPr>
            </w:pPr>
            <w:r>
              <w:rPr>
                <w:rFonts w:ascii="Arial" w:cs="Arial" w:eastAsia="Arial" w:hAnsi="Arial"/>
                <w:sz w:val="16"/>
                <w:szCs w:val="16"/>
                <w:color w:val="auto"/>
              </w:rPr>
              <w:t>32</w:t>
            </w:r>
          </w:p>
        </w:tc>
      </w:tr>
      <w:tr>
        <w:trPr>
          <w:trHeight w:val="19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8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33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8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38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5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34</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ectPr>
          <w:pgSz w:w="11900" w:h="16838" w:orient="portrait"/>
          <w:cols w:equalWidth="0" w:num="1">
            <w:col w:w="11420"/>
          </w:cols>
          <w:pgMar w:left="240" w:top="125" w:right="239" w:bottom="174" w:gutter="0" w:footer="0" w:header="0"/>
        </w:sectPr>
      </w:pPr>
    </w:p>
    <w:bookmarkStart w:id="155" w:name="page156"/>
    <w:bookmarkEnd w:id="155"/>
    <w:p>
      <w:pPr>
        <w:spacing w:after="0" w:line="10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Sempra Energy’s income tax expense increased in 2011 due to both higher pretax income and a higher effective income tax rate. Nonrecurring events in both 2011 and 2010, related to our acquisitions in South America and the sale transactions within RBS Sempra Commodities, respectively, significantly impacted both the pretax income and the effective rate in both years. The higher rate in 2011 compared to 2010, including these impacts and others, was primarily due to:</w:t>
      </w:r>
    </w:p>
    <w:p>
      <w:pPr>
        <w:spacing w:after="0" w:line="187" w:lineRule="exact"/>
        <w:rPr>
          <w:sz w:val="20"/>
          <w:szCs w:val="20"/>
          <w:color w:val="auto"/>
        </w:rPr>
      </w:pPr>
    </w:p>
    <w:p>
      <w:pPr>
        <w:ind w:left="340" w:hanging="188"/>
        <w:spacing w:after="0"/>
        <w:tabs>
          <w:tab w:leader="none" w:pos="3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 lower percentage of pretax income in 2011 compared to 2010 in countries with lower statutory rates. The activity in each year related primarily to:</w:t>
      </w:r>
    </w:p>
    <w:p>
      <w:pPr>
        <w:spacing w:after="0" w:line="263" w:lineRule="exact"/>
        <w:rPr>
          <w:rFonts w:ascii="Arial" w:cs="Arial" w:eastAsia="Arial" w:hAnsi="Arial"/>
          <w:sz w:val="17"/>
          <w:szCs w:val="17"/>
          <w:color w:val="auto"/>
        </w:rPr>
      </w:pPr>
    </w:p>
    <w:p>
      <w:pPr>
        <w:ind w:left="820" w:hanging="182"/>
        <w:spacing w:after="0" w:line="277" w:lineRule="auto"/>
        <w:tabs>
          <w:tab w:leader="none" w:pos="820"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in 2011, a $277 million non-taxable gain related to the remeasurement of our equity method investments in South America, as we discuss in Note 3 of the Notes to Consolidated Financial Statements</w:t>
      </w:r>
    </w:p>
    <w:p>
      <w:pPr>
        <w:spacing w:after="0" w:line="197" w:lineRule="exact"/>
        <w:rPr>
          <w:rFonts w:ascii="Arial" w:cs="Arial" w:eastAsia="Arial" w:hAnsi="Arial"/>
          <w:sz w:val="18"/>
          <w:szCs w:val="18"/>
          <w:b w:val="1"/>
          <w:bCs w:val="1"/>
          <w:color w:val="auto"/>
        </w:rPr>
      </w:pPr>
    </w:p>
    <w:p>
      <w:pPr>
        <w:ind w:left="820" w:right="20" w:hanging="182"/>
        <w:spacing w:after="0" w:line="277" w:lineRule="auto"/>
        <w:tabs>
          <w:tab w:leader="none" w:pos="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2010, activity related to RBS Sempra Commodities, including a large non-taxable gain related to our share of the RBS Sempra Commodities sale to J.P. Morgan Ventures, as we discuss below</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lower renewable energy income tax credits;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favorable adjustments in 2010 related to prior years’ income tax issues;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higher state income taxes;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 xml:space="preserve">lower favorable impact from deductions for self-developed software costs at the Sempra Utilities;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tax benefit in 2011 versus tax expense in 2010 due to Mexican currency translation and inflation adjustments;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rFonts w:ascii="Arial" w:cs="Arial" w:eastAsia="Arial" w:hAnsi="Arial"/>
          <w:sz w:val="18"/>
          <w:szCs w:val="18"/>
          <w:b w:val="1"/>
          <w:bCs w:val="1"/>
          <w:color w:val="auto"/>
        </w:rPr>
      </w:pPr>
    </w:p>
    <w:p>
      <w:pPr>
        <w:ind w:left="340" w:right="20" w:hanging="188"/>
        <w:spacing w:after="0" w:line="277" w:lineRule="auto"/>
        <w:tabs>
          <w:tab w:leader="none" w:pos="34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a $16 million write-down in 2010 of the deferred tax assets related to other postretirement benefits, as a result of a change in U.S. tax law that eliminates a future deduction, starting in 2013, for retiree healthcare funded by the Medicare Part D subsidy; and</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the effective income tax rate in 2010 was low primarily due to the following related to RBS Sempra Commodities:</w:t>
      </w:r>
    </w:p>
    <w:p>
      <w:pPr>
        <w:spacing w:after="0" w:line="225" w:lineRule="exact"/>
        <w:rPr>
          <w:sz w:val="20"/>
          <w:szCs w:val="20"/>
          <w:color w:val="auto"/>
        </w:rPr>
      </w:pPr>
    </w:p>
    <w:p>
      <w:pPr>
        <w:ind w:left="340" w:hanging="188"/>
        <w:spacing w:after="0"/>
        <w:tabs>
          <w:tab w:leader="none" w:pos="3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approximately $150 million of a total $175 million non-U.S. gain on sale of the businesses and assets within the joint venture was non-taxable; and</w:t>
      </w:r>
    </w:p>
    <w:p>
      <w:pPr>
        <w:spacing w:after="0" w:line="263"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approximately $40 million non-U.S. earnings from the operations of the joint venture and approximately $25 million of the non-U.S. gain on sale of the businesses and assets within the joint venture were net of income tax paid by the partnership.</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Sempra Energy’s income tax expense and effective income tax rate decreased in 2010 compared to 2009, primarily due to lower pretax income and the impact on the rate of the 2010 activity related to RBS Sempra Commodities discussed above. The lower rate was also due to:</w:t>
      </w:r>
    </w:p>
    <w:p>
      <w:pPr>
        <w:spacing w:after="0" w:line="170" w:lineRule="exact"/>
        <w:rPr>
          <w:sz w:val="20"/>
          <w:szCs w:val="20"/>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higher renewable energy income tax credits;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higher exclusions from taxable income of the equity portion of AFUDC;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higher favorable adjustments related to prior years’ income tax issues;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a $16 million write-down of the deferred tax assets related to other postretirement benefits, as a result of a change in U.S. tax law that eliminates a future deduction, starting in 2013, for retiree healthcare funded by the Medicare Part D subsidy;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higher impact from tax expense in 2010 due to Mexican currency translation and inflation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$11 million state income tax expense related to our exit from the RBS Sempra Commodities business;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results for Sempra Energy Consolidated and SDG&amp;E include Otay Mesa VIE, which is consolidated, and therefore, Sempra Energy Consolidated’s and SDG&amp;E’s effective income tax rates are impacted by the VIE’s stand-alone effective income tax rate. This impact caused Sempra Energy Consolidated’s rate to increase (decrease) by the following percentage points: 0 in 2011, 1 in 2010 and (1) in 2009, and caused SDG&amp;E’s rate to increase (decrease) by the following percentage points: (1) in 2011, 1 in 2010 and (2) in 2009.</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report as part of our pretax results the income or loss attributable to noncontrolling interests. However, we do not record income taxes for this income or loss, as our entities with noncontrolling interests are currently treated as partnerships for income tax purposes and thus we are only liable for income taxes on the portion of the earnings that are allocated to us. As our entities with noncontrolling interests grow, and as we may continue to invest in such entities, the impact on our effective income tax rate may become more significant.</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2009, Sempra Energy recorded an income tax benefit of $35 million from the write-off of assets at Liberty, which we discuss in Note 1 of the Notes to Consolidated Financial Statements. This tax benefit was due to a non-recurring event in 2009.</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2012, Sempra Energy intends to change the accounting methodology that it currently uses to recognize investment tax credits, which currently impacts only those credits associated with Sempra Generation’s solar projects. Through December 31, 2011, Sempra Generation used what is referred to as the flow-through method of accounting in which the investment tax credits associated with a project are recognized as a reduction of tax expense in the year in which capacity is placed in service. Starting in the first quarter of 2012, Sempra Generation will change to the deferral method of accounting for these projects.</w:t>
      </w:r>
    </w:p>
    <w:p>
      <w:pPr>
        <w:sectPr>
          <w:pgSz w:w="11900" w:h="16945" w:orient="portrait"/>
          <w:cols w:equalWidth="0" w:num="1">
            <w:col w:w="11420"/>
          </w:cols>
          <w:pgMar w:left="240" w:top="125" w:right="239" w:bottom="0" w:gutter="0" w:footer="0" w:header="0"/>
        </w:sectPr>
      </w:pPr>
    </w:p>
    <w:bookmarkStart w:id="156" w:name="page157"/>
    <w:bookmarkEnd w:id="156"/>
    <w:p>
      <w:pPr>
        <w:ind w:right="100"/>
        <w:spacing w:after="0" w:line="257" w:lineRule="auto"/>
        <w:rPr>
          <w:sz w:val="20"/>
          <w:szCs w:val="20"/>
          <w:color w:val="auto"/>
        </w:rPr>
      </w:pPr>
      <w:r>
        <w:rPr>
          <w:rFonts w:ascii="Arial" w:cs="Arial" w:eastAsia="Arial" w:hAnsi="Arial"/>
          <w:sz w:val="18"/>
          <w:szCs w:val="18"/>
          <w:color w:val="auto"/>
        </w:rPr>
        <w:t>Under this methodology, instead of recognizing the investment tax credit, Sempra Generation will reduce the book basis of the asset by the amount of the tax credit. This results in lower book depreciation and therefore higher future earnings as compared to our current method. This change in accounting principle will be applied retrospectively in the first quarter of 2012. The resulting decrease in net income and earnings from retroactively adopting the deferral method is estimated to be $26 million and $30 million for the years ended December 31, 2011 and 2010, respectively, and a negligible amount for the year ended December 31, 2009.</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2012, we anticipate that our effective tax rate will increase from 21% to approximately 29% as a result of the change in accounting for investment tax credits from the flow-through method to the deferral method. In the years 2013 through 2016, we are currently projecting that our effective income tax rate will be approximately 30% to 32%. This increase in effective income tax rates is primarily due to: projected increases in pretax income; decreases in favorable tax deductions for self-developed software costs; increases in the amount by which book depreciation exceeds normalized tax depreciation; and lower exclusions from income for the equity portion of AFUDC. These projected effective tax rates do not include any impact from a possible repatriation of future earnings from our Mexican and Peruvian subsidiaries. If we were to repatriate future foreign earnings, as we discuss below, the rates would increase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SDG&amp;E’s income tax expense increased in 2011, primarily due to higher pretax book income and a higher effective tax rate. The higher rate in 2011 compared to 2010 was primarily due to:</w:t>
      </w:r>
    </w:p>
    <w:p>
      <w:pPr>
        <w:spacing w:after="0" w:line="166" w:lineRule="exact"/>
        <w:rPr>
          <w:sz w:val="20"/>
          <w:szCs w:val="20"/>
          <w:color w:val="auto"/>
        </w:rPr>
      </w:pPr>
    </w:p>
    <w:p>
      <w:pPr>
        <w:ind w:left="340" w:hanging="188"/>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favorable adjustments in 2010 related to prior years’ income tax issues;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higher exclusions from taxable income of 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impact of Otay Mesa VIE, as we discuss above;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higher deductions for self-developed software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lower impact from higher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$3 million write-down in 2010 of the deferred tax assets related to other postretirement benefits as a result of a change in U.S. tax law, as we discuss above.</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SDG&amp;E’s income tax expense decreased in 2010 compared to 2009 primarily from lower pretax income, partially offset by a higher effective income tax rate resulting primarily from:</w:t>
      </w:r>
    </w:p>
    <w:p>
      <w:pPr>
        <w:spacing w:after="0" w:line="170" w:lineRule="exact"/>
        <w:rPr>
          <w:sz w:val="20"/>
          <w:szCs w:val="20"/>
          <w:color w:val="auto"/>
        </w:rPr>
      </w:pPr>
    </w:p>
    <w:p>
      <w:pPr>
        <w:ind w:left="340" w:hanging="188"/>
        <w:spacing w:after="0"/>
        <w:tabs>
          <w:tab w:leader="none" w:pos="3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impact of Otay Mesa VIE, as we discuss above;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$3 million write-down of the deferred tax assets related to other postretirement benefits as a result of a change in U.S. tax law, as we discuss above; and</w:t>
      </w:r>
    </w:p>
    <w:p>
      <w:pPr>
        <w:spacing w:after="0" w:line="271" w:lineRule="exact"/>
        <w:rPr>
          <w:rFonts w:ascii="Arial" w:cs="Arial" w:eastAsia="Arial" w:hAnsi="Arial"/>
          <w:sz w:val="16"/>
          <w:szCs w:val="16"/>
          <w:color w:val="auto"/>
        </w:rPr>
      </w:pPr>
    </w:p>
    <w:p>
      <w:pPr>
        <w:ind w:left="340" w:hanging="188"/>
        <w:spacing w:after="0"/>
        <w:tabs>
          <w:tab w:leader="none" w:pos="3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higher book depreciation over income tax depreciation related to a certain portion of utility plant fixed assets;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higher exclusions from taxable income of the equity portion of AFUDC;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higher favorable adjustments related to prior years’ income tax issues.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2012, we anticipate that SDG&amp;E’s effective income tax rate will increase from 34% to approximately 36%, due to a projected rise in pretax income, combined with a decrease in favorable income tax deductions for self-developed software costs (due to completion of SDG&amp;E’s advanced meter project) and lower exclusions from income for the equity portion of AFUDC (due to the projected completion of construction on the Sunrise Powerlink electric transmission line). In the years 2013 through 2016, we are currently projecting that SDG&amp;E’s effective income tax rate will be approximately 37%, due to projected increases in pretax income.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SoCalGas’ income tax expense decreased in 2011, primarily due to lower pretax book income and a lower effective tax rate. The lower rate in 2011 compared to 2010 was primarily due to:</w:t>
      </w:r>
    </w:p>
    <w:p>
      <w:pPr>
        <w:spacing w:after="0" w:line="170" w:lineRule="exact"/>
        <w:rPr>
          <w:sz w:val="20"/>
          <w:szCs w:val="20"/>
          <w:color w:val="auto"/>
        </w:rPr>
      </w:pPr>
    </w:p>
    <w:p>
      <w:pPr>
        <w:ind w:left="340" w:right="20" w:hanging="188"/>
        <w:spacing w:after="0" w:line="277" w:lineRule="auto"/>
        <w:tabs>
          <w:tab w:leader="none" w:pos="3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$13 million write-down in 2010 of the deferred tax assets related to other postretirement benefits as a result of a change in U.S. tax law, as we discuss above;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higher deductions for self-developed software costs;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higher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Income tax expense increased in 2010 at SoCalGas primarily due to higher pretax income, as well as a higher effective income tax rate primarily due to a $13 million write-down of the deferred tax assets related to other postretirement benefits as a result of a change in U.S. tax law, as we discuss above.</w:t>
      </w:r>
    </w:p>
    <w:p>
      <w:pPr>
        <w:spacing w:after="0" w:line="12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2012, we anticipate that SoCalGas’ effective income tax rate will increase from 33% to approximately 37%, due to a projected rise in pretax income, combined with a decrease in favorable income tax deductions for self-developed software costs, and an increase in the amount by which book depreciation exceeds normalized tax depreciation. In the years 2013 through 2016, we are currently projecting that SoCalGas’ effective income tax rate will be approximately 40% to 42%, primarily due to projected increases in pretax income, combined with decreases in favorable income tax deductions for self-developed software costs, and an increase in the amount by which book depreciation exceeds normalized tax depreciation.</w:t>
      </w:r>
    </w:p>
    <w:p>
      <w:pPr>
        <w:sectPr>
          <w:pgSz w:w="11900" w:h="16838" w:orient="portrait"/>
          <w:cols w:equalWidth="0" w:num="1">
            <w:col w:w="11420"/>
          </w:cols>
          <w:pgMar w:left="240" w:top="125" w:right="239" w:bottom="0" w:gutter="0" w:footer="0" w:header="0"/>
        </w:sectPr>
      </w:pPr>
    </w:p>
    <w:bookmarkStart w:id="157" w:name="page158"/>
    <w:bookmarkEnd w:id="157"/>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variance discussions above, the following items are subject to flow-through treatment:</w:t>
      </w:r>
    </w:p>
    <w:p>
      <w:pPr>
        <w:spacing w:after="0" w:line="225" w:lineRule="exact"/>
        <w:rPr>
          <w:sz w:val="20"/>
          <w:szCs w:val="20"/>
          <w:color w:val="auto"/>
        </w:rPr>
      </w:pPr>
    </w:p>
    <w:p>
      <w:pPr>
        <w:ind w:left="340" w:hanging="188"/>
        <w:spacing w:after="0"/>
        <w:tabs>
          <w:tab w:leader="none" w:pos="3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self-developed software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assets</w:t>
      </w:r>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discuss the impact of items subject to flow-through treatment on our effective income tax rates in Note 7 of the Notes to Consolidated Financial Statements.</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December 2010, the Tax Relief, Unemployment Insurance Reauthorization, and Job Creation Act of 2010 (2010 Tax Act) was signed into law. The 2010 Tax Act included the extension of bonus depreciation for U.S. federal income tax purposes for years 2010 through 2012 and an increase in the rate of bonus depreciation from 50 percent to 100 percent. This increased rate only applies to certain investments made after September 8, 2010 through December 31, 2012. Self-constructed property, where the construction period exceeds one year, construction starts between December 31, 2007 and January 1, 2013, and the property is placed in service by December 31, 2013, will qualify for bonus depreciation in 2013 at either the original or increased rate.</w:t>
      </w:r>
    </w:p>
    <w:p>
      <w:pPr>
        <w:spacing w:after="0" w:line="15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Due to the extension of bonus depreciation, Sempra Energy has generated a large U.S. federal net operating loss (NOL) in 2011 and is currently projecting a large U.S. federal NOL in 2012. We currently project the total NOL will not be fully utilized until 2016. Because of these projected NOLs, and the carryforward of U.S. federal income tax credits discussed below, Sempra Energy expects no U.S. federal income tax payments in years 2012 through</w:t>
      </w:r>
    </w:p>
    <w:p>
      <w:pPr>
        <w:jc w:val="both"/>
        <w:ind w:right="480"/>
        <w:spacing w:after="0" w:line="255" w:lineRule="auto"/>
        <w:rPr>
          <w:sz w:val="20"/>
          <w:szCs w:val="20"/>
          <w:color w:val="auto"/>
        </w:rPr>
      </w:pPr>
      <w:r>
        <w:rPr>
          <w:rFonts w:ascii="Arial" w:cs="Arial" w:eastAsia="Arial" w:hAnsi="Arial"/>
          <w:sz w:val="18"/>
          <w:szCs w:val="18"/>
          <w:color w:val="auto"/>
        </w:rPr>
        <w:t>2015. However, because bonus depreciation only creates a temporary difference, versus a permanent difference, between Sempra Energy’s U.S. federal income tax return and its U.S. GAAP financial statements, it does not impact Sempra Energy’s effective income tax rate. We expect larger U.S. federal income tax payments in the future as these temporary differences reverse.</w:t>
      </w:r>
    </w:p>
    <w:p>
      <w:pPr>
        <w:spacing w:after="0" w:line="1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Bonus depreciation, in addition to impacting Sempra Energy’s U.S. federal income tax payments, will also have a temporary impact on Sempra Energy’s ability to utilize its U.S. federal income tax credits, which primarily are investment tax credits and production tax credits generated by Sempra Energy’s current and future renewable energy investments. However, based on current projections, Sempra Energy does not expect, based on more-likely-than-not criteria required under U.S. GAAP, any of these income tax credits to expire prior to the end of their 20-year carryforward period, as allowed under current U.S. federal income tax law. We also expect bonus depreciation to increase the deferred tax component of SDG&amp;E’s and SoCalGas’ rate base, which reduces rate base.</w:t>
      </w:r>
    </w:p>
    <w:p>
      <w:pPr>
        <w:spacing w:after="0" w:line="193"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We are currently considering the potential repatriation of future earnings beginning in 2013 from certain of our non-U.S. subsidiaries in Mexico and Peru. However, we expect to continue to indefinitely reinvest future earnings from our Chilean subsidiaries. Currently, all future repatriated earnings would be subject to U.S. income tax (with a credit for foreign income taxes) and future repatriations from Peru would be subject to local country withholding</w:t>
      </w:r>
    </w:p>
    <w:p>
      <w:pPr>
        <w:ind w:right="200"/>
        <w:spacing w:after="0" w:line="254" w:lineRule="auto"/>
        <w:rPr>
          <w:sz w:val="20"/>
          <w:szCs w:val="20"/>
          <w:color w:val="auto"/>
        </w:rPr>
      </w:pPr>
      <w:r>
        <w:rPr>
          <w:rFonts w:ascii="Arial" w:cs="Arial" w:eastAsia="Arial" w:hAnsi="Arial"/>
          <w:sz w:val="18"/>
          <w:szCs w:val="18"/>
          <w:color w:val="auto"/>
        </w:rPr>
        <w:t>tax. Because this potential repatriation would only be from future earnings, it does not change our current assertion, as we discuss in Note 7 of the Notes to Consolidated Financial Statements, that we intend to continue to indefinitely reinvest, for the foreseeable future, our cumulative undistributed non-U.S. earnings as of December 31, 2011. The forward-looking statements above on income tax matters do not include any impact from potential repatriation of future non-U.S. earnings.</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the 2010 Tax Act extended for years 2010 and 2011 the U.S. federal income tax law known as the look-through rule. This rule allows, under certain situations, for certain non-operating activity (e.g., dividend income, royalty income, interest income, rental income, etc.), of a greater than 50-percent owned non-U.S. subsidiary, to not be taxed under U.S. federal income tax law. If this rule is not extended beyond 2011, Sempra Energy’s effective income tax rate could potentially increase, over the amounts projected above, in subsequent years.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Mexican Currency Exchange Rate and Inflation Impact on Income Taxes and Related Economic Hedging Activity</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Mexican subsidiaries have U.S. dollar denominated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expose us to significant fluctuations in our income tax expense. The income tax expense of each of our Sempra Global business units is impacted by these factors. Parent and Other is also impacted due to a Mexican holding company. The impacts of these fluctuations at each business unit may offset to some extent at the consolidated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Sempra Energy Consolidated, the impacts in 2009-2011 related to the factors described above are as follows:</w:t>
      </w:r>
    </w:p>
    <w:p>
      <w:pPr>
        <w:spacing w:after="0" w:line="221" w:lineRule="exact"/>
        <w:rPr>
          <w:sz w:val="20"/>
          <w:szCs w:val="20"/>
          <w:color w:val="auto"/>
        </w:rPr>
      </w:pPr>
    </w:p>
    <w:p>
      <w:pPr>
        <w:ind w:right="3780"/>
        <w:spacing w:after="0" w:line="252" w:lineRule="auto"/>
        <w:rPr>
          <w:sz w:val="20"/>
          <w:szCs w:val="20"/>
          <w:color w:val="auto"/>
        </w:rPr>
      </w:pPr>
      <w:r>
        <w:rPr>
          <w:rFonts w:ascii="Arial" w:cs="Arial" w:eastAsia="Arial" w:hAnsi="Arial"/>
          <w:sz w:val="16"/>
          <w:szCs w:val="16"/>
          <w:b w:val="1"/>
          <w:bCs w:val="1"/>
          <w:color w:val="auto"/>
        </w:rPr>
        <w:t xml:space="preserve">MEXICAN CURRENCY IMPACT ON INCOME TAXES AND RELATED ECONOMIC HEDGING ACTIVITY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100" w:type="dxa"/>
            <w:vAlign w:val="bottom"/>
          </w:tcPr>
          <w:p>
            <w:pPr>
              <w:spacing w:after="0" w:line="164" w:lineRule="exact"/>
              <w:rPr>
                <w:sz w:val="20"/>
                <w:szCs w:val="20"/>
                <w:color w:val="auto"/>
              </w:rPr>
            </w:pPr>
            <w:r>
              <w:rPr>
                <w:rFonts w:ascii="Arial" w:cs="Arial" w:eastAsia="Arial" w:hAnsi="Arial"/>
                <w:sz w:val="16"/>
                <w:szCs w:val="16"/>
                <w:color w:val="auto"/>
              </w:rPr>
              <w:t>Income tax benefit (expense) on currency exchange</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ind w:left="280"/>
              <w:spacing w:after="0" w:line="176" w:lineRule="exact"/>
              <w:rPr>
                <w:sz w:val="20"/>
                <w:szCs w:val="20"/>
                <w:color w:val="auto"/>
              </w:rPr>
            </w:pPr>
            <w:r>
              <w:rPr>
                <w:rFonts w:ascii="Arial" w:cs="Arial" w:eastAsia="Arial" w:hAnsi="Arial"/>
                <w:sz w:val="16"/>
                <w:szCs w:val="16"/>
                <w:color w:val="auto"/>
              </w:rPr>
              <w:t>rate movement of monetary assets and liabilities</w:t>
            </w:r>
          </w:p>
        </w:tc>
        <w:tc>
          <w:tcPr>
            <w:tcW w:w="1080" w:type="dxa"/>
            <w:vAlign w:val="bottom"/>
          </w:tcPr>
          <w:p>
            <w:pPr>
              <w:jc w:val="right"/>
              <w:ind w:right="92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(10)</w:t>
            </w:r>
          </w:p>
        </w:tc>
        <w:tc>
          <w:tcPr>
            <w:tcW w:w="2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7120" w:type="dxa"/>
            <w:vAlign w:val="bottom"/>
            <w:gridSpan w:val="2"/>
          </w:tcPr>
          <w:p>
            <w:pPr>
              <w:spacing w:after="0" w:line="176" w:lineRule="exact"/>
              <w:rPr>
                <w:sz w:val="20"/>
                <w:szCs w:val="20"/>
                <w:color w:val="auto"/>
              </w:rPr>
            </w:pPr>
            <w:r>
              <w:rPr>
                <w:rFonts w:ascii="Arial" w:cs="Arial" w:eastAsia="Arial" w:hAnsi="Arial"/>
                <w:sz w:val="16"/>
                <w:szCs w:val="16"/>
                <w:color w:val="auto"/>
              </w:rPr>
              <w:t>Translation of non-U.S. deferred income tax balances</w:t>
            </w:r>
          </w:p>
        </w:tc>
        <w:tc>
          <w:tcPr>
            <w:tcW w:w="108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300" w:type="dxa"/>
            <w:vAlign w:val="bottom"/>
          </w:tcPr>
          <w:p>
            <w:pPr>
              <w:spacing w:after="0"/>
              <w:rPr>
                <w:sz w:val="15"/>
                <w:szCs w:val="15"/>
                <w:color w:val="auto"/>
              </w:rPr>
            </w:pPr>
          </w:p>
        </w:tc>
        <w:tc>
          <w:tcPr>
            <w:tcW w:w="12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4"/>
        </w:trPr>
        <w:tc>
          <w:tcPr>
            <w:tcW w:w="7120" w:type="dxa"/>
            <w:vAlign w:val="bottom"/>
            <w:gridSpan w:val="2"/>
          </w:tcPr>
          <w:p>
            <w:pPr>
              <w:spacing w:after="0"/>
              <w:rPr>
                <w:sz w:val="20"/>
                <w:szCs w:val="20"/>
                <w:color w:val="auto"/>
              </w:rPr>
            </w:pPr>
            <w:r>
              <w:rPr>
                <w:rFonts w:ascii="Arial" w:cs="Arial" w:eastAsia="Arial" w:hAnsi="Arial"/>
                <w:sz w:val="16"/>
                <w:szCs w:val="16"/>
                <w:color w:val="auto"/>
              </w:rPr>
              <w:t>Income tax expense on inflation</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100" w:type="dxa"/>
            <w:vAlign w:val="bottom"/>
          </w:tcPr>
          <w:p>
            <w:pPr>
              <w:ind w:left="280"/>
              <w:spacing w:after="0" w:line="164" w:lineRule="exact"/>
              <w:rPr>
                <w:sz w:val="20"/>
                <w:szCs w:val="20"/>
                <w:color w:val="auto"/>
              </w:rPr>
            </w:pPr>
            <w:r>
              <w:rPr>
                <w:rFonts w:ascii="Arial" w:cs="Arial" w:eastAsia="Arial" w:hAnsi="Arial"/>
                <w:sz w:val="16"/>
                <w:szCs w:val="16"/>
                <w:color w:val="auto"/>
              </w:rPr>
              <w:t>Total impact on income taxes</w:t>
            </w:r>
          </w:p>
        </w:tc>
        <w:tc>
          <w:tcPr>
            <w:tcW w:w="108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18</w:t>
            </w:r>
          </w:p>
        </w:tc>
        <w:tc>
          <w:tcPr>
            <w:tcW w:w="300" w:type="dxa"/>
            <w:vAlign w:val="bottom"/>
          </w:tcPr>
          <w:p>
            <w:pPr>
              <w:spacing w:after="0"/>
              <w:rPr>
                <w:sz w:val="14"/>
                <w:szCs w:val="14"/>
                <w:color w:val="auto"/>
              </w:rPr>
            </w:pPr>
          </w:p>
        </w:tc>
        <w:tc>
          <w:tcPr>
            <w:tcW w:w="1240" w:type="dxa"/>
            <w:vAlign w:val="bottom"/>
          </w:tcPr>
          <w:p>
            <w:pPr>
              <w:jc w:val="right"/>
              <w:ind w:right="80"/>
              <w:spacing w:after="0" w:line="164" w:lineRule="exact"/>
              <w:rPr>
                <w:sz w:val="20"/>
                <w:szCs w:val="20"/>
                <w:color w:val="auto"/>
              </w:rPr>
            </w:pPr>
            <w:r>
              <w:rPr>
                <w:rFonts w:ascii="Arial" w:cs="Arial" w:eastAsia="Arial" w:hAnsi="Arial"/>
                <w:sz w:val="16"/>
                <w:szCs w:val="16"/>
                <w:color w:val="auto"/>
              </w:rPr>
              <w:t>(19)</w:t>
            </w:r>
          </w:p>
        </w:tc>
        <w:tc>
          <w:tcPr>
            <w:tcW w:w="24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5"/>
        </w:trPr>
        <w:tc>
          <w:tcPr>
            <w:tcW w:w="7120" w:type="dxa"/>
            <w:vAlign w:val="bottom"/>
            <w:gridSpan w:val="2"/>
          </w:tcPr>
          <w:p>
            <w:pPr>
              <w:spacing w:after="0"/>
              <w:rPr>
                <w:sz w:val="20"/>
                <w:szCs w:val="20"/>
                <w:color w:val="auto"/>
              </w:rPr>
            </w:pPr>
            <w:r>
              <w:rPr>
                <w:rFonts w:ascii="Arial" w:cs="Arial" w:eastAsia="Arial" w:hAnsi="Arial"/>
                <w:sz w:val="16"/>
                <w:szCs w:val="16"/>
                <w:color w:val="auto"/>
              </w:rPr>
              <w:t>After-tax losses on Mexican peso exchange rate</w:t>
            </w:r>
          </w:p>
        </w:tc>
        <w:tc>
          <w:tcPr>
            <w:tcW w:w="108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6"/>
                <w:szCs w:val="16"/>
                <w:color w:val="auto"/>
              </w:rPr>
            </w:pPr>
          </w:p>
        </w:tc>
        <w:tc>
          <w:tcPr>
            <w:tcW w:w="12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00" w:type="dxa"/>
            <w:vAlign w:val="bottom"/>
          </w:tcPr>
          <w:p>
            <w:pPr>
              <w:ind w:left="280"/>
              <w:spacing w:after="0" w:line="168" w:lineRule="exact"/>
              <w:rPr>
                <w:sz w:val="20"/>
                <w:szCs w:val="20"/>
                <w:color w:val="auto"/>
              </w:rPr>
            </w:pPr>
            <w:r>
              <w:rPr>
                <w:rFonts w:ascii="Arial" w:cs="Arial" w:eastAsia="Arial" w:hAnsi="Arial"/>
                <w:sz w:val="16"/>
                <w:szCs w:val="16"/>
                <w:color w:val="auto"/>
              </w:rPr>
              <w:t>instruments (included in Other Income, Net)</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120" w:type="dxa"/>
            <w:vAlign w:val="bottom"/>
            <w:gridSpan w:val="2"/>
          </w:tcPr>
          <w:p>
            <w:pPr>
              <w:spacing w:after="0" w:line="164" w:lineRule="exact"/>
              <w:rPr>
                <w:sz w:val="20"/>
                <w:szCs w:val="20"/>
                <w:color w:val="auto"/>
              </w:rPr>
            </w:pPr>
            <w:r>
              <w:rPr>
                <w:rFonts w:ascii="Arial" w:cs="Arial" w:eastAsia="Arial" w:hAnsi="Arial"/>
                <w:sz w:val="16"/>
                <w:szCs w:val="16"/>
                <w:color w:val="auto"/>
              </w:rPr>
              <w:t>Net impacts on Sempra Energy Consolidated</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Statements of Operations</w:t>
            </w:r>
          </w:p>
        </w:tc>
        <w:tc>
          <w:tcPr>
            <w:tcW w:w="1080" w:type="dxa"/>
            <w:vAlign w:val="bottom"/>
            <w:tcBorders>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Net of Income Tax</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ectPr>
          <w:pgSz w:w="11900" w:h="16942" w:orient="portrait"/>
          <w:cols w:equalWidth="0" w:num="1">
            <w:col w:w="11420"/>
          </w:cols>
          <w:pgMar w:left="240" w:top="125" w:right="239" w:bottom="0" w:gutter="0" w:footer="0" w:header="0"/>
        </w:sectPr>
      </w:pPr>
    </w:p>
    <w:p>
      <w:pPr>
        <w:spacing w:after="0" w:line="2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Equity earnings of unconsolidated subsidiaries, net of income tax, which are primarily earnings from Sempra Pipelines &amp; Storage’s equity method investments, were</w:t>
      </w:r>
    </w:p>
    <w:p>
      <w:pPr>
        <w:sectPr>
          <w:pgSz w:w="11900" w:h="16942" w:orient="portrait"/>
          <w:cols w:equalWidth="0" w:num="1">
            <w:col w:w="11420"/>
          </w:cols>
          <w:pgMar w:left="240" w:top="125" w:right="239" w:bottom="0" w:gutter="0" w:footer="0" w:header="0"/>
          <w:type w:val="continuous"/>
        </w:sectPr>
      </w:pPr>
    </w:p>
    <w:bookmarkStart w:id="158" w:name="page159"/>
    <w:bookmarkEnd w:id="158"/>
    <w:p>
      <w:pPr>
        <w:ind w:left="340" w:hanging="188"/>
        <w:spacing w:after="0"/>
        <w:tabs>
          <w:tab w:leader="none" w:pos="3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$52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$49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$68 million in 2009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$44 million pretax write-down of Sempra Pipelines &amp; Storage’s investment in Argentina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$10 million higher earnings related to the joint-venture interest acquired from El Paso Corporation in April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right="2340" w:firstLine="152"/>
        <w:spacing w:after="0" w:line="514" w:lineRule="auto"/>
        <w:tabs>
          <w:tab w:leader="none" w:pos="32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$50 million lower earnings related to equity method investments in Chile and Peru, for entities that are now consolidated. Equity earnings, net of income tax, decreased in 2010 compared to 2009 primarily due to:</w:t>
      </w:r>
    </w:p>
    <w:p>
      <w:pPr>
        <w:ind w:left="340" w:hanging="188"/>
        <w:spacing w:after="0"/>
        <w:tabs>
          <w:tab w:leader="none" w:pos="3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$44 million pretax write-down in Argentina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$19 million earnings related to the joint-venture interest acquired from El Paso Corporation;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$13 million higher earnings from investments in Chile and Peru.</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Losses Attributable to Noncontrolling Interests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Earnings attributable to noncontrolling interests were $42 million in 2011 compared to losses of $16 million in 2010. The change was primarily due to:</w:t>
      </w:r>
    </w:p>
    <w:p>
      <w:pPr>
        <w:spacing w:after="0" w:line="237" w:lineRule="exact"/>
        <w:rPr>
          <w:sz w:val="20"/>
          <w:szCs w:val="20"/>
          <w:color w:val="auto"/>
        </w:rPr>
      </w:pPr>
    </w:p>
    <w:p>
      <w:pPr>
        <w:ind w:left="340" w:hanging="188"/>
        <w:spacing w:after="0" w:line="277" w:lineRule="auto"/>
        <w:tabs>
          <w:tab w:leader="none" w:pos="3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$19 million earnings attributable to noncontrolling interest in 2011 compared to losses of $16 million in 2010 at Otay Mesa VIE, which we discuss below;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$22 million earnings primarily from noncontrolling interests at Luz del Sur in 2011.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hanging="188"/>
        <w:spacing w:after="0"/>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losses attributable to Otay Mesa VIE of $16 million in 2010 compared to earnings of $24 million in 2009, which we discuss below;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$33 million associated with the write-off of assets at Liberty in 2009.</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Earnings attributable to noncontrolling interest, all related to Otay Mesa VIE, were $19 million in 2011 compared to losses of $16 million in 2010. The change was primarily due to $34 million of losses on interest rate instruments in 2010.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Losses attributable to noncontrolling interest were $16 million in 2010 compared to earnings of $24 million in 2009. The change was primarily due to:</w:t>
      </w:r>
    </w:p>
    <w:p>
      <w:pPr>
        <w:spacing w:after="0" w:line="237" w:lineRule="exact"/>
        <w:rPr>
          <w:sz w:val="20"/>
          <w:szCs w:val="20"/>
          <w:color w:val="auto"/>
        </w:rPr>
      </w:pPr>
    </w:p>
    <w:p>
      <w:pPr>
        <w:ind w:left="340" w:hanging="188"/>
        <w:spacing w:after="0"/>
        <w:tabs>
          <w:tab w:leader="none" w:pos="3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$34 million in losses on interest rate instruments in 2010 compared to $27 million in gains in 2009;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$14 million in interest expense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$34 million increase in operating income in 2010.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summarize variations in overall earnings in “Overall Results of Operations of Sempra Energy and Factors Affecting the Results” above. We discuss variations in earnings by business unit above in “Business Unit Results.”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provide information about our related party transactions in Note 1 of the 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VALUE PER SHARE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Sempra Energy’s book value per share on the last day of each year was</w:t>
      </w:r>
    </w:p>
    <w:p>
      <w:pPr>
        <w:spacing w:after="0" w:line="225" w:lineRule="exact"/>
        <w:rPr>
          <w:sz w:val="20"/>
          <w:szCs w:val="20"/>
          <w:color w:val="auto"/>
        </w:rPr>
      </w:pPr>
    </w:p>
    <w:p>
      <w:pPr>
        <w:ind w:left="340" w:hanging="188"/>
        <w:spacing w:after="0"/>
        <w:tabs>
          <w:tab w:leader="none" w:pos="3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$41.00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$37.54 in 2010</w:t>
      </w:r>
    </w:p>
    <w:p>
      <w:pPr>
        <w:sectPr>
          <w:pgSz w:w="11900" w:h="16838" w:orient="portrait"/>
          <w:cols w:equalWidth="0" w:num="1">
            <w:col w:w="11420"/>
          </w:cols>
          <w:pgMar w:left="240" w:top="342" w:right="239" w:bottom="0" w:gutter="0" w:footer="0" w:header="0"/>
        </w:sectPr>
      </w:pPr>
    </w:p>
    <w:bookmarkStart w:id="159" w:name="page160"/>
    <w:bookmarkEnd w:id="159"/>
    <w:p>
      <w:pPr>
        <w:ind w:left="160"/>
        <w:spacing w:after="0"/>
        <w:rPr>
          <w:sz w:val="20"/>
          <w:szCs w:val="20"/>
          <w:color w:val="auto"/>
        </w:rPr>
      </w:pPr>
      <w:r>
        <w:rPr>
          <w:rFonts w:ascii="Arial" w:cs="Arial" w:eastAsia="Arial" w:hAnsi="Arial"/>
          <w:sz w:val="18"/>
          <w:szCs w:val="18"/>
          <w:color w:val="auto"/>
        </w:rPr>
        <w:t>§ $36.54 in 2009</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increases in 2011 and 2010 were primarily the result of comprehensive income exceeding dividends. The increase in 2010 was offset to a large extent by the reduction in common stock shares from a 2010 share repurchase program at an amount per share greater than book value. We discuss the share repurchase program in Note 13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expect our cash flows from operations to fund a substantial portion of our capital expenditures and dividends. In addition, we may meet our cash requirements through the issuance of short-term and long-term debt and the expected distributions from RBS Sempra Commodities related to proceeds from the transactions to sell certain businesses within the joint venture, as we discuss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Significant events in 2011 affecting capital resources, liquidity and cash flows were</w:t>
      </w:r>
    </w:p>
    <w:p>
      <w:pPr>
        <w:spacing w:after="0" w:line="225" w:lineRule="exact"/>
        <w:rPr>
          <w:sz w:val="20"/>
          <w:szCs w:val="20"/>
          <w:color w:val="auto"/>
        </w:rPr>
      </w:pPr>
    </w:p>
    <w:p>
      <w:pPr>
        <w:ind w:left="340" w:hanging="188"/>
        <w:spacing w:after="0"/>
        <w:tabs>
          <w:tab w:leader="none" w:pos="3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long-term debt issuances at Sempra Energy ($800 million) and SDG&amp;E ($600 million)</w:t>
      </w:r>
    </w:p>
    <w:p>
      <w:pPr>
        <w:spacing w:after="0" w:line="252" w:lineRule="exact"/>
        <w:rPr>
          <w:rFonts w:ascii="Arial" w:cs="Arial" w:eastAsia="Arial" w:hAnsi="Arial"/>
          <w:sz w:val="18"/>
          <w:szCs w:val="18"/>
          <w:color w:val="auto"/>
        </w:rPr>
      </w:pPr>
    </w:p>
    <w:p>
      <w:pPr>
        <w:ind w:left="380" w:hanging="228"/>
        <w:spacing w:after="0"/>
        <w:tabs>
          <w:tab w:leader="none" w:pos="3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$623 million in distributions received from RBS Sempra Commodities related to the sale of joint venture businesses and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Sempra Pipelines &amp; Storage’s acquisition of additional interests in South American utilities for $611 million, net of cash acquired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$2.8 billion in expenditures for property, plant and equipment, including $789 million for SDG&amp;E’s Sunrise Powerlink project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$482 million of Sempra Energy debt retirements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cash payment of $130 million in January 2011 related to a 2010 settlement to resolve certain energy crisis litigation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discuss these events in more detail later in this section.</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committed lines of credit provide liquidity and support commercial paper. As we discuss in Note 5 of the Notes to Consolidated Financial Statements, Sempra Energy, Sempra Global and the Sempra Utilities each have four-year revolving credit facilities, expiring in 2014. At Sempra Energy and Sempra Global, the agreements are syndicated broadly among 23 different lenders and at the Sempra Utilities, among 22 different lenders. No single lender has greater than a 7-percent share in any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available funds at year-end 2011: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Sempra Energy</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Consolidated</w:t>
            </w: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SoCalGas</w:t>
            </w:r>
          </w:p>
        </w:tc>
      </w:tr>
      <w:tr>
        <w:trPr>
          <w:trHeight w:val="164"/>
        </w:trPr>
        <w:tc>
          <w:tcPr>
            <w:tcW w:w="20" w:type="dxa"/>
            <w:vAlign w:val="bottom"/>
          </w:tcPr>
          <w:p>
            <w:pPr>
              <w:spacing w:after="0"/>
              <w:rPr>
                <w:sz w:val="14"/>
                <w:szCs w:val="14"/>
                <w:color w:val="auto"/>
              </w:rPr>
            </w:pPr>
          </w:p>
        </w:tc>
        <w:tc>
          <w:tcPr>
            <w:tcW w:w="4200" w:type="dxa"/>
            <w:vAlign w:val="bottom"/>
          </w:tcPr>
          <w:p>
            <w:pPr>
              <w:spacing w:after="0" w:line="164" w:lineRule="exact"/>
              <w:rPr>
                <w:sz w:val="20"/>
                <w:szCs w:val="20"/>
                <w:color w:val="auto"/>
              </w:rPr>
            </w:pPr>
            <w:r>
              <w:rPr>
                <w:rFonts w:ascii="Arial" w:cs="Arial" w:eastAsia="Arial" w:hAnsi="Arial"/>
                <w:sz w:val="16"/>
                <w:szCs w:val="16"/>
                <w:color w:val="auto"/>
              </w:rPr>
              <w:t>Unrestricted cash and cash equivalents</w:t>
            </w:r>
          </w:p>
        </w:tc>
        <w:tc>
          <w:tcPr>
            <w:tcW w:w="1900" w:type="dxa"/>
            <w:vAlign w:val="bottom"/>
          </w:tcPr>
          <w:p>
            <w:pPr>
              <w:jc w:val="right"/>
              <w:ind w:right="339"/>
              <w:spacing w:after="0" w:line="164"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64" w:lineRule="exact"/>
              <w:rPr>
                <w:sz w:val="20"/>
                <w:szCs w:val="20"/>
                <w:color w:val="auto"/>
              </w:rPr>
            </w:pPr>
            <w:r>
              <w:rPr>
                <w:rFonts w:ascii="Arial" w:cs="Arial" w:eastAsia="Arial" w:hAnsi="Arial"/>
                <w:sz w:val="16"/>
                <w:szCs w:val="16"/>
                <w:color w:val="auto"/>
              </w:rPr>
              <w:t>252</w:t>
            </w:r>
          </w:p>
        </w:tc>
        <w:tc>
          <w:tcPr>
            <w:tcW w:w="740" w:type="dxa"/>
            <w:vAlign w:val="bottom"/>
          </w:tcPr>
          <w:p>
            <w:pPr>
              <w:jc w:val="right"/>
              <w:ind w:right="584"/>
              <w:spacing w:after="0" w:line="164"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64" w:lineRule="exact"/>
              <w:rPr>
                <w:sz w:val="20"/>
                <w:szCs w:val="20"/>
                <w:color w:val="auto"/>
              </w:rPr>
            </w:pPr>
            <w:r>
              <w:rPr>
                <w:rFonts w:ascii="Arial" w:cs="Arial" w:eastAsia="Arial" w:hAnsi="Arial"/>
                <w:sz w:val="16"/>
                <w:szCs w:val="16"/>
                <w:color w:val="auto"/>
              </w:rPr>
              <w:t>29</w:t>
            </w:r>
          </w:p>
        </w:tc>
        <w:tc>
          <w:tcPr>
            <w:tcW w:w="700" w:type="dxa"/>
            <w:vAlign w:val="bottom"/>
          </w:tcPr>
          <w:p>
            <w:pPr>
              <w:jc w:val="right"/>
              <w:ind w:right="519"/>
              <w:spacing w:after="0" w:line="164"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36</w:t>
            </w:r>
          </w:p>
        </w:tc>
      </w:tr>
      <w:tr>
        <w:trPr>
          <w:trHeight w:val="195"/>
        </w:trPr>
        <w:tc>
          <w:tcPr>
            <w:tcW w:w="4220" w:type="dxa"/>
            <w:vAlign w:val="bottom"/>
            <w:gridSpan w:val="2"/>
          </w:tcPr>
          <w:p>
            <w:pPr>
              <w:spacing w:after="0"/>
              <w:rPr>
                <w:sz w:val="20"/>
                <w:szCs w:val="20"/>
                <w:color w:val="auto"/>
              </w:rPr>
            </w:pPr>
            <w:r>
              <w:rPr>
                <w:rFonts w:ascii="Arial" w:cs="Arial" w:eastAsia="Arial" w:hAnsi="Arial"/>
                <w:sz w:val="16"/>
                <w:szCs w:val="16"/>
                <w:color w:val="auto"/>
              </w:rPr>
              <w:t>Available unused credit(1)</w:t>
            </w:r>
          </w:p>
        </w:tc>
        <w:tc>
          <w:tcPr>
            <w:tcW w:w="1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2,734</w:t>
            </w:r>
          </w:p>
        </w:tc>
        <w:tc>
          <w:tcPr>
            <w:tcW w:w="7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c>
          <w:tcPr>
            <w:tcW w:w="7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right="40" w:hanging="612"/>
        <w:spacing w:after="0" w:line="260" w:lineRule="auto"/>
        <w:tabs>
          <w:tab w:leader="none" w:pos="620" w:val="left"/>
        </w:tabs>
        <w:numPr>
          <w:ilvl w:val="0"/>
          <w:numId w:val="237"/>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5, are limited to $600 million for each utility and $800 million in total. SDG&amp;E’s available funds reflect variable-rate demand notes of $237 million supported by the line. SoCalGas’ availability reflects the impact of SDG&amp;E’s use of the combined credit available on the line.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security issuances, combined with current cash balances, will be adequate to:</w:t>
      </w:r>
    </w:p>
    <w:p>
      <w:pPr>
        <w:spacing w:after="0" w:line="170" w:lineRule="exact"/>
        <w:rPr>
          <w:sz w:val="20"/>
          <w:szCs w:val="20"/>
          <w:color w:val="auto"/>
        </w:rPr>
      </w:pPr>
    </w:p>
    <w:p>
      <w:pPr>
        <w:ind w:left="340" w:hanging="188"/>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repay maturing long-term debt</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2011, Sempra Energy publicly offered and sold $500 million of 2-percent notes and $300 million of floating rate notes, both maturing in 2014. In August 2011, SDG&amp;E publicly offered and sold $350 million of 3-percent first mortgage bonds maturing in 2021. In November 2011, SDG&amp;E publicly offered and sold $250 million of 3.95-percent first mortgage bonds maturing in 2041. SDG&amp;E and SoCalGas issued long-term debt in 2010 in the aggregate principal amounts of $750 million and $300 million, respectively. Changing economic conditions could affect the availability and cost of both short-term and long-term financing. If cash flows from operations were to be significantly reduced or we were unable to borrow under acceptable terms, we would reduce or postpone discretionary capital expenditures and investments in new businesses. If these measures were necessary, they would primarily impact certain of our Sempra Global businesses before we would reduce funds necessary for the ongoing needs of the Sempra Utilities, and secondarily our South American utilities. We continuously monitor our ability to finance the needs of our operating, investing and financing activities in a manner consistent with our intention to maintain strong, investment-grade credit ratings and capital structure.</w:t>
      </w:r>
    </w:p>
    <w:p>
      <w:pPr>
        <w:sectPr>
          <w:pgSz w:w="11900" w:h="16838" w:orient="portrait"/>
          <w:cols w:equalWidth="0" w:num="1">
            <w:col w:w="11420"/>
          </w:cols>
          <w:pgMar w:left="240" w:top="125" w:right="239" w:bottom="124" w:gutter="0" w:footer="0" w:header="0"/>
        </w:sectPr>
      </w:pPr>
    </w:p>
    <w:bookmarkStart w:id="160" w:name="page161"/>
    <w:bookmarkEnd w:id="160"/>
    <w:p>
      <w:pPr>
        <w:ind w:right="20"/>
        <w:spacing w:after="0" w:line="293" w:lineRule="auto"/>
        <w:rPr>
          <w:sz w:val="20"/>
          <w:szCs w:val="20"/>
          <w:color w:val="auto"/>
        </w:rPr>
      </w:pPr>
      <w:r>
        <w:rPr>
          <w:rFonts w:ascii="Arial" w:cs="Arial" w:eastAsia="Arial" w:hAnsi="Arial"/>
          <w:sz w:val="16"/>
          <w:szCs w:val="16"/>
          <w:color w:val="auto"/>
        </w:rPr>
        <w:t>In three separate transactions during 2010 and one in early 2011, we and RBS sold substantially all of the businesses and assets of our joint-venture partnership that comprised our commodities-marketing businesses. Distributions from the partnership in 2011 were $623 million. As we conclude the transactions to divest the businesses, we expect to recover our remaining $126 million investment in the partnership in 2012. Minor amounts may be retained beyond 2012 by the partnership to help offset unanticipated future general and administrative costs necessary to complete the dissolution of the partnership. We are providing transitional back-up guarantees, a few of which may continue for a prolonged period of time. Either RBS or JP Morgan Chase &amp; Co., one of the buyers’ parties in the sales transactions, has fully indemnified us for any claims or losses in connection with the related transactions.</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provide additional information about RBS Sempra Commodities and the sales transactions and guarantees in Notes 3, 4, 5 and 15 of the Notes to Consolidated Financial Statements.</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April 2011, Sempra Pipelines &amp; Storage acquired AEI’s interests in Chilquinta Energía, Luz del Sur, and related entities for $611 million in cash (net of cash acquired). This transaction was funded with excess funds from foreign operations, proceeds from divestitures and short-term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Chilquinta Energía and Luz del Sur in Note 3 of the Notes to Consolidated Financial Statements.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December 31, 2010, our cash and cash equivalents held in foreign jurisdictions that are unavailable to fund domestic operations unless repatriated were approximately $150 million. At December 31, 2011, these cash balances are negative when netted against loans from Sempra Energy to fund the acquisitions in South America in April 2011. We intend for funds associated with accumulated foreign earnings through December 31, 2011 to remain indefinitely in our foreign subsidiaries to fund their operations. We are currently considering a plan to repatriate future earnings from certain foreign operations beginning in 2013.</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At the Sempra Utilities, funding requirements are generally recoverable in rates.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24, 2012, our board of directors approved an increase to our quarterly common stock dividend to $0.60 per share ($2.40 annually), an increase of $0.12 per share ($0.48 annually) from $0.48 per share ($1.92 annually) authorized in February 2011. Declarations of dividends on our common stock are made at the discretion of the board. While we view dividends as an integral component of shareholder return, the amount of future dividends will depend upon earnings, cash flows, financial and legal requirements, and other relevant factors at that time.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18, 2011, our board of directors approved an increase to our quarterly common stock dividend to $0.48 per share ($1.92 annually), an increase of $0.09 per share ($0.36 annually) from $0.39 per share ($1.56 annually) authorized in February 2009. We provide further information regarding dividends and dividend restrictions in “Dividends” and “Common Stock Data” below. We discuss restricted net assets in Note 1 of the 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further in Note 5 of the Notes to Consolidated Financial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Short-Term Borrowings</w:t>
      </w:r>
    </w:p>
    <w:p>
      <w:pPr>
        <w:spacing w:after="0" w:line="20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short-term debt is used to finance capital expenditures, meet liquidity requirements, fund shareholder dividends and fund new business acquisitions or start-ups. Our corporate short-term unsecured promissory notes, or commercial paper, were our primary source of short-term debt funding in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selected statistics for our commercial paper borrowings for 2011: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PAPER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31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color w:val="auto"/>
              </w:rPr>
              <w:t>Commercial Paper</w:t>
            </w:r>
          </w:p>
        </w:tc>
      </w:tr>
      <w:tr>
        <w:trPr>
          <w:trHeight w:val="164"/>
        </w:trPr>
        <w:tc>
          <w:tcPr>
            <w:tcW w:w="20" w:type="dxa"/>
            <w:vAlign w:val="bottom"/>
          </w:tcPr>
          <w:p>
            <w:pPr>
              <w:spacing w:after="0"/>
              <w:rPr>
                <w:sz w:val="14"/>
                <w:szCs w:val="14"/>
                <w:color w:val="auto"/>
              </w:rPr>
            </w:pPr>
          </w:p>
        </w:tc>
        <w:tc>
          <w:tcPr>
            <w:tcW w:w="738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380" w:type="dxa"/>
            <w:vAlign w:val="bottom"/>
          </w:tcPr>
          <w:p>
            <w:pPr>
              <w:ind w:left="740"/>
              <w:spacing w:after="0" w:line="176" w:lineRule="exact"/>
              <w:rPr>
                <w:sz w:val="20"/>
                <w:szCs w:val="20"/>
                <w:color w:val="auto"/>
              </w:rPr>
            </w:pPr>
            <w:r>
              <w:rPr>
                <w:rFonts w:ascii="Arial" w:cs="Arial" w:eastAsia="Arial" w:hAnsi="Arial"/>
                <w:sz w:val="16"/>
                <w:szCs w:val="16"/>
                <w:color w:val="auto"/>
              </w:rPr>
              <w:t>Amount outstanding at December 31, 2011(1)</w:t>
            </w:r>
          </w:p>
        </w:tc>
        <w:tc>
          <w:tcPr>
            <w:tcW w:w="3020" w:type="dxa"/>
            <w:vAlign w:val="bottom"/>
          </w:tcPr>
          <w:p>
            <w:pPr>
              <w:jc w:val="right"/>
              <w:ind w:right="481"/>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821</w:t>
            </w:r>
          </w:p>
        </w:tc>
      </w:tr>
      <w:tr>
        <w:trPr>
          <w:trHeight w:val="195"/>
        </w:trPr>
        <w:tc>
          <w:tcPr>
            <w:tcW w:w="20" w:type="dxa"/>
            <w:vAlign w:val="bottom"/>
          </w:tcPr>
          <w:p>
            <w:pPr>
              <w:spacing w:after="0"/>
              <w:rPr>
                <w:sz w:val="16"/>
                <w:szCs w:val="16"/>
                <w:color w:val="auto"/>
              </w:rPr>
            </w:pPr>
          </w:p>
        </w:tc>
        <w:tc>
          <w:tcPr>
            <w:tcW w:w="7380" w:type="dxa"/>
            <w:vAlign w:val="bottom"/>
          </w:tcPr>
          <w:p>
            <w:pPr>
              <w:ind w:left="740"/>
              <w:spacing w:after="0"/>
              <w:rPr>
                <w:sz w:val="20"/>
                <w:szCs w:val="20"/>
                <w:color w:val="auto"/>
              </w:rPr>
            </w:pPr>
            <w:r>
              <w:rPr>
                <w:rFonts w:ascii="Arial" w:cs="Arial" w:eastAsia="Arial" w:hAnsi="Arial"/>
                <w:sz w:val="16"/>
                <w:szCs w:val="16"/>
                <w:color w:val="auto"/>
              </w:rPr>
              <w:t>Weighted average interest rate at December 31, 2011</w:t>
            </w:r>
          </w:p>
        </w:tc>
        <w:tc>
          <w:tcPr>
            <w:tcW w:w="3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0.74%</w:t>
            </w:r>
          </w:p>
        </w:tc>
      </w:tr>
      <w:tr>
        <w:trPr>
          <w:trHeight w:val="351"/>
        </w:trPr>
        <w:tc>
          <w:tcPr>
            <w:tcW w:w="20" w:type="dxa"/>
            <w:vAlign w:val="bottom"/>
          </w:tcPr>
          <w:p>
            <w:pPr>
              <w:spacing w:after="0"/>
              <w:rPr>
                <w:sz w:val="24"/>
                <w:szCs w:val="24"/>
                <w:color w:val="auto"/>
              </w:rPr>
            </w:pPr>
          </w:p>
        </w:tc>
        <w:tc>
          <w:tcPr>
            <w:tcW w:w="7380" w:type="dxa"/>
            <w:vAlign w:val="bottom"/>
          </w:tcPr>
          <w:p>
            <w:pPr>
              <w:ind w:left="740"/>
              <w:spacing w:after="0"/>
              <w:rPr>
                <w:sz w:val="20"/>
                <w:szCs w:val="20"/>
                <w:color w:val="auto"/>
              </w:rPr>
            </w:pPr>
            <w:r>
              <w:rPr>
                <w:rFonts w:ascii="Arial" w:cs="Arial" w:eastAsia="Arial" w:hAnsi="Arial"/>
                <w:sz w:val="16"/>
                <w:szCs w:val="16"/>
                <w:color w:val="auto"/>
              </w:rPr>
              <w:t>Maximum month-end amount outstanding during 2011(2)</w:t>
            </w:r>
          </w:p>
        </w:tc>
        <w:tc>
          <w:tcPr>
            <w:tcW w:w="3020" w:type="dxa"/>
            <w:vAlign w:val="bottom"/>
          </w:tcPr>
          <w:p>
            <w:pPr>
              <w:jc w:val="right"/>
              <w:ind w:right="48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332"/>
        </w:trPr>
        <w:tc>
          <w:tcPr>
            <w:tcW w:w="20" w:type="dxa"/>
            <w:vAlign w:val="bottom"/>
          </w:tcPr>
          <w:p>
            <w:pPr>
              <w:spacing w:after="0"/>
              <w:rPr>
                <w:sz w:val="24"/>
                <w:szCs w:val="24"/>
                <w:color w:val="auto"/>
              </w:rPr>
            </w:pPr>
          </w:p>
        </w:tc>
        <w:tc>
          <w:tcPr>
            <w:tcW w:w="7380" w:type="dxa"/>
            <w:vAlign w:val="bottom"/>
          </w:tcPr>
          <w:p>
            <w:pPr>
              <w:ind w:left="740"/>
              <w:spacing w:after="0"/>
              <w:rPr>
                <w:sz w:val="20"/>
                <w:szCs w:val="20"/>
                <w:color w:val="auto"/>
              </w:rPr>
            </w:pPr>
            <w:r>
              <w:rPr>
                <w:rFonts w:ascii="Arial" w:cs="Arial" w:eastAsia="Arial" w:hAnsi="Arial"/>
                <w:sz w:val="16"/>
                <w:szCs w:val="16"/>
                <w:color w:val="auto"/>
              </w:rPr>
              <w:t>Monthly weighted average amount outstanding during 2011</w:t>
            </w:r>
          </w:p>
        </w:tc>
        <w:tc>
          <w:tcPr>
            <w:tcW w:w="3020" w:type="dxa"/>
            <w:vAlign w:val="bottom"/>
          </w:tcPr>
          <w:p>
            <w:pPr>
              <w:jc w:val="right"/>
              <w:ind w:right="48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195"/>
        </w:trPr>
        <w:tc>
          <w:tcPr>
            <w:tcW w:w="20" w:type="dxa"/>
            <w:vAlign w:val="bottom"/>
          </w:tcPr>
          <w:p>
            <w:pPr>
              <w:spacing w:after="0"/>
              <w:rPr>
                <w:sz w:val="16"/>
                <w:szCs w:val="16"/>
                <w:color w:val="auto"/>
              </w:rPr>
            </w:pPr>
          </w:p>
        </w:tc>
        <w:tc>
          <w:tcPr>
            <w:tcW w:w="7380" w:type="dxa"/>
            <w:vAlign w:val="bottom"/>
          </w:tcPr>
          <w:p>
            <w:pPr>
              <w:ind w:left="740"/>
              <w:spacing w:after="0"/>
              <w:rPr>
                <w:sz w:val="20"/>
                <w:szCs w:val="20"/>
                <w:color w:val="auto"/>
              </w:rPr>
            </w:pPr>
            <w:r>
              <w:rPr>
                <w:rFonts w:ascii="Arial" w:cs="Arial" w:eastAsia="Arial" w:hAnsi="Arial"/>
                <w:sz w:val="16"/>
                <w:szCs w:val="16"/>
                <w:color w:val="auto"/>
              </w:rPr>
              <w:t>Monthly weighted average interest rate during 2011</w:t>
            </w:r>
          </w:p>
        </w:tc>
        <w:tc>
          <w:tcPr>
            <w:tcW w:w="3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60" w:hanging="462"/>
        <w:spacing w:after="0"/>
        <w:tabs>
          <w:tab w:leader="none" w:pos="760" w:val="left"/>
        </w:tabs>
        <w:numPr>
          <w:ilvl w:val="0"/>
          <w:numId w:val="23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$400 million classified as long-term, as we discuss in Note 5 of the Notes to Consolidated Financial Statements.</w:t>
      </w:r>
    </w:p>
    <w:p>
      <w:pPr>
        <w:spacing w:after="0" w:line="15" w:lineRule="exact"/>
        <w:rPr>
          <w:rFonts w:ascii="Arial" w:cs="Arial" w:eastAsia="Arial" w:hAnsi="Arial"/>
          <w:sz w:val="14"/>
          <w:szCs w:val="14"/>
          <w:i w:val="1"/>
          <w:iCs w:val="1"/>
          <w:color w:val="auto"/>
        </w:rPr>
      </w:pPr>
    </w:p>
    <w:p>
      <w:pPr>
        <w:ind w:left="760" w:hanging="462"/>
        <w:spacing w:after="0"/>
        <w:tabs>
          <w:tab w:leader="none" w:pos="760" w:val="left"/>
        </w:tabs>
        <w:numPr>
          <w:ilvl w:val="0"/>
          <w:numId w:val="239"/>
        </w:numPr>
        <w:rPr>
          <w:rFonts w:ascii="Arial" w:cs="Arial" w:eastAsia="Arial" w:hAnsi="Arial"/>
          <w:sz w:val="14"/>
          <w:szCs w:val="14"/>
          <w:i w:val="1"/>
          <w:iCs w:val="1"/>
          <w:color w:val="auto"/>
        </w:rPr>
      </w:pPr>
      <w:r>
        <w:rPr>
          <w:rFonts w:ascii="Arial" w:cs="Arial" w:eastAsia="Arial" w:hAnsi="Arial"/>
          <w:sz w:val="14"/>
          <w:szCs w:val="14"/>
          <w:i w:val="1"/>
          <w:iCs w:val="1"/>
          <w:color w:val="auto"/>
        </w:rPr>
        <w:t>The largest amount outstanding at the end of the last day of any month during 2011.</w:t>
      </w:r>
    </w:p>
    <w:p>
      <w:pPr>
        <w:spacing w:after="0" w:line="198" w:lineRule="exact"/>
        <w:rPr>
          <w:sz w:val="20"/>
          <w:szCs w:val="20"/>
          <w:color w:val="auto"/>
        </w:rPr>
      </w:pPr>
    </w:p>
    <w:p>
      <w:pPr>
        <w:ind w:right="680"/>
        <w:spacing w:after="0" w:line="257" w:lineRule="auto"/>
        <w:rPr>
          <w:sz w:val="20"/>
          <w:szCs w:val="20"/>
          <w:color w:val="auto"/>
        </w:rPr>
      </w:pPr>
      <w:r>
        <w:rPr>
          <w:rFonts w:ascii="Arial" w:cs="Arial" w:eastAsia="Arial" w:hAnsi="Arial"/>
          <w:sz w:val="18"/>
          <w:szCs w:val="18"/>
          <w:color w:val="auto"/>
        </w:rPr>
        <w:t>Significant cash flows impacting short-term debt levels at Sempra Energy Consolidated during 2011 include a payment in January related to a settlement to resolve certain energy crisis litigation ($130 million); issuance of long-term debt at Sempra Energy in March ($800 million); acquisitions made by Sempra Pipelines &amp; Storage in April ($611 million); distributions from RBS Sempra Commodities in April ($329 million), August ($98 million) and December ($196 million); redemption of subsidiary preferred stock in June ($80 million); and capital investments made by Sempra Generation in renewable projects in December ($234 million).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0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SoCalGas expects that cash flows from operations and debt issuances will continue to be adequate to meet its capital expenditure requirements. In March 2011, Sempra Energy made a $200 million capital contribution to SDG&amp;E, and SDG&amp;E expects its cash flows from operations and debt issuances will be adequate to meet its future capital expenditure requirements.</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SoCalGas declared and paid a $50 million common dividend in 2011 and a $100 million common dividend in 2010. As a result of an increase in SoCalGas’ capital investment programs over the next few years, management expects SoCalGas’ dividends on common stock to be reduced or temporarily suspended over the next few years to maintain SoCalGas’ authorized capital structure during the periods of high capital investments.</w:t>
      </w:r>
    </w:p>
    <w:p>
      <w:pPr>
        <w:sectPr>
          <w:pgSz w:w="11900" w:h="16838" w:orient="portrait"/>
          <w:cols w:equalWidth="0" w:num="1">
            <w:col w:w="11420"/>
          </w:cols>
          <w:pgMar w:left="240" w:top="125" w:right="239" w:bottom="161" w:gutter="0" w:footer="0" w:header="0"/>
        </w:sectPr>
      </w:pPr>
    </w:p>
    <w:bookmarkStart w:id="161" w:name="page162"/>
    <w:bookmarkEnd w:id="161"/>
    <w:p>
      <w:pPr>
        <w:ind w:right="40"/>
        <w:spacing w:after="0" w:line="279" w:lineRule="auto"/>
        <w:rPr>
          <w:sz w:val="20"/>
          <w:szCs w:val="20"/>
          <w:color w:val="auto"/>
        </w:rPr>
      </w:pPr>
      <w:r>
        <w:rPr>
          <w:rFonts w:ascii="Arial" w:cs="Arial" w:eastAsia="Arial" w:hAnsi="Arial"/>
          <w:sz w:val="17"/>
          <w:szCs w:val="17"/>
          <w:color w:val="auto"/>
        </w:rPr>
        <w:t>SDG&amp;E’s most recent common dividend to Sempra Energy was declared and paid in the first quarter of 2009 in the amount of $150 million. As a result of SDG&amp;E’s large capital investment program over the past few years and the level of capital investment planned for 2012, SDG&amp;E does not expect to pay common dividends to Sempra Energy in 2012. However, due to the scheduled completion of construction of the Sunrise Powerlink transmission power line in 2012, SDG&amp;E expects to resume the declaration and payment of dividends on its common stock in 2013.</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0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expect Sempra Generation to require funds for the development of electric generation facilities, primarily renewable energy projects. Projects at Sempra Generation may be financed through a combination of operating cash flow, project financing, low-cost financing from the U.S. Department of Energy, U.S. Treasury Department cash grants, funds from the parent, partnering in joint ventures and proceeds received from the sale of El Dorado (now named Desert Star Energy Center) natural gas power plant to SDG&amp;E on October 1, 2011. Cash flows from operations at Sempra Generation are expected to decrease substantially since its contract with the DWR expired in September 2011, due to less favorable pricing on any replacement contracts obtained, and the sale of El Dorado. Also, Sempra Generation may not be able to replace all of the lost revenue due to decreased market demand. Sales to the DWR comprised six percent of Sempra Energy’s revenues in 2011. However, Sempra Generation is also undertaking and investing in several projects for the construction of renewable generation facilities, with planned in-service dates ranging from 2012 to 2016.</w:t>
      </w:r>
    </w:p>
    <w:p>
      <w:pPr>
        <w:spacing w:after="0" w:line="179"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Some of Sempra Generation’s long-term power sale contracts contain collateral requirements which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December 31, 2011 or 2010.</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expect Sempra Pipelines &amp; Storage to require funding from the parent or from external sources to fund projects and investments, including development and expansion of its natural gas storage projects. We expect projects at Chilquinta Energía and Luz del Sur to be funded by external borrowings and funds internally generated by Chilquinta Energía and Luz del Sur.</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provide additional information about Sempra Pipelines &amp; Storage’s investments in Chilquinta Energía and Luz del Sur in Note 3 of the Notes to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0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Sempra LNG required funding from 2007 through 2009 for its development and construction of the Energía Costa Azul and Cameron LNG terminals. As both of these facilities are now in service, Sempra LNG is expected to provide operating cash flow for further development within Sempra Global.</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360"/>
              <w:spacing w:after="0" w:line="157" w:lineRule="exact"/>
              <w:rPr>
                <w:sz w:val="20"/>
                <w:szCs w:val="20"/>
                <w:color w:val="auto"/>
              </w:rPr>
            </w:pPr>
            <w:r>
              <w:rPr>
                <w:rFonts w:ascii="Arial" w:cs="Arial" w:eastAsia="Arial" w:hAnsi="Arial"/>
                <w:sz w:val="14"/>
                <w:szCs w:val="14"/>
                <w:color w:val="auto"/>
              </w:rPr>
              <w:t>2011 Change</w:t>
            </w: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1"/>
              <w:spacing w:after="0" w:line="157" w:lineRule="exact"/>
              <w:rPr>
                <w:sz w:val="20"/>
                <w:szCs w:val="20"/>
                <w:color w:val="auto"/>
              </w:rPr>
            </w:pPr>
            <w:r>
              <w:rPr>
                <w:rFonts w:ascii="Arial" w:cs="Arial" w:eastAsia="Arial" w:hAnsi="Arial"/>
                <w:sz w:val="14"/>
                <w:szCs w:val="14"/>
                <w:color w:val="auto"/>
              </w:rPr>
              <w:t>2010 Change</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line="157" w:lineRule="exact"/>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246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100" w:type="dxa"/>
            <w:vAlign w:val="bottom"/>
          </w:tcPr>
          <w:p>
            <w:pPr>
              <w:jc w:val="right"/>
              <w:ind w:right="583"/>
              <w:spacing w:after="0" w:line="164"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w w:val="99"/>
              </w:rPr>
              <w:t>1,867</w:t>
            </w:r>
          </w:p>
        </w:tc>
        <w:tc>
          <w:tcPr>
            <w:tcW w:w="460" w:type="dxa"/>
            <w:vAlign w:val="bottom"/>
          </w:tcPr>
          <w:p>
            <w:pPr>
              <w:jc w:val="right"/>
              <w:ind w:right="259"/>
              <w:spacing w:after="0" w:line="164" w:lineRule="exact"/>
              <w:rPr>
                <w:sz w:val="20"/>
                <w:szCs w:val="20"/>
                <w:color w:val="auto"/>
              </w:rPr>
            </w:pPr>
            <w:r>
              <w:rPr>
                <w:rFonts w:ascii="Arial" w:cs="Arial" w:eastAsia="Arial" w:hAnsi="Arial"/>
                <w:sz w:val="16"/>
                <w:szCs w:val="16"/>
                <w:color w:val="auto"/>
              </w:rPr>
              <w:t>$</w:t>
            </w:r>
          </w:p>
        </w:tc>
        <w:tc>
          <w:tcPr>
            <w:tcW w:w="1280" w:type="dxa"/>
            <w:vAlign w:val="bottom"/>
          </w:tcPr>
          <w:p>
            <w:pPr>
              <w:jc w:val="center"/>
              <w:ind w:right="21"/>
              <w:spacing w:after="0" w:line="164" w:lineRule="exact"/>
              <w:rPr>
                <w:sz w:val="20"/>
                <w:szCs w:val="20"/>
                <w:color w:val="auto"/>
              </w:rPr>
            </w:pPr>
            <w:r>
              <w:rPr>
                <w:rFonts w:ascii="Arial" w:cs="Arial" w:eastAsia="Arial" w:hAnsi="Arial"/>
                <w:sz w:val="16"/>
                <w:szCs w:val="16"/>
                <w:color w:val="auto"/>
              </w:rPr>
              <w:t>(287)</w:t>
            </w:r>
          </w:p>
        </w:tc>
        <w:tc>
          <w:tcPr>
            <w:tcW w:w="480" w:type="dxa"/>
            <w:vAlign w:val="bottom"/>
          </w:tcPr>
          <w:p>
            <w:pPr>
              <w:jc w:val="center"/>
              <w:spacing w:after="0" w:line="164" w:lineRule="exact"/>
              <w:rPr>
                <w:sz w:val="20"/>
                <w:szCs w:val="20"/>
                <w:color w:val="auto"/>
              </w:rPr>
            </w:pPr>
            <w:r>
              <w:rPr>
                <w:rFonts w:ascii="Arial" w:cs="Arial" w:eastAsia="Arial" w:hAnsi="Arial"/>
                <w:sz w:val="16"/>
                <w:szCs w:val="16"/>
                <w:color w:val="auto"/>
                <w:w w:val="98"/>
              </w:rPr>
              <w:t>(13)</w:t>
            </w:r>
          </w:p>
        </w:tc>
        <w:tc>
          <w:tcPr>
            <w:tcW w:w="1020" w:type="dxa"/>
            <w:vAlign w:val="bottom"/>
          </w:tcPr>
          <w:p>
            <w:pPr>
              <w:jc w:val="right"/>
              <w:ind w:right="603"/>
              <w:spacing w:after="0" w:line="164"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w w:val="99"/>
              </w:rPr>
              <w:t>2,154</w:t>
            </w:r>
          </w:p>
        </w:tc>
        <w:tc>
          <w:tcPr>
            <w:tcW w:w="460" w:type="dxa"/>
            <w:vAlign w:val="bottom"/>
          </w:tcPr>
          <w:p>
            <w:pPr>
              <w:jc w:val="right"/>
              <w:ind w:right="279"/>
              <w:spacing w:after="0" w:line="164"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01"/>
              <w:spacing w:after="0" w:line="164" w:lineRule="exact"/>
              <w:rPr>
                <w:sz w:val="20"/>
                <w:szCs w:val="20"/>
                <w:color w:val="auto"/>
              </w:rPr>
            </w:pPr>
            <w:r>
              <w:rPr>
                <w:rFonts w:ascii="Arial" w:cs="Arial" w:eastAsia="Arial" w:hAnsi="Arial"/>
                <w:sz w:val="16"/>
                <w:szCs w:val="16"/>
                <w:color w:val="auto"/>
              </w:rPr>
              <w:t>279</w:t>
            </w:r>
          </w:p>
        </w:tc>
        <w:tc>
          <w:tcPr>
            <w:tcW w:w="420" w:type="dxa"/>
            <w:vAlign w:val="bottom"/>
          </w:tcPr>
          <w:p>
            <w:pPr>
              <w:jc w:val="right"/>
              <w:ind w:right="59"/>
              <w:spacing w:after="0" w:line="164" w:lineRule="exact"/>
              <w:rPr>
                <w:sz w:val="20"/>
                <w:szCs w:val="20"/>
                <w:color w:val="auto"/>
              </w:rPr>
            </w:pPr>
            <w:r>
              <w:rPr>
                <w:rFonts w:ascii="Arial" w:cs="Arial" w:eastAsia="Arial" w:hAnsi="Arial"/>
                <w:sz w:val="16"/>
                <w:szCs w:val="16"/>
                <w:color w:val="auto"/>
              </w:rPr>
              <w:t>15</w:t>
            </w:r>
          </w:p>
        </w:tc>
        <w:tc>
          <w:tcPr>
            <w:tcW w:w="54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1,875</w:t>
            </w:r>
          </w:p>
        </w:tc>
      </w:tr>
      <w:tr>
        <w:trPr>
          <w:trHeight w:val="176"/>
        </w:trPr>
        <w:tc>
          <w:tcPr>
            <w:tcW w:w="248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10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882</w:t>
            </w:r>
          </w:p>
        </w:tc>
        <w:tc>
          <w:tcPr>
            <w:tcW w:w="460" w:type="dxa"/>
            <w:vAlign w:val="bottom"/>
          </w:tcPr>
          <w:p>
            <w:pPr>
              <w:spacing w:after="0"/>
              <w:rPr>
                <w:sz w:val="15"/>
                <w:szCs w:val="15"/>
                <w:color w:val="auto"/>
              </w:rPr>
            </w:pPr>
          </w:p>
        </w:tc>
        <w:tc>
          <w:tcPr>
            <w:tcW w:w="1280" w:type="dxa"/>
            <w:vAlign w:val="bottom"/>
          </w:tcPr>
          <w:p>
            <w:pPr>
              <w:jc w:val="center"/>
              <w:ind w:right="1"/>
              <w:spacing w:after="0" w:line="176" w:lineRule="exact"/>
              <w:rPr>
                <w:sz w:val="20"/>
                <w:szCs w:val="20"/>
                <w:color w:val="auto"/>
              </w:rPr>
            </w:pPr>
            <w:r>
              <w:rPr>
                <w:rFonts w:ascii="Arial" w:cs="Arial" w:eastAsia="Arial" w:hAnsi="Arial"/>
                <w:sz w:val="16"/>
                <w:szCs w:val="16"/>
                <w:color w:val="auto"/>
              </w:rPr>
              <w:t>153</w:t>
            </w:r>
          </w:p>
        </w:tc>
        <w:tc>
          <w:tcPr>
            <w:tcW w:w="480" w:type="dxa"/>
            <w:vAlign w:val="bottom"/>
          </w:tcPr>
          <w:p>
            <w:pPr>
              <w:jc w:val="center"/>
              <w:spacing w:after="0" w:line="176" w:lineRule="exact"/>
              <w:rPr>
                <w:sz w:val="20"/>
                <w:szCs w:val="20"/>
                <w:color w:val="auto"/>
              </w:rPr>
            </w:pPr>
            <w:r>
              <w:rPr>
                <w:rFonts w:ascii="Arial" w:cs="Arial" w:eastAsia="Arial" w:hAnsi="Arial"/>
                <w:sz w:val="16"/>
                <w:szCs w:val="16"/>
                <w:color w:val="auto"/>
              </w:rPr>
              <w:t>21</w:t>
            </w:r>
          </w:p>
        </w:tc>
        <w:tc>
          <w:tcPr>
            <w:tcW w:w="10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729</w:t>
            </w:r>
          </w:p>
        </w:tc>
        <w:tc>
          <w:tcPr>
            <w:tcW w:w="460" w:type="dxa"/>
            <w:vAlign w:val="bottom"/>
          </w:tcPr>
          <w:p>
            <w:pPr>
              <w:spacing w:after="0"/>
              <w:rPr>
                <w:sz w:val="15"/>
                <w:szCs w:val="15"/>
                <w:color w:val="auto"/>
              </w:rPr>
            </w:pPr>
          </w:p>
        </w:tc>
        <w:tc>
          <w:tcPr>
            <w:tcW w:w="1320" w:type="dxa"/>
            <w:vAlign w:val="bottom"/>
          </w:tcPr>
          <w:p>
            <w:pPr>
              <w:jc w:val="right"/>
              <w:ind w:right="501"/>
              <w:spacing w:after="0" w:line="176" w:lineRule="exact"/>
              <w:rPr>
                <w:sz w:val="20"/>
                <w:szCs w:val="20"/>
                <w:color w:val="auto"/>
              </w:rPr>
            </w:pPr>
            <w:r>
              <w:rPr>
                <w:rFonts w:ascii="Arial" w:cs="Arial" w:eastAsia="Arial" w:hAnsi="Arial"/>
                <w:sz w:val="16"/>
                <w:szCs w:val="16"/>
                <w:color w:val="auto"/>
              </w:rPr>
              <w:t>88</w:t>
            </w:r>
          </w:p>
        </w:tc>
        <w:tc>
          <w:tcPr>
            <w:tcW w:w="4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14</w:t>
            </w:r>
          </w:p>
        </w:tc>
        <w:tc>
          <w:tcPr>
            <w:tcW w:w="5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641</w:t>
            </w:r>
          </w:p>
        </w:tc>
      </w:tr>
      <w:tr>
        <w:trPr>
          <w:trHeight w:val="194"/>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color w:val="auto"/>
              </w:rPr>
              <w:t>(182)</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(25)</w:t>
            </w: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296</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decreased in 2011 due to:</w:t>
      </w:r>
    </w:p>
    <w:p>
      <w:pPr>
        <w:spacing w:after="0" w:line="225" w:lineRule="exact"/>
        <w:rPr>
          <w:sz w:val="20"/>
          <w:szCs w:val="20"/>
          <w:color w:val="auto"/>
        </w:rPr>
      </w:pPr>
    </w:p>
    <w:p>
      <w:pPr>
        <w:ind w:left="340" w:right="20" w:hanging="188"/>
        <w:spacing w:after="0" w:line="277" w:lineRule="auto"/>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$402 million in settlement payments for the 2007 wildfires in 2011 (using $381 million of restricted cash), compared to $43 million net settlement payments for the 2007 wildfires in 2010;</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$130 million settlement payment related to energy crisis litigation in 2011, which was an increase to other current liabilities when accrued in 2010;</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$145 million lower distributions from RBS Sempra Commodities in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a $32 million increase in accounts receivable in 2011 compared to an $89 million decrease in accounts receivable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$268 million decrease in income taxes receivable in 2011 compared to a $30 million increase in income taxes receivable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$161 million higher net income, adjusted for noncash items included in earnings, in 2011 compared to 2010;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$300 million of funds received in 2011 from a wildfire litigation settlement compared to $144 million of funds received in 2010, which is offset by an increase in restricted cash in 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188"/>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$170 million higher net income, adjusted for noncash items included in earnings, in 2010 compared to 2009;</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 increase in accounts payable in 2010 compared to a decrease in 2009 due to higher natural gas prices in 2010;</w:t>
      </w:r>
    </w:p>
    <w:p>
      <w:pPr>
        <w:sectPr>
          <w:pgSz w:w="11900" w:h="16838" w:orient="portrait"/>
          <w:cols w:equalWidth="0" w:num="1">
            <w:col w:w="11420"/>
          </w:cols>
          <w:pgMar w:left="240" w:top="125" w:right="239" w:bottom="0" w:gutter="0" w:footer="0" w:header="0"/>
        </w:sectPr>
      </w:pPr>
    </w:p>
    <w:bookmarkStart w:id="162" w:name="page163"/>
    <w:bookmarkEnd w:id="162"/>
    <w:p>
      <w:pPr>
        <w:ind w:left="340" w:hanging="188"/>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accounts receivable decrease in 2010 compared to an increase in 2009; and</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$144 million of restricted funds received from Cox Communications from a wildfire litigation settlement that we describe in Note 15 of the Notes to Consolidated Financial Statements, which is offset by an increase in restricted cash in cash flows from investing activities; </w:t>
      </w:r>
      <w:r>
        <w:rPr>
          <w:rFonts w:ascii="Arial" w:cs="Arial" w:eastAsia="Arial" w:hAnsi="Arial"/>
          <w:sz w:val="17"/>
          <w:szCs w:val="17"/>
          <w:b w:val="1"/>
          <w:bCs w:val="1"/>
          <w:color w:val="auto"/>
        </w:rPr>
        <w:t>offset by</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 decrease in overcollected regulatory balancing accounts in 2010 compared to an increase in 2009, which we discuss for SDG&amp;E and SoCalGas below;</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increase in inventory in 2010 compared to a decrease in 2009, primarily at Sempra Pipelines &amp; Storage as a result of natural gas optimization activities;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$209 million lower distributions of joint venture earnings received from RBS Sempra Commodities in 2010.</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Changes in Other Current Assets and Other Current Liabilities in 2010 at both Sempra Energy and SDG&amp;E include $273 million in payments received from our liability insurance and $316 million of settlements paid, related to the SDG&amp;E 2007 wildfire litigation, respectively. We used $34 million of the restricted cash from the litigation settlement for such payments.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increased in 2011 due to:</w:t>
      </w:r>
    </w:p>
    <w:p>
      <w:pPr>
        <w:spacing w:after="0" w:line="225" w:lineRule="exact"/>
        <w:rPr>
          <w:sz w:val="20"/>
          <w:szCs w:val="20"/>
          <w:color w:val="auto"/>
        </w:rPr>
      </w:pPr>
    </w:p>
    <w:p>
      <w:pPr>
        <w:ind w:left="340" w:hanging="188"/>
        <w:spacing w:after="0"/>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$305 million higher net income, adjusted for noncash items included in earnings, in 2011 compared to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higher increase in accounts payable in 2011 compared to 2010;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$300 million of funds received in 2011 from a wildfire litigation settlement compared to $144 million of funds received in 2010; which is offset by an increase in restricted cash in cash flows from investing activities;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$111 million increase in income taxes receivable in 2011 compared to a $12 million decrease in income taxes receivable in 2010;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$402 million in settlement payments for the 2007 wildfires in 2011 (using $381 million of restricted cash), compared to $43 million net settlement payments for the 2007 wildfires in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increased in 2010 due to:</w:t>
      </w:r>
    </w:p>
    <w:p>
      <w:pPr>
        <w:spacing w:after="0" w:line="225" w:lineRule="exact"/>
        <w:rPr>
          <w:sz w:val="20"/>
          <w:szCs w:val="20"/>
          <w:color w:val="auto"/>
        </w:rPr>
      </w:pPr>
    </w:p>
    <w:p>
      <w:pPr>
        <w:ind w:left="340" w:hanging="188"/>
        <w:spacing w:after="0"/>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$68 million higher net income, adjusted for noncash items included in earnings,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lower income tax payments in 2010;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$144 million of restricted funds received from a wildfire litigation settlement, which is offset by an increase in restricted cash in cash flows from investing activities;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$43 million net settlement payments in 2010 (using $34 million of restricted cash) compared to $10 million net receipts from our liability insurance carriers in 2009 related to the 2007 wildfire litigation (as we discuss above under “Sempra Energy Consolidated”); and</w:t>
      </w:r>
    </w:p>
    <w:p>
      <w:pPr>
        <w:spacing w:after="0" w:line="197" w:lineRule="exact"/>
        <w:rPr>
          <w:rFonts w:ascii="Arial" w:cs="Arial" w:eastAsia="Arial" w:hAnsi="Arial"/>
          <w:sz w:val="18"/>
          <w:szCs w:val="18"/>
          <w:color w:val="auto"/>
        </w:rPr>
      </w:pPr>
    </w:p>
    <w:p>
      <w:pPr>
        <w:jc w:val="both"/>
        <w:ind w:left="340" w:right="20" w:hanging="188"/>
        <w:spacing w:after="0" w:line="264" w:lineRule="auto"/>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decrease in overcollected regulatory balancing accounts in 2010 compared to an increase in 2009. Over- and undercollected regulatory balancing accounts reflect the difference between customer billings and recorded or CPUC-authorized costs. These differences are required to be balanced over time.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decreased in 2011 due to:</w:t>
      </w:r>
    </w:p>
    <w:p>
      <w:pPr>
        <w:spacing w:after="0" w:line="225" w:lineRule="exact"/>
        <w:rPr>
          <w:sz w:val="20"/>
          <w:szCs w:val="20"/>
          <w:color w:val="auto"/>
        </w:rPr>
      </w:pPr>
    </w:p>
    <w:p>
      <w:pPr>
        <w:ind w:left="340" w:hanging="188"/>
        <w:spacing w:after="0"/>
        <w:tabs>
          <w:tab w:leader="none" w:pos="3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 increase in accounts receivable in 2011 compared to a decrease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 decrease in accounts payable in 2011 compared to an increase in 2010 primarily due to lower natural gas prices in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 higher increase in inventory in 2011 compared to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$40 million higher net income, adjusted for noncash items included in earnings, in 2011 compared to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increased in 2010 due to:</w:t>
      </w:r>
    </w:p>
    <w:p>
      <w:pPr>
        <w:spacing w:after="0" w:line="225" w:lineRule="exact"/>
        <w:rPr>
          <w:sz w:val="20"/>
          <w:szCs w:val="20"/>
          <w:color w:val="auto"/>
        </w:rPr>
      </w:pPr>
    </w:p>
    <w:p>
      <w:pPr>
        <w:ind w:left="340" w:hanging="188"/>
        <w:spacing w:after="0"/>
        <w:tabs>
          <w:tab w:leader="none" w:pos="3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$58 million higher net income, adjusted for noncash items included in earnings, in 2010 compared to 2009;</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 increase in accounts payable in 2010 compared to a decrease in 2009 primarily due to higher natural gas prices in 2010;</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decrease in accounts receivable in 2010 compared to an increase in 2009 due to lower other accounts receivable in 2010 related to natural gas storage transactions;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decreases in other liabilities of $137 million in 2009, including a $55 million prepayment of remaining installments due under a litigation settlement in 2009; </w:t>
      </w:r>
      <w:r>
        <w:rPr>
          <w:rFonts w:ascii="Arial" w:cs="Arial" w:eastAsia="Arial" w:hAnsi="Arial"/>
          <w:sz w:val="18"/>
          <w:szCs w:val="18"/>
          <w:b w:val="1"/>
          <w:bCs w:val="1"/>
          <w:color w:val="auto"/>
        </w:rPr>
        <w:t>offset by</w:t>
      </w:r>
    </w:p>
    <w:p>
      <w:pPr>
        <w:sectPr>
          <w:pgSz w:w="11900" w:h="16838" w:orient="portrait"/>
          <w:cols w:equalWidth="0" w:num="1">
            <w:col w:w="11420"/>
          </w:cols>
          <w:pgMar w:left="240" w:top="125" w:right="239" w:bottom="0" w:gutter="0" w:footer="0" w:header="0"/>
        </w:sectPr>
      </w:pPr>
    </w:p>
    <w:bookmarkStart w:id="163" w:name="page164"/>
    <w:bookmarkEnd w:id="163"/>
    <w:p>
      <w:pPr>
        <w:ind w:left="340" w:hanging="188"/>
        <w:spacing w:after="0"/>
        <w:tabs>
          <w:tab w:leader="none" w:pos="3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 decrease in inventory of $74 million in 2009 due to higher withdrawals from inventory in the fourth quarter of 2009 to supply core customers;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decrease in overcollected regulatory balancing accounts in 2010 compared to an increase in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each of the past three years.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CONTRIBUTIONS TO PENSION AND OTHER POSTRETIREMENT BENEFIT PLANS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Pension Benefits</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40" w:type="dxa"/>
            <w:vAlign w:val="bottom"/>
            <w:gridSpan w:val="3"/>
            <w:vMerge w:val="restart"/>
          </w:tcPr>
          <w:p>
            <w:pPr>
              <w:ind w:left="160"/>
              <w:spacing w:after="0"/>
              <w:rPr>
                <w:sz w:val="20"/>
                <w:szCs w:val="20"/>
                <w:color w:val="auto"/>
              </w:rPr>
            </w:pPr>
            <w:r>
              <w:rPr>
                <w:rFonts w:ascii="Arial" w:cs="Arial" w:eastAsia="Arial" w:hAnsi="Arial"/>
                <w:sz w:val="14"/>
                <w:szCs w:val="14"/>
                <w:color w:val="auto"/>
              </w:rPr>
              <w:t>Other Postretirement Benefits</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680" w:type="dxa"/>
            <w:vAlign w:val="bottom"/>
          </w:tcPr>
          <w:p>
            <w:pPr>
              <w:spacing w:after="0"/>
              <w:rPr>
                <w:sz w:val="14"/>
                <w:szCs w:val="14"/>
                <w:color w:val="auto"/>
              </w:rPr>
            </w:pPr>
          </w:p>
        </w:tc>
        <w:tc>
          <w:tcPr>
            <w:tcW w:w="1020" w:type="dxa"/>
            <w:vAlign w:val="bottom"/>
            <w:gridSpan w:val="2"/>
          </w:tcPr>
          <w:p>
            <w:pPr>
              <w:jc w:val="right"/>
              <w:ind w:right="840"/>
              <w:spacing w:after="0" w:line="164"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64" w:lineRule="exact"/>
              <w:rPr>
                <w:sz w:val="20"/>
                <w:szCs w:val="20"/>
                <w:color w:val="auto"/>
              </w:rPr>
            </w:pPr>
            <w:r>
              <w:rPr>
                <w:rFonts w:ascii="Arial" w:cs="Arial" w:eastAsia="Arial" w:hAnsi="Arial"/>
                <w:sz w:val="16"/>
                <w:szCs w:val="16"/>
                <w:color w:val="auto"/>
              </w:rPr>
              <w:t>212</w:t>
            </w:r>
          </w:p>
        </w:tc>
        <w:tc>
          <w:tcPr>
            <w:tcW w:w="920" w:type="dxa"/>
            <w:vAlign w:val="bottom"/>
          </w:tcPr>
          <w:p>
            <w:pPr>
              <w:jc w:val="right"/>
              <w:ind w:right="723"/>
              <w:spacing w:after="0" w:line="164"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4" w:lineRule="exact"/>
              <w:rPr>
                <w:sz w:val="20"/>
                <w:szCs w:val="20"/>
                <w:color w:val="auto"/>
              </w:rPr>
            </w:pPr>
            <w:r>
              <w:rPr>
                <w:rFonts w:ascii="Arial" w:cs="Arial" w:eastAsia="Arial" w:hAnsi="Arial"/>
                <w:sz w:val="16"/>
                <w:szCs w:val="16"/>
                <w:color w:val="auto"/>
              </w:rPr>
              <w:t>159</w:t>
            </w:r>
          </w:p>
        </w:tc>
        <w:tc>
          <w:tcPr>
            <w:tcW w:w="920" w:type="dxa"/>
            <w:vAlign w:val="bottom"/>
          </w:tcPr>
          <w:p>
            <w:pPr>
              <w:jc w:val="right"/>
              <w:ind w:right="721"/>
              <w:spacing w:after="0" w:line="164"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21"/>
              <w:spacing w:after="0" w:line="164" w:lineRule="exact"/>
              <w:rPr>
                <w:sz w:val="20"/>
                <w:szCs w:val="20"/>
                <w:color w:val="auto"/>
              </w:rPr>
            </w:pPr>
            <w:r>
              <w:rPr>
                <w:rFonts w:ascii="Arial" w:cs="Arial" w:eastAsia="Arial" w:hAnsi="Arial"/>
                <w:sz w:val="16"/>
                <w:szCs w:val="16"/>
                <w:color w:val="auto"/>
              </w:rPr>
              <w:t>185</w:t>
            </w:r>
          </w:p>
        </w:tc>
        <w:tc>
          <w:tcPr>
            <w:tcW w:w="1220" w:type="dxa"/>
            <w:vAlign w:val="bottom"/>
          </w:tcPr>
          <w:p>
            <w:pPr>
              <w:jc w:val="right"/>
              <w:ind w:right="681"/>
              <w:spacing w:after="0" w:line="164" w:lineRule="exact"/>
              <w:rPr>
                <w:sz w:val="20"/>
                <w:szCs w:val="20"/>
                <w:color w:val="auto"/>
              </w:rPr>
            </w:pPr>
            <w:r>
              <w:rPr>
                <w:rFonts w:ascii="Arial" w:cs="Arial" w:eastAsia="Arial" w:hAnsi="Arial"/>
                <w:sz w:val="16"/>
                <w:szCs w:val="16"/>
                <w:color w:val="auto"/>
              </w:rPr>
              <w:t>$</w:t>
            </w:r>
          </w:p>
        </w:tc>
        <w:tc>
          <w:tcPr>
            <w:tcW w:w="740" w:type="dxa"/>
            <w:vAlign w:val="bottom"/>
          </w:tcPr>
          <w:p>
            <w:pPr>
              <w:ind w:left="220"/>
              <w:spacing w:after="0" w:line="164" w:lineRule="exact"/>
              <w:rPr>
                <w:sz w:val="20"/>
                <w:szCs w:val="20"/>
                <w:color w:val="auto"/>
              </w:rPr>
            </w:pPr>
            <w:r>
              <w:rPr>
                <w:rFonts w:ascii="Arial" w:cs="Arial" w:eastAsia="Arial" w:hAnsi="Arial"/>
                <w:sz w:val="16"/>
                <w:szCs w:val="16"/>
                <w:color w:val="auto"/>
              </w:rPr>
              <w:t>72 $</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52</w:t>
            </w:r>
          </w:p>
        </w:tc>
        <w:tc>
          <w:tcPr>
            <w:tcW w:w="420" w:type="dxa"/>
            <w:vAlign w:val="bottom"/>
          </w:tcPr>
          <w:p>
            <w:pPr>
              <w:jc w:val="right"/>
              <w:ind w:right="219"/>
              <w:spacing w:after="0" w:line="164"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92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c>
          <w:tcPr>
            <w:tcW w:w="920" w:type="dxa"/>
            <w:vAlign w:val="bottom"/>
          </w:tcPr>
          <w:p>
            <w:pPr>
              <w:spacing w:after="0"/>
              <w:rPr>
                <w:sz w:val="15"/>
                <w:szCs w:val="15"/>
                <w:color w:val="auto"/>
              </w:rPr>
            </w:pPr>
          </w:p>
        </w:tc>
        <w:tc>
          <w:tcPr>
            <w:tcW w:w="460" w:type="dxa"/>
            <w:vAlign w:val="bottom"/>
          </w:tcPr>
          <w:p>
            <w:pPr>
              <w:jc w:val="right"/>
              <w:ind w:right="21"/>
              <w:spacing w:after="0" w:line="176" w:lineRule="exact"/>
              <w:rPr>
                <w:sz w:val="20"/>
                <w:szCs w:val="20"/>
                <w:color w:val="auto"/>
              </w:rPr>
            </w:pPr>
            <w:r>
              <w:rPr>
                <w:rFonts w:ascii="Arial" w:cs="Arial" w:eastAsia="Arial" w:hAnsi="Arial"/>
                <w:sz w:val="16"/>
                <w:szCs w:val="16"/>
                <w:color w:val="auto"/>
              </w:rPr>
              <w:t>58</w:t>
            </w:r>
          </w:p>
        </w:tc>
        <w:tc>
          <w:tcPr>
            <w:tcW w:w="1220" w:type="dxa"/>
            <w:vAlign w:val="bottom"/>
          </w:tcPr>
          <w:p>
            <w:pPr>
              <w:spacing w:after="0"/>
              <w:rPr>
                <w:sz w:val="15"/>
                <w:szCs w:val="15"/>
                <w:color w:val="auto"/>
              </w:rPr>
            </w:pPr>
          </w:p>
        </w:tc>
        <w:tc>
          <w:tcPr>
            <w:tcW w:w="740" w:type="dxa"/>
            <w:vAlign w:val="bottom"/>
          </w:tcPr>
          <w:p>
            <w:pPr>
              <w:ind w:left="220"/>
              <w:spacing w:after="0" w:line="176" w:lineRule="exact"/>
              <w:rPr>
                <w:sz w:val="20"/>
                <w:szCs w:val="20"/>
                <w:color w:val="auto"/>
              </w:rPr>
            </w:pPr>
            <w:r>
              <w:rPr>
                <w:rFonts w:ascii="Arial" w:cs="Arial" w:eastAsia="Arial" w:hAnsi="Arial"/>
                <w:sz w:val="16"/>
                <w:szCs w:val="16"/>
                <w:color w:val="auto"/>
              </w:rPr>
              <w:t>15</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4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76</w:t>
            </w:r>
          </w:p>
        </w:tc>
        <w:tc>
          <w:tcPr>
            <w:tcW w:w="1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55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120" w:type="dxa"/>
            <w:vAlign w:val="bottom"/>
            <w:gridSpan w:val="5"/>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gridSpan w:val="2"/>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CASH USED IN INVESTING ACTIVITIES</w:t>
            </w:r>
          </w:p>
        </w:tc>
        <w:tc>
          <w:tcPr>
            <w:tcW w:w="100" w:type="dxa"/>
            <w:vAlign w:val="bottom"/>
            <w:shd w:val="clear" w:color="auto" w:fill="C0C0C0"/>
          </w:tcPr>
          <w:p>
            <w:pPr>
              <w:spacing w:after="0"/>
              <w:rPr>
                <w:sz w:val="13"/>
                <w:szCs w:val="13"/>
                <w:color w:val="auto"/>
              </w:rPr>
            </w:pPr>
          </w:p>
        </w:tc>
        <w:tc>
          <w:tcPr>
            <w:tcW w:w="920" w:type="dxa"/>
            <w:vAlign w:val="bottom"/>
            <w:shd w:val="clear" w:color="auto" w:fill="C0C0C0"/>
          </w:tcPr>
          <w:p>
            <w:pPr>
              <w:spacing w:after="0"/>
              <w:rPr>
                <w:sz w:val="13"/>
                <w:szCs w:val="13"/>
                <w:color w:val="auto"/>
              </w:rPr>
            </w:pPr>
          </w:p>
        </w:tc>
        <w:tc>
          <w:tcPr>
            <w:tcW w:w="340" w:type="dxa"/>
            <w:vAlign w:val="bottom"/>
            <w:shd w:val="clear" w:color="auto" w:fill="C0C0C0"/>
          </w:tcPr>
          <w:p>
            <w:pPr>
              <w:spacing w:after="0"/>
              <w:rPr>
                <w:sz w:val="13"/>
                <w:szCs w:val="13"/>
                <w:color w:val="auto"/>
              </w:rPr>
            </w:pPr>
          </w:p>
        </w:tc>
        <w:tc>
          <w:tcPr>
            <w:tcW w:w="920" w:type="dxa"/>
            <w:vAlign w:val="bottom"/>
            <w:shd w:val="clear" w:color="auto" w:fill="C0C0C0"/>
          </w:tcPr>
          <w:p>
            <w:pPr>
              <w:spacing w:after="0"/>
              <w:rPr>
                <w:sz w:val="13"/>
                <w:szCs w:val="13"/>
                <w:color w:val="auto"/>
              </w:rPr>
            </w:pPr>
          </w:p>
        </w:tc>
        <w:tc>
          <w:tcPr>
            <w:tcW w:w="380" w:type="dxa"/>
            <w:vAlign w:val="bottom"/>
            <w:shd w:val="clear" w:color="auto" w:fill="C0C0C0"/>
          </w:tcPr>
          <w:p>
            <w:pPr>
              <w:spacing w:after="0"/>
              <w:rPr>
                <w:sz w:val="13"/>
                <w:szCs w:val="13"/>
                <w:color w:val="auto"/>
              </w:rPr>
            </w:pPr>
          </w:p>
        </w:tc>
        <w:tc>
          <w:tcPr>
            <w:tcW w:w="920" w:type="dxa"/>
            <w:vAlign w:val="bottom"/>
            <w:shd w:val="clear" w:color="auto" w:fill="C0C0C0"/>
          </w:tcPr>
          <w:p>
            <w:pPr>
              <w:spacing w:after="0"/>
              <w:rPr>
                <w:sz w:val="13"/>
                <w:szCs w:val="13"/>
                <w:color w:val="auto"/>
              </w:rPr>
            </w:pPr>
          </w:p>
        </w:tc>
        <w:tc>
          <w:tcPr>
            <w:tcW w:w="460" w:type="dxa"/>
            <w:vAlign w:val="bottom"/>
            <w:shd w:val="clear" w:color="auto" w:fill="C0C0C0"/>
          </w:tcPr>
          <w:p>
            <w:pPr>
              <w:spacing w:after="0"/>
              <w:rPr>
                <w:sz w:val="13"/>
                <w:szCs w:val="13"/>
                <w:color w:val="auto"/>
              </w:rPr>
            </w:pPr>
          </w:p>
        </w:tc>
        <w:tc>
          <w:tcPr>
            <w:tcW w:w="1220" w:type="dxa"/>
            <w:vAlign w:val="bottom"/>
            <w:shd w:val="clear" w:color="auto" w:fill="C0C0C0"/>
          </w:tcPr>
          <w:p>
            <w:pPr>
              <w:spacing w:after="0"/>
              <w:rPr>
                <w:sz w:val="13"/>
                <w:szCs w:val="13"/>
                <w:color w:val="auto"/>
              </w:rPr>
            </w:pPr>
          </w:p>
        </w:tc>
        <w:tc>
          <w:tcPr>
            <w:tcW w:w="740" w:type="dxa"/>
            <w:vAlign w:val="bottom"/>
            <w:shd w:val="clear" w:color="auto" w:fill="C0C0C0"/>
          </w:tcPr>
          <w:p>
            <w:pPr>
              <w:spacing w:after="0"/>
              <w:rPr>
                <w:sz w:val="13"/>
                <w:szCs w:val="13"/>
                <w:color w:val="auto"/>
              </w:rPr>
            </w:pPr>
          </w:p>
        </w:tc>
        <w:tc>
          <w:tcPr>
            <w:tcW w:w="98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92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6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c>
          <w:tcPr>
            <w:tcW w:w="1220" w:type="dxa"/>
            <w:vAlign w:val="bottom"/>
            <w:shd w:val="clear" w:color="auto" w:fill="C0C0C0"/>
          </w:tcPr>
          <w:p>
            <w:pPr>
              <w:spacing w:after="0"/>
              <w:rPr>
                <w:sz w:val="14"/>
                <w:szCs w:val="14"/>
                <w:color w:val="auto"/>
              </w:rPr>
            </w:pPr>
          </w:p>
        </w:tc>
        <w:tc>
          <w:tcPr>
            <w:tcW w:w="74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2011 Change</w:t>
            </w:r>
          </w:p>
        </w:tc>
        <w:tc>
          <w:tcPr>
            <w:tcW w:w="9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1041"/>
              <w:spacing w:after="0"/>
              <w:rPr>
                <w:sz w:val="20"/>
                <w:szCs w:val="20"/>
                <w:color w:val="auto"/>
              </w:rPr>
            </w:pPr>
            <w:r>
              <w:rPr>
                <w:rFonts w:ascii="Arial" w:cs="Arial" w:eastAsia="Arial" w:hAnsi="Arial"/>
                <w:sz w:val="14"/>
                <w:szCs w:val="14"/>
                <w:color w:val="auto"/>
              </w:rPr>
              <w:t>2010</w:t>
            </w:r>
          </w:p>
        </w:tc>
        <w:tc>
          <w:tcPr>
            <w:tcW w:w="17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rPr>
              <w:t>2010 Change</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68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line="164" w:lineRule="exact"/>
              <w:rPr>
                <w:sz w:val="20"/>
                <w:szCs w:val="20"/>
                <w:color w:val="auto"/>
              </w:rPr>
            </w:pPr>
            <w:r>
              <w:rPr>
                <w:rFonts w:ascii="Arial" w:cs="Arial" w:eastAsia="Arial" w:hAnsi="Arial"/>
                <w:sz w:val="16"/>
                <w:szCs w:val="16"/>
                <w:color w:val="auto"/>
              </w:rPr>
              <w:t>(3,070)$</w:t>
            </w:r>
          </w:p>
        </w:tc>
        <w:tc>
          <w:tcPr>
            <w:tcW w:w="340" w:type="dxa"/>
            <w:vAlign w:val="bottom"/>
          </w:tcPr>
          <w:p>
            <w:pPr>
              <w:spacing w:after="0"/>
              <w:rPr>
                <w:sz w:val="14"/>
                <w:szCs w:val="14"/>
                <w:color w:val="auto"/>
              </w:rPr>
            </w:pPr>
          </w:p>
        </w:tc>
        <w:tc>
          <w:tcPr>
            <w:tcW w:w="920" w:type="dxa"/>
            <w:vAlign w:val="bottom"/>
          </w:tcPr>
          <w:p>
            <w:pPr>
              <w:jc w:val="right"/>
              <w:ind w:right="63"/>
              <w:spacing w:after="0" w:line="164" w:lineRule="exact"/>
              <w:rPr>
                <w:sz w:val="20"/>
                <w:szCs w:val="20"/>
                <w:color w:val="auto"/>
              </w:rPr>
            </w:pPr>
            <w:r>
              <w:rPr>
                <w:rFonts w:ascii="Arial" w:cs="Arial" w:eastAsia="Arial" w:hAnsi="Arial"/>
                <w:sz w:val="16"/>
                <w:szCs w:val="16"/>
                <w:color w:val="auto"/>
              </w:rPr>
              <w:t>1,787</w:t>
            </w:r>
          </w:p>
        </w:tc>
        <w:tc>
          <w:tcPr>
            <w:tcW w:w="380" w:type="dxa"/>
            <w:vAlign w:val="bottom"/>
          </w:tcPr>
          <w:p>
            <w:pPr>
              <w:spacing w:after="0"/>
              <w:rPr>
                <w:sz w:val="14"/>
                <w:szCs w:val="14"/>
                <w:color w:val="auto"/>
              </w:rPr>
            </w:pPr>
          </w:p>
        </w:tc>
        <w:tc>
          <w:tcPr>
            <w:tcW w:w="920" w:type="dxa"/>
            <w:vAlign w:val="bottom"/>
          </w:tcPr>
          <w:p>
            <w:pPr>
              <w:jc w:val="right"/>
              <w:ind w:right="61"/>
              <w:spacing w:after="0" w:line="164" w:lineRule="exact"/>
              <w:rPr>
                <w:sz w:val="20"/>
                <w:szCs w:val="20"/>
                <w:color w:val="auto"/>
              </w:rPr>
            </w:pPr>
            <w:r>
              <w:rPr>
                <w:rFonts w:ascii="Arial" w:cs="Arial" w:eastAsia="Arial" w:hAnsi="Arial"/>
                <w:sz w:val="16"/>
                <w:szCs w:val="16"/>
                <w:color w:val="auto"/>
              </w:rPr>
              <w:t>139   %$</w:t>
            </w:r>
          </w:p>
        </w:tc>
        <w:tc>
          <w:tcPr>
            <w:tcW w:w="460" w:type="dxa"/>
            <w:vAlign w:val="bottom"/>
          </w:tcPr>
          <w:p>
            <w:pPr>
              <w:spacing w:after="0"/>
              <w:rPr>
                <w:sz w:val="14"/>
                <w:szCs w:val="14"/>
                <w:color w:val="auto"/>
              </w:rPr>
            </w:pPr>
          </w:p>
        </w:tc>
        <w:tc>
          <w:tcPr>
            <w:tcW w:w="1220" w:type="dxa"/>
            <w:vAlign w:val="bottom"/>
          </w:tcPr>
          <w:p>
            <w:pPr>
              <w:jc w:val="right"/>
              <w:ind w:right="441"/>
              <w:spacing w:after="0" w:line="164" w:lineRule="exact"/>
              <w:rPr>
                <w:sz w:val="20"/>
                <w:szCs w:val="20"/>
                <w:color w:val="auto"/>
              </w:rPr>
            </w:pPr>
            <w:r>
              <w:rPr>
                <w:rFonts w:ascii="Arial" w:cs="Arial" w:eastAsia="Arial" w:hAnsi="Arial"/>
                <w:sz w:val="16"/>
                <w:szCs w:val="16"/>
                <w:color w:val="auto"/>
              </w:rPr>
              <w:t>(1,283)$</w:t>
            </w:r>
          </w:p>
        </w:tc>
        <w:tc>
          <w:tcPr>
            <w:tcW w:w="740" w:type="dxa"/>
            <w:vAlign w:val="bottom"/>
          </w:tcPr>
          <w:p>
            <w:pPr>
              <w:jc w:val="right"/>
              <w:ind w:right="101"/>
              <w:spacing w:after="0" w:line="164" w:lineRule="exact"/>
              <w:rPr>
                <w:sz w:val="20"/>
                <w:szCs w:val="20"/>
                <w:color w:val="auto"/>
              </w:rPr>
            </w:pPr>
            <w:r>
              <w:rPr>
                <w:rFonts w:ascii="Arial" w:cs="Arial" w:eastAsia="Arial" w:hAnsi="Arial"/>
                <w:sz w:val="16"/>
                <w:szCs w:val="16"/>
                <w:color w:val="auto"/>
              </w:rPr>
              <w:t>(1,389)</w:t>
            </w:r>
          </w:p>
        </w:tc>
        <w:tc>
          <w:tcPr>
            <w:tcW w:w="1400" w:type="dxa"/>
            <w:vAlign w:val="bottom"/>
            <w:gridSpan w:val="2"/>
          </w:tcPr>
          <w:p>
            <w:pPr>
              <w:jc w:val="right"/>
              <w:ind w:right="219"/>
              <w:spacing w:after="0" w:line="164" w:lineRule="exact"/>
              <w:rPr>
                <w:sz w:val="20"/>
                <w:szCs w:val="20"/>
                <w:color w:val="auto"/>
              </w:rPr>
            </w:pPr>
            <w:r>
              <w:rPr>
                <w:rFonts w:ascii="Arial" w:cs="Arial" w:eastAsia="Arial" w:hAnsi="Arial"/>
                <w:sz w:val="16"/>
                <w:szCs w:val="16"/>
                <w:color w:val="auto"/>
              </w:rPr>
              <w:t>(52)   %$</w:t>
            </w: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(2,672)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68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(1,764)</w:t>
            </w:r>
          </w:p>
        </w:tc>
        <w:tc>
          <w:tcPr>
            <w:tcW w:w="340" w:type="dxa"/>
            <w:vAlign w:val="bottom"/>
          </w:tcPr>
          <w:p>
            <w:pPr>
              <w:spacing w:after="0"/>
              <w:rPr>
                <w:sz w:val="15"/>
                <w:szCs w:val="15"/>
                <w:color w:val="auto"/>
              </w:rPr>
            </w:pPr>
          </w:p>
        </w:tc>
        <w:tc>
          <w:tcPr>
            <w:tcW w:w="920" w:type="dxa"/>
            <w:vAlign w:val="bottom"/>
          </w:tcPr>
          <w:p>
            <w:pPr>
              <w:jc w:val="right"/>
              <w:ind w:right="63"/>
              <w:spacing w:after="0" w:line="176" w:lineRule="exact"/>
              <w:rPr>
                <w:sz w:val="20"/>
                <w:szCs w:val="20"/>
                <w:color w:val="auto"/>
              </w:rPr>
            </w:pPr>
            <w:r>
              <w:rPr>
                <w:rFonts w:ascii="Arial" w:cs="Arial" w:eastAsia="Arial" w:hAnsi="Arial"/>
                <w:sz w:val="16"/>
                <w:szCs w:val="16"/>
                <w:color w:val="auto"/>
              </w:rPr>
              <w:t>450</w:t>
            </w:r>
          </w:p>
        </w:tc>
        <w:tc>
          <w:tcPr>
            <w:tcW w:w="380" w:type="dxa"/>
            <w:vAlign w:val="bottom"/>
          </w:tcPr>
          <w:p>
            <w:pPr>
              <w:spacing w:after="0"/>
              <w:rPr>
                <w:sz w:val="15"/>
                <w:szCs w:val="15"/>
                <w:color w:val="auto"/>
              </w:rPr>
            </w:pPr>
          </w:p>
        </w:tc>
        <w:tc>
          <w:tcPr>
            <w:tcW w:w="920" w:type="dxa"/>
            <w:vAlign w:val="bottom"/>
          </w:tcPr>
          <w:p>
            <w:pPr>
              <w:jc w:val="right"/>
              <w:ind w:right="541"/>
              <w:spacing w:after="0" w:line="176" w:lineRule="exact"/>
              <w:rPr>
                <w:sz w:val="20"/>
                <w:szCs w:val="20"/>
                <w:color w:val="auto"/>
              </w:rPr>
            </w:pPr>
            <w:r>
              <w:rPr>
                <w:rFonts w:ascii="Arial" w:cs="Arial" w:eastAsia="Arial" w:hAnsi="Arial"/>
                <w:sz w:val="16"/>
                <w:szCs w:val="16"/>
                <w:color w:val="auto"/>
              </w:rPr>
              <w:t>34</w:t>
            </w:r>
          </w:p>
        </w:tc>
        <w:tc>
          <w:tcPr>
            <w:tcW w:w="460" w:type="dxa"/>
            <w:vAlign w:val="bottom"/>
          </w:tcPr>
          <w:p>
            <w:pPr>
              <w:spacing w:after="0"/>
              <w:rPr>
                <w:sz w:val="15"/>
                <w:szCs w:val="15"/>
                <w:color w:val="auto"/>
              </w:rPr>
            </w:pPr>
          </w:p>
        </w:tc>
        <w:tc>
          <w:tcPr>
            <w:tcW w:w="1220" w:type="dxa"/>
            <w:vAlign w:val="bottom"/>
          </w:tcPr>
          <w:p>
            <w:pPr>
              <w:jc w:val="right"/>
              <w:ind w:right="541"/>
              <w:spacing w:after="0" w:line="176" w:lineRule="exact"/>
              <w:rPr>
                <w:sz w:val="20"/>
                <w:szCs w:val="20"/>
                <w:color w:val="auto"/>
              </w:rPr>
            </w:pPr>
            <w:r>
              <w:rPr>
                <w:rFonts w:ascii="Arial" w:cs="Arial" w:eastAsia="Arial" w:hAnsi="Arial"/>
                <w:sz w:val="16"/>
                <w:szCs w:val="16"/>
                <w:color w:val="auto"/>
              </w:rPr>
              <w:t>(1,314)</w:t>
            </w:r>
          </w:p>
        </w:tc>
        <w:tc>
          <w:tcPr>
            <w:tcW w:w="740" w:type="dxa"/>
            <w:vAlign w:val="bottom"/>
          </w:tcPr>
          <w:p>
            <w:pPr>
              <w:jc w:val="right"/>
              <w:ind w:right="141"/>
              <w:spacing w:after="0" w:line="176" w:lineRule="exact"/>
              <w:rPr>
                <w:sz w:val="20"/>
                <w:szCs w:val="20"/>
                <w:color w:val="auto"/>
              </w:rPr>
            </w:pPr>
            <w:r>
              <w:rPr>
                <w:rFonts w:ascii="Arial" w:cs="Arial" w:eastAsia="Arial" w:hAnsi="Arial"/>
                <w:sz w:val="16"/>
                <w:szCs w:val="16"/>
                <w:color w:val="auto"/>
              </w:rPr>
              <w:t>389</w:t>
            </w:r>
          </w:p>
        </w:tc>
        <w:tc>
          <w:tcPr>
            <w:tcW w:w="980" w:type="dxa"/>
            <w:vAlign w:val="bottom"/>
          </w:tcPr>
          <w:p>
            <w:pPr>
              <w:jc w:val="right"/>
              <w:ind w:right="280"/>
              <w:spacing w:after="0" w:line="176" w:lineRule="exact"/>
              <w:rPr>
                <w:sz w:val="20"/>
                <w:szCs w:val="20"/>
                <w:color w:val="auto"/>
              </w:rPr>
            </w:pPr>
            <w:r>
              <w:rPr>
                <w:rFonts w:ascii="Arial" w:cs="Arial" w:eastAsia="Arial" w:hAnsi="Arial"/>
                <w:sz w:val="16"/>
                <w:szCs w:val="16"/>
                <w:color w:val="auto"/>
              </w:rPr>
              <w:t>42</w:t>
            </w:r>
          </w:p>
        </w:tc>
        <w:tc>
          <w:tcPr>
            <w:tcW w:w="420" w:type="dxa"/>
            <w:vAlign w:val="bottom"/>
          </w:tcPr>
          <w:p>
            <w:pPr>
              <w:spacing w:after="0"/>
              <w:rPr>
                <w:sz w:val="15"/>
                <w:szCs w:val="15"/>
                <w:color w:val="auto"/>
              </w:rPr>
            </w:pPr>
          </w:p>
        </w:tc>
        <w:tc>
          <w:tcPr>
            <w:tcW w:w="9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9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(634)</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68</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12</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(566)</w:t>
            </w:r>
          </w:p>
        </w:tc>
        <w:tc>
          <w:tcPr>
            <w:tcW w:w="7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70</w:t>
            </w: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increased in 2011 due to:</w:t>
      </w:r>
    </w:p>
    <w:p>
      <w:pPr>
        <w:spacing w:after="0" w:line="225" w:lineRule="exact"/>
        <w:rPr>
          <w:sz w:val="20"/>
          <w:szCs w:val="20"/>
          <w:color w:val="auto"/>
        </w:rPr>
      </w:pPr>
    </w:p>
    <w:p>
      <w:pPr>
        <w:ind w:left="340" w:hanging="188"/>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$782 million increase in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$611 million in cash used to fund Sempra Pipelines &amp; Storage’s purchase of South American entities;</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$279 million lower distributions received from RBS Sempra Commodities related to the sale of joint venture businesses and assets, as we discuss in Note 4 of the Notes to Consolidated Financial Statements;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$300 million increase in SDG&amp;E’s restricted cash due to funds received from a wildfire litigation settlement compared to $144 million of funds received in 2010;</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$180 million of distributions from Fowler Ridge 2 Wind Farm at Sempra Generation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$175 million of proceeds received from Sempra Generation’s 2010 sale of its investment in Elk Hills;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80" w:hanging="228"/>
        <w:spacing w:after="0"/>
        <w:tabs>
          <w:tab w:leader="none" w:pos="3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$381 million in payments for claims related to wildfire litigation using restricted funds received from a wildfire litigation settlement;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Sempra Pipelines &amp; Storage’s $292 million acquisition (net of cash acquired) resulting in the purchase of Mexican pipeline and natural gas infrastructure assets in 2010.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188"/>
        <w:spacing w:after="0" w:line="277" w:lineRule="auto"/>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$849 million of distributions received from RBS Sempra Commodities LLP in 2010 related to the sale of joint venture businesses and assets, as we discuss in Note 4 of the Notes to Consolidated Financial Statements;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$560 million lower contributions to Rockies Express, as the $65 million contribution in the first quarter of 2010 was the last required for the construction phase of the project;</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$235 million for Sempra Generation’s 2009 investment in Fowler Ridge 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$175 million of proceeds received from Sempra Generation’s 2010 sale of its investment in Elk Hills;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$144 million increase in restricted cash from funds received from a wildfire litigation settlement;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Sempra Pipelines &amp; Storage’s acquisition of Mexican pipeline and natural gas infrastructure assets.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increased at SDG&amp;E in 2011 primarily due to:</w:t>
      </w:r>
    </w:p>
    <w:p>
      <w:pPr>
        <w:spacing w:after="0" w:line="225" w:lineRule="exact"/>
        <w:rPr>
          <w:sz w:val="20"/>
          <w:szCs w:val="20"/>
          <w:color w:val="auto"/>
        </w:rPr>
      </w:pPr>
    </w:p>
    <w:p>
      <w:pPr>
        <w:ind w:left="340" w:hanging="188"/>
        <w:spacing w:after="0"/>
        <w:tabs>
          <w:tab w:leader="none" w:pos="3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$621 million increase in capital expenditures;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a $300 million increase in restricted cash due to funds received from a wildfire litigation settlement compared to $144 million of funds received in 2010; </w:t>
      </w:r>
      <w:r>
        <w:rPr>
          <w:rFonts w:ascii="Arial" w:cs="Arial" w:eastAsia="Arial" w:hAnsi="Arial"/>
          <w:sz w:val="18"/>
          <w:szCs w:val="18"/>
          <w:b w:val="1"/>
          <w:bCs w:val="1"/>
          <w:color w:val="auto"/>
        </w:rPr>
        <w:t>offset by</w:t>
      </w:r>
    </w:p>
    <w:p>
      <w:pPr>
        <w:sectPr>
          <w:pgSz w:w="11900" w:h="16838" w:orient="portrait"/>
          <w:cols w:equalWidth="0" w:num="1">
            <w:col w:w="11420"/>
          </w:cols>
          <w:pgMar w:left="240" w:top="369" w:right="239" w:bottom="0" w:gutter="0" w:footer="0" w:header="0"/>
        </w:sectPr>
      </w:pPr>
    </w:p>
    <w:bookmarkStart w:id="164" w:name="page165"/>
    <w:bookmarkEnd w:id="164"/>
    <w:p>
      <w:pPr>
        <w:ind w:right="1500" w:firstLine="152"/>
        <w:spacing w:after="0" w:line="516" w:lineRule="auto"/>
        <w:tabs>
          <w:tab w:leader="none" w:pos="36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$381 million in payments for claims related to wildfire litigation using restricted funds received from a wildfire litigation settlement. Cash used in investing activities increased at SDG&amp;E in 2010 primarily due to:</w:t>
      </w:r>
    </w:p>
    <w:p>
      <w:pPr>
        <w:spacing w:after="0" w:line="1" w:lineRule="exact"/>
        <w:rPr>
          <w:rFonts w:ascii="Arial" w:cs="Arial" w:eastAsia="Arial" w:hAnsi="Arial"/>
          <w:sz w:val="18"/>
          <w:szCs w:val="18"/>
          <w:color w:val="auto"/>
        </w:rPr>
      </w:pPr>
    </w:p>
    <w:p>
      <w:pPr>
        <w:ind w:left="340" w:hanging="188"/>
        <w:spacing w:after="0"/>
        <w:tabs>
          <w:tab w:leader="none" w:pos="34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 $255 million net increase in capital expenditures (a $369 million increase at SDG&amp;E, offset by a decrease of $114 million at Otay Mesa VIE);</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$144 million increase in restricted cash due to funds received from a wildfire litigation settlement;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net proceeds of $24 million related to industrial development bonds in 2009;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$34 million in payments of claims related to wildfire litigation using restricted funds received from a wildfire litigation settlement.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increased at SoCalGas in 2011 primarily due to:</w:t>
      </w:r>
    </w:p>
    <w:p>
      <w:pPr>
        <w:spacing w:after="0" w:line="221" w:lineRule="exact"/>
        <w:rPr>
          <w:sz w:val="20"/>
          <w:szCs w:val="20"/>
          <w:color w:val="auto"/>
        </w:rPr>
      </w:pPr>
    </w:p>
    <w:p>
      <w:pPr>
        <w:ind w:left="340" w:hanging="188"/>
        <w:spacing w:after="0"/>
        <w:tabs>
          <w:tab w:leader="none" w:pos="3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a $180 million increase in capital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jc w:val="center"/>
        <w:ind w:right="1080" w:firstLine="152"/>
        <w:spacing w:after="0" w:line="659" w:lineRule="auto"/>
        <w:tabs>
          <w:tab w:leader="none" w:pos="32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 $49 million decrease in advances to Sempra Energy in 2011 compared a $63 million increase in advances to Sempra Energy in 2010. Cash used in investing activities at SoCalGas increased in 2010, primarily due to a $63 million increase in advances to Sempra Energy in 2010.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INVESTMENTS</w:t>
      </w:r>
    </w:p>
    <w:p>
      <w:pPr>
        <w:spacing w:after="0" w:line="2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shows our expenditures for property, plant and equipment, and for investments. We provide capital expenditure information by segment in Note 16 of the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CAPITAL EXPENDITURES AND INVESTMENTS/ACQUISITIONS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vMerge w:val="restart"/>
          </w:tcPr>
          <w:p>
            <w:pPr>
              <w:jc w:val="right"/>
              <w:spacing w:after="0"/>
              <w:rPr>
                <w:sz w:val="20"/>
                <w:szCs w:val="20"/>
                <w:color w:val="auto"/>
              </w:rPr>
            </w:pPr>
            <w:r>
              <w:rPr>
                <w:rFonts w:ascii="Arial" w:cs="Arial" w:eastAsia="Arial" w:hAnsi="Arial"/>
                <w:sz w:val="14"/>
                <w:szCs w:val="14"/>
                <w:color w:val="auto"/>
              </w:rPr>
              <w:t>Investments and acquisition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right"/>
              <w:ind w:right="280"/>
              <w:spacing w:after="0" w:line="157" w:lineRule="exact"/>
              <w:rPr>
                <w:sz w:val="20"/>
                <w:szCs w:val="20"/>
                <w:color w:val="auto"/>
              </w:rPr>
            </w:pPr>
            <w:r>
              <w:rPr>
                <w:rFonts w:ascii="Arial" w:cs="Arial" w:eastAsia="Arial" w:hAnsi="Arial"/>
                <w:sz w:val="14"/>
                <w:szCs w:val="14"/>
                <w:color w:val="auto"/>
              </w:rPr>
              <w:t>Property, plant and equipment</w:t>
            </w:r>
          </w:p>
        </w:tc>
        <w:tc>
          <w:tcPr>
            <w:tcW w:w="7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businesses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tcPr>
          <w:p>
            <w:pPr>
              <w:spacing w:after="0" w:line="164" w:lineRule="exact"/>
              <w:rPr>
                <w:sz w:val="20"/>
                <w:szCs w:val="20"/>
                <w:color w:val="auto"/>
              </w:rPr>
            </w:pPr>
            <w:r>
              <w:rPr>
                <w:rFonts w:ascii="Arial" w:cs="Arial" w:eastAsia="Arial" w:hAnsi="Arial"/>
                <w:sz w:val="16"/>
                <w:szCs w:val="16"/>
                <w:color w:val="auto"/>
              </w:rPr>
              <w:t>2011</w:t>
            </w:r>
          </w:p>
        </w:tc>
        <w:tc>
          <w:tcPr>
            <w:tcW w:w="2500" w:type="dxa"/>
            <w:vAlign w:val="bottom"/>
          </w:tcPr>
          <w:p>
            <w:pPr>
              <w:jc w:val="right"/>
              <w:ind w:right="219"/>
              <w:spacing w:after="0" w:line="164" w:lineRule="exact"/>
              <w:rPr>
                <w:sz w:val="20"/>
                <w:szCs w:val="20"/>
                <w:color w:val="auto"/>
              </w:rPr>
            </w:pPr>
            <w:r>
              <w:rPr>
                <w:rFonts w:ascii="Arial" w:cs="Arial" w:eastAsia="Arial" w:hAnsi="Arial"/>
                <w:sz w:val="16"/>
                <w:szCs w:val="16"/>
                <w:color w:val="auto"/>
              </w:rPr>
              <w:t>$</w:t>
            </w:r>
          </w:p>
        </w:tc>
        <w:tc>
          <w:tcPr>
            <w:tcW w:w="2580" w:type="dxa"/>
            <w:vAlign w:val="bottom"/>
          </w:tcPr>
          <w:p>
            <w:pPr>
              <w:jc w:val="right"/>
              <w:ind w:right="320"/>
              <w:spacing w:after="0" w:line="164" w:lineRule="exact"/>
              <w:rPr>
                <w:sz w:val="20"/>
                <w:szCs w:val="20"/>
                <w:color w:val="auto"/>
              </w:rPr>
            </w:pPr>
            <w:r>
              <w:rPr>
                <w:rFonts w:ascii="Arial" w:cs="Arial" w:eastAsia="Arial" w:hAnsi="Arial"/>
                <w:sz w:val="16"/>
                <w:szCs w:val="16"/>
                <w:color w:val="auto"/>
              </w:rPr>
              <w:t>2,844</w:t>
            </w:r>
          </w:p>
        </w:tc>
        <w:tc>
          <w:tcPr>
            <w:tcW w:w="740" w:type="dxa"/>
            <w:vAlign w:val="bottom"/>
          </w:tcPr>
          <w:p>
            <w:pPr>
              <w:jc w:val="right"/>
              <w:ind w:right="219"/>
              <w:spacing w:after="0" w:line="164" w:lineRule="exact"/>
              <w:rPr>
                <w:sz w:val="20"/>
                <w:szCs w:val="20"/>
                <w:color w:val="auto"/>
              </w:rPr>
            </w:pPr>
            <w:r>
              <w:rPr>
                <w:rFonts w:ascii="Arial" w:cs="Arial" w:eastAsia="Arial" w:hAnsi="Arial"/>
                <w:sz w:val="16"/>
                <w:szCs w:val="16"/>
                <w:color w:val="auto"/>
              </w:rPr>
              <w:t>$</w:t>
            </w:r>
          </w:p>
        </w:tc>
        <w:tc>
          <w:tcPr>
            <w:tcW w:w="2240" w:type="dxa"/>
            <w:vAlign w:val="bottom"/>
          </w:tcPr>
          <w:p>
            <w:pPr>
              <w:jc w:val="right"/>
              <w:spacing w:after="0" w:line="164" w:lineRule="exact"/>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6"/>
                <w:szCs w:val="16"/>
                <w:color w:val="auto"/>
              </w:rPr>
              <w:t>2010</w:t>
            </w:r>
          </w:p>
        </w:tc>
        <w:tc>
          <w:tcPr>
            <w:tcW w:w="2500" w:type="dxa"/>
            <w:vAlign w:val="bottom"/>
          </w:tcPr>
          <w:p>
            <w:pPr>
              <w:spacing w:after="0"/>
              <w:rPr>
                <w:sz w:val="15"/>
                <w:szCs w:val="15"/>
                <w:color w:val="auto"/>
              </w:rPr>
            </w:pPr>
          </w:p>
        </w:tc>
        <w:tc>
          <w:tcPr>
            <w:tcW w:w="258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2,062</w:t>
            </w:r>
          </w:p>
        </w:tc>
        <w:tc>
          <w:tcPr>
            <w:tcW w:w="740" w:type="dxa"/>
            <w:vAlign w:val="bottom"/>
          </w:tcPr>
          <w:p>
            <w:pPr>
              <w:spacing w:after="0"/>
              <w:rPr>
                <w:sz w:val="15"/>
                <w:szCs w:val="15"/>
                <w:color w:val="auto"/>
              </w:rPr>
            </w:pPr>
          </w:p>
        </w:tc>
        <w:tc>
          <w:tcPr>
            <w:tcW w:w="2240" w:type="dxa"/>
            <w:vAlign w:val="bottom"/>
          </w:tcPr>
          <w:p>
            <w:pPr>
              <w:jc w:val="right"/>
              <w:spacing w:after="0" w:line="176" w:lineRule="exact"/>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6"/>
                <w:szCs w:val="16"/>
                <w:color w:val="auto"/>
              </w:rPr>
              <w:t>2009</w:t>
            </w:r>
          </w:p>
        </w:tc>
        <w:tc>
          <w:tcPr>
            <w:tcW w:w="2500" w:type="dxa"/>
            <w:vAlign w:val="bottom"/>
          </w:tcPr>
          <w:p>
            <w:pPr>
              <w:spacing w:after="0"/>
              <w:rPr>
                <w:sz w:val="15"/>
                <w:szCs w:val="15"/>
                <w:color w:val="auto"/>
              </w:rPr>
            </w:pPr>
          </w:p>
        </w:tc>
        <w:tc>
          <w:tcPr>
            <w:tcW w:w="258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1,912</w:t>
            </w:r>
          </w:p>
        </w:tc>
        <w:tc>
          <w:tcPr>
            <w:tcW w:w="740" w:type="dxa"/>
            <w:vAlign w:val="bottom"/>
          </w:tcPr>
          <w:p>
            <w:pPr>
              <w:spacing w:after="0"/>
              <w:rPr>
                <w:sz w:val="15"/>
                <w:szCs w:val="15"/>
                <w:color w:val="auto"/>
              </w:rPr>
            </w:pPr>
          </w:p>
        </w:tc>
        <w:tc>
          <w:tcPr>
            <w:tcW w:w="2240" w:type="dxa"/>
            <w:vAlign w:val="bottom"/>
          </w:tcPr>
          <w:p>
            <w:pPr>
              <w:jc w:val="right"/>
              <w:spacing w:after="0" w:line="176" w:lineRule="exact"/>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6"/>
                <w:szCs w:val="16"/>
                <w:color w:val="auto"/>
              </w:rPr>
              <w:t>2008</w:t>
            </w:r>
          </w:p>
        </w:tc>
        <w:tc>
          <w:tcPr>
            <w:tcW w:w="2500" w:type="dxa"/>
            <w:vAlign w:val="bottom"/>
          </w:tcPr>
          <w:p>
            <w:pPr>
              <w:spacing w:after="0"/>
              <w:rPr>
                <w:sz w:val="15"/>
                <w:szCs w:val="15"/>
                <w:color w:val="auto"/>
              </w:rPr>
            </w:pPr>
          </w:p>
        </w:tc>
        <w:tc>
          <w:tcPr>
            <w:tcW w:w="258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2,061</w:t>
            </w:r>
          </w:p>
        </w:tc>
        <w:tc>
          <w:tcPr>
            <w:tcW w:w="740" w:type="dxa"/>
            <w:vAlign w:val="bottom"/>
          </w:tcPr>
          <w:p>
            <w:pPr>
              <w:spacing w:after="0"/>
              <w:rPr>
                <w:sz w:val="15"/>
                <w:szCs w:val="15"/>
                <w:color w:val="auto"/>
              </w:rPr>
            </w:pPr>
          </w:p>
        </w:tc>
        <w:tc>
          <w:tcPr>
            <w:tcW w:w="2240" w:type="dxa"/>
            <w:vAlign w:val="bottom"/>
          </w:tcPr>
          <w:p>
            <w:pPr>
              <w:jc w:val="right"/>
              <w:spacing w:after="0" w:line="176" w:lineRule="exact"/>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194"/>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2007</w:t>
            </w:r>
          </w:p>
        </w:tc>
        <w:tc>
          <w:tcPr>
            <w:tcW w:w="25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2,011</w:t>
            </w:r>
          </w:p>
        </w:tc>
        <w:tc>
          <w:tcPr>
            <w:tcW w:w="7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 Capital Expenditures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discuss capital expenditures at the Sempra Utilities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Sempra Global, the primary capital expenditures over the last three years were as follows: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Generation</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2011, capital expenditures include $181 million for the construction of the Mesquite Solar facility. In 2010, capital expenditures include $123 million for construction of the Copper Mountain Solar facility. Total capital expenditures in 2009 were $38 million.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Pipelines &amp; Storage</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2011, Sempra Pipelines &amp; Storage had capital expenditures from the South American entities of $110 million related to distribution infrastructure and generation projects, including a hydroelectric power plant in Peru. Also in 2011, Sempra Pipelines &amp; Storage had capital expenditures related to the development of approximately 20 Bcf of additional capacity at Bay Gas and Mississippi Hub. In 2010, Sempra Pipelines &amp; Storage increased its operational working natural gas storage capacity by approximately 12 Bcf at Bay Gas and Mississippi Hub. In 2009, Sempra Pipelines &amp; Storage completed its Cameron Interstate Pipeline project in Louisiana connecting the Cameron LNG terminal with several interstate pipelines. Related amounts included in total capital expenditures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Natural gas storage:</w:t>
            </w:r>
          </w:p>
        </w:tc>
        <w:tc>
          <w:tcPr>
            <w:tcW w:w="4320" w:type="dxa"/>
            <w:vAlign w:val="bottom"/>
            <w:gridSpan w:val="2"/>
          </w:tcPr>
          <w:p>
            <w:pPr>
              <w:ind w:left="2600"/>
              <w:spacing w:after="0"/>
              <w:rPr>
                <w:sz w:val="20"/>
                <w:szCs w:val="20"/>
                <w:color w:val="auto"/>
              </w:rPr>
            </w:pPr>
            <w:r>
              <w:rPr>
                <w:rFonts w:ascii="Arial" w:cs="Arial" w:eastAsia="Arial" w:hAnsi="Arial"/>
                <w:sz w:val="18"/>
                <w:szCs w:val="18"/>
                <w:color w:val="auto"/>
              </w:rPr>
              <w:t>Pipelines:</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   $122 million in 2011</w:t>
            </w:r>
          </w:p>
        </w:tc>
        <w:tc>
          <w:tcPr>
            <w:tcW w:w="2800" w:type="dxa"/>
            <w:vAlign w:val="bottom"/>
          </w:tcPr>
          <w:p>
            <w:pPr>
              <w:ind w:left="260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None in 2011</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ind w:left="100"/>
              <w:spacing w:after="0"/>
              <w:rPr>
                <w:sz w:val="20"/>
                <w:szCs w:val="20"/>
                <w:color w:val="auto"/>
              </w:rPr>
            </w:pPr>
            <w:r>
              <w:rPr>
                <w:rFonts w:ascii="Arial" w:cs="Arial" w:eastAsia="Arial" w:hAnsi="Arial"/>
                <w:sz w:val="18"/>
                <w:szCs w:val="18"/>
                <w:color w:val="auto"/>
              </w:rPr>
              <w:t>$170 million in 2010</w:t>
            </w:r>
          </w:p>
        </w:tc>
        <w:tc>
          <w:tcPr>
            <w:tcW w:w="2800" w:type="dxa"/>
            <w:vAlign w:val="bottom"/>
          </w:tcPr>
          <w:p>
            <w:pPr>
              <w:ind w:left="260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None in 2010</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ind w:left="100"/>
              <w:spacing w:after="0"/>
              <w:rPr>
                <w:sz w:val="20"/>
                <w:szCs w:val="20"/>
                <w:color w:val="auto"/>
              </w:rPr>
            </w:pPr>
            <w:r>
              <w:rPr>
                <w:rFonts w:ascii="Arial" w:cs="Arial" w:eastAsia="Arial" w:hAnsi="Arial"/>
                <w:sz w:val="18"/>
                <w:szCs w:val="18"/>
                <w:color w:val="auto"/>
              </w:rPr>
              <w:t>$127 million in 2009</w:t>
            </w:r>
          </w:p>
        </w:tc>
        <w:tc>
          <w:tcPr>
            <w:tcW w:w="4320" w:type="dxa"/>
            <w:vAlign w:val="bottom"/>
            <w:gridSpan w:val="2"/>
          </w:tcPr>
          <w:p>
            <w:pPr>
              <w:ind w:left="2600"/>
              <w:spacing w:after="0"/>
              <w:rPr>
                <w:sz w:val="20"/>
                <w:szCs w:val="20"/>
                <w:color w:val="auto"/>
              </w:rPr>
            </w:pPr>
            <w:r>
              <w:rPr>
                <w:rFonts w:ascii="Arial" w:cs="Arial" w:eastAsia="Arial" w:hAnsi="Arial"/>
                <w:sz w:val="18"/>
                <w:szCs w:val="18"/>
                <w:color w:val="auto"/>
                <w:w w:val="97"/>
              </w:rPr>
              <w:t>§   $10 million in 2009</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20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Sempra LNG’s Energía Costa Azul and Cameron terminals began commercial operations in May 2008 and July 2009, respectively. The nitrogen-injection facility at Energía Costa Azul was placed in service in December 2009. Expenditures for these facilities were $11 million in 2011, $17 million in 2010 and $207 million in 2009.</w:t>
      </w:r>
    </w:p>
    <w:p>
      <w:pPr>
        <w:sectPr>
          <w:pgSz w:w="11900" w:h="16838" w:orient="portrait"/>
          <w:cols w:equalWidth="0" w:num="1">
            <w:col w:w="11420"/>
          </w:cols>
          <w:pgMar w:left="240" w:top="368" w:right="239" w:bottom="69" w:gutter="0" w:footer="0" w:header="0"/>
        </w:sectPr>
      </w:pPr>
    </w:p>
    <w:bookmarkStart w:id="165" w:name="page166"/>
    <w:bookmarkEnd w:id="165"/>
    <w:p>
      <w:pPr>
        <w:spacing w:after="0"/>
        <w:rPr>
          <w:sz w:val="20"/>
          <w:szCs w:val="20"/>
          <w:color w:val="auto"/>
        </w:rPr>
      </w:pPr>
      <w:r>
        <w:rPr>
          <w:rFonts w:ascii="Arial" w:cs="Arial" w:eastAsia="Arial" w:hAnsi="Arial"/>
          <w:sz w:val="20"/>
          <w:szCs w:val="20"/>
          <w:b w:val="1"/>
          <w:bCs w:val="1"/>
          <w:i w:val="1"/>
          <w:iCs w:val="1"/>
          <w:color w:val="auto"/>
        </w:rPr>
        <w:t>Sempra Energy Consolidated Investments and Acquisitions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2011, investments consisted primarily of:</w:t>
      </w:r>
    </w:p>
    <w:p>
      <w:pPr>
        <w:spacing w:after="0" w:line="225" w:lineRule="exact"/>
        <w:rPr>
          <w:sz w:val="20"/>
          <w:szCs w:val="20"/>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$611 million in cash used to fund Sempra Pipelines &amp; Storage’s purchase of South American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$146 million for the initial investment in Flat Ridge 2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$88 million for the initial investment in Mehoopany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purchase of $84 million in industrial development bonds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 2010, investments consisted primarily of:</w:t>
      </w:r>
    </w:p>
    <w:p>
      <w:pPr>
        <w:spacing w:after="0" w:line="212" w:lineRule="exact"/>
        <w:rPr>
          <w:sz w:val="20"/>
          <w:szCs w:val="20"/>
          <w:color w:val="auto"/>
        </w:rPr>
      </w:pPr>
    </w:p>
    <w:p>
      <w:pPr>
        <w:ind w:left="340" w:hanging="188"/>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acquisition of Mexican pipelines and infrastructure assets for approximately $300 million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$209 million for the initial investment in Cedar Creek 2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$65 million invested in Rockies Express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2009, investments consisted primarily of:</w:t>
      </w:r>
    </w:p>
    <w:p>
      <w:pPr>
        <w:spacing w:after="0" w:line="225" w:lineRule="exact"/>
        <w:rPr>
          <w:sz w:val="20"/>
          <w:szCs w:val="20"/>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$625 million for Rockies Express and $235 million for Fowler Ridge 2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purchase of $75 million in industrial development bonds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 Distributions From Other Investments</w:t>
      </w:r>
    </w:p>
    <w:p>
      <w:pPr>
        <w:spacing w:after="0" w:line="2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Sempra Energy’s Distributions From Other Investments consist primarily of distributions representing return of investment from equity method and other investments at Sempra Generation and Sempra Pipelines &amp; Storage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900"/>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20"/>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40"/>
              <w:spacing w:after="0"/>
              <w:rPr>
                <w:sz w:val="20"/>
                <w:szCs w:val="20"/>
                <w:color w:val="auto"/>
              </w:rPr>
            </w:pPr>
            <w:r>
              <w:rPr>
                <w:rFonts w:ascii="Arial" w:cs="Arial" w:eastAsia="Arial" w:hAnsi="Arial"/>
                <w:sz w:val="14"/>
                <w:szCs w:val="14"/>
                <w:color w:val="auto"/>
              </w:rPr>
              <w:t>2009</w:t>
            </w:r>
          </w:p>
        </w:tc>
      </w:tr>
      <w:tr>
        <w:trPr>
          <w:trHeight w:val="204"/>
        </w:trPr>
        <w:tc>
          <w:tcPr>
            <w:tcW w:w="4440" w:type="dxa"/>
            <w:vAlign w:val="bottom"/>
          </w:tcPr>
          <w:p>
            <w:pPr>
              <w:spacing w:after="0"/>
              <w:rPr>
                <w:sz w:val="20"/>
                <w:szCs w:val="20"/>
                <w:color w:val="auto"/>
              </w:rPr>
            </w:pPr>
            <w:r>
              <w:rPr>
                <w:rFonts w:ascii="Arial" w:cs="Arial" w:eastAsia="Arial" w:hAnsi="Arial"/>
                <w:sz w:val="16"/>
                <w:szCs w:val="16"/>
                <w:b w:val="1"/>
                <w:bCs w:val="1"/>
                <w:color w:val="auto"/>
              </w:rPr>
              <w:t>Sempra Generation</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5"/>
        </w:trPr>
        <w:tc>
          <w:tcPr>
            <w:tcW w:w="4440" w:type="dxa"/>
            <w:vAlign w:val="bottom"/>
          </w:tcPr>
          <w:p>
            <w:pPr>
              <w:ind w:left="380"/>
              <w:spacing w:after="0"/>
              <w:rPr>
                <w:sz w:val="20"/>
                <w:szCs w:val="20"/>
                <w:color w:val="auto"/>
              </w:rPr>
            </w:pPr>
            <w:r>
              <w:rPr>
                <w:rFonts w:ascii="Arial" w:cs="Arial" w:eastAsia="Arial" w:hAnsi="Arial"/>
                <w:sz w:val="16"/>
                <w:szCs w:val="16"/>
                <w:color w:val="auto"/>
              </w:rPr>
              <w:t>Fowler Ridge 2</w:t>
            </w: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180</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40" w:type="dxa"/>
            <w:vAlign w:val="bottom"/>
          </w:tcPr>
          <w:p>
            <w:pPr>
              <w:ind w:left="380"/>
              <w:spacing w:after="0"/>
              <w:rPr>
                <w:sz w:val="20"/>
                <w:szCs w:val="20"/>
                <w:color w:val="auto"/>
              </w:rPr>
            </w:pPr>
            <w:r>
              <w:rPr>
                <w:rFonts w:ascii="Arial" w:cs="Arial" w:eastAsia="Arial" w:hAnsi="Arial"/>
                <w:sz w:val="16"/>
                <w:szCs w:val="16"/>
                <w:color w:val="auto"/>
              </w:rPr>
              <w:t>Cedar Creek 2</w:t>
            </w:r>
          </w:p>
        </w:tc>
        <w:tc>
          <w:tcPr>
            <w:tcW w:w="5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w:t>
            </w:r>
          </w:p>
        </w:tc>
        <w:tc>
          <w:tcPr>
            <w:tcW w:w="5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96</w:t>
            </w:r>
          </w:p>
        </w:tc>
        <w:tc>
          <w:tcPr>
            <w:tcW w:w="5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40" w:type="dxa"/>
            <w:vAlign w:val="bottom"/>
          </w:tcPr>
          <w:p>
            <w:pPr>
              <w:ind w:left="380"/>
              <w:spacing w:after="0"/>
              <w:rPr>
                <w:sz w:val="20"/>
                <w:szCs w:val="20"/>
                <w:color w:val="auto"/>
              </w:rPr>
            </w:pPr>
            <w:r>
              <w:rPr>
                <w:rFonts w:ascii="Arial" w:cs="Arial" w:eastAsia="Arial" w:hAnsi="Arial"/>
                <w:sz w:val="16"/>
                <w:szCs w:val="16"/>
                <w:color w:val="auto"/>
              </w:rPr>
              <w:t>Elk Hills</w:t>
            </w:r>
          </w:p>
        </w:tc>
        <w:tc>
          <w:tcPr>
            <w:tcW w:w="5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w:t>
            </w:r>
          </w:p>
        </w:tc>
        <w:tc>
          <w:tcPr>
            <w:tcW w:w="5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92"/>
        </w:trPr>
        <w:tc>
          <w:tcPr>
            <w:tcW w:w="4440" w:type="dxa"/>
            <w:vAlign w:val="bottom"/>
          </w:tcPr>
          <w:p>
            <w:pPr>
              <w:spacing w:after="0"/>
              <w:rPr>
                <w:sz w:val="20"/>
                <w:szCs w:val="20"/>
                <w:color w:val="auto"/>
              </w:rPr>
            </w:pPr>
            <w:r>
              <w:rPr>
                <w:rFonts w:ascii="Arial" w:cs="Arial" w:eastAsia="Arial" w:hAnsi="Arial"/>
                <w:sz w:val="16"/>
                <w:szCs w:val="16"/>
                <w:b w:val="1"/>
                <w:bCs w:val="1"/>
                <w:color w:val="auto"/>
              </w:rPr>
              <w:t>Sempra Pipelines &amp; Storage</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0"/>
        </w:trPr>
        <w:tc>
          <w:tcPr>
            <w:tcW w:w="4440" w:type="dxa"/>
            <w:vAlign w:val="bottom"/>
          </w:tcPr>
          <w:p>
            <w:pPr>
              <w:ind w:left="380"/>
              <w:spacing w:after="0"/>
              <w:rPr>
                <w:sz w:val="20"/>
                <w:szCs w:val="20"/>
                <w:color w:val="auto"/>
              </w:rPr>
            </w:pPr>
            <w:r>
              <w:rPr>
                <w:rFonts w:ascii="Arial" w:cs="Arial" w:eastAsia="Arial" w:hAnsi="Arial"/>
                <w:sz w:val="16"/>
                <w:szCs w:val="16"/>
                <w:color w:val="auto"/>
              </w:rPr>
              <w:t>Rockies Express</w:t>
            </w:r>
          </w:p>
        </w:tc>
        <w:tc>
          <w:tcPr>
            <w:tcW w:w="5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w:t>
            </w:r>
          </w:p>
        </w:tc>
        <w:tc>
          <w:tcPr>
            <w:tcW w:w="5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55</w:t>
            </w:r>
          </w:p>
        </w:tc>
        <w:tc>
          <w:tcPr>
            <w:tcW w:w="5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94"/>
        </w:trPr>
        <w:tc>
          <w:tcPr>
            <w:tcW w:w="4440" w:type="dxa"/>
            <w:vAlign w:val="bottom"/>
          </w:tcPr>
          <w:p>
            <w:pPr>
              <w:ind w:left="380"/>
              <w:spacing w:after="0"/>
              <w:rPr>
                <w:sz w:val="20"/>
                <w:szCs w:val="20"/>
                <w:color w:val="auto"/>
              </w:rPr>
            </w:pPr>
            <w:r>
              <w:rPr>
                <w:rFonts w:ascii="Arial" w:cs="Arial" w:eastAsia="Arial" w:hAnsi="Arial"/>
                <w:sz w:val="16"/>
                <w:szCs w:val="16"/>
                <w:color w:val="auto"/>
              </w:rPr>
              <w:t>South America</w:t>
            </w: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4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64</w:t>
            </w:r>
          </w:p>
        </w:tc>
        <w:tc>
          <w:tcPr>
            <w:tcW w:w="560" w:type="dxa"/>
            <w:vAlign w:val="bottom"/>
            <w:tcBorders>
              <w:bottom w:val="single" w:sz="8" w:color="auto"/>
            </w:tcBorders>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371</w:t>
            </w:r>
          </w:p>
        </w:tc>
        <w:tc>
          <w:tcPr>
            <w:tcW w:w="560" w:type="dxa"/>
            <w:vAlign w:val="bottom"/>
            <w:tcBorders>
              <w:bottom w:val="single" w:sz="8" w:color="auto"/>
            </w:tcBorders>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2010 distributions from Fowler Ridge 2 and Cedar Creek 2 were made by the joint ventures upon entering into loans to finance the projects.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of earnings from these investments are included in cash flows from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 of Bonds Issued by Unconsolidated Affiliate</w:t>
      </w:r>
    </w:p>
    <w:p>
      <w:pPr>
        <w:spacing w:after="0" w:line="20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In November 2009, Sempra Pipelines &amp; Storage purchased $50 million of 2.75-percent bonds issued by Chilquinta Energía S.A., a then unconsolidated affiliate, that are adjusted for Chilean inflation. The bonds mature on October 30, 2014. We discuss these bonds in Note 5 of the 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Capital Expenditures and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Sempra Utilities’ capital expenditures for property, plant and equipment were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color w:val="auto"/>
              </w:rPr>
              <w:t>2009</w:t>
            </w:r>
          </w:p>
        </w:tc>
      </w:tr>
      <w:tr>
        <w:trPr>
          <w:trHeight w:val="164"/>
        </w:trPr>
        <w:tc>
          <w:tcPr>
            <w:tcW w:w="3180" w:type="dxa"/>
            <w:vAlign w:val="bottom"/>
          </w:tcPr>
          <w:p>
            <w:pPr>
              <w:spacing w:after="0" w:line="164" w:lineRule="exact"/>
              <w:rPr>
                <w:sz w:val="20"/>
                <w:szCs w:val="20"/>
                <w:color w:val="auto"/>
              </w:rPr>
            </w:pPr>
            <w:r>
              <w:rPr>
                <w:rFonts w:ascii="Arial" w:cs="Arial" w:eastAsia="Arial" w:hAnsi="Arial"/>
                <w:sz w:val="16"/>
                <w:szCs w:val="16"/>
                <w:color w:val="auto"/>
              </w:rPr>
              <w:t>SDG&amp;E</w:t>
            </w:r>
          </w:p>
        </w:tc>
        <w:tc>
          <w:tcPr>
            <w:tcW w:w="2440" w:type="dxa"/>
            <w:vAlign w:val="bottom"/>
          </w:tcPr>
          <w:p>
            <w:pPr>
              <w:jc w:val="right"/>
              <w:ind w:right="299"/>
              <w:spacing w:after="0" w:line="164" w:lineRule="exact"/>
              <w:rPr>
                <w:sz w:val="20"/>
                <w:szCs w:val="20"/>
                <w:color w:val="auto"/>
              </w:rPr>
            </w:pPr>
            <w:r>
              <w:rPr>
                <w:rFonts w:ascii="Arial" w:cs="Arial" w:eastAsia="Arial" w:hAnsi="Arial"/>
                <w:sz w:val="16"/>
                <w:szCs w:val="16"/>
                <w:color w:val="auto"/>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1,831</w:t>
            </w:r>
          </w:p>
        </w:tc>
        <w:tc>
          <w:tcPr>
            <w:tcW w:w="480" w:type="dxa"/>
            <w:vAlign w:val="bottom"/>
          </w:tcPr>
          <w:p>
            <w:pPr>
              <w:jc w:val="right"/>
              <w:ind w:right="299"/>
              <w:spacing w:after="0" w:line="164" w:lineRule="exact"/>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1,210</w:t>
            </w:r>
          </w:p>
        </w:tc>
        <w:tc>
          <w:tcPr>
            <w:tcW w:w="500" w:type="dxa"/>
            <w:vAlign w:val="bottom"/>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line="164" w:lineRule="exact"/>
              <w:rPr>
                <w:sz w:val="20"/>
                <w:szCs w:val="20"/>
                <w:color w:val="auto"/>
              </w:rPr>
            </w:pPr>
            <w:r>
              <w:rPr>
                <w:rFonts w:ascii="Arial" w:cs="Arial" w:eastAsia="Arial" w:hAnsi="Arial"/>
                <w:sz w:val="16"/>
                <w:szCs w:val="16"/>
                <w:color w:val="auto"/>
              </w:rPr>
              <w:t>955</w:t>
            </w:r>
          </w:p>
        </w:tc>
      </w:tr>
      <w:tr>
        <w:trPr>
          <w:trHeight w:val="194"/>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2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at the Sempra Utilities in 2011 consisted primarily 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$593 million of improvements to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$789 million for the Sunrise Powerlink transmission line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$173 million of improvements to electric transmission systems</w:t>
      </w:r>
    </w:p>
    <w:p>
      <w:pPr>
        <w:sectPr>
          <w:pgSz w:w="11900" w:h="16838" w:orient="portrait"/>
          <w:cols w:equalWidth="0" w:num="1">
            <w:col w:w="11420"/>
          </w:cols>
          <w:pgMar w:left="240" w:top="122" w:right="239" w:bottom="0" w:gutter="0" w:footer="0" w:header="0"/>
        </w:sectPr>
      </w:pPr>
    </w:p>
    <w:bookmarkStart w:id="166" w:name="page167"/>
    <w:bookmarkEnd w:id="166"/>
    <w:p>
      <w:pPr>
        <w:ind w:left="160"/>
        <w:spacing w:after="0"/>
        <w:rPr>
          <w:sz w:val="20"/>
          <w:szCs w:val="20"/>
          <w:color w:val="auto"/>
        </w:rPr>
      </w:pPr>
      <w:r>
        <w:rPr>
          <w:rFonts w:ascii="Arial" w:cs="Arial" w:eastAsia="Arial" w:hAnsi="Arial"/>
          <w:sz w:val="18"/>
          <w:szCs w:val="18"/>
          <w:color w:val="auto"/>
        </w:rPr>
        <w:t>§ $276 million for electric generation plants and equipment</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$683 million of improvements to natural gas infrastructure</w:t>
      </w:r>
    </w:p>
    <w:p>
      <w:pPr>
        <w:spacing w:after="0" w:line="200" w:lineRule="exact"/>
        <w:rPr>
          <w:sz w:val="20"/>
          <w:szCs w:val="20"/>
          <w:color w:val="auto"/>
        </w:rPr>
      </w:pPr>
    </w:p>
    <w:p>
      <w:pPr>
        <w:spacing w:after="0" w:line="2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Through December 31, 2011, SDG&amp;E has recorded $1.48 billion to property, plant and equipment related to the Sunrise Powerlink project, including $130 million of AFUDC related to debt and equity.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SDG&amp;E also purchased $152 million of industrial development bonds in 2009. We discuss these bonds in Note 5 of the Notes to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CONSTRUCTION EXPENDITURES AND INVESTMENTS</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amounts and timing of capital expenditures are generally subject to approvals by the CPUC, the FERC and other regulatory bodies. However, in 2012, we expect to make capital expenditures and investments of approximately $3.1 billion. These expenditures include</w:t>
      </w:r>
    </w:p>
    <w:p>
      <w:pPr>
        <w:spacing w:after="0" w:line="170" w:lineRule="exact"/>
        <w:rPr>
          <w:sz w:val="20"/>
          <w:szCs w:val="20"/>
          <w:color w:val="auto"/>
        </w:rPr>
      </w:pPr>
    </w:p>
    <w:p>
      <w:pPr>
        <w:ind w:left="340" w:hanging="188"/>
        <w:spacing w:after="0"/>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$2.1 billion at the Sempra Utilities for capital projects and plant improvements ($1.4 billion at SDG&amp;E and $710 million at SoCalGas)</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$1.0 billion at our other subsidiaries for development of natural gas storage facilities and pipelines, capital projects in South America and renewable generation projects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188"/>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$630 million for improvements to SDG&amp;E’s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$170 million at SDG&amp;E for the Sunrise Powerlink transmission line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$200 million for improvements to SDG&amp;E’s electric transmission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$90 million for SDG&amp;E’s electric generation plants and equipment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$285 million for SDG&amp;E’s renewable projects</w:t>
      </w:r>
    </w:p>
    <w:p>
      <w:pPr>
        <w:spacing w:after="0" w:line="252" w:lineRule="exact"/>
        <w:rPr>
          <w:rFonts w:ascii="Arial" w:cs="Arial" w:eastAsia="Arial" w:hAnsi="Arial"/>
          <w:sz w:val="18"/>
          <w:szCs w:val="18"/>
          <w:color w:val="auto"/>
        </w:rPr>
      </w:pPr>
    </w:p>
    <w:p>
      <w:pPr>
        <w:ind w:right="400" w:firstLine="152"/>
        <w:spacing w:after="0" w:line="581" w:lineRule="auto"/>
        <w:tabs>
          <w:tab w:leader="none" w:pos="32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$710 million at SoCalGas for improvements to distribution and transmission systems and storage facilities, and for advanced metering infrastructure The Sempra Utilities expect to finance these expenditures and investments with cash flows from operations, cash on hand and debt issuances.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Over the next five years and subject to the factors described below which could cause these estimates to vary substantially, the Sempra Utilities expect to make capital expenditures and investments of:</w:t>
      </w:r>
    </w:p>
    <w:p>
      <w:pPr>
        <w:spacing w:after="0" w:line="170" w:lineRule="exact"/>
        <w:rPr>
          <w:sz w:val="20"/>
          <w:szCs w:val="20"/>
          <w:color w:val="auto"/>
        </w:rPr>
      </w:pPr>
    </w:p>
    <w:p>
      <w:pPr>
        <w:ind w:left="340" w:hanging="188"/>
        <w:spacing w:after="0"/>
        <w:tabs>
          <w:tab w:leader="none" w:pos="3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$5.8 billion at 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$5.0 billion at SoCalGas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2012, the expected capital expenditures and investments of $1.0 billion at our other subsidiaries, net of anticipated project financing and joint venture structures, include</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Pipelines &amp; Storage</w:t>
      </w:r>
    </w:p>
    <w:p>
      <w:pPr>
        <w:spacing w:after="0" w:line="225" w:lineRule="exact"/>
        <w:rPr>
          <w:sz w:val="20"/>
          <w:szCs w:val="20"/>
          <w:color w:val="auto"/>
        </w:rPr>
      </w:pPr>
    </w:p>
    <w:p>
      <w:pPr>
        <w:ind w:left="980" w:hanging="180"/>
        <w:spacing w:after="0" w:line="277" w:lineRule="auto"/>
        <w:tabs>
          <w:tab w:leader="none" w:pos="9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approximately $100 million to $200 million for capital projects in South America, including approximately $70 million for the Santa Teresa hydroelectric power at Luz del Sur</w:t>
      </w:r>
    </w:p>
    <w:p>
      <w:pPr>
        <w:spacing w:after="0" w:line="197" w:lineRule="exact"/>
        <w:rPr>
          <w:rFonts w:ascii="Arial" w:cs="Arial" w:eastAsia="Arial" w:hAnsi="Arial"/>
          <w:sz w:val="18"/>
          <w:szCs w:val="18"/>
          <w:color w:val="auto"/>
        </w:rPr>
      </w:pPr>
    </w:p>
    <w:p>
      <w:pPr>
        <w:ind w:left="980" w:hanging="180"/>
        <w:spacing w:after="0"/>
        <w:tabs>
          <w:tab w:leader="none" w:pos="9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approximately $50 million to $100 million for development of natural gas storage projects at Bay Gas and Mississippi Hub</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Generation</w:t>
      </w:r>
    </w:p>
    <w:p>
      <w:pPr>
        <w:spacing w:after="0" w:line="225" w:lineRule="exact"/>
        <w:rPr>
          <w:sz w:val="20"/>
          <w:szCs w:val="20"/>
          <w:color w:val="auto"/>
        </w:rPr>
      </w:pPr>
    </w:p>
    <w:p>
      <w:pPr>
        <w:ind w:left="980" w:hanging="180"/>
        <w:spacing w:after="0" w:line="277" w:lineRule="auto"/>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approximately $400 million for investment in the first phase (150 MW) of Mesquite Solar, a solar project at our Mesquite Power plant near Arlington, Arizona</w:t>
      </w:r>
    </w:p>
    <w:p>
      <w:pPr>
        <w:spacing w:after="0" w:line="197" w:lineRule="exact"/>
        <w:rPr>
          <w:rFonts w:ascii="Arial" w:cs="Arial" w:eastAsia="Arial" w:hAnsi="Arial"/>
          <w:sz w:val="18"/>
          <w:szCs w:val="18"/>
          <w:color w:val="auto"/>
        </w:rPr>
      </w:pPr>
    </w:p>
    <w:p>
      <w:pPr>
        <w:ind w:left="980" w:hanging="180"/>
        <w:spacing w:after="0" w:line="277" w:lineRule="auto"/>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approximately $100 million for investment in the second phase (approximately 150 MW) of Copper Mountain Solar, a solar project located near Boulder City, Nevada</w:t>
      </w:r>
    </w:p>
    <w:p>
      <w:pPr>
        <w:spacing w:after="0" w:line="197" w:lineRule="exact"/>
        <w:rPr>
          <w:rFonts w:ascii="Arial" w:cs="Arial" w:eastAsia="Arial" w:hAnsi="Arial"/>
          <w:sz w:val="18"/>
          <w:szCs w:val="18"/>
          <w:color w:val="auto"/>
        </w:rPr>
      </w:pPr>
    </w:p>
    <w:p>
      <w:pPr>
        <w:ind w:left="980" w:hanging="180"/>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approximately $200 million for investment in other renewable projects</w:t>
      </w:r>
    </w:p>
    <w:p>
      <w:pPr>
        <w:spacing w:after="0" w:line="2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Over the next five years and subject to the factors described below which could cause these estimates to vary substantially, Sempra Energy expects to make aggregate capital expenditures at its other subsidiaries of approximately $2.8 billion. This amount is net of $1.3 billion in anticipated project financing, and anticipated joint venture structures.</w:t>
      </w:r>
    </w:p>
    <w:p>
      <w:pPr>
        <w:sectPr>
          <w:pgSz w:w="11900" w:h="16838" w:orient="portrait"/>
          <w:cols w:equalWidth="0" w:num="1">
            <w:col w:w="11420"/>
          </w:cols>
          <w:pgMar w:left="240" w:top="125" w:right="239" w:bottom="96" w:gutter="0" w:footer="0" w:header="0"/>
        </w:sectPr>
      </w:pPr>
    </w:p>
    <w:bookmarkStart w:id="167" w:name="page168"/>
    <w:bookmarkEnd w:id="167"/>
    <w:p>
      <w:pPr>
        <w:ind w:right="60"/>
        <w:spacing w:after="0" w:line="308" w:lineRule="auto"/>
        <w:rPr>
          <w:sz w:val="20"/>
          <w:szCs w:val="20"/>
          <w:color w:val="auto"/>
        </w:rPr>
      </w:pPr>
      <w:r>
        <w:rPr>
          <w:rFonts w:ascii="Arial" w:cs="Arial" w:eastAsia="Arial" w:hAnsi="Arial"/>
          <w:sz w:val="17"/>
          <w:szCs w:val="17"/>
          <w:color w:val="auto"/>
        </w:rPr>
        <w:t>Capital expenditure amounts include capitalized interest. At the Sempra Utilities, the amounts also include the portion of AFUDC related to debt, but exclude the portion of AFUDC related to equity. We provide further details about AFUDC in Note 1 of the Notes to Consolidated Financial Statements.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Periodically, we review our construction, investment and financing programs and revise them in response to changes in regulation, economic conditions, competition, customer growth, inflation, customer rates, the cost and availability of capital, and environmental requirements. We discuss these considerations in more detail in Notes 14 and 15 of the Notes to Consolidated Financial Statements.</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level of capital expenditures and investments in the next few years may vary substantially and will depend on the cost and availability of financing, regulatory approvals, changes in U.S. federal tax law and business opportunities providing desirable rates of return. We intend to finance our capital expenditures in a manner that will maintain our strong investment-grade credit ratings and capital structure.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2011 Change</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2010 Change</w:t>
            </w: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264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420" w:type="dxa"/>
            <w:vAlign w:val="bottom"/>
          </w:tcPr>
          <w:p>
            <w:pPr>
              <w:jc w:val="right"/>
              <w:ind w:right="723"/>
              <w:spacing w:after="0" w:line="164" w:lineRule="exact"/>
              <w:rPr>
                <w:sz w:val="20"/>
                <w:szCs w:val="20"/>
                <w:color w:val="auto"/>
              </w:rPr>
            </w:pPr>
            <w:r>
              <w:rPr>
                <w:rFonts w:ascii="Arial" w:cs="Arial" w:eastAsia="Arial" w:hAnsi="Arial"/>
                <w:sz w:val="16"/>
                <w:szCs w:val="16"/>
                <w:color w:val="auto"/>
              </w:rPr>
              <w:t>$</w:t>
            </w:r>
          </w:p>
        </w:tc>
        <w:tc>
          <w:tcPr>
            <w:tcW w:w="460" w:type="dxa"/>
            <w:vAlign w:val="bottom"/>
          </w:tcPr>
          <w:p>
            <w:pPr>
              <w:jc w:val="center"/>
              <w:ind w:left="39"/>
              <w:spacing w:after="0" w:line="164" w:lineRule="exact"/>
              <w:rPr>
                <w:sz w:val="20"/>
                <w:szCs w:val="20"/>
                <w:color w:val="auto"/>
              </w:rPr>
            </w:pPr>
            <w:r>
              <w:rPr>
                <w:rFonts w:ascii="Arial" w:cs="Arial" w:eastAsia="Arial" w:hAnsi="Arial"/>
                <w:sz w:val="16"/>
                <w:szCs w:val="16"/>
                <w:color w:val="auto"/>
                <w:w w:val="97"/>
              </w:rPr>
              <w:t>534</w:t>
            </w:r>
          </w:p>
        </w:tc>
        <w:tc>
          <w:tcPr>
            <w:tcW w:w="340" w:type="dxa"/>
            <w:vAlign w:val="bottom"/>
          </w:tcPr>
          <w:p>
            <w:pPr>
              <w:jc w:val="right"/>
              <w:ind w:right="159"/>
              <w:spacing w:after="0" w:line="164"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41"/>
              <w:spacing w:after="0" w:line="164" w:lineRule="exact"/>
              <w:rPr>
                <w:sz w:val="20"/>
                <w:szCs w:val="20"/>
                <w:color w:val="auto"/>
              </w:rPr>
            </w:pPr>
            <w:r>
              <w:rPr>
                <w:rFonts w:ascii="Arial" w:cs="Arial" w:eastAsia="Arial" w:hAnsi="Arial"/>
                <w:sz w:val="16"/>
                <w:szCs w:val="16"/>
                <w:color w:val="auto"/>
              </w:rPr>
              <w:t>603</w:t>
            </w:r>
          </w:p>
        </w:tc>
        <w:tc>
          <w:tcPr>
            <w:tcW w:w="1240" w:type="dxa"/>
            <w:vAlign w:val="bottom"/>
          </w:tcPr>
          <w:p>
            <w:pPr>
              <w:jc w:val="right"/>
              <w:ind w:right="783"/>
              <w:spacing w:after="0" w:line="164"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(69)$</w:t>
            </w:r>
          </w:p>
        </w:tc>
        <w:tc>
          <w:tcPr>
            <w:tcW w:w="1420" w:type="dxa"/>
            <w:vAlign w:val="bottom"/>
          </w:tcPr>
          <w:p>
            <w:pPr>
              <w:jc w:val="center"/>
              <w:ind w:left="161"/>
              <w:spacing w:after="0" w:line="164" w:lineRule="exact"/>
              <w:rPr>
                <w:sz w:val="20"/>
                <w:szCs w:val="20"/>
                <w:color w:val="auto"/>
              </w:rPr>
            </w:pPr>
            <w:r>
              <w:rPr>
                <w:rFonts w:ascii="Arial" w:cs="Arial" w:eastAsia="Arial" w:hAnsi="Arial"/>
                <w:sz w:val="16"/>
                <w:szCs w:val="16"/>
                <w:color w:val="auto"/>
              </w:rPr>
              <w:t>(645)</w:t>
            </w:r>
          </w:p>
        </w:tc>
        <w:tc>
          <w:tcPr>
            <w:tcW w:w="60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w:t>
            </w:r>
          </w:p>
        </w:tc>
        <w:tc>
          <w:tcPr>
            <w:tcW w:w="1100" w:type="dxa"/>
            <w:vAlign w:val="bottom"/>
          </w:tcPr>
          <w:p>
            <w:pPr>
              <w:jc w:val="center"/>
              <w:ind w:left="661"/>
              <w:spacing w:after="0" w:line="164" w:lineRule="exact"/>
              <w:rPr>
                <w:sz w:val="20"/>
                <w:szCs w:val="20"/>
                <w:color w:val="auto"/>
              </w:rPr>
            </w:pPr>
            <w:r>
              <w:rPr>
                <w:rFonts w:ascii="Arial" w:cs="Arial" w:eastAsia="Arial" w:hAnsi="Arial"/>
                <w:sz w:val="16"/>
                <w:szCs w:val="16"/>
                <w:color w:val="auto"/>
              </w:rPr>
              <w:t>576</w:t>
            </w:r>
          </w:p>
        </w:tc>
      </w:tr>
      <w:tr>
        <w:trPr>
          <w:trHeight w:val="176"/>
        </w:trPr>
        <w:tc>
          <w:tcPr>
            <w:tcW w:w="266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420" w:type="dxa"/>
            <w:vAlign w:val="bottom"/>
          </w:tcPr>
          <w:p>
            <w:pPr>
              <w:spacing w:after="0"/>
              <w:rPr>
                <w:sz w:val="15"/>
                <w:szCs w:val="15"/>
                <w:color w:val="auto"/>
              </w:rPr>
            </w:pPr>
          </w:p>
        </w:tc>
        <w:tc>
          <w:tcPr>
            <w:tcW w:w="460" w:type="dxa"/>
            <w:vAlign w:val="bottom"/>
          </w:tcPr>
          <w:p>
            <w:pPr>
              <w:jc w:val="center"/>
              <w:ind w:left="39"/>
              <w:spacing w:after="0" w:line="176" w:lineRule="exact"/>
              <w:rPr>
                <w:sz w:val="20"/>
                <w:szCs w:val="20"/>
                <w:color w:val="auto"/>
              </w:rPr>
            </w:pPr>
            <w:r>
              <w:rPr>
                <w:rFonts w:ascii="Arial" w:cs="Arial" w:eastAsia="Arial" w:hAnsi="Arial"/>
                <w:sz w:val="16"/>
                <w:szCs w:val="16"/>
                <w:color w:val="auto"/>
                <w:w w:val="97"/>
              </w:rPr>
              <w:t>784</w:t>
            </w:r>
          </w:p>
        </w:tc>
        <w:tc>
          <w:tcPr>
            <w:tcW w:w="340" w:type="dxa"/>
            <w:vAlign w:val="bottom"/>
          </w:tcPr>
          <w:p>
            <w:pPr>
              <w:spacing w:after="0"/>
              <w:rPr>
                <w:sz w:val="15"/>
                <w:szCs w:val="15"/>
                <w:color w:val="auto"/>
              </w:rPr>
            </w:pPr>
          </w:p>
        </w:tc>
        <w:tc>
          <w:tcPr>
            <w:tcW w:w="140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85</w:t>
            </w:r>
          </w:p>
        </w:tc>
        <w:tc>
          <w:tcPr>
            <w:tcW w:w="1240" w:type="dxa"/>
            <w:vAlign w:val="bottom"/>
          </w:tcPr>
          <w:p>
            <w:pPr>
              <w:spacing w:after="0"/>
              <w:rPr>
                <w:sz w:val="15"/>
                <w:szCs w:val="15"/>
                <w:color w:val="auto"/>
              </w:rPr>
            </w:pPr>
          </w:p>
        </w:tc>
        <w:tc>
          <w:tcPr>
            <w:tcW w:w="78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699</w:t>
            </w:r>
          </w:p>
        </w:tc>
        <w:tc>
          <w:tcPr>
            <w:tcW w:w="1420" w:type="dxa"/>
            <w:vAlign w:val="bottom"/>
          </w:tcPr>
          <w:p>
            <w:pPr>
              <w:jc w:val="center"/>
              <w:ind w:left="201"/>
              <w:spacing w:after="0" w:line="176" w:lineRule="exact"/>
              <w:rPr>
                <w:sz w:val="20"/>
                <w:szCs w:val="20"/>
                <w:color w:val="auto"/>
              </w:rPr>
            </w:pPr>
            <w:r>
              <w:rPr>
                <w:rFonts w:ascii="Arial" w:cs="Arial" w:eastAsia="Arial" w:hAnsi="Arial"/>
                <w:sz w:val="16"/>
                <w:szCs w:val="16"/>
                <w:color w:val="auto"/>
                <w:w w:val="97"/>
              </w:rPr>
              <w:t>421</w:t>
            </w:r>
          </w:p>
        </w:tc>
        <w:tc>
          <w:tcPr>
            <w:tcW w:w="600" w:type="dxa"/>
            <w:vAlign w:val="bottom"/>
          </w:tcPr>
          <w:p>
            <w:pPr>
              <w:spacing w:after="0"/>
              <w:rPr>
                <w:sz w:val="15"/>
                <w:szCs w:val="15"/>
                <w:color w:val="auto"/>
              </w:rPr>
            </w:pPr>
          </w:p>
        </w:tc>
        <w:tc>
          <w:tcPr>
            <w:tcW w:w="1100" w:type="dxa"/>
            <w:vAlign w:val="bottom"/>
          </w:tcPr>
          <w:p>
            <w:pPr>
              <w:jc w:val="center"/>
              <w:ind w:left="661"/>
              <w:spacing w:after="0" w:line="176" w:lineRule="exact"/>
              <w:rPr>
                <w:sz w:val="20"/>
                <w:szCs w:val="20"/>
                <w:color w:val="auto"/>
              </w:rPr>
            </w:pPr>
            <w:r>
              <w:rPr>
                <w:rFonts w:ascii="Arial" w:cs="Arial" w:eastAsia="Arial" w:hAnsi="Arial"/>
                <w:sz w:val="16"/>
                <w:szCs w:val="16"/>
                <w:color w:val="auto"/>
              </w:rPr>
              <w:t>278</w:t>
            </w:r>
          </w:p>
        </w:tc>
      </w:tr>
      <w:tr>
        <w:trPr>
          <w:trHeight w:val="194"/>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(301)</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(499)</w:t>
            </w:r>
          </w:p>
        </w:tc>
        <w:tc>
          <w:tcPr>
            <w:tcW w:w="1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198</w:t>
            </w:r>
          </w:p>
        </w:tc>
        <w:tc>
          <w:tcPr>
            <w:tcW w:w="142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w w:val="97"/>
              </w:rPr>
              <w:t>299</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641"/>
              <w:spacing w:after="0"/>
              <w:rPr>
                <w:sz w:val="20"/>
                <w:szCs w:val="20"/>
                <w:color w:val="auto"/>
              </w:rPr>
            </w:pPr>
            <w:r>
              <w:rPr>
                <w:rFonts w:ascii="Arial" w:cs="Arial" w:eastAsia="Arial" w:hAnsi="Arial"/>
                <w:sz w:val="16"/>
                <w:szCs w:val="16"/>
                <w:color w:val="auto"/>
              </w:rPr>
              <w:t>(101)</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from financing activities in 2011 increased due to:</w:t>
      </w:r>
    </w:p>
    <w:p>
      <w:pPr>
        <w:spacing w:after="0" w:line="225" w:lineRule="exact"/>
        <w:rPr>
          <w:sz w:val="20"/>
          <w:szCs w:val="20"/>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$973 million higher issuances of long-term debt;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$500 million common stock repurchase program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$423 million lower long-term debt payments;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$498 million decrease in short-term debt in 2011 compared to a $568 million increase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$80 million for the redemption of subsidiary preferred stock;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$76 million increase in common dividends paid; and</w:t>
      </w:r>
    </w:p>
    <w:p>
      <w:pPr>
        <w:spacing w:after="0" w:line="252" w:lineRule="exact"/>
        <w:rPr>
          <w:rFonts w:ascii="Arial" w:cs="Arial" w:eastAsia="Arial" w:hAnsi="Arial"/>
          <w:sz w:val="18"/>
          <w:szCs w:val="18"/>
          <w:color w:val="auto"/>
        </w:rPr>
      </w:pPr>
    </w:p>
    <w:p>
      <w:pPr>
        <w:ind w:right="80" w:firstLine="152"/>
        <w:spacing w:after="0" w:line="516" w:lineRule="auto"/>
        <w:tabs>
          <w:tab w:leader="none" w:pos="3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$43 million related to Sempra Pipelines &amp; Storage’s September 2011 tender offer discussed in Note 3 of the Notes to Consolidated Financial Statements. At Sempra Energy, financing activities used cash in 2010 compared to providing cash in 2009, primarily due to:</w:t>
      </w:r>
    </w:p>
    <w:p>
      <w:pPr>
        <w:spacing w:after="0" w:line="1"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$500 million common stock repurchase program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$1 billion lower issuances of debt;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$470 million higher debt payments;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$94 million for the purchase of the remaining 40-percent ownership interest in Mississippi Hub in 2009 (as we discuss in Note 3 of the Notes to Consolidated Financial Statements);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$568 million increase in short-term debt in 2010 compared to a $659 million decrease in 2009.</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 2011 increased due to:</w:t>
      </w:r>
    </w:p>
    <w:p>
      <w:pPr>
        <w:spacing w:after="0" w:line="221" w:lineRule="exact"/>
        <w:rPr>
          <w:sz w:val="20"/>
          <w:szCs w:val="20"/>
          <w:color w:val="auto"/>
        </w:rPr>
      </w:pPr>
    </w:p>
    <w:p>
      <w:pPr>
        <w:ind w:left="340" w:hanging="188"/>
        <w:spacing w:after="0"/>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a $200 million capital contribution from Sempra Energy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$146 million lower issuances of long-term debt.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$305 million higher issuances of long-term debt;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$150 million common dividends paid to Sempra Energy in 2009.</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SoCalGas, financing activities used cash in 2011 compared to providing cash in 2010, primarily due to:</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 $250 million long-term debt payment in 2011; and</w:t>
      </w:r>
    </w:p>
    <w:p>
      <w:pPr>
        <w:sectPr>
          <w:pgSz w:w="11900" w:h="16838" w:orient="portrait"/>
          <w:cols w:equalWidth="0" w:num="1">
            <w:col w:w="11420"/>
          </w:cols>
          <w:pgMar w:left="240" w:top="126" w:right="239" w:bottom="0" w:gutter="0" w:footer="0" w:header="0"/>
        </w:sectPr>
      </w:pPr>
    </w:p>
    <w:bookmarkStart w:id="168" w:name="page169"/>
    <w:bookmarkEnd w:id="168"/>
    <w:p>
      <w:pPr>
        <w:spacing w:after="0" w:line="104" w:lineRule="exact"/>
        <w:rPr>
          <w:sz w:val="20"/>
          <w:szCs w:val="20"/>
          <w:color w:val="auto"/>
        </w:rPr>
      </w:pPr>
    </w:p>
    <w:p>
      <w:pPr>
        <w:ind w:left="340" w:hanging="188"/>
        <w:spacing w:after="0"/>
        <w:tabs>
          <w:tab w:leader="none" w:pos="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$300 million issuance of long-term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$50 million lower common dividends paid.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SoCalGas in 2010 increased primarily due to:</w:t>
      </w:r>
    </w:p>
    <w:p>
      <w:pPr>
        <w:spacing w:after="0" w:line="225" w:lineRule="exact"/>
        <w:rPr>
          <w:sz w:val="20"/>
          <w:szCs w:val="20"/>
          <w:color w:val="auto"/>
        </w:rPr>
      </w:pPr>
    </w:p>
    <w:p>
      <w:pPr>
        <w:ind w:left="340" w:hanging="188"/>
        <w:spacing w:after="0"/>
        <w:tabs>
          <w:tab w:leader="none" w:pos="3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$300 million issuance of long-term debt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$100 million long-term debt payment in 2009;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$100 million in common dividends paid in 2010.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balances (including the current portion of long-term debt) at December 31 were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color w:val="auto"/>
              </w:rPr>
              <w:t>2009</w:t>
            </w:r>
          </w:p>
        </w:tc>
      </w:tr>
      <w:tr>
        <w:trPr>
          <w:trHeight w:val="164"/>
        </w:trPr>
        <w:tc>
          <w:tcPr>
            <w:tcW w:w="364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980" w:type="dxa"/>
            <w:vAlign w:val="bottom"/>
          </w:tcPr>
          <w:p>
            <w:pPr>
              <w:jc w:val="right"/>
              <w:ind w:right="299"/>
              <w:spacing w:after="0" w:line="164" w:lineRule="exact"/>
              <w:rPr>
                <w:sz w:val="20"/>
                <w:szCs w:val="20"/>
                <w:color w:val="auto"/>
              </w:rPr>
            </w:pPr>
            <w:r>
              <w:rPr>
                <w:rFonts w:ascii="Arial" w:cs="Arial" w:eastAsia="Arial" w:hAnsi="Arial"/>
                <w:sz w:val="16"/>
                <w:szCs w:val="16"/>
                <w:color w:val="auto"/>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10,414</w:t>
            </w:r>
          </w:p>
        </w:tc>
        <w:tc>
          <w:tcPr>
            <w:tcW w:w="480" w:type="dxa"/>
            <w:vAlign w:val="bottom"/>
          </w:tcPr>
          <w:p>
            <w:pPr>
              <w:jc w:val="right"/>
              <w:ind w:right="299"/>
              <w:spacing w:after="0" w:line="164" w:lineRule="exact"/>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9,329</w:t>
            </w:r>
          </w:p>
        </w:tc>
        <w:tc>
          <w:tcPr>
            <w:tcW w:w="500" w:type="dxa"/>
            <w:vAlign w:val="bottom"/>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line="164" w:lineRule="exact"/>
              <w:rPr>
                <w:sz w:val="20"/>
                <w:szCs w:val="20"/>
                <w:color w:val="auto"/>
              </w:rPr>
            </w:pPr>
            <w:r>
              <w:rPr>
                <w:rFonts w:ascii="Arial" w:cs="Arial" w:eastAsia="Arial" w:hAnsi="Arial"/>
                <w:sz w:val="16"/>
                <w:szCs w:val="16"/>
                <w:color w:val="auto"/>
              </w:rPr>
              <w:t>8,033</w:t>
            </w: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6"/>
                <w:szCs w:val="16"/>
                <w:color w:val="auto"/>
              </w:rPr>
              <w:t>SDG&amp;E</w:t>
            </w:r>
          </w:p>
        </w:tc>
        <w:tc>
          <w:tcPr>
            <w:tcW w:w="198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4,077</w:t>
            </w:r>
          </w:p>
        </w:tc>
        <w:tc>
          <w:tcPr>
            <w:tcW w:w="48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3,498</w:t>
            </w:r>
          </w:p>
        </w:tc>
        <w:tc>
          <w:tcPr>
            <w:tcW w:w="5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2,668</w:t>
            </w:r>
          </w:p>
        </w:tc>
      </w:tr>
      <w:tr>
        <w:trPr>
          <w:trHeight w:val="194"/>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the following information applies to long-term debt, excluding commercial paper classified as long-term:</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320" w:type="dxa"/>
            <w:vAlign w:val="bottom"/>
          </w:tcPr>
          <w:p>
            <w:pPr>
              <w:jc w:val="right"/>
              <w:ind w:right="688"/>
              <w:spacing w:after="0"/>
              <w:rPr>
                <w:sz w:val="20"/>
                <w:szCs w:val="20"/>
                <w:color w:val="auto"/>
              </w:rPr>
            </w:pPr>
            <w:r>
              <w:rPr>
                <w:rFonts w:ascii="Arial" w:cs="Arial" w:eastAsia="Arial" w:hAnsi="Arial"/>
                <w:sz w:val="14"/>
                <w:szCs w:val="14"/>
                <w:color w:val="auto"/>
              </w:rPr>
              <w:t>Sempra Energy</w:t>
            </w:r>
          </w:p>
        </w:tc>
        <w:tc>
          <w:tcPr>
            <w:tcW w:w="1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60" w:type="dxa"/>
            <w:vAlign w:val="bottom"/>
            <w:vMerge w:val="continue"/>
          </w:tcPr>
          <w:p>
            <w:pPr>
              <w:spacing w:after="0"/>
              <w:rPr>
                <w:sz w:val="13"/>
                <w:szCs w:val="13"/>
                <w:color w:val="auto"/>
              </w:rPr>
            </w:pPr>
          </w:p>
        </w:tc>
        <w:tc>
          <w:tcPr>
            <w:tcW w:w="4320" w:type="dxa"/>
            <w:vAlign w:val="bottom"/>
          </w:tcPr>
          <w:p>
            <w:pPr>
              <w:jc w:val="right"/>
              <w:ind w:right="688"/>
              <w:spacing w:after="0" w:line="157" w:lineRule="exact"/>
              <w:rPr>
                <w:sz w:val="20"/>
                <w:szCs w:val="20"/>
                <w:color w:val="auto"/>
              </w:rPr>
            </w:pPr>
            <w:r>
              <w:rPr>
                <w:rFonts w:ascii="Arial" w:cs="Arial" w:eastAsia="Arial" w:hAnsi="Arial"/>
                <w:sz w:val="14"/>
                <w:szCs w:val="14"/>
                <w:color w:val="auto"/>
              </w:rPr>
              <w:t>Consolidated</w:t>
            </w:r>
          </w:p>
        </w:tc>
        <w:tc>
          <w:tcPr>
            <w:tcW w:w="1980" w:type="dxa"/>
            <w:vAlign w:val="bottom"/>
          </w:tcPr>
          <w:p>
            <w:pPr>
              <w:ind w:left="780"/>
              <w:spacing w:after="0" w:line="157" w:lineRule="exact"/>
              <w:rPr>
                <w:sz w:val="20"/>
                <w:szCs w:val="20"/>
                <w:color w:val="auto"/>
              </w:rPr>
            </w:pPr>
            <w:r>
              <w:rPr>
                <w:rFonts w:ascii="Arial" w:cs="Arial" w:eastAsia="Arial" w:hAnsi="Arial"/>
                <w:sz w:val="14"/>
                <w:szCs w:val="14"/>
                <w:color w:val="auto"/>
              </w:rPr>
              <w:t>SDG&amp;E</w:t>
            </w:r>
          </w:p>
        </w:tc>
        <w:tc>
          <w:tcPr>
            <w:tcW w:w="1360" w:type="dxa"/>
            <w:vAlign w:val="bottom"/>
          </w:tcPr>
          <w:p>
            <w:pPr>
              <w:ind w:left="700"/>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Weighted average life to maturity, in years</w:t>
            </w:r>
          </w:p>
        </w:tc>
        <w:tc>
          <w:tcPr>
            <w:tcW w:w="2980" w:type="dxa"/>
            <w:vAlign w:val="bottom"/>
            <w:tcBorders>
              <w:top w:val="single" w:sz="8" w:color="auto"/>
            </w:tcBorders>
          </w:tcPr>
          <w:p>
            <w:pPr>
              <w:ind w:left="1720"/>
              <w:spacing w:after="0" w:line="171" w:lineRule="exact"/>
              <w:rPr>
                <w:sz w:val="20"/>
                <w:szCs w:val="20"/>
                <w:color w:val="auto"/>
              </w:rPr>
            </w:pPr>
            <w:r>
              <w:rPr>
                <w:rFonts w:ascii="Arial" w:cs="Arial" w:eastAsia="Arial" w:hAnsi="Arial"/>
                <w:sz w:val="16"/>
                <w:szCs w:val="16"/>
                <w:color w:val="auto"/>
              </w:rPr>
              <w:t>13.2</w:t>
            </w:r>
          </w:p>
        </w:tc>
        <w:tc>
          <w:tcPr>
            <w:tcW w:w="2060" w:type="dxa"/>
            <w:vAlign w:val="bottom"/>
            <w:tcBorders>
              <w:top w:val="single" w:sz="8" w:color="auto"/>
            </w:tcBorders>
          </w:tcPr>
          <w:p>
            <w:pPr>
              <w:ind w:left="780"/>
              <w:spacing w:after="0" w:line="171" w:lineRule="exact"/>
              <w:rPr>
                <w:sz w:val="20"/>
                <w:szCs w:val="20"/>
                <w:color w:val="auto"/>
              </w:rPr>
            </w:pPr>
            <w:r>
              <w:rPr>
                <w:rFonts w:ascii="Arial" w:cs="Arial" w:eastAsia="Arial" w:hAnsi="Arial"/>
                <w:sz w:val="16"/>
                <w:szCs w:val="16"/>
                <w:color w:val="auto"/>
              </w:rPr>
              <w:t>18.3</w:t>
            </w:r>
          </w:p>
        </w:tc>
        <w:tc>
          <w:tcPr>
            <w:tcW w:w="1640" w:type="dxa"/>
            <w:vAlign w:val="bottom"/>
            <w:tcBorders>
              <w:top w:val="single" w:sz="8" w:color="auto"/>
            </w:tcBorders>
          </w:tcPr>
          <w:p>
            <w:pPr>
              <w:ind w:left="760"/>
              <w:spacing w:after="0" w:line="171" w:lineRule="exact"/>
              <w:rPr>
                <w:sz w:val="20"/>
                <w:szCs w:val="20"/>
                <w:color w:val="auto"/>
              </w:rPr>
            </w:pPr>
            <w:r>
              <w:rPr>
                <w:rFonts w:ascii="Arial" w:cs="Arial" w:eastAsia="Arial" w:hAnsi="Arial"/>
                <w:sz w:val="16"/>
                <w:szCs w:val="16"/>
                <w:color w:val="auto"/>
              </w:rPr>
              <w:t>13.0</w:t>
            </w:r>
          </w:p>
        </w:tc>
      </w:tr>
      <w:tr>
        <w:trPr>
          <w:trHeight w:val="194"/>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interest rate</w:t>
            </w:r>
          </w:p>
        </w:tc>
        <w:tc>
          <w:tcPr>
            <w:tcW w:w="298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5.23 %</w:t>
            </w:r>
          </w:p>
        </w:tc>
        <w:tc>
          <w:tcPr>
            <w:tcW w:w="20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4.80 %</w:t>
            </w: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5.32 %</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Issuances of Long-Term Debt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Major issuances of long-term debt over the last three years included the following:</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Amount</w:t>
            </w:r>
          </w:p>
        </w:tc>
        <w:tc>
          <w:tcPr>
            <w:tcW w:w="14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Rate</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Maturing</w:t>
            </w:r>
          </w:p>
        </w:tc>
      </w:tr>
      <w:tr>
        <w:trPr>
          <w:trHeight w:val="272"/>
        </w:trPr>
        <w:tc>
          <w:tcPr>
            <w:tcW w:w="5840" w:type="dxa"/>
            <w:vAlign w:val="bottom"/>
          </w:tcPr>
          <w:p>
            <w:pPr>
              <w:spacing w:after="0"/>
              <w:rPr>
                <w:sz w:val="20"/>
                <w:szCs w:val="20"/>
                <w:color w:val="auto"/>
              </w:rPr>
            </w:pPr>
            <w:r>
              <w:rPr>
                <w:rFonts w:ascii="Arial" w:cs="Arial" w:eastAsia="Arial" w:hAnsi="Arial"/>
                <w:sz w:val="16"/>
                <w:szCs w:val="16"/>
                <w:b w:val="1"/>
                <w:bCs w:val="1"/>
                <w:color w:val="auto"/>
              </w:rPr>
              <w:t>Sempra Energy</w:t>
            </w:r>
          </w:p>
        </w:tc>
        <w:tc>
          <w:tcPr>
            <w:tcW w:w="1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76"/>
        </w:trPr>
        <w:tc>
          <w:tcPr>
            <w:tcW w:w="5840" w:type="dxa"/>
            <w:vAlign w:val="bottom"/>
          </w:tcPr>
          <w:p>
            <w:pPr>
              <w:ind w:left="620"/>
              <w:spacing w:after="0" w:line="176" w:lineRule="exact"/>
              <w:rPr>
                <w:sz w:val="20"/>
                <w:szCs w:val="20"/>
                <w:color w:val="auto"/>
              </w:rPr>
            </w:pPr>
            <w:r>
              <w:rPr>
                <w:rFonts w:ascii="Arial" w:cs="Arial" w:eastAsia="Arial" w:hAnsi="Arial"/>
                <w:sz w:val="16"/>
                <w:szCs w:val="16"/>
                <w:color w:val="auto"/>
              </w:rPr>
              <w:t>Variable rate notes (1.22% at December 31, 2011),</w:t>
            </w:r>
          </w:p>
        </w:tc>
        <w:tc>
          <w:tcPr>
            <w:tcW w:w="1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840" w:type="dxa"/>
            <w:vAlign w:val="bottom"/>
          </w:tcPr>
          <w:p>
            <w:pPr>
              <w:ind w:left="800"/>
              <w:spacing w:after="0" w:line="176" w:lineRule="exact"/>
              <w:rPr>
                <w:sz w:val="20"/>
                <w:szCs w:val="20"/>
                <w:color w:val="auto"/>
              </w:rPr>
            </w:pPr>
            <w:r>
              <w:rPr>
                <w:rFonts w:ascii="Arial" w:cs="Arial" w:eastAsia="Arial" w:hAnsi="Arial"/>
                <w:sz w:val="16"/>
                <w:szCs w:val="16"/>
                <w:color w:val="auto"/>
              </w:rPr>
              <w:t>March 2011</w:t>
            </w:r>
          </w:p>
        </w:tc>
        <w:tc>
          <w:tcPr>
            <w:tcW w:w="18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80"/>
              <w:spacing w:after="0" w:line="176" w:lineRule="exact"/>
              <w:rPr>
                <w:sz w:val="20"/>
                <w:szCs w:val="20"/>
                <w:color w:val="auto"/>
              </w:rPr>
            </w:pPr>
            <w:r>
              <w:rPr>
                <w:rFonts w:ascii="Arial" w:cs="Arial" w:eastAsia="Arial" w:hAnsi="Arial"/>
                <w:sz w:val="16"/>
                <w:szCs w:val="16"/>
                <w:color w:val="auto"/>
              </w:rPr>
              <w:t>300</w:t>
            </w:r>
          </w:p>
        </w:tc>
        <w:tc>
          <w:tcPr>
            <w:tcW w:w="14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1.22 %</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2014</w:t>
            </w:r>
          </w:p>
        </w:tc>
      </w:tr>
      <w:tr>
        <w:trPr>
          <w:trHeight w:val="176"/>
        </w:trPr>
        <w:tc>
          <w:tcPr>
            <w:tcW w:w="5840" w:type="dxa"/>
            <w:vAlign w:val="bottom"/>
          </w:tcPr>
          <w:p>
            <w:pPr>
              <w:ind w:left="620"/>
              <w:spacing w:after="0" w:line="176" w:lineRule="exact"/>
              <w:rPr>
                <w:sz w:val="20"/>
                <w:szCs w:val="20"/>
                <w:color w:val="auto"/>
              </w:rPr>
            </w:pPr>
            <w:r>
              <w:rPr>
                <w:rFonts w:ascii="Arial" w:cs="Arial" w:eastAsia="Arial" w:hAnsi="Arial"/>
                <w:sz w:val="16"/>
                <w:szCs w:val="16"/>
                <w:color w:val="auto"/>
              </w:rPr>
              <w:t>Notes, March 2011</w:t>
            </w:r>
          </w:p>
        </w:tc>
        <w:tc>
          <w:tcPr>
            <w:tcW w:w="1820" w:type="dxa"/>
            <w:vAlign w:val="bottom"/>
          </w:tcPr>
          <w:p>
            <w:pPr>
              <w:spacing w:after="0"/>
              <w:rPr>
                <w:sz w:val="15"/>
                <w:szCs w:val="15"/>
                <w:color w:val="auto"/>
              </w:rPr>
            </w:pPr>
          </w:p>
        </w:tc>
        <w:tc>
          <w:tcPr>
            <w:tcW w:w="1260" w:type="dxa"/>
            <w:vAlign w:val="bottom"/>
          </w:tcPr>
          <w:p>
            <w:pPr>
              <w:jc w:val="right"/>
              <w:ind w:right="280"/>
              <w:spacing w:after="0" w:line="176" w:lineRule="exact"/>
              <w:rPr>
                <w:sz w:val="20"/>
                <w:szCs w:val="20"/>
                <w:color w:val="auto"/>
              </w:rPr>
            </w:pPr>
            <w:r>
              <w:rPr>
                <w:rFonts w:ascii="Arial" w:cs="Arial" w:eastAsia="Arial" w:hAnsi="Arial"/>
                <w:sz w:val="16"/>
                <w:szCs w:val="16"/>
                <w:color w:val="auto"/>
              </w:rPr>
              <w:t>500</w:t>
            </w:r>
          </w:p>
        </w:tc>
        <w:tc>
          <w:tcPr>
            <w:tcW w:w="144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2.00</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2014</w:t>
            </w:r>
          </w:p>
        </w:tc>
      </w:tr>
      <w:tr>
        <w:trPr>
          <w:trHeight w:val="176"/>
        </w:trPr>
        <w:tc>
          <w:tcPr>
            <w:tcW w:w="5840" w:type="dxa"/>
            <w:vAlign w:val="bottom"/>
          </w:tcPr>
          <w:p>
            <w:pPr>
              <w:ind w:left="620"/>
              <w:spacing w:after="0" w:line="176" w:lineRule="exact"/>
              <w:rPr>
                <w:sz w:val="20"/>
                <w:szCs w:val="20"/>
                <w:color w:val="auto"/>
              </w:rPr>
            </w:pPr>
            <w:r>
              <w:rPr>
                <w:rFonts w:ascii="Arial" w:cs="Arial" w:eastAsia="Arial" w:hAnsi="Arial"/>
                <w:sz w:val="16"/>
                <w:szCs w:val="16"/>
                <w:color w:val="auto"/>
              </w:rPr>
              <w:t>Notes, October 2009</w:t>
            </w:r>
          </w:p>
        </w:tc>
        <w:tc>
          <w:tcPr>
            <w:tcW w:w="1820" w:type="dxa"/>
            <w:vAlign w:val="bottom"/>
          </w:tcPr>
          <w:p>
            <w:pPr>
              <w:spacing w:after="0"/>
              <w:rPr>
                <w:sz w:val="15"/>
                <w:szCs w:val="15"/>
                <w:color w:val="auto"/>
              </w:rPr>
            </w:pPr>
          </w:p>
        </w:tc>
        <w:tc>
          <w:tcPr>
            <w:tcW w:w="1260" w:type="dxa"/>
            <w:vAlign w:val="bottom"/>
          </w:tcPr>
          <w:p>
            <w:pPr>
              <w:jc w:val="right"/>
              <w:ind w:right="280"/>
              <w:spacing w:after="0" w:line="176" w:lineRule="exact"/>
              <w:rPr>
                <w:sz w:val="20"/>
                <w:szCs w:val="20"/>
                <w:color w:val="auto"/>
              </w:rPr>
            </w:pPr>
            <w:r>
              <w:rPr>
                <w:rFonts w:ascii="Arial" w:cs="Arial" w:eastAsia="Arial" w:hAnsi="Arial"/>
                <w:sz w:val="16"/>
                <w:szCs w:val="16"/>
                <w:color w:val="auto"/>
              </w:rPr>
              <w:t>750</w:t>
            </w:r>
          </w:p>
        </w:tc>
        <w:tc>
          <w:tcPr>
            <w:tcW w:w="144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6.00</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2039</w:t>
            </w:r>
          </w:p>
        </w:tc>
      </w:tr>
      <w:tr>
        <w:trPr>
          <w:trHeight w:val="195"/>
        </w:trPr>
        <w:tc>
          <w:tcPr>
            <w:tcW w:w="5840" w:type="dxa"/>
            <w:vAlign w:val="bottom"/>
          </w:tcPr>
          <w:p>
            <w:pPr>
              <w:ind w:left="620"/>
              <w:spacing w:after="0"/>
              <w:rPr>
                <w:sz w:val="20"/>
                <w:szCs w:val="20"/>
                <w:color w:val="auto"/>
              </w:rPr>
            </w:pPr>
            <w:r>
              <w:rPr>
                <w:rFonts w:ascii="Arial" w:cs="Arial" w:eastAsia="Arial" w:hAnsi="Arial"/>
                <w:sz w:val="16"/>
                <w:szCs w:val="16"/>
                <w:color w:val="auto"/>
              </w:rPr>
              <w:t>Notes, May 2009</w:t>
            </w:r>
          </w:p>
        </w:tc>
        <w:tc>
          <w:tcPr>
            <w:tcW w:w="1820" w:type="dxa"/>
            <w:vAlign w:val="bottom"/>
          </w:tcPr>
          <w:p>
            <w:pPr>
              <w:spacing w:after="0"/>
              <w:rPr>
                <w:sz w:val="16"/>
                <w:szCs w:val="16"/>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750</w:t>
            </w:r>
          </w:p>
        </w:tc>
        <w:tc>
          <w:tcPr>
            <w:tcW w:w="1440" w:type="dxa"/>
            <w:vAlign w:val="bottom"/>
          </w:tcPr>
          <w:p>
            <w:pPr>
              <w:jc w:val="right"/>
              <w:ind w:right="320"/>
              <w:spacing w:after="0"/>
              <w:rPr>
                <w:sz w:val="20"/>
                <w:szCs w:val="20"/>
                <w:color w:val="auto"/>
              </w:rPr>
            </w:pPr>
            <w:r>
              <w:rPr>
                <w:rFonts w:ascii="Arial" w:cs="Arial" w:eastAsia="Arial" w:hAnsi="Arial"/>
                <w:sz w:val="16"/>
                <w:szCs w:val="16"/>
                <w:color w:val="auto"/>
              </w:rPr>
              <w:t>6.50</w:t>
            </w:r>
          </w:p>
        </w:tc>
        <w:tc>
          <w:tcPr>
            <w:tcW w:w="106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332"/>
        </w:trPr>
        <w:tc>
          <w:tcPr>
            <w:tcW w:w="58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5840" w:type="dxa"/>
            <w:vAlign w:val="bottom"/>
          </w:tcPr>
          <w:p>
            <w:pPr>
              <w:ind w:left="620"/>
              <w:spacing w:after="0" w:line="176" w:lineRule="exact"/>
              <w:rPr>
                <w:sz w:val="20"/>
                <w:szCs w:val="20"/>
                <w:color w:val="auto"/>
              </w:rPr>
            </w:pPr>
            <w:r>
              <w:rPr>
                <w:rFonts w:ascii="Arial" w:cs="Arial" w:eastAsia="Arial" w:hAnsi="Arial"/>
                <w:sz w:val="16"/>
                <w:szCs w:val="16"/>
                <w:color w:val="auto"/>
              </w:rPr>
              <w:t>First mortgage bonds, November 2011</w:t>
            </w:r>
          </w:p>
        </w:tc>
        <w:tc>
          <w:tcPr>
            <w:tcW w:w="1820" w:type="dxa"/>
            <w:vAlign w:val="bottom"/>
          </w:tcPr>
          <w:p>
            <w:pPr>
              <w:spacing w:after="0"/>
              <w:rPr>
                <w:sz w:val="15"/>
                <w:szCs w:val="15"/>
                <w:color w:val="auto"/>
              </w:rPr>
            </w:pPr>
          </w:p>
        </w:tc>
        <w:tc>
          <w:tcPr>
            <w:tcW w:w="1260" w:type="dxa"/>
            <w:vAlign w:val="bottom"/>
          </w:tcPr>
          <w:p>
            <w:pPr>
              <w:jc w:val="right"/>
              <w:ind w:right="280"/>
              <w:spacing w:after="0" w:line="176" w:lineRule="exact"/>
              <w:rPr>
                <w:sz w:val="20"/>
                <w:szCs w:val="20"/>
                <w:color w:val="auto"/>
              </w:rPr>
            </w:pPr>
            <w:r>
              <w:rPr>
                <w:rFonts w:ascii="Arial" w:cs="Arial" w:eastAsia="Arial" w:hAnsi="Arial"/>
                <w:sz w:val="16"/>
                <w:szCs w:val="16"/>
                <w:color w:val="auto"/>
              </w:rPr>
              <w:t>250</w:t>
            </w:r>
          </w:p>
        </w:tc>
        <w:tc>
          <w:tcPr>
            <w:tcW w:w="144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3.95</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2041</w:t>
            </w:r>
          </w:p>
        </w:tc>
      </w:tr>
      <w:tr>
        <w:trPr>
          <w:trHeight w:val="176"/>
        </w:trPr>
        <w:tc>
          <w:tcPr>
            <w:tcW w:w="5840" w:type="dxa"/>
            <w:vAlign w:val="bottom"/>
          </w:tcPr>
          <w:p>
            <w:pPr>
              <w:ind w:left="620"/>
              <w:spacing w:after="0" w:line="176" w:lineRule="exact"/>
              <w:rPr>
                <w:sz w:val="20"/>
                <w:szCs w:val="20"/>
                <w:color w:val="auto"/>
              </w:rPr>
            </w:pPr>
            <w:r>
              <w:rPr>
                <w:rFonts w:ascii="Arial" w:cs="Arial" w:eastAsia="Arial" w:hAnsi="Arial"/>
                <w:sz w:val="16"/>
                <w:szCs w:val="16"/>
                <w:color w:val="auto"/>
              </w:rPr>
              <w:t>First mortgage bonds, August 2011</w:t>
            </w:r>
          </w:p>
        </w:tc>
        <w:tc>
          <w:tcPr>
            <w:tcW w:w="1820" w:type="dxa"/>
            <w:vAlign w:val="bottom"/>
          </w:tcPr>
          <w:p>
            <w:pPr>
              <w:spacing w:after="0"/>
              <w:rPr>
                <w:sz w:val="15"/>
                <w:szCs w:val="15"/>
                <w:color w:val="auto"/>
              </w:rPr>
            </w:pPr>
          </w:p>
        </w:tc>
        <w:tc>
          <w:tcPr>
            <w:tcW w:w="1260" w:type="dxa"/>
            <w:vAlign w:val="bottom"/>
          </w:tcPr>
          <w:p>
            <w:pPr>
              <w:jc w:val="right"/>
              <w:ind w:right="280"/>
              <w:spacing w:after="0" w:line="176" w:lineRule="exact"/>
              <w:rPr>
                <w:sz w:val="20"/>
                <w:szCs w:val="20"/>
                <w:color w:val="auto"/>
              </w:rPr>
            </w:pPr>
            <w:r>
              <w:rPr>
                <w:rFonts w:ascii="Arial" w:cs="Arial" w:eastAsia="Arial" w:hAnsi="Arial"/>
                <w:sz w:val="16"/>
                <w:szCs w:val="16"/>
                <w:color w:val="auto"/>
              </w:rPr>
              <w:t>350</w:t>
            </w:r>
          </w:p>
        </w:tc>
        <w:tc>
          <w:tcPr>
            <w:tcW w:w="144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3.00</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2021</w:t>
            </w:r>
          </w:p>
        </w:tc>
      </w:tr>
      <w:tr>
        <w:trPr>
          <w:trHeight w:val="176"/>
        </w:trPr>
        <w:tc>
          <w:tcPr>
            <w:tcW w:w="5840" w:type="dxa"/>
            <w:vAlign w:val="bottom"/>
          </w:tcPr>
          <w:p>
            <w:pPr>
              <w:ind w:left="620"/>
              <w:spacing w:after="0" w:line="176" w:lineRule="exact"/>
              <w:rPr>
                <w:sz w:val="20"/>
                <w:szCs w:val="20"/>
                <w:color w:val="auto"/>
              </w:rPr>
            </w:pPr>
            <w:r>
              <w:rPr>
                <w:rFonts w:ascii="Arial" w:cs="Arial" w:eastAsia="Arial" w:hAnsi="Arial"/>
                <w:sz w:val="16"/>
                <w:szCs w:val="16"/>
                <w:color w:val="auto"/>
              </w:rPr>
              <w:t>First mortgage bonds, August 2010</w:t>
            </w:r>
          </w:p>
        </w:tc>
        <w:tc>
          <w:tcPr>
            <w:tcW w:w="1820" w:type="dxa"/>
            <w:vAlign w:val="bottom"/>
          </w:tcPr>
          <w:p>
            <w:pPr>
              <w:spacing w:after="0"/>
              <w:rPr>
                <w:sz w:val="15"/>
                <w:szCs w:val="15"/>
                <w:color w:val="auto"/>
              </w:rPr>
            </w:pPr>
          </w:p>
        </w:tc>
        <w:tc>
          <w:tcPr>
            <w:tcW w:w="1260" w:type="dxa"/>
            <w:vAlign w:val="bottom"/>
          </w:tcPr>
          <w:p>
            <w:pPr>
              <w:jc w:val="right"/>
              <w:ind w:right="280"/>
              <w:spacing w:after="0" w:line="176" w:lineRule="exact"/>
              <w:rPr>
                <w:sz w:val="20"/>
                <w:szCs w:val="20"/>
                <w:color w:val="auto"/>
              </w:rPr>
            </w:pPr>
            <w:r>
              <w:rPr>
                <w:rFonts w:ascii="Arial" w:cs="Arial" w:eastAsia="Arial" w:hAnsi="Arial"/>
                <w:sz w:val="16"/>
                <w:szCs w:val="16"/>
                <w:color w:val="auto"/>
              </w:rPr>
              <w:t>500</w:t>
            </w:r>
          </w:p>
        </w:tc>
        <w:tc>
          <w:tcPr>
            <w:tcW w:w="144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4.50</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2040</w:t>
            </w:r>
          </w:p>
        </w:tc>
      </w:tr>
      <w:tr>
        <w:trPr>
          <w:trHeight w:val="176"/>
        </w:trPr>
        <w:tc>
          <w:tcPr>
            <w:tcW w:w="5840" w:type="dxa"/>
            <w:vAlign w:val="bottom"/>
          </w:tcPr>
          <w:p>
            <w:pPr>
              <w:ind w:left="620"/>
              <w:spacing w:after="0" w:line="176" w:lineRule="exact"/>
              <w:rPr>
                <w:sz w:val="20"/>
                <w:szCs w:val="20"/>
                <w:color w:val="auto"/>
              </w:rPr>
            </w:pPr>
            <w:r>
              <w:rPr>
                <w:rFonts w:ascii="Arial" w:cs="Arial" w:eastAsia="Arial" w:hAnsi="Arial"/>
                <w:sz w:val="16"/>
                <w:szCs w:val="16"/>
                <w:color w:val="auto"/>
              </w:rPr>
              <w:t>First mortgage bonds, May 2010</w:t>
            </w:r>
          </w:p>
        </w:tc>
        <w:tc>
          <w:tcPr>
            <w:tcW w:w="1820" w:type="dxa"/>
            <w:vAlign w:val="bottom"/>
          </w:tcPr>
          <w:p>
            <w:pPr>
              <w:spacing w:after="0"/>
              <w:rPr>
                <w:sz w:val="15"/>
                <w:szCs w:val="15"/>
                <w:color w:val="auto"/>
              </w:rPr>
            </w:pPr>
          </w:p>
        </w:tc>
        <w:tc>
          <w:tcPr>
            <w:tcW w:w="1260" w:type="dxa"/>
            <w:vAlign w:val="bottom"/>
          </w:tcPr>
          <w:p>
            <w:pPr>
              <w:jc w:val="right"/>
              <w:ind w:right="280"/>
              <w:spacing w:after="0" w:line="176" w:lineRule="exact"/>
              <w:rPr>
                <w:sz w:val="20"/>
                <w:szCs w:val="20"/>
                <w:color w:val="auto"/>
              </w:rPr>
            </w:pPr>
            <w:r>
              <w:rPr>
                <w:rFonts w:ascii="Arial" w:cs="Arial" w:eastAsia="Arial" w:hAnsi="Arial"/>
                <w:sz w:val="16"/>
                <w:szCs w:val="16"/>
                <w:color w:val="auto"/>
              </w:rPr>
              <w:t>250</w:t>
            </w:r>
          </w:p>
        </w:tc>
        <w:tc>
          <w:tcPr>
            <w:tcW w:w="144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5.35</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2040</w:t>
            </w:r>
          </w:p>
        </w:tc>
      </w:tr>
      <w:tr>
        <w:trPr>
          <w:trHeight w:val="195"/>
        </w:trPr>
        <w:tc>
          <w:tcPr>
            <w:tcW w:w="5840" w:type="dxa"/>
            <w:vAlign w:val="bottom"/>
          </w:tcPr>
          <w:p>
            <w:pPr>
              <w:ind w:left="620"/>
              <w:spacing w:after="0"/>
              <w:rPr>
                <w:sz w:val="20"/>
                <w:szCs w:val="20"/>
                <w:color w:val="auto"/>
              </w:rPr>
            </w:pPr>
            <w:r>
              <w:rPr>
                <w:rFonts w:ascii="Arial" w:cs="Arial" w:eastAsia="Arial" w:hAnsi="Arial"/>
                <w:sz w:val="16"/>
                <w:szCs w:val="16"/>
                <w:color w:val="auto"/>
              </w:rPr>
              <w:t>First mortgage bonds, May 2009</w:t>
            </w:r>
          </w:p>
        </w:tc>
        <w:tc>
          <w:tcPr>
            <w:tcW w:w="1820" w:type="dxa"/>
            <w:vAlign w:val="bottom"/>
          </w:tcPr>
          <w:p>
            <w:pPr>
              <w:spacing w:after="0"/>
              <w:rPr>
                <w:sz w:val="16"/>
                <w:szCs w:val="16"/>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300</w:t>
            </w:r>
          </w:p>
        </w:tc>
        <w:tc>
          <w:tcPr>
            <w:tcW w:w="1440" w:type="dxa"/>
            <w:vAlign w:val="bottom"/>
          </w:tcPr>
          <w:p>
            <w:pPr>
              <w:jc w:val="right"/>
              <w:ind w:right="320"/>
              <w:spacing w:after="0"/>
              <w:rPr>
                <w:sz w:val="20"/>
                <w:szCs w:val="20"/>
                <w:color w:val="auto"/>
              </w:rPr>
            </w:pPr>
            <w:r>
              <w:rPr>
                <w:rFonts w:ascii="Arial" w:cs="Arial" w:eastAsia="Arial" w:hAnsi="Arial"/>
                <w:sz w:val="16"/>
                <w:szCs w:val="16"/>
                <w:color w:val="auto"/>
              </w:rPr>
              <w:t>6.00</w:t>
            </w:r>
          </w:p>
        </w:tc>
        <w:tc>
          <w:tcPr>
            <w:tcW w:w="1060" w:type="dxa"/>
            <w:vAlign w:val="bottom"/>
          </w:tcPr>
          <w:p>
            <w:pPr>
              <w:jc w:val="right"/>
              <w:spacing w:after="0"/>
              <w:rPr>
                <w:sz w:val="20"/>
                <w:szCs w:val="20"/>
                <w:color w:val="auto"/>
              </w:rPr>
            </w:pPr>
            <w:r>
              <w:rPr>
                <w:rFonts w:ascii="Arial" w:cs="Arial" w:eastAsia="Arial" w:hAnsi="Arial"/>
                <w:sz w:val="16"/>
                <w:szCs w:val="16"/>
                <w:color w:val="auto"/>
              </w:rPr>
              <w:t>2039</w:t>
            </w:r>
          </w:p>
        </w:tc>
      </w:tr>
      <w:tr>
        <w:trPr>
          <w:trHeight w:val="332"/>
        </w:trPr>
        <w:tc>
          <w:tcPr>
            <w:tcW w:w="58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5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First mortgage bonds, November 2010</w:t>
            </w:r>
          </w:p>
        </w:tc>
        <w:tc>
          <w:tcPr>
            <w:tcW w:w="1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300</w:t>
            </w:r>
          </w:p>
        </w:tc>
        <w:tc>
          <w:tcPr>
            <w:tcW w:w="14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5.125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Sempra Energy used the proceeds from its issuances of long-term debt primarily for general corporate purposes, including the repayment of commercial paper and to repay maturing long-term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Sempra Utilities used the proceeds from their issuances of long-term debt:</w:t>
      </w:r>
    </w:p>
    <w:p>
      <w:pPr>
        <w:spacing w:after="0" w:line="225" w:lineRule="exact"/>
        <w:rPr>
          <w:sz w:val="20"/>
          <w:szCs w:val="20"/>
          <w:color w:val="auto"/>
        </w:rPr>
      </w:pPr>
    </w:p>
    <w:p>
      <w:pPr>
        <w:ind w:left="340" w:hanging="188"/>
        <w:spacing w:after="0"/>
        <w:tabs>
          <w:tab w:leader="none" w:pos="3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for general working capital purposes;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support their electric (at SDG&amp;E) and natural gas (SDG&amp;E and SoCalGas) capital expenditure programs;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replenish amounts expended and fund future expenditures for the expansion and improvement of their utility plants;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repay commercial paper at SDG&amp;E.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Payments on Long-Term Debt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Payments on long-term debt in 2011 included</w:t>
      </w:r>
    </w:p>
    <w:p>
      <w:pPr>
        <w:spacing w:after="0" w:line="225" w:lineRule="exact"/>
        <w:rPr>
          <w:sz w:val="20"/>
          <w:szCs w:val="20"/>
          <w:color w:val="auto"/>
        </w:rPr>
      </w:pPr>
    </w:p>
    <w:p>
      <w:pPr>
        <w:ind w:left="340" w:hanging="188"/>
        <w:spacing w:after="0"/>
        <w:tabs>
          <w:tab w:leader="none" w:pos="3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$100 million of SoCalGas 4.375-percent first mortgage bonds at maturity in January 2011</w:t>
      </w:r>
    </w:p>
    <w:p>
      <w:pPr>
        <w:spacing w:after="0" w:line="252" w:lineRule="exact"/>
        <w:rPr>
          <w:rFonts w:ascii="Arial" w:cs="Arial" w:eastAsia="Arial" w:hAnsi="Arial"/>
          <w:sz w:val="18"/>
          <w:szCs w:val="18"/>
          <w:color w:val="auto"/>
        </w:rPr>
      </w:pPr>
    </w:p>
    <w:p>
      <w:pPr>
        <w:ind w:right="4720" w:firstLine="152"/>
        <w:spacing w:after="0" w:line="559" w:lineRule="auto"/>
        <w:tabs>
          <w:tab w:leader="none" w:pos="32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$150 million of SoCalGas variable rate first mortgage bonds at maturity in January 2011 Payments on long-term debt in 2010 included</w:t>
      </w:r>
    </w:p>
    <w:p>
      <w:pPr>
        <w:sectPr>
          <w:pgSz w:w="11900" w:h="16943" w:orient="portrait"/>
          <w:cols w:equalWidth="0" w:num="1">
            <w:col w:w="11420"/>
          </w:cols>
          <w:pgMar w:left="240" w:top="121" w:right="239" w:bottom="0" w:gutter="0" w:footer="0" w:header="0"/>
        </w:sectPr>
      </w:pPr>
    </w:p>
    <w:bookmarkStart w:id="169" w:name="page170"/>
    <w:bookmarkEnd w:id="169"/>
    <w:p>
      <w:pPr>
        <w:spacing w:after="0" w:line="36" w:lineRule="exact"/>
        <w:rPr>
          <w:sz w:val="20"/>
          <w:szCs w:val="20"/>
          <w:color w:val="auto"/>
        </w:rPr>
      </w:pPr>
    </w:p>
    <w:p>
      <w:pPr>
        <w:ind w:left="340" w:hanging="188"/>
        <w:spacing w:after="0"/>
        <w:tabs>
          <w:tab w:leader="none" w:pos="3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$500 million of Sempra Energy notes payable at maturity in March 2010</w:t>
      </w:r>
    </w:p>
    <w:p>
      <w:pPr>
        <w:spacing w:after="0" w:line="252" w:lineRule="exact"/>
        <w:rPr>
          <w:rFonts w:ascii="Arial" w:cs="Arial" w:eastAsia="Arial" w:hAnsi="Arial"/>
          <w:sz w:val="18"/>
          <w:szCs w:val="18"/>
          <w:color w:val="auto"/>
        </w:rPr>
      </w:pPr>
    </w:p>
    <w:p>
      <w:pPr>
        <w:ind w:right="2740" w:firstLine="152"/>
        <w:spacing w:after="0" w:line="516" w:lineRule="auto"/>
        <w:tabs>
          <w:tab w:leader="none" w:pos="3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retirement of $128 million of industrial development bonds related to Sempra Pipelines &amp; Storage’s Liberty project Payments on long-term debt in 2009 included</w:t>
      </w:r>
    </w:p>
    <w:p>
      <w:pPr>
        <w:spacing w:after="0" w:line="1" w:lineRule="exact"/>
        <w:rPr>
          <w:rFonts w:ascii="Arial" w:cs="Arial" w:eastAsia="Arial" w:hAnsi="Arial"/>
          <w:sz w:val="18"/>
          <w:szCs w:val="18"/>
          <w:color w:val="auto"/>
        </w:rPr>
      </w:pPr>
    </w:p>
    <w:p>
      <w:pPr>
        <w:ind w:left="340" w:hanging="188"/>
        <w:spacing w:after="0"/>
        <w:tabs>
          <w:tab w:leader="none" w:pos="3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$300 million of Sempra Energy 4.75-percent notes payable at maturity in May 2009</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$100 million of SoCalGas variable rate first mortgage bonds at maturity in December 2009</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Note 5 of the Notes to Consolidated Financial Statements, we provide information about our lines of credit and additional information about debt activity.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Payments on Notes Payable to Unconsolidated Affiliate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Pipelines &amp; Storage prepaid $100 million of notes payable due to Chilquinta Energía Finance Co. LLC in November 2009.</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TRANSACTIONS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employee stock option exercises and newly issued shares for our dividend reinvestment and 401(k) saving plans was</w:t>
      </w:r>
    </w:p>
    <w:p>
      <w:pPr>
        <w:spacing w:after="0" w:line="225" w:lineRule="exact"/>
        <w:rPr>
          <w:sz w:val="20"/>
          <w:szCs w:val="20"/>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$28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$40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$73 million in 2009</w:t>
      </w:r>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2010, we entered into a Collared Accelerated Share Acquisition Program under which we prepaid $500 million to repurchase shares of our common stock in a share forward transaction. We received 8.1 million shares under the program during 2010 and an additional 1.5 million shares when the program was completed in March 2011. We discuss the repurchase program in Note 13 of the Notes to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Energy paid cash dividends on common stock of:</w:t>
      </w:r>
    </w:p>
    <w:p>
      <w:pPr>
        <w:spacing w:after="0" w:line="225" w:lineRule="exact"/>
        <w:rPr>
          <w:sz w:val="20"/>
          <w:szCs w:val="20"/>
          <w:color w:val="auto"/>
        </w:rPr>
      </w:pPr>
    </w:p>
    <w:p>
      <w:pPr>
        <w:ind w:left="340" w:hanging="188"/>
        <w:spacing w:after="0"/>
        <w:tabs>
          <w:tab w:leader="none" w:pos="3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$440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$364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$341 million in 2009</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increase in 2011 was due to increases in the per-share quarterly dividend from $0.39 in 2010 to $0.48 in 2011. The increase in 2010 is due to suspension of dividend reinvestment programs in July 2010.</w:t>
      </w:r>
    </w:p>
    <w:p>
      <w:pPr>
        <w:spacing w:after="0" w:line="1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December 6, 2011, Sempra Energy declared a quarterly dividend of $0.48 per share of common stock that was paid on January 15, 2012. We provide additional information about Sempra Energy dividends above in “Capital Resources and Liquidity – Overview – Sempra Energy Consolidated.”</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SDG&amp;E paid a $150 million common dividend to Sempra Energy in the first quarter of 2009 after an extended review period associated with the Sunrise Powerlink project delayed the planned construction start. SDG&amp;E did not pay any common dividends to Sempra Energy in 2011 and 2010 to preserve cash to fund its capital expenditures program.</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SoCalGas paid dividends to Pacific Enterprises (PE) and PE paid corresponding dividends to Sempra Energy of:</w:t>
      </w:r>
    </w:p>
    <w:p>
      <w:pPr>
        <w:spacing w:after="0" w:line="225" w:lineRule="exact"/>
        <w:rPr>
          <w:sz w:val="20"/>
          <w:szCs w:val="20"/>
          <w:color w:val="auto"/>
        </w:rPr>
      </w:pPr>
    </w:p>
    <w:p>
      <w:pPr>
        <w:ind w:left="340" w:hanging="188"/>
        <w:spacing w:after="0"/>
        <w:tabs>
          <w:tab w:leader="none" w:pos="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$50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$100 million in 2010</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PE, a wholly owned subsidiary of Sempra Energy, owns all of SoCalGas’ outstanding common stock. Accordingly, dividends paid by SoCalGas to PE and dividends paid by PE to Sempra Energy are both eliminated in Sempra Energy’s consolidated financial statements.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board of directors for each of Sempra Energy, SDG&amp;E and SoCalGas has the discretion to determine the payment and amount of future dividends by each such entity. The CPUC’s regulation of SDG&amp;E’s and SoCalGas’ capital structures limits the amounts that are available for loans and dividends to Sempra Energy. At December 31, 2011, Sempra Energy could have received combined loans and dividends of approximately $969 million from SoCalGas and approximately $400 million from SDG&amp;E.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restricted net assets in Note 1 of the Notes to Consolidated Financial Statements.</w:t>
      </w:r>
    </w:p>
    <w:p>
      <w:pPr>
        <w:sectPr>
          <w:pgSz w:w="11900" w:h="16874" w:orient="portrait"/>
          <w:cols w:equalWidth="0" w:num="1">
            <w:col w:w="11380"/>
          </w:cols>
          <w:pgMar w:left="240" w:top="125" w:right="279" w:bottom="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CAPITALIZATION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CAPITALIZATION AND DEBT-TO-CAPITALIZATION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color w:val="auto"/>
              </w:rPr>
              <w:t>As of December 31, 2011</w:t>
            </w: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218"/>
        </w:trPr>
        <w:tc>
          <w:tcPr>
            <w:tcW w:w="4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243"/>
              <w:spacing w:after="0"/>
              <w:rPr>
                <w:sz w:val="20"/>
                <w:szCs w:val="20"/>
                <w:color w:val="auto"/>
              </w:rPr>
            </w:pPr>
            <w:r>
              <w:rPr>
                <w:rFonts w:ascii="Arial" w:cs="Arial" w:eastAsia="Arial" w:hAnsi="Arial"/>
                <w:sz w:val="14"/>
                <w:szCs w:val="14"/>
                <w:color w:val="auto"/>
              </w:rPr>
              <w:t>Sempra Energy</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68"/>
        </w:trPr>
        <w:tc>
          <w:tcPr>
            <w:tcW w:w="49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Consolidated(1)</w:t>
            </w:r>
          </w:p>
        </w:tc>
        <w:tc>
          <w:tcPr>
            <w:tcW w:w="6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SDG&amp;E(1)</w:t>
            </w: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SoCalGas</w:t>
            </w:r>
          </w:p>
        </w:tc>
      </w:tr>
      <w:tr>
        <w:trPr>
          <w:trHeight w:val="164"/>
        </w:trPr>
        <w:tc>
          <w:tcPr>
            <w:tcW w:w="4940" w:type="dxa"/>
            <w:vAlign w:val="bottom"/>
          </w:tcPr>
          <w:p>
            <w:pPr>
              <w:spacing w:after="0" w:line="164" w:lineRule="exact"/>
              <w:rPr>
                <w:sz w:val="20"/>
                <w:szCs w:val="20"/>
                <w:color w:val="auto"/>
              </w:rPr>
            </w:pPr>
            <w:r>
              <w:rPr>
                <w:rFonts w:ascii="Arial" w:cs="Arial" w:eastAsia="Arial" w:hAnsi="Arial"/>
                <w:sz w:val="16"/>
                <w:szCs w:val="16"/>
                <w:color w:val="auto"/>
              </w:rPr>
              <w:t>Total capitalization</w:t>
            </w:r>
          </w:p>
        </w:tc>
        <w:tc>
          <w:tcPr>
            <w:tcW w:w="480" w:type="dxa"/>
            <w:vAlign w:val="bottom"/>
          </w:tcPr>
          <w:p>
            <w:pPr>
              <w:jc w:val="right"/>
              <w:ind w:right="324"/>
              <w:spacing w:after="0" w:line="164" w:lineRule="exact"/>
              <w:rPr>
                <w:sz w:val="20"/>
                <w:szCs w:val="20"/>
                <w:color w:val="auto"/>
              </w:rPr>
            </w:pPr>
            <w:r>
              <w:rPr>
                <w:rFonts w:ascii="Arial" w:cs="Arial" w:eastAsia="Arial" w:hAnsi="Arial"/>
                <w:sz w:val="15"/>
                <w:szCs w:val="15"/>
                <w:color w:val="auto"/>
                <w:w w:val="71"/>
              </w:rPr>
              <w:t>$</w:t>
            </w:r>
          </w:p>
        </w:tc>
        <w:tc>
          <w:tcPr>
            <w:tcW w:w="1720" w:type="dxa"/>
            <w:vAlign w:val="bottom"/>
          </w:tcPr>
          <w:p>
            <w:pPr>
              <w:jc w:val="right"/>
              <w:ind w:right="283"/>
              <w:spacing w:after="0" w:line="164" w:lineRule="exact"/>
              <w:rPr>
                <w:sz w:val="20"/>
                <w:szCs w:val="20"/>
                <w:color w:val="auto"/>
              </w:rPr>
            </w:pPr>
            <w:r>
              <w:rPr>
                <w:rFonts w:ascii="Arial" w:cs="Arial" w:eastAsia="Arial" w:hAnsi="Arial"/>
                <w:sz w:val="16"/>
                <w:szCs w:val="16"/>
                <w:color w:val="auto"/>
              </w:rPr>
              <w:t>21,183</w:t>
            </w:r>
          </w:p>
        </w:tc>
        <w:tc>
          <w:tcPr>
            <w:tcW w:w="640" w:type="dxa"/>
            <w:vAlign w:val="bottom"/>
          </w:tcPr>
          <w:p>
            <w:pPr>
              <w:jc w:val="right"/>
              <w:ind w:right="303"/>
              <w:spacing w:after="0" w:line="164"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282"/>
              <w:spacing w:after="0" w:line="164" w:lineRule="exact"/>
              <w:rPr>
                <w:sz w:val="20"/>
                <w:szCs w:val="20"/>
                <w:color w:val="auto"/>
              </w:rPr>
            </w:pPr>
            <w:r>
              <w:rPr>
                <w:rFonts w:ascii="Arial" w:cs="Arial" w:eastAsia="Arial" w:hAnsi="Arial"/>
                <w:sz w:val="16"/>
                <w:szCs w:val="16"/>
                <w:color w:val="auto"/>
              </w:rPr>
              <w:t>7,997</w:t>
            </w:r>
          </w:p>
        </w:tc>
        <w:tc>
          <w:tcPr>
            <w:tcW w:w="680" w:type="dxa"/>
            <w:vAlign w:val="bottom"/>
          </w:tcPr>
          <w:p>
            <w:pPr>
              <w:jc w:val="right"/>
              <w:ind w:right="339"/>
              <w:spacing w:after="0" w:line="164"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462"/>
              <w:spacing w:after="0" w:line="164" w:lineRule="exact"/>
              <w:rPr>
                <w:sz w:val="20"/>
                <w:szCs w:val="20"/>
                <w:color w:val="auto"/>
              </w:rPr>
            </w:pPr>
            <w:r>
              <w:rPr>
                <w:rFonts w:ascii="Arial" w:cs="Arial" w:eastAsia="Arial" w:hAnsi="Arial"/>
                <w:sz w:val="16"/>
                <w:szCs w:val="16"/>
                <w:color w:val="auto"/>
              </w:rPr>
              <w:t>3,514</w:t>
            </w:r>
          </w:p>
        </w:tc>
      </w:tr>
      <w:tr>
        <w:trPr>
          <w:trHeight w:val="195"/>
        </w:trPr>
        <w:tc>
          <w:tcPr>
            <w:tcW w:w="4940" w:type="dxa"/>
            <w:vAlign w:val="bottom"/>
          </w:tcPr>
          <w:p>
            <w:pPr>
              <w:spacing w:after="0"/>
              <w:rPr>
                <w:sz w:val="20"/>
                <w:szCs w:val="20"/>
                <w:color w:val="auto"/>
              </w:rPr>
            </w:pPr>
            <w:r>
              <w:rPr>
                <w:rFonts w:ascii="Arial" w:cs="Arial" w:eastAsia="Arial" w:hAnsi="Arial"/>
                <w:sz w:val="16"/>
                <w:szCs w:val="16"/>
                <w:color w:val="auto"/>
              </w:rPr>
              <w:t>Debt-to-capitalization ratio</w:t>
            </w:r>
          </w:p>
        </w:tc>
        <w:tc>
          <w:tcPr>
            <w:tcW w:w="480" w:type="dxa"/>
            <w:vAlign w:val="bottom"/>
          </w:tcPr>
          <w:p>
            <w:pPr>
              <w:spacing w:after="0"/>
              <w:rPr>
                <w:sz w:val="16"/>
                <w:szCs w:val="16"/>
                <w:color w:val="auto"/>
              </w:rPr>
            </w:pPr>
          </w:p>
        </w:tc>
        <w:tc>
          <w:tcPr>
            <w:tcW w:w="1720" w:type="dxa"/>
            <w:vAlign w:val="bottom"/>
          </w:tcPr>
          <w:p>
            <w:pPr>
              <w:jc w:val="right"/>
              <w:ind w:right="83"/>
              <w:spacing w:after="0"/>
              <w:rPr>
                <w:sz w:val="20"/>
                <w:szCs w:val="20"/>
                <w:color w:val="auto"/>
              </w:rPr>
            </w:pPr>
            <w:r>
              <w:rPr>
                <w:rFonts w:ascii="Arial" w:cs="Arial" w:eastAsia="Arial" w:hAnsi="Arial"/>
                <w:sz w:val="16"/>
                <w:szCs w:val="16"/>
                <w:color w:val="auto"/>
              </w:rPr>
              <w:t>51 %</w:t>
            </w:r>
          </w:p>
        </w:tc>
        <w:tc>
          <w:tcPr>
            <w:tcW w:w="640" w:type="dxa"/>
            <w:vAlign w:val="bottom"/>
          </w:tcPr>
          <w:p>
            <w:pPr>
              <w:spacing w:after="0"/>
              <w:rPr>
                <w:sz w:val="16"/>
                <w:szCs w:val="16"/>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51 %</w:t>
            </w:r>
          </w:p>
        </w:tc>
        <w:tc>
          <w:tcPr>
            <w:tcW w:w="680" w:type="dxa"/>
            <w:vAlign w:val="bottom"/>
          </w:tcPr>
          <w:p>
            <w:pPr>
              <w:spacing w:after="0"/>
              <w:rPr>
                <w:sz w:val="16"/>
                <w:szCs w:val="16"/>
                <w:color w:val="auto"/>
              </w:rPr>
            </w:pPr>
          </w:p>
        </w:tc>
        <w:tc>
          <w:tcPr>
            <w:tcW w:w="1560" w:type="dxa"/>
            <w:vAlign w:val="bottom"/>
          </w:tcPr>
          <w:p>
            <w:pPr>
              <w:jc w:val="right"/>
              <w:ind w:right="262"/>
              <w:spacing w:after="0"/>
              <w:rPr>
                <w:sz w:val="20"/>
                <w:szCs w:val="20"/>
                <w:color w:val="auto"/>
              </w:rPr>
            </w:pPr>
            <w:r>
              <w:rPr>
                <w:rFonts w:ascii="Arial" w:cs="Arial" w:eastAsia="Arial" w:hAnsi="Arial"/>
                <w:sz w:val="16"/>
                <w:szCs w:val="16"/>
                <w:color w:val="auto"/>
              </w:rPr>
              <w:t>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hanging="389"/>
        <w:spacing w:after="0"/>
        <w:tabs>
          <w:tab w:leader="none" w:pos="620" w:val="left"/>
        </w:tabs>
        <w:numPr>
          <w:ilvl w:val="0"/>
          <w:numId w:val="273"/>
        </w:numPr>
        <w:rPr>
          <w:rFonts w:ascii="Arial" w:cs="Arial" w:eastAsia="Arial" w:hAnsi="Arial"/>
          <w:sz w:val="14"/>
          <w:szCs w:val="14"/>
          <w:color w:val="auto"/>
        </w:rPr>
      </w:pPr>
      <w:r>
        <w:rPr>
          <w:rFonts w:ascii="Arial" w:cs="Arial" w:eastAsia="Arial" w:hAnsi="Arial"/>
          <w:sz w:val="14"/>
          <w:szCs w:val="14"/>
          <w:i w:val="1"/>
          <w:iCs w:val="1"/>
          <w:color w:val="auto"/>
        </w:rPr>
        <w:t>Includes noncontrolling interests and debt of Otay Mesa Energy Center LLC for Sempra Energy and SDG&amp;E with no significant impact.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during 2011 that affected capitalization include the following:</w:t>
      </w:r>
    </w:p>
    <w:p>
      <w:pPr>
        <w:spacing w:after="0" w:line="225" w:lineRule="exact"/>
        <w:rPr>
          <w:sz w:val="20"/>
          <w:szCs w:val="20"/>
          <w:color w:val="auto"/>
        </w:rPr>
      </w:pPr>
    </w:p>
    <w:p>
      <w:pPr>
        <w:ind w:left="340" w:hanging="188"/>
        <w:spacing w:after="0" w:line="277"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Sempra Energy Consolidated: comprehensive income exceeding dividends and net increases in long-term debt (including commercial paper classified as long-term)</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SDG&amp;E: comprehensive income, a capital contribution from Sempra Energy and a net increase in long-term debt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SoCalGas: comprehensive income exceeding dividends, partially offset by a net decrease in 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these significant changes in Notes 1, 5 and 13 of the Notes to Consolidated Financial Statements.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principal contractual commitments, primarily long-term, at December 31, 2011 for Sempra Energy, SDG&amp;E and SoCalGas.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commitments above and in Notes 5, 8 and 15 of the 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CONTRACTUAL COMMITMENTS OF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2013 and 2014</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2015 and 2016</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3640" w:type="dxa"/>
            <w:vAlign w:val="bottom"/>
          </w:tcPr>
          <w:p>
            <w:pPr>
              <w:spacing w:after="0" w:line="164" w:lineRule="exact"/>
              <w:rPr>
                <w:sz w:val="20"/>
                <w:szCs w:val="20"/>
                <w:color w:val="auto"/>
              </w:rPr>
            </w:pPr>
            <w:r>
              <w:rPr>
                <w:rFonts w:ascii="Arial" w:cs="Arial" w:eastAsia="Arial" w:hAnsi="Arial"/>
                <w:sz w:val="16"/>
                <w:szCs w:val="16"/>
                <w:color w:val="auto"/>
              </w:rPr>
              <w:t>Long-term debt(1)</w:t>
            </w:r>
          </w:p>
        </w:tc>
        <w:tc>
          <w:tcPr>
            <w:tcW w:w="1240" w:type="dxa"/>
            <w:vAlign w:val="bottom"/>
            <w:gridSpan w:val="2"/>
          </w:tcPr>
          <w:p>
            <w:pPr>
              <w:jc w:val="right"/>
              <w:ind w:right="364"/>
              <w:spacing w:after="0" w:line="164"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4" w:lineRule="exact"/>
              <w:rPr>
                <w:sz w:val="20"/>
                <w:szCs w:val="20"/>
                <w:color w:val="auto"/>
              </w:rPr>
            </w:pPr>
            <w:r>
              <w:rPr>
                <w:rFonts w:ascii="Arial" w:cs="Arial" w:eastAsia="Arial" w:hAnsi="Arial"/>
                <w:sz w:val="16"/>
                <w:szCs w:val="16"/>
                <w:color w:val="auto"/>
              </w:rPr>
              <w:t>320</w:t>
            </w:r>
          </w:p>
        </w:tc>
        <w:tc>
          <w:tcPr>
            <w:tcW w:w="280" w:type="dxa"/>
            <w:vAlign w:val="bottom"/>
          </w:tcPr>
          <w:p>
            <w:pPr>
              <w:jc w:val="right"/>
              <w:ind w:right="99"/>
              <w:spacing w:after="0" w:line="164"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1,987</w:t>
            </w:r>
          </w:p>
        </w:tc>
        <w:tc>
          <w:tcPr>
            <w:tcW w:w="260" w:type="dxa"/>
            <w:vAlign w:val="bottom"/>
          </w:tcPr>
          <w:p>
            <w:pPr>
              <w:jc w:val="right"/>
              <w:ind w:right="104"/>
              <w:spacing w:after="0" w:line="164"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1,102</w:t>
            </w:r>
          </w:p>
        </w:tc>
        <w:tc>
          <w:tcPr>
            <w:tcW w:w="420" w:type="dxa"/>
            <w:vAlign w:val="bottom"/>
          </w:tcPr>
          <w:p>
            <w:pPr>
              <w:jc w:val="right"/>
              <w:ind w:right="239"/>
              <w:spacing w:after="0" w:line="164"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6,401</w:t>
            </w:r>
          </w:p>
        </w:tc>
        <w:tc>
          <w:tcPr>
            <w:tcW w:w="500" w:type="dxa"/>
            <w:vAlign w:val="bottom"/>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4" w:lineRule="exact"/>
              <w:rPr>
                <w:sz w:val="20"/>
                <w:szCs w:val="20"/>
                <w:color w:val="auto"/>
              </w:rPr>
            </w:pPr>
            <w:r>
              <w:rPr>
                <w:rFonts w:ascii="Arial" w:cs="Arial" w:eastAsia="Arial" w:hAnsi="Arial"/>
                <w:sz w:val="16"/>
                <w:szCs w:val="16"/>
                <w:color w:val="auto"/>
              </w:rPr>
              <w:t>9,810</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Interest on long-term debt(2)</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511</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910</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806</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4,688</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6,915</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Operating leases</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140</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125</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538</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876</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Capital leases</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167</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204</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Purchased-power contracts</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1,049</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2,230</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2,363</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9,555</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15,197</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Natural gas contracts</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558</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431</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121</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257</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1,367</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LNG contracts(3)</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517</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1,314</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1,507</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12,131</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15,469</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Construction commitments</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995</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499</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193</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1,799</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SONGS decommissioning</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524</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524</w:t>
            </w:r>
          </w:p>
        </w:tc>
      </w:tr>
      <w:tr>
        <w:trPr>
          <w:trHeight w:val="195"/>
        </w:trPr>
        <w:tc>
          <w:tcPr>
            <w:tcW w:w="3660" w:type="dxa"/>
            <w:vAlign w:val="bottom"/>
            <w:gridSpan w:val="2"/>
          </w:tcPr>
          <w:p>
            <w:pPr>
              <w:spacing w:after="0"/>
              <w:rPr>
                <w:sz w:val="20"/>
                <w:szCs w:val="20"/>
                <w:color w:val="auto"/>
              </w:rPr>
            </w:pPr>
            <w:r>
              <w:rPr>
                <w:rFonts w:ascii="Arial" w:cs="Arial" w:eastAsia="Arial" w:hAnsi="Arial"/>
                <w:sz w:val="16"/>
                <w:szCs w:val="16"/>
                <w:color w:val="auto"/>
              </w:rPr>
              <w:t>Other asset retirement obligations</w:t>
            </w: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1,305</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1,401</w:t>
            </w:r>
          </w:p>
        </w:tc>
      </w:tr>
      <w:tr>
        <w:trPr>
          <w:trHeight w:val="183"/>
        </w:trPr>
        <w:tc>
          <w:tcPr>
            <w:tcW w:w="3660" w:type="dxa"/>
            <w:vAlign w:val="bottom"/>
            <w:gridSpan w:val="2"/>
          </w:tcPr>
          <w:p>
            <w:pPr>
              <w:spacing w:after="0"/>
              <w:rPr>
                <w:sz w:val="20"/>
                <w:szCs w:val="20"/>
                <w:color w:val="auto"/>
              </w:rPr>
            </w:pPr>
            <w:r>
              <w:rPr>
                <w:rFonts w:ascii="Arial" w:cs="Arial" w:eastAsia="Arial" w:hAnsi="Arial"/>
                <w:sz w:val="16"/>
                <w:szCs w:val="16"/>
                <w:color w:val="auto"/>
              </w:rPr>
              <w:t>Pension and other postretirement benefit</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obligations(4)</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274</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607</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556</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756</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2,193</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Environmental commitments</w:t>
            </w: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r>
      <w:tr>
        <w:trPr>
          <w:trHeight w:val="194"/>
        </w:trPr>
        <w:tc>
          <w:tcPr>
            <w:tcW w:w="3660" w:type="dxa"/>
            <w:vAlign w:val="bottom"/>
            <w:gridSpan w:val="2"/>
          </w:tcPr>
          <w:p>
            <w:pPr>
              <w:spacing w:after="0"/>
              <w:rPr>
                <w:sz w:val="20"/>
                <w:szCs w:val="20"/>
                <w:color w:val="auto"/>
              </w:rPr>
            </w:pPr>
            <w:r>
              <w:rPr>
                <w:rFonts w:ascii="Arial" w:cs="Arial" w:eastAsia="Arial" w:hAnsi="Arial"/>
                <w:sz w:val="16"/>
                <w:szCs w:val="16"/>
                <w:color w:val="auto"/>
              </w:rPr>
              <w:t>Other</w:t>
            </w:r>
          </w:p>
        </w:tc>
        <w:tc>
          <w:tcPr>
            <w:tcW w:w="7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195"/>
        </w:trPr>
        <w:tc>
          <w:tcPr>
            <w:tcW w:w="3660" w:type="dxa"/>
            <w:vAlign w:val="bottom"/>
            <w:gridSpan w:val="2"/>
          </w:tcPr>
          <w:p>
            <w:pPr>
              <w:spacing w:after="0"/>
              <w:rPr>
                <w:sz w:val="20"/>
                <w:szCs w:val="20"/>
                <w:color w:val="auto"/>
              </w:rPr>
            </w:pPr>
            <w:r>
              <w:rPr>
                <w:rFonts w:ascii="Arial" w:cs="Arial" w:eastAsia="Arial" w:hAnsi="Arial"/>
                <w:sz w:val="16"/>
                <w:szCs w:val="16"/>
                <w:color w:val="auto"/>
              </w:rPr>
              <w:t>Totals</w:t>
            </w:r>
          </w:p>
        </w:tc>
        <w:tc>
          <w:tcPr>
            <w:tcW w:w="720" w:type="dxa"/>
            <w:vAlign w:val="bottom"/>
          </w:tcPr>
          <w:p>
            <w:pPr>
              <w:spacing w:after="0"/>
              <w:rPr>
                <w:sz w:val="16"/>
                <w:szCs w:val="16"/>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4,373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8,222</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6,764</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36,601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hanging="363"/>
        <w:spacing w:after="0"/>
        <w:tabs>
          <w:tab w:leader="none" w:pos="560" w:val="left"/>
        </w:tabs>
        <w:numPr>
          <w:ilvl w:val="0"/>
          <w:numId w:val="27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$400 million commercial paper classified as long-term, as we discuss in Note 5 of the Notes to Consolidated Financial Statements.</w:t>
      </w:r>
    </w:p>
    <w:p>
      <w:pPr>
        <w:spacing w:after="0" w:line="13" w:lineRule="exact"/>
        <w:rPr>
          <w:rFonts w:ascii="Arial" w:cs="Arial" w:eastAsia="Arial" w:hAnsi="Arial"/>
          <w:sz w:val="14"/>
          <w:szCs w:val="14"/>
          <w:i w:val="1"/>
          <w:iCs w:val="1"/>
          <w:color w:val="auto"/>
        </w:rPr>
      </w:pPr>
    </w:p>
    <w:p>
      <w:pPr>
        <w:ind w:left="560" w:right="360" w:hanging="363"/>
        <w:spacing w:after="0" w:line="241" w:lineRule="auto"/>
        <w:tabs>
          <w:tab w:leader="none" w:pos="560" w:val="left"/>
        </w:tabs>
        <w:numPr>
          <w:ilvl w:val="0"/>
          <w:numId w:val="275"/>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expected interest payments using the stated interest rate for fixed-rate obligations, including floating-to-fixed interest rate swaps. We calculate expected interest payments for variable-rate obligations, including fixed-to-floating interest rate swaps, based on forward rates in effect at December 31, 2011.</w:t>
      </w:r>
    </w:p>
    <w:p>
      <w:pPr>
        <w:ind w:left="560" w:right="40" w:hanging="363"/>
        <w:spacing w:after="0" w:line="241" w:lineRule="auto"/>
        <w:tabs>
          <w:tab w:leader="none" w:pos="560" w:val="left"/>
        </w:tabs>
        <w:numPr>
          <w:ilvl w:val="0"/>
          <w:numId w:val="275"/>
        </w:numPr>
        <w:rPr>
          <w:rFonts w:ascii="Arial" w:cs="Arial" w:eastAsia="Arial" w:hAnsi="Arial"/>
          <w:sz w:val="14"/>
          <w:szCs w:val="14"/>
          <w:i w:val="1"/>
          <w:iCs w:val="1"/>
          <w:color w:val="auto"/>
        </w:rPr>
      </w:pPr>
      <w:r>
        <w:rPr>
          <w:rFonts w:ascii="Arial" w:cs="Arial" w:eastAsia="Arial" w:hAnsi="Arial"/>
          <w:sz w:val="14"/>
          <w:szCs w:val="14"/>
          <w:i w:val="1"/>
          <w:iCs w:val="1"/>
          <w:color w:val="auto"/>
        </w:rPr>
        <w:t>Sempra LNG has various LNG purchase agreements with major international companies for the supply of LNG to Sempra LNG’s Energía Costa Azul and Cameron terminals. The agreements range from short-term to multi-year periods and are priced using a predetermined formula based on U.S. market indices. The expected payments under the contracts are based on forward prices of the applicable market index from 2012 to 2021 and an estimated one percent escalation per year after 2021. We provide more information about these contracts in Note 15 of the Notes to Consolidated Financial Statements.</w:t>
      </w:r>
    </w:p>
    <w:p>
      <w:pPr>
        <w:spacing w:after="0" w:line="1" w:lineRule="exact"/>
        <w:rPr>
          <w:rFonts w:ascii="Arial" w:cs="Arial" w:eastAsia="Arial" w:hAnsi="Arial"/>
          <w:sz w:val="14"/>
          <w:szCs w:val="14"/>
          <w:i w:val="1"/>
          <w:iCs w:val="1"/>
          <w:color w:val="auto"/>
        </w:rPr>
      </w:pPr>
    </w:p>
    <w:p>
      <w:pPr>
        <w:ind w:left="560" w:hanging="363"/>
        <w:spacing w:after="0"/>
        <w:tabs>
          <w:tab w:leader="none" w:pos="560" w:val="left"/>
        </w:tabs>
        <w:numPr>
          <w:ilvl w:val="0"/>
          <w:numId w:val="275"/>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expected company contributions to the plans for the next 10 years.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CONTRACTUAL COMMITMENTS OF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2013 and 2014</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2015 and 2016</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3640" w:type="dxa"/>
            <w:vAlign w:val="bottom"/>
          </w:tcPr>
          <w:p>
            <w:pPr>
              <w:spacing w:after="0" w:line="164" w:lineRule="exact"/>
              <w:rPr>
                <w:sz w:val="20"/>
                <w:szCs w:val="20"/>
                <w:color w:val="auto"/>
              </w:rPr>
            </w:pPr>
            <w:r>
              <w:rPr>
                <w:rFonts w:ascii="Arial" w:cs="Arial" w:eastAsia="Arial" w:hAnsi="Arial"/>
                <w:sz w:val="16"/>
                <w:szCs w:val="16"/>
                <w:color w:val="auto"/>
              </w:rPr>
              <w:t>Long-term debt</w:t>
            </w:r>
          </w:p>
        </w:tc>
        <w:tc>
          <w:tcPr>
            <w:tcW w:w="1280" w:type="dxa"/>
            <w:vAlign w:val="bottom"/>
            <w:gridSpan w:val="2"/>
          </w:tcPr>
          <w:p>
            <w:pPr>
              <w:jc w:val="right"/>
              <w:ind w:right="404"/>
              <w:spacing w:after="0" w:line="164"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4" w:lineRule="exact"/>
              <w:rPr>
                <w:sz w:val="20"/>
                <w:szCs w:val="20"/>
                <w:color w:val="auto"/>
              </w:rPr>
            </w:pPr>
            <w:r>
              <w:rPr>
                <w:rFonts w:ascii="Arial" w:cs="Arial" w:eastAsia="Arial" w:hAnsi="Arial"/>
                <w:sz w:val="16"/>
                <w:szCs w:val="16"/>
                <w:color w:val="auto"/>
              </w:rPr>
              <w:t>10</w:t>
            </w:r>
          </w:p>
        </w:tc>
        <w:tc>
          <w:tcPr>
            <w:tcW w:w="280" w:type="dxa"/>
            <w:vAlign w:val="bottom"/>
          </w:tcPr>
          <w:p>
            <w:pPr>
              <w:jc w:val="right"/>
              <w:ind w:right="99"/>
              <w:spacing w:after="0" w:line="164"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150</w:t>
            </w:r>
          </w:p>
        </w:tc>
        <w:tc>
          <w:tcPr>
            <w:tcW w:w="260" w:type="dxa"/>
            <w:vAlign w:val="bottom"/>
          </w:tcPr>
          <w:p>
            <w:pPr>
              <w:jc w:val="right"/>
              <w:ind w:right="104"/>
              <w:spacing w:after="0" w:line="164"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284</w:t>
            </w:r>
          </w:p>
        </w:tc>
        <w:tc>
          <w:tcPr>
            <w:tcW w:w="420" w:type="dxa"/>
            <w:vAlign w:val="bottom"/>
          </w:tcPr>
          <w:p>
            <w:pPr>
              <w:jc w:val="right"/>
              <w:ind w:right="239"/>
              <w:spacing w:after="0" w:line="164"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3,451</w:t>
            </w:r>
          </w:p>
        </w:tc>
        <w:tc>
          <w:tcPr>
            <w:tcW w:w="500" w:type="dxa"/>
            <w:vAlign w:val="bottom"/>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4" w:lineRule="exact"/>
              <w:rPr>
                <w:sz w:val="20"/>
                <w:szCs w:val="20"/>
                <w:color w:val="auto"/>
              </w:rPr>
            </w:pPr>
            <w:r>
              <w:rPr>
                <w:rFonts w:ascii="Arial" w:cs="Arial" w:eastAsia="Arial" w:hAnsi="Arial"/>
                <w:sz w:val="16"/>
                <w:szCs w:val="16"/>
                <w:color w:val="auto"/>
              </w:rPr>
              <w:t>3,895</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Interest on long-term debt(1)</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187</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371</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351</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2,637</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3,546</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Operating leases</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135</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Capital leases</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167</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193</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Purchased-power contracts</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319</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581</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460</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1,948</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3,308</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Construction commitments</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229</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83</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408</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SONGS decommissioning</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524</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524</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Other asset retirement obligations</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152</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174</w:t>
            </w:r>
          </w:p>
        </w:tc>
      </w:tr>
      <w:tr>
        <w:trPr>
          <w:trHeight w:val="176"/>
        </w:trPr>
        <w:tc>
          <w:tcPr>
            <w:tcW w:w="3660" w:type="dxa"/>
            <w:vAlign w:val="bottom"/>
            <w:gridSpan w:val="2"/>
          </w:tcPr>
          <w:p>
            <w:pPr>
              <w:spacing w:after="0" w:line="176" w:lineRule="exact"/>
              <w:rPr>
                <w:sz w:val="20"/>
                <w:szCs w:val="20"/>
                <w:color w:val="auto"/>
              </w:rPr>
            </w:pPr>
            <w:r>
              <w:rPr>
                <w:rFonts w:ascii="Arial" w:cs="Arial" w:eastAsia="Arial" w:hAnsi="Arial"/>
                <w:sz w:val="16"/>
                <w:szCs w:val="16"/>
                <w:color w:val="auto"/>
              </w:rPr>
              <w:t>Pension and other postretirement benefit</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6"/>
                <w:szCs w:val="16"/>
                <w:color w:val="auto"/>
              </w:rPr>
              <w:t>obligations(2)</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185</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148</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160</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574</w:t>
            </w:r>
          </w:p>
        </w:tc>
      </w:tr>
      <w:tr>
        <w:trPr>
          <w:trHeight w:val="194"/>
        </w:trPr>
        <w:tc>
          <w:tcPr>
            <w:tcW w:w="3660" w:type="dxa"/>
            <w:vAlign w:val="bottom"/>
            <w:gridSpan w:val="2"/>
          </w:tcPr>
          <w:p>
            <w:pPr>
              <w:spacing w:after="0"/>
              <w:rPr>
                <w:sz w:val="20"/>
                <w:szCs w:val="20"/>
                <w:color w:val="auto"/>
              </w:rPr>
            </w:pPr>
            <w:r>
              <w:rPr>
                <w:rFonts w:ascii="Arial" w:cs="Arial" w:eastAsia="Arial" w:hAnsi="Arial"/>
                <w:sz w:val="16"/>
                <w:szCs w:val="16"/>
                <w:color w:val="auto"/>
              </w:rPr>
              <w:t>Environmental commitments</w:t>
            </w:r>
          </w:p>
        </w:tc>
        <w:tc>
          <w:tcPr>
            <w:tcW w:w="7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195"/>
        </w:trPr>
        <w:tc>
          <w:tcPr>
            <w:tcW w:w="3660" w:type="dxa"/>
            <w:vAlign w:val="bottom"/>
            <w:gridSpan w:val="2"/>
          </w:tcPr>
          <w:p>
            <w:pPr>
              <w:spacing w:after="0"/>
              <w:rPr>
                <w:sz w:val="20"/>
                <w:szCs w:val="20"/>
                <w:color w:val="auto"/>
              </w:rPr>
            </w:pPr>
            <w:r>
              <w:rPr>
                <w:rFonts w:ascii="Arial" w:cs="Arial" w:eastAsia="Arial" w:hAnsi="Arial"/>
                <w:sz w:val="16"/>
                <w:szCs w:val="16"/>
                <w:color w:val="auto"/>
              </w:rPr>
              <w:t>Totals</w:t>
            </w:r>
          </w:p>
        </w:tc>
        <w:tc>
          <w:tcPr>
            <w:tcW w:w="720" w:type="dxa"/>
            <w:vAlign w:val="bottom"/>
          </w:tcPr>
          <w:p>
            <w:pPr>
              <w:spacing w:after="0"/>
              <w:rPr>
                <w:sz w:val="16"/>
                <w:szCs w:val="16"/>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1,401</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1,334</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9,179</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right="260" w:hanging="363"/>
        <w:spacing w:after="0" w:line="251" w:lineRule="auto"/>
        <w:tabs>
          <w:tab w:leader="none" w:pos="560" w:val="left"/>
        </w:tabs>
        <w:numPr>
          <w:ilvl w:val="0"/>
          <w:numId w:val="276"/>
        </w:numPr>
        <w:rPr>
          <w:rFonts w:ascii="Arial" w:cs="Arial" w:eastAsia="Arial" w:hAnsi="Arial"/>
          <w:sz w:val="14"/>
          <w:szCs w:val="14"/>
          <w:i w:val="1"/>
          <w:iCs w:val="1"/>
          <w:color w:val="auto"/>
        </w:rPr>
      </w:pPr>
      <w:r>
        <w:rPr>
          <w:rFonts w:ascii="Arial" w:cs="Arial" w:eastAsia="Arial" w:hAnsi="Arial"/>
          <w:sz w:val="14"/>
          <w:szCs w:val="14"/>
          <w:i w:val="1"/>
          <w:iCs w:val="1"/>
          <w:color w:val="auto"/>
        </w:rPr>
        <w:t>SDG&amp;E calculates expected interest payments using the stated interest rate for fixed-rate obligations, including floating-to-fixed interest rate swaps. SDG&amp;E calculates expected interest payments for variable-rate obligations based on forward rates in effect at December 31, 2011.</w:t>
      </w:r>
    </w:p>
    <w:p>
      <w:pPr>
        <w:ind w:left="560" w:hanging="363"/>
        <w:spacing w:after="0"/>
        <w:tabs>
          <w:tab w:leader="none" w:pos="560" w:val="left"/>
        </w:tabs>
        <w:numPr>
          <w:ilvl w:val="0"/>
          <w:numId w:val="27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expected company contributions to the plans for the next 10 years.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CONTRACTUAL COMMITMENTS OF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2013 and 2014</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2015 and 2016</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Thereafter</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3200" w:type="dxa"/>
            <w:vAlign w:val="bottom"/>
          </w:tcPr>
          <w:p>
            <w:pPr>
              <w:spacing w:after="0" w:line="164" w:lineRule="exact"/>
              <w:rPr>
                <w:sz w:val="20"/>
                <w:szCs w:val="20"/>
                <w:color w:val="auto"/>
              </w:rPr>
            </w:pPr>
            <w:r>
              <w:rPr>
                <w:rFonts w:ascii="Arial" w:cs="Arial" w:eastAsia="Arial" w:hAnsi="Arial"/>
                <w:sz w:val="16"/>
                <w:szCs w:val="16"/>
                <w:color w:val="auto"/>
              </w:rPr>
              <w:t>Long-term debt</w:t>
            </w:r>
          </w:p>
        </w:tc>
        <w:tc>
          <w:tcPr>
            <w:tcW w:w="1720" w:type="dxa"/>
            <w:vAlign w:val="bottom"/>
          </w:tcPr>
          <w:p>
            <w:pPr>
              <w:jc w:val="right"/>
              <w:ind w:right="399"/>
              <w:spacing w:after="0" w:line="164"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4" w:lineRule="exact"/>
              <w:rPr>
                <w:sz w:val="20"/>
                <w:szCs w:val="20"/>
                <w:color w:val="auto"/>
              </w:rPr>
            </w:pPr>
            <w:r>
              <w:rPr>
                <w:rFonts w:ascii="Arial" w:cs="Arial" w:eastAsia="Arial" w:hAnsi="Arial"/>
                <w:sz w:val="16"/>
                <w:szCs w:val="16"/>
                <w:color w:val="auto"/>
              </w:rPr>
              <w:t>250</w:t>
            </w:r>
          </w:p>
        </w:tc>
        <w:tc>
          <w:tcPr>
            <w:tcW w:w="280" w:type="dxa"/>
            <w:vAlign w:val="bottom"/>
          </w:tcPr>
          <w:p>
            <w:pPr>
              <w:jc w:val="right"/>
              <w:ind w:right="99"/>
              <w:spacing w:after="0" w:line="164"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250</w:t>
            </w:r>
          </w:p>
        </w:tc>
        <w:tc>
          <w:tcPr>
            <w:tcW w:w="260" w:type="dxa"/>
            <w:vAlign w:val="bottom"/>
          </w:tcPr>
          <w:p>
            <w:pPr>
              <w:jc w:val="right"/>
              <w:ind w:right="104"/>
              <w:spacing w:after="0" w:line="164"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8</w:t>
            </w:r>
          </w:p>
        </w:tc>
        <w:tc>
          <w:tcPr>
            <w:tcW w:w="420" w:type="dxa"/>
            <w:vAlign w:val="bottom"/>
          </w:tcPr>
          <w:p>
            <w:pPr>
              <w:jc w:val="right"/>
              <w:ind w:right="239"/>
              <w:spacing w:after="0" w:line="164"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805</w:t>
            </w:r>
          </w:p>
        </w:tc>
        <w:tc>
          <w:tcPr>
            <w:tcW w:w="540" w:type="dxa"/>
            <w:vAlign w:val="bottom"/>
          </w:tcPr>
          <w:p>
            <w:pPr>
              <w:jc w:val="right"/>
              <w:ind w:right="359"/>
              <w:spacing w:after="0" w:line="164"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64" w:lineRule="exact"/>
              <w:rPr>
                <w:sz w:val="20"/>
                <w:szCs w:val="20"/>
                <w:color w:val="auto"/>
              </w:rPr>
            </w:pPr>
            <w:r>
              <w:rPr>
                <w:rFonts w:ascii="Arial" w:cs="Arial" w:eastAsia="Arial" w:hAnsi="Arial"/>
                <w:sz w:val="16"/>
                <w:szCs w:val="16"/>
                <w:color w:val="auto"/>
              </w:rPr>
              <w:t>1,313</w:t>
            </w: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6"/>
                <w:szCs w:val="16"/>
                <w:color w:val="auto"/>
              </w:rPr>
              <w:t>Interest on long-term debt(1)</w:t>
            </w:r>
          </w:p>
        </w:tc>
        <w:tc>
          <w:tcPr>
            <w:tcW w:w="17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104</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88</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659</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918</w:t>
            </w: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6"/>
                <w:szCs w:val="16"/>
                <w:color w:val="auto"/>
              </w:rPr>
              <w:t>Natural gas contracts</w:t>
            </w:r>
          </w:p>
        </w:tc>
        <w:tc>
          <w:tcPr>
            <w:tcW w:w="17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400</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157</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145</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783</w:t>
            </w: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6"/>
                <w:szCs w:val="16"/>
                <w:color w:val="auto"/>
              </w:rPr>
              <w:t>Operating leases</w:t>
            </w:r>
          </w:p>
        </w:tc>
        <w:tc>
          <w:tcPr>
            <w:tcW w:w="17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56</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240</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378</w:t>
            </w: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6"/>
                <w:szCs w:val="16"/>
                <w:color w:val="auto"/>
              </w:rPr>
              <w:t>Capital leases</w:t>
            </w:r>
          </w:p>
        </w:tc>
        <w:tc>
          <w:tcPr>
            <w:tcW w:w="17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2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95"/>
        </w:trPr>
        <w:tc>
          <w:tcPr>
            <w:tcW w:w="3220" w:type="dxa"/>
            <w:vAlign w:val="bottom"/>
            <w:gridSpan w:val="2"/>
          </w:tcPr>
          <w:p>
            <w:pPr>
              <w:spacing w:after="0"/>
              <w:rPr>
                <w:sz w:val="20"/>
                <w:szCs w:val="20"/>
                <w:color w:val="auto"/>
              </w:rPr>
            </w:pPr>
            <w:r>
              <w:rPr>
                <w:rFonts w:ascii="Arial" w:cs="Arial" w:eastAsia="Arial" w:hAnsi="Arial"/>
                <w:sz w:val="16"/>
                <w:szCs w:val="16"/>
                <w:color w:val="auto"/>
              </w:rPr>
              <w:t>Construction commitments</w:t>
            </w:r>
          </w:p>
        </w:tc>
        <w:tc>
          <w:tcPr>
            <w:tcW w:w="17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w:t>
            </w:r>
          </w:p>
        </w:tc>
      </w:tr>
    </w:tbl>
    <w:p>
      <w:pPr>
        <w:sectPr>
          <w:pgSz w:w="11900" w:h="16838" w:orient="portrait"/>
          <w:cols w:equalWidth="0" w:num="1">
            <w:col w:w="11420"/>
          </w:cols>
          <w:pgMar w:left="240" w:top="549" w:right="239" w:bottom="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20"/>
                <w:szCs w:val="20"/>
                <w:color w:val="auto"/>
              </w:rPr>
            </w:pPr>
            <w:r>
              <w:rPr>
                <w:rFonts w:ascii="Arial" w:cs="Arial" w:eastAsia="Arial" w:hAnsi="Arial"/>
                <w:sz w:val="16"/>
                <w:szCs w:val="16"/>
                <w:color w:val="auto"/>
              </w:rPr>
              <w:t>Environmental commitments</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76"/>
        </w:trPr>
        <w:tc>
          <w:tcPr>
            <w:tcW w:w="4380" w:type="dxa"/>
            <w:vAlign w:val="bottom"/>
          </w:tcPr>
          <w:p>
            <w:pPr>
              <w:spacing w:after="0" w:line="176" w:lineRule="exact"/>
              <w:rPr>
                <w:sz w:val="20"/>
                <w:szCs w:val="20"/>
                <w:color w:val="auto"/>
              </w:rPr>
            </w:pPr>
            <w:r>
              <w:rPr>
                <w:rFonts w:ascii="Arial" w:cs="Arial" w:eastAsia="Arial" w:hAnsi="Arial"/>
                <w:sz w:val="16"/>
                <w:szCs w:val="16"/>
                <w:color w:val="auto"/>
              </w:rPr>
              <w:t>Pension and other postretirement benefit</w:t>
            </w: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380" w:type="dxa"/>
            <w:vAlign w:val="bottom"/>
          </w:tcPr>
          <w:p>
            <w:pPr>
              <w:ind w:left="180"/>
              <w:spacing w:after="0" w:line="176" w:lineRule="exact"/>
              <w:rPr>
                <w:sz w:val="20"/>
                <w:szCs w:val="20"/>
                <w:color w:val="auto"/>
              </w:rPr>
            </w:pPr>
            <w:r>
              <w:rPr>
                <w:rFonts w:ascii="Arial" w:cs="Arial" w:eastAsia="Arial" w:hAnsi="Arial"/>
                <w:sz w:val="16"/>
                <w:szCs w:val="16"/>
                <w:color w:val="auto"/>
              </w:rPr>
              <w:t>obligations(2)</w:t>
            </w:r>
          </w:p>
        </w:tc>
        <w:tc>
          <w:tcPr>
            <w:tcW w:w="5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153</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348</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332</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474</w:t>
            </w:r>
          </w:p>
        </w:tc>
        <w:tc>
          <w:tcPr>
            <w:tcW w:w="5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1,307</w:t>
            </w:r>
          </w:p>
        </w:tc>
      </w:tr>
      <w:tr>
        <w:trPr>
          <w:trHeight w:val="194"/>
        </w:trPr>
        <w:tc>
          <w:tcPr>
            <w:tcW w:w="4380" w:type="dxa"/>
            <w:vAlign w:val="bottom"/>
          </w:tcPr>
          <w:p>
            <w:pPr>
              <w:spacing w:after="0"/>
              <w:rPr>
                <w:sz w:val="20"/>
                <w:szCs w:val="20"/>
                <w:color w:val="auto"/>
              </w:rPr>
            </w:pPr>
            <w:r>
              <w:rPr>
                <w:rFonts w:ascii="Arial" w:cs="Arial" w:eastAsia="Arial" w:hAnsi="Arial"/>
                <w:sz w:val="16"/>
                <w:szCs w:val="16"/>
                <w:color w:val="auto"/>
              </w:rPr>
              <w:t>Asset retirement obligations</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Totals</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987</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1,099</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664</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3,536</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hanging="363"/>
        <w:spacing w:after="0"/>
        <w:tabs>
          <w:tab w:leader="none" w:pos="560" w:val="left"/>
        </w:tabs>
        <w:numPr>
          <w:ilvl w:val="0"/>
          <w:numId w:val="277"/>
        </w:numPr>
        <w:rPr>
          <w:rFonts w:ascii="Arial" w:cs="Arial" w:eastAsia="Arial" w:hAnsi="Arial"/>
          <w:sz w:val="14"/>
          <w:szCs w:val="14"/>
          <w:i w:val="1"/>
          <w:iCs w:val="1"/>
          <w:color w:val="auto"/>
        </w:rPr>
      </w:pPr>
      <w:r>
        <w:rPr>
          <w:rFonts w:ascii="Arial" w:cs="Arial" w:eastAsia="Arial" w:hAnsi="Arial"/>
          <w:sz w:val="14"/>
          <w:szCs w:val="14"/>
          <w:i w:val="1"/>
          <w:iCs w:val="1"/>
          <w:color w:val="auto"/>
        </w:rPr>
        <w:t>SoCalGas calculates interest payments using the stated interest rate for fixed-rate obligations.</w:t>
      </w:r>
    </w:p>
    <w:p>
      <w:pPr>
        <w:spacing w:after="0" w:line="13" w:lineRule="exact"/>
        <w:rPr>
          <w:rFonts w:ascii="Arial" w:cs="Arial" w:eastAsia="Arial" w:hAnsi="Arial"/>
          <w:sz w:val="14"/>
          <w:szCs w:val="14"/>
          <w:i w:val="1"/>
          <w:iCs w:val="1"/>
          <w:color w:val="auto"/>
        </w:rPr>
      </w:pPr>
    </w:p>
    <w:p>
      <w:pPr>
        <w:ind w:left="560" w:hanging="363"/>
        <w:spacing w:after="0"/>
        <w:tabs>
          <w:tab w:leader="none" w:pos="560" w:val="left"/>
        </w:tabs>
        <w:numPr>
          <w:ilvl w:val="0"/>
          <w:numId w:val="277"/>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expected company contributions to the plans for the next 10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exclude</w:t>
      </w:r>
    </w:p>
    <w:p>
      <w:pPr>
        <w:spacing w:after="0" w:line="225" w:lineRule="exact"/>
        <w:rPr>
          <w:sz w:val="20"/>
          <w:szCs w:val="20"/>
          <w:color w:val="auto"/>
        </w:rPr>
      </w:pPr>
    </w:p>
    <w:p>
      <w:pPr>
        <w:ind w:left="340" w:hanging="188"/>
        <w:spacing w:after="0"/>
        <w:tabs>
          <w:tab w:leader="none" w:pos="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contracts between consolidated affiliates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intercompany debt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individual contracts that have annual cash requirements less than $1 million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employment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tables also exclude income tax liabilities of</w:t>
      </w:r>
    </w:p>
    <w:p>
      <w:pPr>
        <w:spacing w:after="0" w:line="225" w:lineRule="exact"/>
        <w:rPr>
          <w:sz w:val="20"/>
          <w:szCs w:val="20"/>
          <w:color w:val="auto"/>
        </w:rPr>
      </w:pPr>
    </w:p>
    <w:p>
      <w:pPr>
        <w:ind w:left="340" w:hanging="188"/>
        <w:spacing w:after="0"/>
        <w:tabs>
          <w:tab w:leader="none" w:pos="3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$34 million for Sempra Energy Consolidated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$7 million for SDG&amp;E</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These liabilities relate to uncertain tax positions and were excluded from the tables because we are unable to reasonably estimate the timing of future payments due to uncertainties in the timing of the effective settlement of tax positions. We provide additional information about unrecognized tax benefits in Note 7 of the Notes to Consolidated Financial Statements.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BALANCE-SHEET ARRANGEMENTS</w:t>
      </w:r>
    </w:p>
    <w:p>
      <w:pPr>
        <w:spacing w:after="0" w:line="23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Sempra Energy has provided maximum guarantees aggregating $185 million at December 31, 2011 to related parties, including continuing transitional guarantees related to RBS Sempra Commodities. We discuss these guarantees in Notes 5 and 15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CREDIT RATINGS</w:t>
      </w:r>
    </w:p>
    <w:p>
      <w:pPr>
        <w:spacing w:after="0" w:line="19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credit ratings of Sempra Energy, SDG&amp;E and SoCalGas remained at investment grade levels in 2011. In August 2011, Fitch downgraded the rating on Sempra Energy’s unsecured debt from A- with a negative outlook to BBB+ with a stable outlook, consistent with Moody’s and Standard &amp; Poor’s (S&amp;P) ratings. Also at that time, Fitch affirmed that this downgrade had no effect on SDG&amp;E’s and SoCalGas’ ratings.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Sempra Energy, SDG&amp;E and SoCalGas have committed lines of credit to provide liquidity and to support commercial paper and variable-rate demand notes. Borrowings under these facilities bear interest at benchmark rates plus a margin that varies with market index rates and each borrower’s credit rating. Each facility also requires a commitment fee on available unused credit.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Under these committed lines, if Sempra Energy were to experience a ratings downgrade from its current level, the rate at which borrowings bear interest would increase by 25 to 50 basis points, depending on the severity of the downgrade. The commitment fee on available unused credit would also increase 15 to 25 basis points, depending on the severity of the downgrade.</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Under these committed lines, if SDG&amp;E or SoCalGas were to experience a ratings downgrade from its current level, the rate at which borrowings bear interest would increase by 25 to 75 basis points, depending on the severity of the downgrade. The commitment fee on available unused credit would also increase 2.5 to 22.5 basis points, depending on the severity of the downgrade.</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 Sempra Energy and SDG&amp;E, their credit ratings may affect credit limits related to derivative instruments, as we discuss in Note 10 of the Notes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OVERVIEW</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Sempra Utilities’ operations have historically provided relatively stable earnings and liquidity. However, for the next few years, SoCalGas intends to limit its common stock dividends to reinvest its earnings in significant capital projects.</w:t>
      </w:r>
    </w:p>
    <w:p>
      <w:pPr>
        <w:spacing w:after="0" w:line="170"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Sempra Generation is developing and investing in renewable energy generation projects that have long-term contracts with utilities. The renewable projects have planned in-service dates ranging from 2012 to 2016. These projects require construction financing from a variety of sources including operating cash flow, project financing, low-cost financing procured under the U.S. Department of Energy’s (DOE) loan guaranty program, U.S. Treasury Department cash grants, funds from the parent and partnering in joint ventures. The varying costs of these alternative financing sources impact the projects’ returns.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Current energy market prices are significantly lower than those under Sempra Generation’s contract with the DWR, which ended on September 30, 2011 and had provided a significant portion of Sempra Generation’s revenues. Revenues from Sempra Generation’s natural gas generation plants are also expected to be lower due to a decline in market demand and the sale of Sempra Generation’s El Dorado natural gas generation plant to SDG&amp;E on October 1, 2011.</w:t>
      </w:r>
    </w:p>
    <w:p>
      <w:pPr>
        <w:sectPr>
          <w:pgSz w:w="11900" w:h="16838" w:orient="portrait"/>
          <w:cols w:equalWidth="0" w:num="1">
            <w:col w:w="11420"/>
          </w:cols>
          <w:pgMar w:left="240" w:top="119" w:right="239" w:bottom="0" w:gutter="0" w:footer="0" w:header="0"/>
        </w:sectPr>
      </w:pPr>
    </w:p>
    <w:bookmarkStart w:id="172" w:name="page173"/>
    <w:bookmarkEnd w:id="172"/>
    <w:p>
      <w:pPr>
        <w:ind w:right="80"/>
        <w:spacing w:after="0" w:line="277" w:lineRule="auto"/>
        <w:rPr>
          <w:sz w:val="20"/>
          <w:szCs w:val="20"/>
          <w:color w:val="auto"/>
        </w:rPr>
      </w:pPr>
      <w:r>
        <w:rPr>
          <w:rFonts w:ascii="Arial" w:cs="Arial" w:eastAsia="Arial" w:hAnsi="Arial"/>
          <w:sz w:val="18"/>
          <w:szCs w:val="18"/>
          <w:color w:val="auto"/>
        </w:rPr>
        <w:t>Based on current market prices for electricity, contracts Sempra Generation enters into at its natural gas-fired plants to replace the DWR contract, if obtained, or merchant (daily) sales will provide substantially lower earnings.</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2012, Sempra Energy intends to change the accounting methodology that it currently uses to recognize investment tax credits, which currently impacts only those credits associated with Sempra Generation’s solar projects. Through December 31, 2011, Sempra Generation used what is referred to as the flow-through method of accounting in which the investment tax credits associated with a project are recognized as a reduction of tax expense in the year in which capacity is placed in service. Starting in the first quarter of 2012, Sempra Generation will change to the deferral method of accounting for these projects. Under this methodology, instead of recognizing the investment tax credit, Sempra Generation will reduce the book basis of the asset by the amount of the tax credit. This results in lower book depreciation and therefore higher future earnings as compared to our current method. This change in accounting principle will be applied retrospectively in the first quarter of 2012. The decrease in net income and earnings from retroactively adopting the deferral method is estimated to be $26 million and $30 million, respectively, for the years ended December 31, 2011 and 2010, and a negligible amount for the year ended December 31, 2009.</w:t>
      </w:r>
    </w:p>
    <w:p>
      <w:pPr>
        <w:spacing w:after="0" w:line="18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change in accounting for solar investment tax credits has no impact from an economic perspective. This change only affects when Sempra Generation recognizes earnings for these projects, but it does not affect the timing of cash flows. These projects are contracted for 20 to 25 years with utility counterparties.</w:t>
      </w:r>
    </w:p>
    <w:p>
      <w:pPr>
        <w:spacing w:after="0" w:line="181"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In April 2011, Sempra Pipelines &amp; Storage increased its investment in two utilities in South America. We expect the acquisition to be accretive to our earnings per share. However, in connection with our increased interests in Chilquinta Energía and Luz del Sur, Sempra Energy added $975 million in goodwill to its Consolidated Balance Sheet as of December 31, 2011. Goodwill is subject to impairment testing, annually and under other potential circumstances, which may cause its fair value to vary if differing estimates and assumptions are used in the valuation techniques applied as indicated by changing market or other conditions.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the acquisition in Note 3 of the Notes to Consolidated Financial Statements. Sempra Pipelines &amp; Storage is also expected to provide earnings from construction projects when completed and other investments, but will require substantial funding for these investments.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Sempra LNG, until there are firm LNG supply or capacity services contracts from third parties that would subscribe to 100 percent of the capacity of Sempra LNG’s Cameron terminal, Sempra LNG will seek to purchase short-term LNG supplies and sell short-term capacity, which may result in greater variability in revenues and earnings. Sempra LNG is currently evaluating opportunities to utilize its assets to support the liquefaction and exportation of LNG. The objective is to obtain a long-term contract and fully utilize our existing infrastructure while minimizing our future additional capital investment. In January 2012, the DOE approved Cameron LNG’s application for an LNG export license.</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Sempra Utilities’ performance will depend primarily on the ratemaking and regulatory process, environmental regulations, economic conditions, actions by the California legislature to address the state budget crisis and the changing energy marketplace. Their performance will also depend on the successful completion of capital projects that we discuss in various sections of this report.</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Both SDG&amp;E and SoCalGas have their 2012 General Rate Case (GRC) applications pending at the CPUC. The Sempra Utilities filed their initial applications for the 2012 GRC in December 2010 to establish their authorized 2012 revenue requirements and the ratemaking mechanisms by which those requirements will change on an annual basis over the subsequent three-year (2013-2015) period. In July 2011, SDG&amp;E and SoCalGas filed revised applications and in February 2012, SDG&amp;E and SoCalGas filed amendments to update the July 2011 filing. The 2012 amendments revised the requested increases to their authorized revenue requirements, as compared to their 2011 authorized revenues, to $235 million at SDG&amp;E and to $268 million at SoCalGas. The Division of Ratepayer Advocates and other intervening parties are recommending that the CPUC reduce the utilities’ revenue requirements in 2012 by approximately 5 percent compared to 2011.</w:t>
      </w:r>
    </w:p>
    <w:p>
      <w:pPr>
        <w:spacing w:after="0" w:line="18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Evidentiary hearings were completed in January 2012 and final briefs reflecting the results from these hearings are scheduled to be filed with the CPUC by May 1, 2012. The final decision for the 2012 GRC will be made effective retroactive to January 1, 2012. However, until such time as a final decision is rendered, both SDG&amp;E and SoCalGas are operating under the rates that were in effect in 2011 for the items addressed in the GRC process. The timing of the CPUC decision and the outcome from these proceedings will have an impact on the financial condition and operating results of the Sempra Utilities. If the CPUC’s final decision grants a significantly lower authorized revenue requirement, it could result in a material adverse effect to the Sempra Utilities’ cash flows, financial position and results of operations starting in 2012 as compared to 2011. More detailed information regarding the 2012 GRC is discussed in Note 14 of the Notes to the Consolidated Financial Statements.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regard to the 2007 wildfire litigation, SDG&amp;E’s settlement of claims and the estimate of outstanding claims and legal fees is approximately $2 billion, which is in excess of the $1.1 billion of liability insurance coverage and the $444 million of proceeds received as a result of the settlement with Cox Communications. However, SDG&amp;E has concluded that it is probable that it will be permitted to recover from its utility customers substantially all reasonably incurred costs of resolving wildfire claims in excess of its liability insurance coverage and amounts recovered from other potentially responsible parties. Consequently, Sempra Energy and SDG&amp;E expect no significant earnings impact from the resolution of the remaining wildfire claims. As of December 31, 2011, SDG&amp;E’s Consolidated Balance Sheet reflects a regulatory asset in the amount of $594 million for these costs. However, SDG&amp;E’s cash flow may be adversely affected by timing differences between the resolution of claims and recoveries from other potentially responsible parties and utility customers, which may extend over a number of years. In addition, recovery from customers will require future regulatory actions,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 We provide additional information concerning these matters in Notes 14 and 15 of the Notes to Consolidated Financial Statements.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SDG&amp;E has a 20-percent ownership interest in San Onofre Nuclear Generating Station (SONGS), a 2,150-MW nuclear generating facility near San Clemente, California. SONGS is operated by Southern California Edison Company (Edison) and is subject to the jurisdiction of the NRC. Edison is currently addressing a number of regulatory and performance issues at SONGS, and the NRC has required Edison to take actions to provide greater assurance of compliance by SONGS personnel. Edison continues to implement plans and address the identified issues, however a number of these issues remain outstanding. To the extent that these issues persist, the likelihood of further required action by Edison persists, which may result in increased SONGS operating costs and/or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 or, if electric generation is adversely impacted, require SDG&amp;E to procure additional electricity supply from other sources.</w:t>
      </w:r>
    </w:p>
    <w:p>
      <w:pPr>
        <w:sectPr>
          <w:pgSz w:w="11900" w:h="16838" w:orient="portrait"/>
          <w:cols w:equalWidth="0" w:num="1">
            <w:col w:w="11420"/>
          </w:cols>
          <w:pgMar w:left="240" w:top="126" w:right="239" w:bottom="0" w:gutter="0" w:footer="0" w:header="0"/>
        </w:sectPr>
      </w:pPr>
    </w:p>
    <w:bookmarkStart w:id="173" w:name="page174"/>
    <w:bookmarkEnd w:id="173"/>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light of the aftermath and the significant safety events at the Fukushima Daiichi nuclear plant in Japan resulting from the earthquake and tsunami in March 2011, the NRC plans to perform additional operation and safety reviews of nuclear facilities in the United States. The lessons learned from the events in Japan and the results of the NRC reviews may impact future operations and capital requirements at nuclear facilities in the United States, including the operations and capital requirements at SONGS.</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2010 and 2011, Edison installed four replacement steam generators in SONGS’ Units 2 and 3. Inspections of the Unit 2 steam generators during a planned maintenance and refueling outage in February 2012 found isolated areas of wear in some of the approximately 19,500 heat transfer tubes. As the steam generators are designed to include sufficient tubes to accommodate a need to remove some from service, Edison, in consultation with the steam generators’ manufacturer, determined that a number of the tubes should be removed from service as a preventive measure with the number of tubes being removed from service being well within the extra margin. Additionally, on January 31, 2012, a water leak was detected in one of the tubes of a new steam generator in Unit 3, and the unit was safely taken offline. Extensive testing of the Unit 3 steam generators is ongoing to fully understand the cause of the leak. In a memorandum dated February 16, 2012, the NRC determined that inasmuch as the leak was in a newly installed steam generator, it will conduct an event follow-up baseline inspection to review Edison’s response to the leak and verify the appropriateness of its remedial actions. Each unit will be restarted when repairs on that unit are completed, and Edison is satisfied that it is safe to do so.</w:t>
      </w:r>
    </w:p>
    <w:p>
      <w:pPr>
        <w:spacing w:after="0" w:line="18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steam generators are warranted for an initial period of 20 years from acceptance by its supplier, Mitsubishi Heavy Industries (MHI). Subject to certain exceptions, the purchase agreement sets forth specified damages for certain repairs, generally limits MHI’s aggregate contractual liability to the purchase price of the generators and excludes consequential damages from recovery, such as the cost of replacement power. We provide more information about SONGS in Notes 6, 14 and 15 of the Notes to Consolidated Financial Statements.</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Pending the outcome of the various regulatory agency evaluations of natural gas pipeline safety regulations, practices and procedures, Sempra Energy, including the Sempra Utilities, may incur incremental expense and capital investment associated with its natural gas pipeline operations and investments. In August 2011, SoCalGas, SDG&amp;E, PG&amp;E and Southwest Gas filed implementation plans to test or replace all natural gas transmission pipelines that have not been pressure tested with the CPUC as we discuss in Note 14 of the Notes to Consolidated Financial Statements. The Sempra Utilities are currently estimating that the total cost for Phase 1 of the two-phase plan is $3.1 billion over a 10-year period. The Sempra Utilities requested that the incremental capital investment required as a result of any approved plan be included in rate base and that cost recovery be allowed for any other incremental cost not eligible for rate-base recovery. The costs that are the subject of these plans are outside the scope of the 2012 GRC proceedings discussed above.</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SDG&amp;E’s next CPUC cost of capital proceeding is scheduled to be filed in April 2012 for a 2013 test year. In its 2012 GRC, SoCalGas has advised the CPUC of its intent to file its next CPUC cost of capital proceeding on the same schedule as SDG&amp;E. A cost of capital proceeding determines the authorized capital structure, authorized rate of return and authorized rate for recovery of debt service costs on SDG&amp;E’s electric distribution and generation assets and on both companies’ natural gas transmission and distribution assets. SDG&amp;E’s and SoCalGas’ current CPUC authorized return on equity (ROE) is 11.10 percent and 10.82 percent, respectively, with authorized common equity capital structures of 49.00 percent and 48.00 percent, respectively. If the proceedings result in either a reduction in the authorized ROE or in the authorized common equity capital structure, it would have an adverse effect on the respective company’s cash flows, financial position and results of operations starting in 2013. Also, to the extent that either company’s authorized rate for recovery of debt service costs is higher than their actual rate of debt service costs at the time of the cost of capital proceeding, the authorized rate for recovery of debt service costs will be reduced to the actual rate of debt service costs, which would adversely affect the respective company’s cash flows, financial position and results of operations starting in 2013. We provide more information about the cost of capital proceedings in Note 14 of the Notes to Consolidated Financial Statements.</w:t>
      </w:r>
    </w:p>
    <w:p>
      <w:pPr>
        <w:spacing w:after="0" w:line="16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SoCalGas’ cost of capital trigger mechanism (the Market Indexed Capital Adjustment Mechanism or MICAM) identifies two conditions for determining whether a change in the authorized rate of return is required. Both conditions are based on the 30-year Treasury bond yields – one being the most recent trailing 12-month rolling average yield and the second being the corresponding 12-month forward forecasted yield as published by Global Insight. If both conditions fall outside a range of 3.88 percent (MICAM floor) to 6.88 percent (MICAM ceiling) in a given month, SoCalGas’ authorized ROE would be adjusted, upward or downward, by one-half of the difference between the trailing 12-month rolling average yield and 5.38 percent (SoCalGas’ MICAM benchmark interest rate), effective January 1 following the year in which both conditions were exceeded. Also, SoCalGas’ authorized recovery rate for the cost of debt and preferred stock would be adjusted to their actual weighted average cost. Therefore, SoCalGas’ authorized rate of return (ROR) would adjust, upward or downward, as a result of all three cost adjustments.</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December 31, 2011, neither SDG&amp;E’s nor SoCalGas’ benchmark range has been exceeded. As of January 31, 2012, the historical rolling average yield for the 30-year Treasury bonds of 3.79 percent fell below the MICAM floor of 3.88 percent. In addition, the Global Insight 12-month forward forecasted yield of 3.48 percent published in early February 2012 is also below the MICAM floor. Therefore, SoCalGas’ MICAM mechanism calls for an adjustment of its ROE and authorized recovery for the cost of debt and preferred stock to their actual weighted average cost to be effective on January 1, 2013. However, as SoCalGas has advised the CPUC of its plan to file a cost of capital application in April 2012 along with the other California investor-owned utilities, SoCalGas expects that the decision from this cost of capital application will supersede the rates that would result from the MICAM trigger. As there haven’t been any objections raised to SoCalGas’ proposal to file a cost of capital application, management believes that the CPUC will accept SoCalGas’ application. Absent a SoCalGas cost of capital application and proceeding, SoCalGas’ ROE would be reduced to 10.02 percent effective January 1, 2013, a reduction of 80 basis points from its current authorized ROE, and its authorized ROR would be reduced to 8.05 percent, a reduction of 63 basis points from its current authorized ROR.</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current FERC formulaic rate methodology for SDG&amp;E’s electric transmission assets will be reviewed in 2013, with the new rates effective in September 2013. This proceeding will assess the rate-making methodology to be employed for SDG&amp;E’s FERC-regulated operations, including a determination of SDG&amp;E’s FERC-authorized ROE and recovery of operation and maintenance expenses. If this proceeding results in a reduction from SDG&amp;E’s current authorized ROE of 11.35 percent or in an adverse determination for the recovery of operation and maintenance expenses, it would adversely affect SDG&amp;E’s cash flows, results of operations and financial condition.</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discuss additional potential and expected impacts of the 2010 Tax Act on our income tax expense, earnings and cash flows in “Results of Operations – Changes in Revenues, Costs and Earnings – Income Taxes” above.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three separate transactions in 2010 and one in early 2011, we and RBS sold substantially all of the businesses and assets of our commodities-marketing partnership. We expect our share of the remaining proceeds from the sales of all of the joint venture’s businesses and related cash distributions to approximate $126 million, the amount of our remaining investment in the joint venture. We provide additional information in Notes 4 and 5 of the Notes to Consolidated Financial Statements.</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may be further impacted by depressed and rapidly changing economic conditions. Moreover, the dollar has fluctuated significantly compared to some foreign currencies, especially in Mexico and South America where we have significant operations. We discuss foreign currency rate risk further below under</w:t>
      </w:r>
    </w:p>
    <w:p>
      <w:pPr>
        <w:sectPr>
          <w:pgSz w:w="11900" w:h="16840" w:orient="portrait"/>
          <w:cols w:equalWidth="0" w:num="1">
            <w:col w:w="11400"/>
          </w:cols>
          <w:pgMar w:left="240" w:top="341" w:right="259" w:bottom="0" w:gutter="0" w:footer="0" w:header="0"/>
        </w:sectPr>
      </w:pPr>
    </w:p>
    <w:bookmarkStart w:id="174" w:name="page175"/>
    <w:bookmarkEnd w:id="174"/>
    <w:p>
      <w:pPr>
        <w:ind w:right="460"/>
        <w:spacing w:after="0" w:line="308" w:lineRule="auto"/>
        <w:rPr>
          <w:sz w:val="20"/>
          <w:szCs w:val="20"/>
          <w:color w:val="auto"/>
        </w:rPr>
      </w:pPr>
      <w:r>
        <w:rPr>
          <w:rFonts w:ascii="Arial" w:cs="Arial" w:eastAsia="Arial" w:hAnsi="Arial"/>
          <w:sz w:val="17"/>
          <w:szCs w:val="17"/>
          <w:color w:val="auto"/>
        </w:rPr>
        <w:t>“Market Risk—Foreign Currency Rate Risk.” North American natural gas prices, which affect profitability at Sempra Generation and Sempra LNG, are currently significantly below Asian and European prices. These factors could, if they remain unchanged, adversely affect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discuss additional matters that could affect our future performance in Notes 14 and 15 of the 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DERIVATIVES REFORMS</w:t>
      </w:r>
    </w:p>
    <w:p>
      <w:pPr>
        <w:spacing w:after="0" w:line="23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an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We describe legal proceedings which could adversely affect our future performance in Note 15 of the Notes to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UTILITIES – INDUSTRY DEVELOPMENTS AND CAPITAL PROJECTS</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our business in Note 14 of the Notes to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GLOBAL INVESTMENTS</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we discuss in “Cash Flows From Investing Activities,” our investments will significantly impact our future performance. In addition to the discussion below, we provide information about these investments in “Capital Resources and Liquidity.”</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205"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Copper Mountain Solar is a photovoltaic generation facility operated and under development by Sempra Generation in Boulder City, Nevada. When fully developed, the project will be capable of producing up to approximately 400 MW of solar power. Copper Mountain Solar 1 is a 58-MW photovoltaic generation facility currently in operation, and now includes the 10-MW facility previously referred to as El Dorado Solar.</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Copper Mountain Solar 2 (CMS 2) will total 150 MW and construction began in December 2011. CMS 2 is divided into two phases, with the first phase of 92 MW planned to be completed by the end of January 2013 and the remaining 58 MW planned to be completed in 2015. PG&amp;E has contracted for all of the solar power at CMS 2 for 25 years and has an option to accelerate the second phase of 58 MW to be available before 2015. The contract was approved by the CPUC in December 2011.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pacing w:after="0" w:line="20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Mesquite Solar is a photovoltaic generation facility under development by Sempra Generation in Maricopa County, Arizona. When fully developed, the project will be capable of producing up to approximately 700 MW of solar power. Construction of the first phase (Mesquite Solar 1) of 150 MW began in June 2011 and is expected to be completed in early 2013. In December 2011, solar panels were fully installed and began delivering 42 MW of electricity to the grid. PG&amp;E has contracted for all of the solar power at Mesquite Solar 1 for 20 years, which contract was approved by the CPUC in April 2011.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Auwahi Wind</w:t>
      </w:r>
    </w:p>
    <w:p>
      <w:pPr>
        <w:spacing w:after="0" w:line="20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In January 2011, Sempra Generation entered into a 20-year contract with Maui Electric Company to provide 21 MW of wind energy from the Auwahi Wind project in the southeastern region of Maui. The contract was approved by the Hawaii Public Utilities Commission in June 2011. We expect construction on the project to begin in early 2012, and the project to be fully operational in late 2012.</w:t>
      </w:r>
    </w:p>
    <w:p>
      <w:pPr>
        <w:spacing w:after="0" w:line="16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 October 2011, Sempra Generation, 100-percent owner of the Auwahi Wind project, sold a 50-percent interest to a BP affiliate, Auwahi Wind Energy Holdings.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0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April 2011, SDG&amp;E entered into a 20-year contract for renewable power supplied from the 156-MW first phase of Sempra Generation’s Energía Sierra Juárez wind project in Baja California, Mexico. The contract is subject to approval by the CPUC and FERC. We expect construction on the project to begin in 2012, and the project to be fully operational in 2014.</w:t>
      </w:r>
    </w:p>
    <w:p>
      <w:pPr>
        <w:spacing w:after="0" w:line="169"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Sempra Generation intends to develop the project within the framework of a joint venture, and is working on an agreement for the sale of a 50-percent partnership interest in the current phase of the project to BP Wind Energy.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Mehoopany Wind Farm</w:t>
      </w:r>
    </w:p>
    <w:p>
      <w:pPr>
        <w:sectPr>
          <w:pgSz w:w="11900" w:h="16838" w:orient="portrait"/>
          <w:cols w:equalWidth="0" w:num="1">
            <w:col w:w="11420"/>
          </w:cols>
          <w:pgMar w:left="240" w:top="125" w:right="239" w:bottom="0" w:gutter="0" w:footer="0" w:header="0"/>
        </w:sectPr>
      </w:pPr>
    </w:p>
    <w:p>
      <w:pPr>
        <w:spacing w:after="0" w:line="205"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color w:val="auto"/>
        </w:rPr>
        <w:t>In December 2011, Sempra Generation entered into a joint venture with BP Wind Energy to develop the Mehoopany Wind Farm in Wyoming County, Pennsylvania, which is expected to generate up to 141 MW of energy. The power output from the wind farm has been sold under 20-year contracts to Old</w:t>
      </w:r>
    </w:p>
    <w:p>
      <w:pPr>
        <w:sectPr>
          <w:pgSz w:w="11900" w:h="16838" w:orient="portrait"/>
          <w:cols w:equalWidth="0" w:num="1">
            <w:col w:w="11420"/>
          </w:cols>
          <w:pgMar w:left="240" w:top="125" w:right="239" w:bottom="0" w:gutter="0" w:footer="0" w:header="0"/>
          <w:type w:val="continuous"/>
        </w:sectPr>
      </w:pPr>
    </w:p>
    <w:bookmarkStart w:id="175" w:name="page176"/>
    <w:bookmarkEnd w:id="175"/>
    <w:p>
      <w:pPr>
        <w:spacing w:after="0" w:line="262" w:lineRule="auto"/>
        <w:rPr>
          <w:sz w:val="20"/>
          <w:szCs w:val="20"/>
          <w:color w:val="auto"/>
        </w:rPr>
      </w:pPr>
      <w:r>
        <w:rPr>
          <w:rFonts w:ascii="Arial" w:cs="Arial" w:eastAsia="Arial" w:hAnsi="Arial"/>
          <w:sz w:val="18"/>
          <w:szCs w:val="18"/>
          <w:color w:val="auto"/>
        </w:rPr>
        <w:t>Dominion Electric Cooperative and Southern Maryland Electric Cooperative Inc. Construction began in November 2011, and we expect the project to be fully operational by the end of 2012.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Flat Ridge 2 Wind Farm</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December 2011, Sempra Generation entered into a joint venture with BP Wind Energy to develop the Flat Ridge 2 Wind Farm near Wichita, Kansas, which is expected to generate up to 419 MW of energy. The power output from the wind farm has been sold under three contracts for 20 to 25 year terms, including contracts with Associated Electric Cooperative, Inc. and Southwestern Electric Power Company. We expect the project to be fully operational by the end of 2012.</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 Projects</w:t>
      </w:r>
    </w:p>
    <w:p>
      <w:pPr>
        <w:spacing w:after="0" w:line="20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Currently, Sempra Pipelines &amp; Storage has 23 Bcf of operational working natural gas storage capacity. We are currently developing another 20 Bcf of capacity with planned in-service dates through 2013 and may, over the long term, develop as much as 76 Bcf of total storage capacity.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Sempra Pipelines &amp; Storage’s natural gas storage facilities and projects include</w:t>
      </w:r>
    </w:p>
    <w:p>
      <w:pPr>
        <w:spacing w:after="0" w:line="225" w:lineRule="exact"/>
        <w:rPr>
          <w:sz w:val="20"/>
          <w:szCs w:val="20"/>
          <w:color w:val="auto"/>
        </w:rPr>
      </w:pPr>
    </w:p>
    <w:p>
      <w:pPr>
        <w:jc w:val="both"/>
        <w:ind w:left="340" w:hanging="188"/>
        <w:spacing w:after="0" w:line="264" w:lineRule="auto"/>
        <w:tabs>
          <w:tab w:leader="none" w:pos="3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Pipelines &amp; Storage owns 91 percent of the project. It is the easternmost salt dome storage facility on the Gulf Coast, with direct service to the Florida market and markets across the Southeast, Mid-Atlantic and Northeast regions.</w:t>
      </w:r>
    </w:p>
    <w:p>
      <w:pPr>
        <w:spacing w:after="0" w:line="208" w:lineRule="exact"/>
        <w:rPr>
          <w:rFonts w:ascii="Arial" w:cs="Arial" w:eastAsia="Arial" w:hAnsi="Arial"/>
          <w:sz w:val="18"/>
          <w:szCs w:val="18"/>
          <w:color w:val="auto"/>
        </w:rPr>
      </w:pPr>
    </w:p>
    <w:p>
      <w:pPr>
        <w:ind w:left="340" w:right="20" w:hanging="188"/>
        <w:spacing w:after="0" w:line="342" w:lineRule="auto"/>
        <w:tabs>
          <w:tab w:leader="none" w:pos="3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0" w:lineRule="exact"/>
        <w:rPr>
          <w:rFonts w:ascii="Arial" w:cs="Arial" w:eastAsia="Arial" w:hAnsi="Arial"/>
          <w:sz w:val="16"/>
          <w:szCs w:val="16"/>
          <w:color w:val="auto"/>
        </w:rPr>
      </w:pPr>
    </w:p>
    <w:p>
      <w:pPr>
        <w:jc w:val="both"/>
        <w:ind w:left="340" w:hanging="188"/>
        <w:spacing w:after="0" w:line="264" w:lineRule="auto"/>
        <w:tabs>
          <w:tab w:leader="none" w:pos="3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Liberty natural gas storage expansion, a salt cavern development project in Cameron Parish, Louisiana. Sempra Pipelines &amp; Storage owns 75 percent of the project and ProLiance Transportation LLC owns the remaining 25 percent. The project’s location provides access to several LNG facilities in the area.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South American Utilities</w:t>
      </w:r>
    </w:p>
    <w:p>
      <w:pPr>
        <w:spacing w:after="0" w:line="205"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We discuss the April 2011 increase in Sempra Pipelines &amp; Storage’s investments in Chile and Peru in Note 3 of the Notes to Consolidated Financial Statements.</w:t>
      </w:r>
    </w:p>
    <w:p>
      <w:pPr>
        <w:spacing w:after="0" w:line="1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Santa Teresa. </w:t>
      </w:r>
      <w:r>
        <w:rPr>
          <w:rFonts w:ascii="Arial" w:cs="Arial" w:eastAsia="Arial" w:hAnsi="Arial"/>
          <w:sz w:val="18"/>
          <w:szCs w:val="18"/>
          <w:color w:val="auto"/>
        </w:rPr>
        <w:t>In May 2011, groundbreaking took place for Santa Teresa, a project at Luz del Sur to build a 98-MW hydroelectric power plant in Peru’s Cusco</w:t>
      </w:r>
      <w:r>
        <w:rPr>
          <w:rFonts w:ascii="Arial" w:cs="Arial" w:eastAsia="Arial" w:hAnsi="Arial"/>
          <w:sz w:val="18"/>
          <w:szCs w:val="18"/>
          <w:i w:val="1"/>
          <w:iCs w:val="1"/>
          <w:color w:val="auto"/>
        </w:rPr>
        <w:t xml:space="preserve"> </w:t>
      </w:r>
      <w:r>
        <w:rPr>
          <w:rFonts w:ascii="Arial" w:cs="Arial" w:eastAsia="Arial" w:hAnsi="Arial"/>
          <w:sz w:val="18"/>
          <w:szCs w:val="18"/>
          <w:color w:val="auto"/>
        </w:rPr>
        <w:t>region. It is planned to be completed in 2014.</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Market risk is the risk of erosion of our cash flows, earnings, asset values and equity due to adverse changes in market prices, and interest and foreign currency rates.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Policies</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Sempra Energy has policies governing its market risk management and trading activities. As required by CPUC and FERC affiliate compliance rules, Sempra Energy and the Sempra Utilities maintain separate and independent risk management committees, organizations and processes for each of the Sempra Utilities and for all non-CPUC regulated affiliates to provide oversight of these activities. The committees consist of senior officers who establish policy, oversee energy risk management activities, and monitor the results of trading and other activities to ensure compliance with our stated energy risk management and trading policies. These activities include, but are not limited to, daily monitoring of market positions that create credit, liquidity and market risk. The respective oversight organizations and committees are independent from the energy procurement departments.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Along with other tools, we use Value at Risk (VaR) to measure our exposure to market risk primarily associated with commodity derivative instruments that we hold. VaR is an estimate of the potential loss on a position or portfolio of positions over a specified holding period, based on normal market conditions and within a given statistical confidence interval. VaR is calculated independently by the respective risk management oversight organizations. We use historical volatilities and correlations between instruments and positions in our calculations.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Sempra Utilities use energy and natural gas derivatives to manage natural gas and energy price risk associated with servicing load requirements. The use of energy and natural gas derivatives is subject to certain limitations imposed by company policy and is in compliance with risk management and trading activity plans that have been filed with and approved by the CPUC. Any costs or gains/losses associated with the use of energy and natural gas derivatives are considered to be commodity costs. Commodity costs are generally passed on to customers as incurred. However, SoCalGas is subject to incentive mechanisms that reward or penalize the utility for commodity costs below or above certain benchmarks.</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2010 and early 2011, Sempra Energy and RBS completed the divestiture of substantially all of the businesses and assets of RBS Sempra Commodities, their joint venture partnership, in four separate transactions, as we discuss in Note 4 of the Notes to Consolidated Financial Statements. In connection with each of these transactions, the buyers were, subject to certain qualifications, obligated to replace any guarantees that we had issued in connection with the applicable businesses sold with guarantees of their own. At December 31, 2011, the buyers have substantially completed this process for those counterparties with existing, open positions. For those guarantees which have not been replaced, the buyers are obligated to indemnify us in accordance with the applicable transaction documents for any claims or losses in connection with the guarantees that we issued associated with the businesses sold. We provide additional information in Note 1 of the Notes to Consolidated Financial Statements.</w:t>
      </w:r>
    </w:p>
    <w:p>
      <w:pPr>
        <w:sectPr>
          <w:pgSz w:w="11900" w:h="16838" w:orient="portrait"/>
          <w:cols w:equalWidth="0" w:num="1">
            <w:col w:w="11420"/>
          </w:cols>
          <w:pgMar w:left="240" w:top="125" w:right="239" w:bottom="160" w:gutter="0" w:footer="0" w:header="0"/>
        </w:sectPr>
      </w:pPr>
    </w:p>
    <w:bookmarkStart w:id="176" w:name="page177"/>
    <w:bookmarkEnd w:id="176"/>
    <w:p>
      <w:pPr>
        <w:ind w:right="520"/>
        <w:spacing w:after="0" w:line="308" w:lineRule="auto"/>
        <w:rPr>
          <w:sz w:val="20"/>
          <w:szCs w:val="20"/>
          <w:color w:val="auto"/>
        </w:rPr>
      </w:pPr>
      <w:r>
        <w:rPr>
          <w:rFonts w:ascii="Arial" w:cs="Arial" w:eastAsia="Arial" w:hAnsi="Arial"/>
          <w:sz w:val="17"/>
          <w:szCs w:val="17"/>
          <w:color w:val="auto"/>
        </w:rPr>
        <w:t>In addition, as a transitional measure, Sempra Energy continues to provide back-up guarantees and credit support for RBS Sempra Commodities, as we discuss above in “Capital Resources and Liquidity” and in Note 5 of the Notes to Consolidated Financial Statements.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discuss revenue recognition in Notes 1 and 10 of the Notes to Consolidated Financial Statements and the additional market-risk information regarding derivative instruments in Note 10 of the Notes to Consolidated Financial Statements.</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have exposure to changes in commodity prices, interest rates and foreign currency rates and exposure to counterparty nonperformance. The following discussion of these primary market-risk exposures as of December 31, 2011, includes a discussion of how these exposures are managed.</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2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Market risk related to physical commodities is created by volatility in the prices and basis of certain commodities. Our various subsidiaries are exposed, in varying degrees, to price risk, primarily to prices in the natural gas and electricity markets. Our policy is to manage this risk within a framework that considers the unique markets and operating and regulatory environments of each subsidiary.</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Sempra Global is generally exposed to commodity price risk indirectly through its LNG, natural gas pipeline and storage, and power generating assets. Sempra Global may utilize commodity transactions in the course of optimizing these assets. These transactions are typically priced based on market indices, but may also include fixed price purchases and sales of commodities. Any residual exposure is monitored as described above.</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Sempra Utilities’ market-risk exposure is limited due to CPUC-authorized rate recovery of the costs of commodity purchases, intrastate transportation, and storage activity. However, SoCalGas may, at times, be exposed to market risk as a result of incentive mechanisms that reward or penalize the utility for commodity costs below or above certain benchmarks for SoCalGas’ Gas Cost Incentive Mechanism, which we discuss in Note 14 of the Notes to Consolidated Financial Statements. If commodity prices were to rise too rapidly, it is likely that volumes would decline. This decline would increase the per-unit fixed costs, which could lead to further volume declines. The Sempra Utilities manage their risk within the parameters of their market risk management framework. As of December 31, 2011, the total VaR of the Sempra Utilities’ natural gas and electric positions was not material, and the procurement activities were in compliance with the procurement plans filed with and approved by the CPUC.</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0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are exposed to fluctuations in interest rates primarily as a result of our having issued short- and long-term debt. Subject to regulatory constraints, we periodically enter into interest rate swap agreements to moderate our exposure to interest rate changes and to lower our overall costs of borrowing.</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below shows the nominal amount and the one-year VaR for long-term debt, excluding commercial paper classified as long-term debt and capital lease obligations, at December 31,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3"/>
          </w:tcPr>
          <w:p>
            <w:pPr>
              <w:jc w:val="right"/>
              <w:ind w:right="581"/>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661"/>
              <w:spacing w:after="0" w:line="157" w:lineRule="exact"/>
              <w:rPr>
                <w:sz w:val="20"/>
                <w:szCs w:val="20"/>
                <w:color w:val="auto"/>
              </w:rPr>
            </w:pPr>
            <w:r>
              <w:rPr>
                <w:rFonts w:ascii="Arial" w:cs="Arial" w:eastAsia="Arial" w:hAnsi="Arial"/>
                <w:sz w:val="14"/>
                <w:szCs w:val="14"/>
                <w:color w:val="auto"/>
              </w:rPr>
              <w:t>Consolidated</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SDG&amp;E</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781"/>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80"/>
        </w:trPr>
        <w:tc>
          <w:tcPr>
            <w:tcW w:w="39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940" w:type="dxa"/>
            <w:vAlign w:val="bottom"/>
          </w:tcPr>
          <w:p>
            <w:pPr>
              <w:jc w:val="right"/>
              <w:ind w:right="223"/>
              <w:spacing w:after="0"/>
              <w:rPr>
                <w:sz w:val="20"/>
                <w:szCs w:val="20"/>
                <w:color w:val="auto"/>
              </w:rPr>
            </w:pPr>
            <w:r>
              <w:rPr>
                <w:rFonts w:ascii="Arial" w:cs="Arial" w:eastAsia="Arial" w:hAnsi="Arial"/>
                <w:sz w:val="14"/>
                <w:szCs w:val="14"/>
                <w:color w:val="auto"/>
              </w:rPr>
              <w:t>Nominal</w:t>
            </w:r>
          </w:p>
        </w:tc>
        <w:tc>
          <w:tcPr>
            <w:tcW w:w="2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22"/>
              <w:spacing w:after="0"/>
              <w:rPr>
                <w:sz w:val="20"/>
                <w:szCs w:val="20"/>
                <w:color w:val="auto"/>
              </w:rPr>
            </w:pPr>
            <w:r>
              <w:rPr>
                <w:rFonts w:ascii="Arial" w:cs="Arial" w:eastAsia="Arial" w:hAnsi="Arial"/>
                <w:sz w:val="14"/>
                <w:szCs w:val="14"/>
                <w:color w:val="auto"/>
              </w:rPr>
              <w:t>Nominal</w:t>
            </w:r>
          </w:p>
        </w:tc>
        <w:tc>
          <w:tcPr>
            <w:tcW w:w="28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color w:val="auto"/>
                <w:w w:val="98"/>
              </w:rPr>
              <w:t>One-Year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22"/>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Arial" w:cs="Arial" w:eastAsia="Arial" w:hAnsi="Arial"/>
                <w:sz w:val="14"/>
                <w:szCs w:val="14"/>
                <w:color w:val="auto"/>
              </w:rPr>
              <w:t>One-Year</w:t>
            </w:r>
          </w:p>
        </w:tc>
        <w:tc>
          <w:tcPr>
            <w:tcW w:w="0" w:type="dxa"/>
            <w:vAlign w:val="bottom"/>
          </w:tcPr>
          <w:p>
            <w:pPr>
              <w:spacing w:after="0"/>
              <w:rPr>
                <w:sz w:val="1"/>
                <w:szCs w:val="1"/>
                <w:color w:val="auto"/>
              </w:rPr>
            </w:pPr>
          </w:p>
        </w:tc>
      </w:tr>
      <w:tr>
        <w:trPr>
          <w:trHeight w:val="164"/>
        </w:trPr>
        <w:tc>
          <w:tcPr>
            <w:tcW w:w="39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3"/>
              <w:spacing w:after="0" w:line="157" w:lineRule="exact"/>
              <w:rPr>
                <w:sz w:val="20"/>
                <w:szCs w:val="20"/>
                <w:color w:val="auto"/>
              </w:rPr>
            </w:pPr>
            <w:r>
              <w:rPr>
                <w:rFonts w:ascii="Arial" w:cs="Arial" w:eastAsia="Arial" w:hAnsi="Arial"/>
                <w:sz w:val="14"/>
                <w:szCs w:val="14"/>
                <w:color w:val="auto"/>
              </w:rPr>
              <w:t>Debt</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2"/>
              <w:spacing w:after="0" w:line="157" w:lineRule="exact"/>
              <w:rPr>
                <w:sz w:val="20"/>
                <w:szCs w:val="20"/>
                <w:color w:val="auto"/>
              </w:rPr>
            </w:pPr>
            <w:r>
              <w:rPr>
                <w:rFonts w:ascii="Arial" w:cs="Arial" w:eastAsia="Arial" w:hAnsi="Arial"/>
                <w:sz w:val="14"/>
                <w:szCs w:val="14"/>
                <w:color w:val="auto"/>
              </w:rPr>
              <w:t>Debt</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2"/>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1"/>
              <w:spacing w:after="0" w:line="157" w:lineRule="exact"/>
              <w:rPr>
                <w:sz w:val="20"/>
                <w:szCs w:val="20"/>
                <w:color w:val="auto"/>
              </w:rPr>
            </w:pPr>
            <w:r>
              <w:rPr>
                <w:rFonts w:ascii="Arial" w:cs="Arial" w:eastAsia="Arial" w:hAnsi="Arial"/>
                <w:sz w:val="14"/>
                <w:szCs w:val="14"/>
                <w:color w:val="auto"/>
              </w:rPr>
              <w:t>VaR(1)</w:t>
            </w:r>
          </w:p>
        </w:tc>
        <w:tc>
          <w:tcPr>
            <w:tcW w:w="0" w:type="dxa"/>
            <w:vAlign w:val="bottom"/>
          </w:tcPr>
          <w:p>
            <w:pPr>
              <w:spacing w:after="0"/>
              <w:rPr>
                <w:sz w:val="1"/>
                <w:szCs w:val="1"/>
                <w:color w:val="auto"/>
              </w:rPr>
            </w:pPr>
          </w:p>
        </w:tc>
      </w:tr>
      <w:tr>
        <w:trPr>
          <w:trHeight w:val="164"/>
        </w:trPr>
        <w:tc>
          <w:tcPr>
            <w:tcW w:w="3920" w:type="dxa"/>
            <w:vAlign w:val="bottom"/>
          </w:tcPr>
          <w:p>
            <w:pPr>
              <w:spacing w:after="0" w:line="164" w:lineRule="exact"/>
              <w:rPr>
                <w:sz w:val="20"/>
                <w:szCs w:val="20"/>
                <w:color w:val="auto"/>
              </w:rPr>
            </w:pPr>
            <w:r>
              <w:rPr>
                <w:rFonts w:ascii="Arial" w:cs="Arial" w:eastAsia="Arial" w:hAnsi="Arial"/>
                <w:sz w:val="16"/>
                <w:szCs w:val="16"/>
                <w:color w:val="auto"/>
              </w:rPr>
              <w:t>At December 31, 2011</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180"/>
              <w:spacing w:after="0" w:line="176" w:lineRule="exact"/>
              <w:rPr>
                <w:sz w:val="20"/>
                <w:szCs w:val="20"/>
                <w:color w:val="auto"/>
              </w:rPr>
            </w:pPr>
            <w:r>
              <w:rPr>
                <w:rFonts w:ascii="Arial" w:cs="Arial" w:eastAsia="Arial" w:hAnsi="Arial"/>
                <w:sz w:val="16"/>
                <w:szCs w:val="16"/>
                <w:color w:val="auto"/>
              </w:rPr>
              <w:t>Sempra Utility fixed-rate</w:t>
            </w: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4,617</w:t>
            </w: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782</w:t>
            </w:r>
          </w:p>
        </w:tc>
        <w:tc>
          <w:tcPr>
            <w:tcW w:w="44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3,304</w:t>
            </w:r>
          </w:p>
        </w:tc>
        <w:tc>
          <w:tcPr>
            <w:tcW w:w="280" w:type="dxa"/>
            <w:vAlign w:val="bottom"/>
          </w:tcPr>
          <w:p>
            <w:pPr>
              <w:jc w:val="right"/>
              <w:ind w:right="9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623</w:t>
            </w:r>
          </w:p>
        </w:tc>
        <w:tc>
          <w:tcPr>
            <w:tcW w:w="44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1,313</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76"/>
        </w:trPr>
        <w:tc>
          <w:tcPr>
            <w:tcW w:w="3920" w:type="dxa"/>
            <w:vAlign w:val="bottom"/>
          </w:tcPr>
          <w:p>
            <w:pPr>
              <w:ind w:left="180"/>
              <w:spacing w:after="0" w:line="176" w:lineRule="exact"/>
              <w:rPr>
                <w:sz w:val="20"/>
                <w:szCs w:val="20"/>
                <w:color w:val="auto"/>
              </w:rPr>
            </w:pPr>
            <w:r>
              <w:rPr>
                <w:rFonts w:ascii="Arial" w:cs="Arial" w:eastAsia="Arial" w:hAnsi="Arial"/>
                <w:sz w:val="16"/>
                <w:szCs w:val="16"/>
                <w:color w:val="auto"/>
              </w:rPr>
              <w:t>Sempra Utility variable-rate</w:t>
            </w: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591</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591</w:t>
            </w:r>
          </w:p>
        </w:tc>
        <w:tc>
          <w:tcPr>
            <w:tcW w:w="2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920" w:type="dxa"/>
            <w:vAlign w:val="bottom"/>
          </w:tcPr>
          <w:p>
            <w:pPr>
              <w:ind w:left="180"/>
              <w:spacing w:after="0" w:line="176" w:lineRule="exact"/>
              <w:rPr>
                <w:sz w:val="20"/>
                <w:szCs w:val="20"/>
                <w:color w:val="auto"/>
              </w:rPr>
            </w:pPr>
            <w:r>
              <w:rPr>
                <w:rFonts w:ascii="Arial" w:cs="Arial" w:eastAsia="Arial" w:hAnsi="Arial"/>
                <w:sz w:val="16"/>
                <w:szCs w:val="16"/>
                <w:color w:val="auto"/>
              </w:rPr>
              <w:t>All other, fixed-rate and variable-rate</w:t>
            </w: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4,602</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377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920" w:type="dxa"/>
            <w:vAlign w:val="bottom"/>
          </w:tcPr>
          <w:p>
            <w:pPr>
              <w:spacing w:after="0" w:line="176" w:lineRule="exact"/>
              <w:rPr>
                <w:sz w:val="20"/>
                <w:szCs w:val="20"/>
                <w:color w:val="auto"/>
              </w:rPr>
            </w:pPr>
            <w:r>
              <w:rPr>
                <w:rFonts w:ascii="Arial" w:cs="Arial" w:eastAsia="Arial" w:hAnsi="Arial"/>
                <w:sz w:val="16"/>
                <w:szCs w:val="16"/>
                <w:color w:val="auto"/>
              </w:rPr>
              <w:t>At December 31, 2010</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180"/>
              <w:spacing w:after="0" w:line="176" w:lineRule="exact"/>
              <w:rPr>
                <w:sz w:val="20"/>
                <w:szCs w:val="20"/>
                <w:color w:val="auto"/>
              </w:rPr>
            </w:pPr>
            <w:r>
              <w:rPr>
                <w:rFonts w:ascii="Arial" w:cs="Arial" w:eastAsia="Arial" w:hAnsi="Arial"/>
                <w:sz w:val="16"/>
                <w:szCs w:val="16"/>
                <w:color w:val="auto"/>
              </w:rPr>
              <w:t>Sempra Utility fixed-rate</w:t>
            </w: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4,117</w:t>
            </w: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787</w:t>
            </w:r>
          </w:p>
        </w:tc>
        <w:tc>
          <w:tcPr>
            <w:tcW w:w="44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2,704</w:t>
            </w:r>
          </w:p>
        </w:tc>
        <w:tc>
          <w:tcPr>
            <w:tcW w:w="280" w:type="dxa"/>
            <w:vAlign w:val="bottom"/>
          </w:tcPr>
          <w:p>
            <w:pPr>
              <w:jc w:val="right"/>
              <w:ind w:right="9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587</w:t>
            </w:r>
          </w:p>
        </w:tc>
        <w:tc>
          <w:tcPr>
            <w:tcW w:w="44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1,413</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6"/>
        </w:trPr>
        <w:tc>
          <w:tcPr>
            <w:tcW w:w="3920" w:type="dxa"/>
            <w:vAlign w:val="bottom"/>
          </w:tcPr>
          <w:p>
            <w:pPr>
              <w:ind w:left="180"/>
              <w:spacing w:after="0" w:line="176" w:lineRule="exact"/>
              <w:rPr>
                <w:sz w:val="20"/>
                <w:szCs w:val="20"/>
                <w:color w:val="auto"/>
              </w:rPr>
            </w:pPr>
            <w:r>
              <w:rPr>
                <w:rFonts w:ascii="Arial" w:cs="Arial" w:eastAsia="Arial" w:hAnsi="Arial"/>
                <w:sz w:val="16"/>
                <w:szCs w:val="16"/>
                <w:color w:val="auto"/>
              </w:rPr>
              <w:t>Sempra Utility variable-rate</w:t>
            </w: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751</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601</w:t>
            </w:r>
          </w:p>
        </w:tc>
        <w:tc>
          <w:tcPr>
            <w:tcW w:w="2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150</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3920" w:type="dxa"/>
            <w:vAlign w:val="bottom"/>
          </w:tcPr>
          <w:p>
            <w:pPr>
              <w:ind w:left="180"/>
              <w:spacing w:after="0"/>
              <w:rPr>
                <w:sz w:val="20"/>
                <w:szCs w:val="20"/>
                <w:color w:val="auto"/>
              </w:rPr>
            </w:pPr>
            <w:r>
              <w:rPr>
                <w:rFonts w:ascii="Arial" w:cs="Arial" w:eastAsia="Arial" w:hAnsi="Arial"/>
                <w:sz w:val="16"/>
                <w:szCs w:val="16"/>
                <w:color w:val="auto"/>
              </w:rPr>
              <w:t>All other, fixed-rate and variable-rate</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3,459</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3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December 31, 2011, the total notional amount of interest rate swap transactions ranged from $15 million to $305 million at Sempra Energy and $285 million to $355 million at SDG&amp;E (ranges relate to amortizing notional amounts). We provide further information about interest rate swap transactions in Note 10 of the Notes to Consolidated Financial Statements.</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also are subject to the effect of interest rate fluctuations on the assets of our pension plans, other postretirement benefit plans, and SDG&amp;E’s nuclear decommissioning trusts. However, we expect the effects of these fluctuations, as they relate to the Sempra Utilities, to be passed on to customers.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w:t>
      </w:r>
    </w:p>
    <w:p>
      <w:pPr>
        <w:spacing w:after="0" w:line="2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Credit risk is the risk of loss that would be incurred as a result of nonperformance of our counterparties’ contractual obligations. We monitor credit risk through a credit-approval process and the assignment and monitoring of credit limits. We establish these credit limits based on risk and return considerations under terms customarily available in the industry.</w:t>
      </w:r>
    </w:p>
    <w:p>
      <w:pPr>
        <w:spacing w:after="0" w:line="18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As with market risk, we have policies governing the management of credit risk that are administered by the respective credit departments for each of the Sempra Utilities and, on a combined basis, for all non-CPUC regulated affiliates and overseen by their separate risk management committees.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oversight includes calculating current and potential credit risk on a daily basis and monitoring actual balances in comparison to approved limits. We avoid concentration of counterparties whenever possible, and we believe our credit policies significantly reduce overall credit risk. These policies include an evaluation of the following:</w:t>
      </w:r>
    </w:p>
    <w:p>
      <w:pPr>
        <w:spacing w:after="0" w:line="181" w:lineRule="exact"/>
        <w:rPr>
          <w:sz w:val="20"/>
          <w:szCs w:val="20"/>
          <w:color w:val="auto"/>
        </w:rPr>
      </w:pPr>
    </w:p>
    <w:p>
      <w:pPr>
        <w:ind w:left="340" w:hanging="188"/>
        <w:spacing w:after="0"/>
        <w:tabs>
          <w:tab w:leader="none" w:pos="3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prospective counterparties’ financial condition (including credit ratings)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collateral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use of standardized agreements that allow for the netting of positive and negative exposures associated with a single counterparty</w:t>
      </w:r>
    </w:p>
    <w:p>
      <w:pPr>
        <w:sectPr>
          <w:pgSz w:w="11900" w:h="16838" w:orient="portrait"/>
          <w:cols w:equalWidth="0" w:num="1">
            <w:col w:w="11420"/>
          </w:cols>
          <w:pgMar w:left="240" w:top="125" w:right="239" w:bottom="0" w:gutter="0" w:footer="0" w:header="0"/>
        </w:sectPr>
      </w:pPr>
    </w:p>
    <w:bookmarkStart w:id="177" w:name="page178"/>
    <w:bookmarkEnd w:id="177"/>
    <w:p>
      <w:pPr>
        <w:ind w:left="160"/>
        <w:spacing w:after="0"/>
        <w:rPr>
          <w:sz w:val="20"/>
          <w:szCs w:val="20"/>
          <w:color w:val="auto"/>
        </w:rPr>
      </w:pPr>
      <w:r>
        <w:rPr>
          <w:rFonts w:ascii="Arial" w:cs="Arial" w:eastAsia="Arial" w:hAnsi="Arial"/>
          <w:sz w:val="18"/>
          <w:szCs w:val="18"/>
          <w:color w:val="auto"/>
        </w:rPr>
        <w:t>§ downgrade triggers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have provided adequate reserves for counterparty nonperformance.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development projects at Sempra Global become operational, they rely significantly on the ability of their suppliers to perform on long-term agreements and on our ability to enforce contract terms in the event of nonperformance. Also, the factors that we consider in evaluating a development project include negotiating customer and supplier agreements and, therefore, we rely on these agreements for future performance. We also may base our decision to go forward on development projects on these agreements.</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noted above under “Interest Rate Risk,” we periodically enter into interest rate swap agreements to moderate exposure to interest rate changes and to lower the overall cost of borrowing. We would be exposed to interest rate fluctuations on the underlying debt should a counterparty to the swap fail to perform.</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Rate Risk</w:t>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investments in entities whose functional currency is not the U.S. dollar, exposing us to foreign exchange movements, primarily in Latin American currencies.</w:t>
      </w:r>
    </w:p>
    <w:p>
      <w:pPr>
        <w:spacing w:after="0" w:line="17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Mexican subsidiaries have U.S. dollar receivables and payables that give rise to foreign exchange movements for accounting principles generally accepted in Mexico and tax purposes. In addition, monetary assets and liabilities are adjusted for inflation for Mexican tax purposes. The fluctuations in foreign currency and inflation are subject to Mexican taxes and expose us to significant fluctuations in tax expense from changes in the exchange and inflation rates in Mexico.</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objective in reducing foreign currency risk is to preserve the economic value of our overseas investments and to reduce earnings volatility that would otherwise occur due to exchange rate fluctuations. We may offset material cross-currency transactions and net income exposure through various means, including financial instruments and short-term investments. Because we do not hedge our net investment in foreign countries, we are susceptible to volatility in other comprehensive income caused by exchange rate fluctuations.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hypothetical effects for every one percent appreciation in the U.S. dollar from year-end 2011 levels against the currencies of Latin American countries in which we have operations and investments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880" w:type="dxa"/>
            <w:vAlign w:val="bottom"/>
          </w:tcPr>
          <w:p>
            <w:pPr>
              <w:spacing w:after="0"/>
              <w:rPr>
                <w:sz w:val="15"/>
                <w:szCs w:val="15"/>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4"/>
                <w:szCs w:val="14"/>
                <w:color w:val="auto"/>
              </w:rPr>
              <w:t>Hypothetical Effects</w:t>
            </w:r>
          </w:p>
        </w:tc>
      </w:tr>
      <w:tr>
        <w:trPr>
          <w:trHeight w:val="164"/>
        </w:trPr>
        <w:tc>
          <w:tcPr>
            <w:tcW w:w="7740" w:type="dxa"/>
            <w:vAlign w:val="bottom"/>
            <w:tcBorders>
              <w:top w:val="single" w:sz="8" w:color="auto"/>
            </w:tcBorders>
          </w:tcPr>
          <w:p>
            <w:pPr>
              <w:ind w:left="300"/>
              <w:spacing w:after="0" w:line="164" w:lineRule="exact"/>
              <w:rPr>
                <w:sz w:val="20"/>
                <w:szCs w:val="20"/>
                <w:color w:val="auto"/>
              </w:rPr>
            </w:pPr>
            <w:r>
              <w:rPr>
                <w:rFonts w:ascii="Arial" w:cs="Arial" w:eastAsia="Arial" w:hAnsi="Arial"/>
                <w:sz w:val="16"/>
                <w:szCs w:val="16"/>
                <w:color w:val="auto"/>
              </w:rPr>
              <w:t>Translation of 2011 earnings to U.S. dollars</w:t>
            </w:r>
          </w:p>
        </w:tc>
        <w:tc>
          <w:tcPr>
            <w:tcW w:w="1880" w:type="dxa"/>
            <w:vAlign w:val="bottom"/>
            <w:tcBorders>
              <w:top w:val="single" w:sz="8" w:color="auto"/>
            </w:tcBorders>
          </w:tcPr>
          <w:p>
            <w:pPr>
              <w:jc w:val="right"/>
              <w:ind w:right="159"/>
              <w:spacing w:after="0" w:line="164" w:lineRule="exact"/>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r>
      <w:tr>
        <w:trPr>
          <w:trHeight w:val="176"/>
        </w:trPr>
        <w:tc>
          <w:tcPr>
            <w:tcW w:w="7740" w:type="dxa"/>
            <w:vAlign w:val="bottom"/>
          </w:tcPr>
          <w:p>
            <w:pPr>
              <w:ind w:left="300"/>
              <w:spacing w:after="0" w:line="176" w:lineRule="exact"/>
              <w:rPr>
                <w:sz w:val="20"/>
                <w:szCs w:val="20"/>
                <w:color w:val="auto"/>
              </w:rPr>
            </w:pPr>
            <w:r>
              <w:rPr>
                <w:rFonts w:ascii="Arial" w:cs="Arial" w:eastAsia="Arial" w:hAnsi="Arial"/>
                <w:sz w:val="16"/>
                <w:szCs w:val="16"/>
                <w:color w:val="auto"/>
              </w:rPr>
              <w:t>Transactional exposures</w:t>
            </w:r>
          </w:p>
        </w:tc>
        <w:tc>
          <w:tcPr>
            <w:tcW w:w="1880" w:type="dxa"/>
            <w:vAlign w:val="bottom"/>
          </w:tcPr>
          <w:p>
            <w:pPr>
              <w:spacing w:after="0"/>
              <w:rPr>
                <w:sz w:val="15"/>
                <w:szCs w:val="15"/>
                <w:color w:val="auto"/>
              </w:rPr>
            </w:pPr>
          </w:p>
        </w:tc>
        <w:tc>
          <w:tcPr>
            <w:tcW w:w="18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94"/>
        </w:trPr>
        <w:tc>
          <w:tcPr>
            <w:tcW w:w="77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Translation of net assets of foreign subsidiaries and investments in foreign entities</w:t>
            </w:r>
          </w:p>
        </w:tc>
        <w:tc>
          <w:tcPr>
            <w:tcW w:w="18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Although the balances of monetary assets and liabilities at our Mexican subsidiaries may fluctuate significantly throughout the year, based on long-term debt balances with non-Mexican entities of $335 million at December 31, 2011, the hypothetical effect for Sempra Energy for every one percent increase in the Mexican inflation rate is approximately $1 million of additional income tax expense at our Mexican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 AND KEY NONCASH PERFORMANCE INDICATORS</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Management views certain accounting policies as critical because their application is the most relevant, judgmental, and/or material to our financial position and results of operations, and/or because they require the use of material judgments and estimates.</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We discuss choices among alternative accounting policies that are material to our financial statements and information concerning significant estimates with the audit committee of the Sempra Energy board of directors.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SEMPRA ENERGY,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CONTINGENCIES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Assumptions &amp; Approach Used</w:t>
            </w:r>
          </w:p>
        </w:tc>
        <w:tc>
          <w:tcPr>
            <w:tcW w:w="9480" w:type="dxa"/>
            <w:vAlign w:val="bottom"/>
            <w:tcBorders>
              <w:top w:val="single" w:sz="8" w:color="auto"/>
            </w:tcBorders>
          </w:tcPr>
          <w:p>
            <w:pPr>
              <w:ind w:left="300"/>
              <w:spacing w:after="0" w:line="171" w:lineRule="exact"/>
              <w:rPr>
                <w:sz w:val="20"/>
                <w:szCs w:val="20"/>
                <w:color w:val="auto"/>
              </w:rPr>
            </w:pPr>
            <w:r>
              <w:rPr>
                <w:rFonts w:ascii="Arial" w:cs="Arial" w:eastAsia="Arial" w:hAnsi="Arial"/>
                <w:sz w:val="16"/>
                <w:szCs w:val="16"/>
                <w:color w:val="auto"/>
              </w:rPr>
              <w:t>We accrue losses for the estimated impacts of various conditions, situations or circumstances involving uncertain outcomes. For</w:t>
            </w:r>
          </w:p>
        </w:tc>
      </w:t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80" w:type="dxa"/>
            <w:vAlign w:val="bottom"/>
          </w:tcPr>
          <w:p>
            <w:pPr>
              <w:ind w:left="300"/>
              <w:spacing w:after="0"/>
              <w:rPr>
                <w:sz w:val="20"/>
                <w:szCs w:val="20"/>
                <w:color w:val="auto"/>
              </w:rPr>
            </w:pPr>
            <w:r>
              <w:rPr>
                <w:rFonts w:ascii="Arial" w:cs="Arial" w:eastAsia="Arial" w:hAnsi="Arial"/>
                <w:sz w:val="16"/>
                <w:szCs w:val="16"/>
                <w:color w:val="auto"/>
              </w:rPr>
              <w:t>loss contingencies, we accrue the loss if an event has occurred on or before the balance sheet date and:</w:t>
            </w:r>
          </w:p>
        </w:tc>
      </w:tr>
      <w:tr>
        <w:trPr>
          <w:trHeight w:val="36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620"/>
              <w:spacing w:after="0"/>
              <w:rPr>
                <w:sz w:val="20"/>
                <w:szCs w:val="20"/>
                <w:color w:val="auto"/>
              </w:rPr>
            </w:pPr>
            <w:r>
              <w:rPr>
                <w:rFonts w:ascii="Arial" w:cs="Arial" w:eastAsia="Arial" w:hAnsi="Arial"/>
                <w:sz w:val="16"/>
                <w:szCs w:val="16"/>
                <w:color w:val="auto"/>
              </w:rPr>
              <w:t>§   information available through the date we file our financial statements indicates it is probable that a loss has been</w:t>
            </w: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80" w:type="dxa"/>
            <w:vAlign w:val="bottom"/>
          </w:tcPr>
          <w:p>
            <w:pPr>
              <w:ind w:left="620"/>
              <w:spacing w:after="0"/>
              <w:rPr>
                <w:sz w:val="20"/>
                <w:szCs w:val="20"/>
                <w:color w:val="auto"/>
              </w:rPr>
            </w:pPr>
            <w:r>
              <w:rPr>
                <w:rFonts w:ascii="Arial" w:cs="Arial" w:eastAsia="Arial" w:hAnsi="Arial"/>
                <w:sz w:val="16"/>
                <w:szCs w:val="16"/>
                <w:color w:val="auto"/>
              </w:rPr>
              <w:t>incurred, given the likelihood of uncertain future events, and</w:t>
            </w:r>
          </w:p>
        </w:tc>
      </w:tr>
      <w:tr>
        <w:trPr>
          <w:trHeight w:val="419"/>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620"/>
              <w:spacing w:after="0"/>
              <w:rPr>
                <w:sz w:val="20"/>
                <w:szCs w:val="20"/>
                <w:color w:val="auto"/>
              </w:rPr>
            </w:pPr>
            <w:r>
              <w:rPr>
                <w:rFonts w:ascii="Arial" w:cs="Arial" w:eastAsia="Arial" w:hAnsi="Arial"/>
                <w:sz w:val="16"/>
                <w:szCs w:val="16"/>
                <w:color w:val="auto"/>
              </w:rPr>
              <w:t>§   the amount of the loss can be reasonably estimated.</w:t>
            </w:r>
          </w:p>
        </w:tc>
      </w:tr>
      <w:tr>
        <w:trPr>
          <w:trHeight w:val="56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300"/>
              <w:spacing w:after="0"/>
              <w:rPr>
                <w:sz w:val="20"/>
                <w:szCs w:val="20"/>
                <w:color w:val="auto"/>
              </w:rPr>
            </w:pPr>
            <w:r>
              <w:rPr>
                <w:rFonts w:ascii="Arial" w:cs="Arial" w:eastAsia="Arial" w:hAnsi="Arial"/>
                <w:sz w:val="16"/>
                <w:szCs w:val="16"/>
                <w:color w:val="auto"/>
              </w:rPr>
              <w:t>We do not accrue contingencies that might result in gains. We continuously assess contingencies for litigation claims,</w:t>
            </w:r>
          </w:p>
        </w:tc>
      </w:tr>
      <w:tr>
        <w:trPr>
          <w:trHeight w:val="194"/>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94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environmental remediation and other events.</w:t>
            </w:r>
          </w:p>
        </w:tc>
      </w:tr>
      <w:tr>
        <w:trPr>
          <w:trHeight w:val="135"/>
        </w:trPr>
        <w:tc>
          <w:tcPr>
            <w:tcW w:w="20" w:type="dxa"/>
            <w:vAlign w:val="bottom"/>
          </w:tcPr>
          <w:p>
            <w:pPr>
              <w:spacing w:after="0"/>
              <w:rPr>
                <w:sz w:val="11"/>
                <w:szCs w:val="11"/>
                <w:color w:val="auto"/>
              </w:rPr>
            </w:pPr>
          </w:p>
        </w:tc>
        <w:tc>
          <w:tcPr>
            <w:tcW w:w="1920" w:type="dxa"/>
            <w:vAlign w:val="bottom"/>
          </w:tcPr>
          <w:p>
            <w:pPr>
              <w:spacing w:after="0" w:line="135" w:lineRule="exact"/>
              <w:rPr>
                <w:sz w:val="20"/>
                <w:szCs w:val="20"/>
                <w:color w:val="auto"/>
              </w:rPr>
            </w:pPr>
            <w:r>
              <w:rPr>
                <w:rFonts w:ascii="Arial" w:cs="Arial" w:eastAsia="Arial" w:hAnsi="Arial"/>
                <w:sz w:val="13"/>
                <w:szCs w:val="13"/>
                <w:color w:val="auto"/>
              </w:rPr>
              <w:t>Effect if Different</w:t>
            </w:r>
          </w:p>
        </w:tc>
        <w:tc>
          <w:tcPr>
            <w:tcW w:w="9480" w:type="dxa"/>
            <w:vAlign w:val="bottom"/>
          </w:tcPr>
          <w:p>
            <w:pPr>
              <w:ind w:left="180"/>
              <w:spacing w:after="0" w:line="135" w:lineRule="exact"/>
              <w:rPr>
                <w:sz w:val="20"/>
                <w:szCs w:val="20"/>
                <w:color w:val="auto"/>
              </w:rPr>
            </w:pPr>
            <w:r>
              <w:rPr>
                <w:rFonts w:ascii="Arial" w:cs="Arial" w:eastAsia="Arial" w:hAnsi="Arial"/>
                <w:sz w:val="15"/>
                <w:szCs w:val="15"/>
                <w:color w:val="auto"/>
              </w:rPr>
              <w:t>Details of our issues in this area are discussed in Note 15 of the Notes to Consolidated Financial Statements.</w:t>
            </w:r>
          </w:p>
        </w:tc>
      </w:tr>
      <w:tr>
        <w:trPr>
          <w:trHeight w:val="142"/>
        </w:trPr>
        <w:tc>
          <w:tcPr>
            <w:tcW w:w="194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3"/>
                <w:szCs w:val="13"/>
                <w:color w:val="auto"/>
              </w:rPr>
              <w:t>Assumptions Used</w:t>
            </w:r>
          </w:p>
        </w:tc>
        <w:tc>
          <w:tcPr>
            <w:tcW w:w="9480" w:type="dxa"/>
            <w:vAlign w:val="bottom"/>
            <w:tcBorders>
              <w:bottom w:val="single" w:sz="8" w:color="auto"/>
            </w:tcBorders>
          </w:tcPr>
          <w:p>
            <w:pPr>
              <w:spacing w:after="0"/>
              <w:rPr>
                <w:sz w:val="12"/>
                <w:szCs w:val="12"/>
                <w:color w:val="auto"/>
              </w:rPr>
            </w:pPr>
          </w:p>
        </w:tc>
      </w:tr>
      <w:tr>
        <w:trPr>
          <w:trHeight w:val="358"/>
        </w:trPr>
        <w:tc>
          <w:tcPr>
            <w:tcW w:w="114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REGULATORY ACCOUNTING</w:t>
            </w:r>
          </w:p>
        </w:tc>
      </w:tr>
      <w:tr>
        <w:trPr>
          <w:trHeight w:val="164"/>
        </w:trPr>
        <w:tc>
          <w:tcPr>
            <w:tcW w:w="1940" w:type="dxa"/>
            <w:vAlign w:val="bottom"/>
            <w:gridSpan w:val="2"/>
          </w:tcPr>
          <w:p>
            <w:pPr>
              <w:spacing w:after="0"/>
              <w:rPr>
                <w:sz w:val="20"/>
                <w:szCs w:val="20"/>
                <w:color w:val="auto"/>
              </w:rPr>
            </w:pPr>
            <w:r>
              <w:rPr>
                <w:rFonts w:ascii="Arial" w:cs="Arial" w:eastAsia="Arial" w:hAnsi="Arial"/>
                <w:sz w:val="13"/>
                <w:szCs w:val="13"/>
                <w:color w:val="auto"/>
              </w:rPr>
              <w:t>Assumptions &amp; Approach Used</w:t>
            </w:r>
          </w:p>
        </w:tc>
        <w:tc>
          <w:tcPr>
            <w:tcW w:w="9480" w:type="dxa"/>
            <w:vAlign w:val="bottom"/>
          </w:tcPr>
          <w:p>
            <w:pPr>
              <w:ind w:left="300"/>
              <w:spacing w:after="0" w:line="164" w:lineRule="exact"/>
              <w:rPr>
                <w:sz w:val="20"/>
                <w:szCs w:val="20"/>
                <w:color w:val="auto"/>
              </w:rPr>
            </w:pPr>
            <w:r>
              <w:rPr>
                <w:rFonts w:ascii="Arial" w:cs="Arial" w:eastAsia="Arial" w:hAnsi="Arial"/>
                <w:sz w:val="16"/>
                <w:szCs w:val="16"/>
                <w:color w:val="auto"/>
              </w:rPr>
              <w:t>The Sempra Utilities record a regulatory asset if it is probable that, through the ratemaking process, the utility will recover that</w:t>
            </w:r>
          </w:p>
        </w:tc>
      </w:tr>
      <w:tr>
        <w:trPr>
          <w:trHeight w:val="176"/>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80" w:type="dxa"/>
            <w:vAlign w:val="bottom"/>
          </w:tcPr>
          <w:p>
            <w:pPr>
              <w:ind w:left="300"/>
              <w:spacing w:after="0" w:line="176" w:lineRule="exact"/>
              <w:rPr>
                <w:sz w:val="20"/>
                <w:szCs w:val="20"/>
                <w:color w:val="auto"/>
              </w:rPr>
            </w:pPr>
            <w:r>
              <w:rPr>
                <w:rFonts w:ascii="Arial" w:cs="Arial" w:eastAsia="Arial" w:hAnsi="Arial"/>
                <w:sz w:val="16"/>
                <w:szCs w:val="16"/>
                <w:color w:val="auto"/>
              </w:rPr>
              <w:t>asset from customers. Similarly, regulatory liabilities are recorded for amounts recovered in rates in advance of the expenditure.</w:t>
            </w:r>
          </w:p>
        </w:tc>
      </w:t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80" w:type="dxa"/>
            <w:vAlign w:val="bottom"/>
          </w:tcPr>
          <w:p>
            <w:pPr>
              <w:ind w:left="300"/>
              <w:spacing w:after="0"/>
              <w:rPr>
                <w:sz w:val="20"/>
                <w:szCs w:val="20"/>
                <w:color w:val="auto"/>
              </w:rPr>
            </w:pPr>
            <w:r>
              <w:rPr>
                <w:rFonts w:ascii="Arial" w:cs="Arial" w:eastAsia="Arial" w:hAnsi="Arial"/>
                <w:sz w:val="16"/>
                <w:szCs w:val="16"/>
                <w:color w:val="auto"/>
              </w:rPr>
              <w:t>The Sempra Utilities review probabilities associated with regulatory balances whenever new events occur, such as:</w:t>
            </w:r>
          </w:p>
        </w:tc>
      </w:tr>
    </w:tbl>
    <w:p>
      <w:pPr>
        <w:spacing w:after="0" w:line="172" w:lineRule="exact"/>
        <w:rPr>
          <w:sz w:val="20"/>
          <w:szCs w:val="20"/>
          <w:color w:val="auto"/>
        </w:rPr>
      </w:pPr>
    </w:p>
    <w:p>
      <w:pPr>
        <w:ind w:left="2560"/>
        <w:spacing w:after="0"/>
        <w:tabs>
          <w:tab w:leader="none" w:pos="2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changes in the regulatory environment or the utility’s competitive position</w:t>
      </w:r>
    </w:p>
    <w:p>
      <w:pPr>
        <w:sectPr>
          <w:pgSz w:w="11900" w:h="16838" w:orient="portrait"/>
          <w:cols w:equalWidth="0" w:num="1">
            <w:col w:w="11420"/>
          </w:cols>
          <w:pgMar w:left="240" w:top="369" w:right="239" w:bottom="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80" w:type="dxa"/>
            <w:vAlign w:val="bottom"/>
          </w:tcPr>
          <w:p>
            <w:pPr>
              <w:ind w:left="620"/>
              <w:spacing w:after="0"/>
              <w:rPr>
                <w:sz w:val="20"/>
                <w:szCs w:val="20"/>
                <w:color w:val="auto"/>
              </w:rPr>
            </w:pPr>
            <w:r>
              <w:rPr>
                <w:rFonts w:ascii="Arial" w:cs="Arial" w:eastAsia="Arial" w:hAnsi="Arial"/>
                <w:sz w:val="16"/>
                <w:szCs w:val="16"/>
                <w:color w:val="auto"/>
              </w:rPr>
              <w:t>§   issuance of a regulatory commission order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620"/>
              <w:spacing w:after="0"/>
              <w:rPr>
                <w:sz w:val="20"/>
                <w:szCs w:val="20"/>
                <w:color w:val="auto"/>
              </w:rPr>
            </w:pPr>
            <w:r>
              <w:rPr>
                <w:rFonts w:ascii="Arial" w:cs="Arial" w:eastAsia="Arial" w:hAnsi="Arial"/>
                <w:sz w:val="16"/>
                <w:szCs w:val="16"/>
                <w:color w:val="auto"/>
              </w:rPr>
              <w:t>§   passage of new legislation</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To the extent that circumstances associated with regulatory balances change, the regulatory balances are adjusted accordingly.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line="135" w:lineRule="exact"/>
              <w:rPr>
                <w:sz w:val="20"/>
                <w:szCs w:val="20"/>
                <w:color w:val="auto"/>
              </w:rPr>
            </w:pPr>
            <w:r>
              <w:rPr>
                <w:rFonts w:ascii="Arial" w:cs="Arial" w:eastAsia="Arial" w:hAnsi="Arial"/>
                <w:sz w:val="13"/>
                <w:szCs w:val="13"/>
                <w:color w:val="auto"/>
              </w:rPr>
              <w:t>Effect if Different</w:t>
            </w:r>
          </w:p>
        </w:tc>
        <w:tc>
          <w:tcPr>
            <w:tcW w:w="9480" w:type="dxa"/>
            <w:vAlign w:val="bottom"/>
          </w:tcPr>
          <w:p>
            <w:pPr>
              <w:ind w:left="180"/>
              <w:spacing w:after="0" w:line="135" w:lineRule="exact"/>
              <w:rPr>
                <w:sz w:val="20"/>
                <w:szCs w:val="20"/>
                <w:color w:val="auto"/>
              </w:rPr>
            </w:pPr>
            <w:r>
              <w:rPr>
                <w:rFonts w:ascii="Arial" w:cs="Arial" w:eastAsia="Arial" w:hAnsi="Arial"/>
                <w:sz w:val="15"/>
                <w:szCs w:val="15"/>
                <w:color w:val="auto"/>
              </w:rPr>
              <w:t>Details of the Sempra Utilities’ regulatory assets and liabilities are discussed in Notes 1 and 15 of the Notes to Consolidated</w:t>
            </w:r>
          </w:p>
        </w:tc>
        <w:tc>
          <w:tcPr>
            <w:tcW w:w="0" w:type="dxa"/>
            <w:vAlign w:val="bottom"/>
          </w:tcPr>
          <w:p>
            <w:pPr>
              <w:spacing w:after="0"/>
              <w:rPr>
                <w:sz w:val="1"/>
                <w:szCs w:val="1"/>
                <w:color w:val="auto"/>
              </w:rPr>
            </w:pPr>
          </w:p>
        </w:tc>
      </w:tr>
      <w:tr>
        <w:trPr>
          <w:trHeight w:val="152"/>
        </w:trPr>
        <w:tc>
          <w:tcPr>
            <w:tcW w:w="1940" w:type="dxa"/>
            <w:vAlign w:val="bottom"/>
            <w:gridSpan w:val="2"/>
          </w:tcPr>
          <w:p>
            <w:pPr>
              <w:spacing w:after="0"/>
              <w:rPr>
                <w:sz w:val="20"/>
                <w:szCs w:val="20"/>
                <w:color w:val="auto"/>
              </w:rPr>
            </w:pPr>
            <w:r>
              <w:rPr>
                <w:rFonts w:ascii="Arial" w:cs="Arial" w:eastAsia="Arial" w:hAnsi="Arial"/>
                <w:sz w:val="13"/>
                <w:szCs w:val="13"/>
                <w:color w:val="auto"/>
              </w:rPr>
              <w:t>Assumptions Used</w:t>
            </w:r>
          </w:p>
        </w:tc>
        <w:tc>
          <w:tcPr>
            <w:tcW w:w="9480" w:type="dxa"/>
            <w:vAlign w:val="bottom"/>
            <w:vMerge w:val="restart"/>
          </w:tcPr>
          <w:p>
            <w:pPr>
              <w:ind w:left="180"/>
              <w:spacing w:after="0"/>
              <w:rPr>
                <w:sz w:val="20"/>
                <w:szCs w:val="20"/>
                <w:color w:val="auto"/>
              </w:rPr>
            </w:pPr>
            <w:r>
              <w:rPr>
                <w:rFonts w:ascii="Arial" w:cs="Arial" w:eastAsia="Arial" w:hAnsi="Arial"/>
                <w:sz w:val="16"/>
                <w:szCs w:val="16"/>
                <w:color w:val="auto"/>
              </w:rPr>
              <w:t>Financial Statements.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9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0"/>
        </w:trPr>
        <w:tc>
          <w:tcPr>
            <w:tcW w:w="11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1400" w:type="dxa"/>
            <w:vAlign w:val="bottom"/>
            <w:tcBorders>
              <w:top w:val="single" w:sz="8" w:color="999999"/>
              <w:bottom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SEMPRA ENERGY, SDG&amp;E AND SOCALGAS (CONTINUED)</w:t>
            </w:r>
          </w:p>
        </w:tc>
        <w:tc>
          <w:tcPr>
            <w:tcW w:w="0" w:type="dxa"/>
            <w:vAlign w:val="bottom"/>
          </w:tcPr>
          <w:p>
            <w:pPr>
              <w:spacing w:after="0"/>
              <w:rPr>
                <w:sz w:val="1"/>
                <w:szCs w:val="1"/>
                <w:color w:val="auto"/>
              </w:rPr>
            </w:pPr>
          </w:p>
        </w:tc>
      </w:tr>
      <w:tr>
        <w:trPr>
          <w:trHeight w:val="183"/>
        </w:trPr>
        <w:tc>
          <w:tcPr>
            <w:tcW w:w="194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INCOME TAXES</w:t>
            </w:r>
          </w:p>
        </w:tc>
        <w:tc>
          <w:tcPr>
            <w:tcW w:w="9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940" w:type="dxa"/>
            <w:vAlign w:val="bottom"/>
            <w:gridSpan w:val="2"/>
          </w:tcPr>
          <w:p>
            <w:pPr>
              <w:spacing w:after="0"/>
              <w:rPr>
                <w:sz w:val="20"/>
                <w:szCs w:val="20"/>
                <w:color w:val="auto"/>
              </w:rPr>
            </w:pPr>
            <w:r>
              <w:rPr>
                <w:rFonts w:ascii="Arial" w:cs="Arial" w:eastAsia="Arial" w:hAnsi="Arial"/>
                <w:sz w:val="13"/>
                <w:szCs w:val="13"/>
                <w:color w:val="auto"/>
              </w:rPr>
              <w:t>Assumptions &amp; Approach Used</w:t>
            </w:r>
          </w:p>
        </w:tc>
        <w:tc>
          <w:tcPr>
            <w:tcW w:w="9480" w:type="dxa"/>
            <w:vAlign w:val="bottom"/>
          </w:tcPr>
          <w:p>
            <w:pPr>
              <w:ind w:left="320"/>
              <w:spacing w:after="0" w:line="164" w:lineRule="exact"/>
              <w:rPr>
                <w:sz w:val="20"/>
                <w:szCs w:val="20"/>
                <w:color w:val="auto"/>
              </w:rPr>
            </w:pPr>
            <w:r>
              <w:rPr>
                <w:rFonts w:ascii="Arial" w:cs="Arial" w:eastAsia="Arial" w:hAnsi="Arial"/>
                <w:sz w:val="16"/>
                <w:szCs w:val="16"/>
                <w:color w:val="auto"/>
              </w:rPr>
              <w:t>Our income tax expense and related balance sheet amounts involve significant management estimates and judgments.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80" w:type="dxa"/>
            <w:vAlign w:val="bottom"/>
          </w:tcPr>
          <w:p>
            <w:pPr>
              <w:ind w:left="320"/>
              <w:spacing w:after="0" w:line="176" w:lineRule="exact"/>
              <w:rPr>
                <w:sz w:val="20"/>
                <w:szCs w:val="20"/>
                <w:color w:val="auto"/>
              </w:rPr>
            </w:pPr>
            <w:r>
              <w:rPr>
                <w:rFonts w:ascii="Arial" w:cs="Arial" w:eastAsia="Arial" w:hAnsi="Arial"/>
                <w:sz w:val="16"/>
                <w:szCs w:val="16"/>
                <w:color w:val="auto"/>
              </w:rPr>
              <w:t>Amounts of deferred income tax assets and liabilities, as well as current and noncurrent accruals, involve judgments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80" w:type="dxa"/>
            <w:vAlign w:val="bottom"/>
          </w:tcPr>
          <w:p>
            <w:pPr>
              <w:ind w:left="320"/>
              <w:spacing w:after="0" w:line="176" w:lineRule="exact"/>
              <w:rPr>
                <w:sz w:val="20"/>
                <w:szCs w:val="20"/>
                <w:color w:val="auto"/>
              </w:rPr>
            </w:pPr>
            <w:r>
              <w:rPr>
                <w:rFonts w:ascii="Arial" w:cs="Arial" w:eastAsia="Arial" w:hAnsi="Arial"/>
                <w:sz w:val="16"/>
                <w:szCs w:val="16"/>
                <w:color w:val="auto"/>
              </w:rPr>
              <w:t>estimates of the timing and probability of recognition of income and deductions by taxing authorities. When we evaluate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80" w:type="dxa"/>
            <w:vAlign w:val="bottom"/>
          </w:tcPr>
          <w:p>
            <w:pPr>
              <w:ind w:left="320"/>
              <w:spacing w:after="0"/>
              <w:rPr>
                <w:sz w:val="20"/>
                <w:szCs w:val="20"/>
                <w:color w:val="auto"/>
              </w:rPr>
            </w:pPr>
            <w:r>
              <w:rPr>
                <w:rFonts w:ascii="Arial" w:cs="Arial" w:eastAsia="Arial" w:hAnsi="Arial"/>
                <w:sz w:val="16"/>
                <w:szCs w:val="16"/>
                <w:color w:val="auto"/>
              </w:rPr>
              <w:t>anticipated resolution of income tax issues, we consider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640"/>
              <w:spacing w:after="0"/>
              <w:rPr>
                <w:sz w:val="20"/>
                <w:szCs w:val="20"/>
                <w:color w:val="auto"/>
              </w:rPr>
            </w:pPr>
            <w:r>
              <w:rPr>
                <w:rFonts w:ascii="Arial" w:cs="Arial" w:eastAsia="Arial" w:hAnsi="Arial"/>
                <w:sz w:val="16"/>
                <w:szCs w:val="16"/>
                <w:color w:val="auto"/>
              </w:rPr>
              <w:t>§   past resolutions of the same or similar issue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640"/>
              <w:spacing w:after="0"/>
              <w:rPr>
                <w:sz w:val="20"/>
                <w:szCs w:val="20"/>
                <w:color w:val="auto"/>
              </w:rPr>
            </w:pPr>
            <w:r>
              <w:rPr>
                <w:rFonts w:ascii="Arial" w:cs="Arial" w:eastAsia="Arial" w:hAnsi="Arial"/>
                <w:sz w:val="16"/>
                <w:szCs w:val="16"/>
                <w:color w:val="auto"/>
              </w:rPr>
              <w:t>§   the status of any income tax examination in progress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640"/>
              <w:spacing w:after="0"/>
              <w:rPr>
                <w:sz w:val="20"/>
                <w:szCs w:val="20"/>
                <w:color w:val="auto"/>
              </w:rPr>
            </w:pPr>
            <w:r>
              <w:rPr>
                <w:rFonts w:ascii="Arial" w:cs="Arial" w:eastAsia="Arial" w:hAnsi="Arial"/>
                <w:sz w:val="16"/>
                <w:szCs w:val="16"/>
                <w:color w:val="auto"/>
              </w:rPr>
              <w:t>§   positions taken by taxing authorities with other taxpayers with similar issues</w:t>
            </w: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320"/>
              <w:spacing w:after="0"/>
              <w:rPr>
                <w:sz w:val="20"/>
                <w:szCs w:val="20"/>
                <w:color w:val="auto"/>
              </w:rPr>
            </w:pPr>
            <w:r>
              <w:rPr>
                <w:rFonts w:ascii="Arial" w:cs="Arial" w:eastAsia="Arial" w:hAnsi="Arial"/>
                <w:sz w:val="16"/>
                <w:szCs w:val="16"/>
                <w:color w:val="auto"/>
              </w:rPr>
              <w:t>The likelihood of deferred tax recovery is based on analyses of the deferred tax assets and our expectation of future taxable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94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income, based on our strategic planning.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line="135" w:lineRule="exact"/>
              <w:rPr>
                <w:sz w:val="20"/>
                <w:szCs w:val="20"/>
                <w:color w:val="auto"/>
              </w:rPr>
            </w:pPr>
            <w:r>
              <w:rPr>
                <w:rFonts w:ascii="Arial" w:cs="Arial" w:eastAsia="Arial" w:hAnsi="Arial"/>
                <w:sz w:val="13"/>
                <w:szCs w:val="13"/>
                <w:color w:val="auto"/>
              </w:rPr>
              <w:t>Effect if Different</w:t>
            </w:r>
          </w:p>
        </w:tc>
        <w:tc>
          <w:tcPr>
            <w:tcW w:w="9480" w:type="dxa"/>
            <w:vAlign w:val="bottom"/>
          </w:tcPr>
          <w:p>
            <w:pPr>
              <w:ind w:left="320"/>
              <w:spacing w:after="0" w:line="135" w:lineRule="exact"/>
              <w:rPr>
                <w:sz w:val="20"/>
                <w:szCs w:val="20"/>
                <w:color w:val="auto"/>
              </w:rPr>
            </w:pPr>
            <w:r>
              <w:rPr>
                <w:rFonts w:ascii="Arial" w:cs="Arial" w:eastAsia="Arial" w:hAnsi="Arial"/>
                <w:sz w:val="15"/>
                <w:szCs w:val="15"/>
                <w:color w:val="auto"/>
              </w:rPr>
              <w:t>Actual income taxes could vary from estimated amounts because of:</w:t>
            </w:r>
          </w:p>
        </w:tc>
        <w:tc>
          <w:tcPr>
            <w:tcW w:w="0" w:type="dxa"/>
            <w:vAlign w:val="bottom"/>
          </w:tcPr>
          <w:p>
            <w:pPr>
              <w:spacing w:after="0"/>
              <w:rPr>
                <w:sz w:val="1"/>
                <w:szCs w:val="1"/>
                <w:color w:val="auto"/>
              </w:rPr>
            </w:pPr>
          </w:p>
        </w:tc>
      </w:tr>
      <w:tr>
        <w:trPr>
          <w:trHeight w:val="152"/>
        </w:trPr>
        <w:tc>
          <w:tcPr>
            <w:tcW w:w="1940" w:type="dxa"/>
            <w:vAlign w:val="bottom"/>
            <w:gridSpan w:val="2"/>
          </w:tcPr>
          <w:p>
            <w:pPr>
              <w:spacing w:after="0"/>
              <w:rPr>
                <w:sz w:val="20"/>
                <w:szCs w:val="20"/>
                <w:color w:val="auto"/>
              </w:rPr>
            </w:pPr>
            <w:r>
              <w:rPr>
                <w:rFonts w:ascii="Arial" w:cs="Arial" w:eastAsia="Arial" w:hAnsi="Arial"/>
                <w:sz w:val="13"/>
                <w:szCs w:val="13"/>
                <w:color w:val="auto"/>
              </w:rPr>
              <w:t>Assumptions Used</w:t>
            </w:r>
          </w:p>
        </w:tc>
        <w:tc>
          <w:tcPr>
            <w:tcW w:w="9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480" w:type="dxa"/>
            <w:vAlign w:val="bottom"/>
          </w:tcPr>
          <w:p>
            <w:pPr>
              <w:ind w:left="640"/>
              <w:spacing w:after="0"/>
              <w:rPr>
                <w:sz w:val="20"/>
                <w:szCs w:val="20"/>
                <w:color w:val="auto"/>
              </w:rPr>
            </w:pPr>
            <w:r>
              <w:rPr>
                <w:rFonts w:ascii="Arial" w:cs="Arial" w:eastAsia="Arial" w:hAnsi="Arial"/>
                <w:sz w:val="16"/>
                <w:szCs w:val="16"/>
                <w:color w:val="auto"/>
              </w:rPr>
              <w:t>§   future impacts of various items, including changes in tax laws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640"/>
              <w:spacing w:after="0"/>
              <w:rPr>
                <w:sz w:val="20"/>
                <w:szCs w:val="20"/>
                <w:color w:val="auto"/>
              </w:rPr>
            </w:pPr>
            <w:r>
              <w:rPr>
                <w:rFonts w:ascii="Arial" w:cs="Arial" w:eastAsia="Arial" w:hAnsi="Arial"/>
                <w:sz w:val="16"/>
                <w:szCs w:val="16"/>
                <w:color w:val="auto"/>
              </w:rPr>
              <w:t>§   our financial condition in future periods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80" w:type="dxa"/>
            <w:vAlign w:val="bottom"/>
          </w:tcPr>
          <w:p>
            <w:pPr>
              <w:ind w:left="640"/>
              <w:spacing w:after="0"/>
              <w:rPr>
                <w:sz w:val="20"/>
                <w:szCs w:val="20"/>
                <w:color w:val="auto"/>
              </w:rPr>
            </w:pPr>
            <w:r>
              <w:rPr>
                <w:rFonts w:ascii="Arial" w:cs="Arial" w:eastAsia="Arial" w:hAnsi="Arial"/>
                <w:sz w:val="16"/>
                <w:szCs w:val="16"/>
                <w:color w:val="auto"/>
              </w:rPr>
              <w:t>§   the resolution of various income tax issues between us and taxing authorities</w:t>
            </w: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We discuss details of our issues in this area in Note 7 of the Notes to Consolidated Financial Statements.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Assumptions &amp; Approach Used</w:t>
            </w:r>
          </w:p>
        </w:tc>
        <w:tc>
          <w:tcPr>
            <w:tcW w:w="9480" w:type="dxa"/>
            <w:vAlign w:val="bottom"/>
          </w:tcPr>
          <w:p>
            <w:pPr>
              <w:ind w:left="320"/>
              <w:spacing w:after="0"/>
              <w:rPr>
                <w:sz w:val="20"/>
                <w:szCs w:val="20"/>
                <w:color w:val="auto"/>
              </w:rPr>
            </w:pPr>
            <w:r>
              <w:rPr>
                <w:rFonts w:ascii="Arial" w:cs="Arial" w:eastAsia="Arial" w:hAnsi="Arial"/>
                <w:sz w:val="16"/>
                <w:szCs w:val="16"/>
                <w:color w:val="auto"/>
              </w:rPr>
              <w:t>For an uncertain position to qualify for benefit recognition, the position must have at least a “more likely than not” chance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80" w:type="dxa"/>
            <w:vAlign w:val="bottom"/>
          </w:tcPr>
          <w:p>
            <w:pPr>
              <w:ind w:left="320"/>
              <w:spacing w:after="0"/>
              <w:rPr>
                <w:sz w:val="20"/>
                <w:szCs w:val="20"/>
                <w:color w:val="auto"/>
              </w:rPr>
            </w:pPr>
            <w:r>
              <w:rPr>
                <w:rFonts w:ascii="Arial" w:cs="Arial" w:eastAsia="Arial" w:hAnsi="Arial"/>
                <w:sz w:val="16"/>
                <w:szCs w:val="16"/>
                <w:color w:val="auto"/>
              </w:rPr>
              <w:t>being sustained (based on the position’s technical merits) upon challenge by the respective authorities. The term “more likely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80" w:type="dxa"/>
            <w:vAlign w:val="bottom"/>
          </w:tcPr>
          <w:p>
            <w:pPr>
              <w:ind w:left="320"/>
              <w:spacing w:after="0"/>
              <w:rPr>
                <w:sz w:val="20"/>
                <w:szCs w:val="20"/>
                <w:color w:val="auto"/>
              </w:rPr>
            </w:pPr>
            <w:r>
              <w:rPr>
                <w:rFonts w:ascii="Arial" w:cs="Arial" w:eastAsia="Arial" w:hAnsi="Arial"/>
                <w:sz w:val="16"/>
                <w:szCs w:val="16"/>
                <w:color w:val="auto"/>
              </w:rPr>
              <w:t>than not” means a likelihood of more than 50 percent. If we do not have a more likely than not position with respect to a tax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80" w:type="dxa"/>
            <w:vAlign w:val="bottom"/>
          </w:tcPr>
          <w:p>
            <w:pPr>
              <w:ind w:left="320"/>
              <w:spacing w:after="0"/>
              <w:rPr>
                <w:sz w:val="20"/>
                <w:szCs w:val="20"/>
                <w:color w:val="auto"/>
              </w:rPr>
            </w:pPr>
            <w:r>
              <w:rPr>
                <w:rFonts w:ascii="Arial" w:cs="Arial" w:eastAsia="Arial" w:hAnsi="Arial"/>
                <w:sz w:val="16"/>
                <w:szCs w:val="16"/>
                <w:color w:val="auto"/>
              </w:rPr>
              <w:t>position, then we do not recognize any of the potential tax benefit associated with the position. A tax position that meets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80" w:type="dxa"/>
            <w:vAlign w:val="bottom"/>
          </w:tcPr>
          <w:p>
            <w:pPr>
              <w:ind w:left="320"/>
              <w:spacing w:after="0"/>
              <w:rPr>
                <w:sz w:val="20"/>
                <w:szCs w:val="20"/>
                <w:color w:val="auto"/>
              </w:rPr>
            </w:pPr>
            <w:r>
              <w:rPr>
                <w:rFonts w:ascii="Arial" w:cs="Arial" w:eastAsia="Arial" w:hAnsi="Arial"/>
                <w:sz w:val="16"/>
                <w:szCs w:val="16"/>
                <w:color w:val="auto"/>
              </w:rPr>
              <w:t>“more likely than not” recognition is measured as the largest amount of tax benefit that is greater than 50 percent likely of being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94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realized upon the effective resolution of the tax position.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line="135" w:lineRule="exact"/>
              <w:rPr>
                <w:sz w:val="20"/>
                <w:szCs w:val="20"/>
                <w:color w:val="auto"/>
              </w:rPr>
            </w:pPr>
            <w:r>
              <w:rPr>
                <w:rFonts w:ascii="Arial" w:cs="Arial" w:eastAsia="Arial" w:hAnsi="Arial"/>
                <w:sz w:val="13"/>
                <w:szCs w:val="13"/>
                <w:color w:val="auto"/>
              </w:rPr>
              <w:t>Effect if Different</w:t>
            </w:r>
          </w:p>
        </w:tc>
        <w:tc>
          <w:tcPr>
            <w:tcW w:w="9480" w:type="dxa"/>
            <w:vAlign w:val="bottom"/>
          </w:tcPr>
          <w:p>
            <w:pPr>
              <w:ind w:left="320"/>
              <w:spacing w:after="0" w:line="135" w:lineRule="exact"/>
              <w:rPr>
                <w:sz w:val="20"/>
                <w:szCs w:val="20"/>
                <w:color w:val="auto"/>
              </w:rPr>
            </w:pPr>
            <w:r>
              <w:rPr>
                <w:rFonts w:ascii="Arial" w:cs="Arial" w:eastAsia="Arial" w:hAnsi="Arial"/>
                <w:sz w:val="15"/>
                <w:szCs w:val="15"/>
                <w:color w:val="auto"/>
              </w:rPr>
              <w:t>Unrecognized tax benefits involve management’s judgment regarding the likelihood of the benefit being sustained. The final</w:t>
            </w:r>
          </w:p>
        </w:tc>
        <w:tc>
          <w:tcPr>
            <w:tcW w:w="0" w:type="dxa"/>
            <w:vAlign w:val="bottom"/>
          </w:tcPr>
          <w:p>
            <w:pPr>
              <w:spacing w:after="0"/>
              <w:rPr>
                <w:sz w:val="1"/>
                <w:szCs w:val="1"/>
                <w:color w:val="auto"/>
              </w:rPr>
            </w:pPr>
          </w:p>
        </w:tc>
      </w:tr>
      <w:tr>
        <w:trPr>
          <w:trHeight w:val="204"/>
        </w:trPr>
        <w:tc>
          <w:tcPr>
            <w:tcW w:w="1940" w:type="dxa"/>
            <w:vAlign w:val="bottom"/>
            <w:gridSpan w:val="2"/>
          </w:tcPr>
          <w:p>
            <w:pPr>
              <w:spacing w:after="0"/>
              <w:rPr>
                <w:sz w:val="20"/>
                <w:szCs w:val="20"/>
                <w:color w:val="auto"/>
              </w:rPr>
            </w:pPr>
            <w:r>
              <w:rPr>
                <w:rFonts w:ascii="Arial" w:cs="Arial" w:eastAsia="Arial" w:hAnsi="Arial"/>
                <w:sz w:val="13"/>
                <w:szCs w:val="13"/>
                <w:color w:val="auto"/>
              </w:rPr>
              <w:t>Assumptions Used</w:t>
            </w:r>
          </w:p>
        </w:tc>
        <w:tc>
          <w:tcPr>
            <w:tcW w:w="9480" w:type="dxa"/>
            <w:vAlign w:val="bottom"/>
          </w:tcPr>
          <w:p>
            <w:pPr>
              <w:ind w:left="320"/>
              <w:spacing w:after="0"/>
              <w:rPr>
                <w:sz w:val="20"/>
                <w:szCs w:val="20"/>
                <w:color w:val="auto"/>
              </w:rPr>
            </w:pPr>
            <w:r>
              <w:rPr>
                <w:rFonts w:ascii="Arial" w:cs="Arial" w:eastAsia="Arial" w:hAnsi="Arial"/>
                <w:sz w:val="16"/>
                <w:szCs w:val="16"/>
                <w:color w:val="auto"/>
              </w:rPr>
              <w:t>resolution of uncertain tax positions could result in adjustments to recorded amounts and may affect our results of operations,</w:t>
            </w:r>
          </w:p>
        </w:tc>
        <w:tc>
          <w:tcPr>
            <w:tcW w:w="0" w:type="dxa"/>
            <w:vAlign w:val="bottom"/>
          </w:tcPr>
          <w:p>
            <w:pPr>
              <w:spacing w:after="0"/>
              <w:rPr>
                <w:sz w:val="1"/>
                <w:szCs w:val="1"/>
                <w:color w:val="auto"/>
              </w:rPr>
            </w:pPr>
          </w:p>
        </w:tc>
      </w:tr>
    </w:tbl>
    <w:p>
      <w:pPr>
        <w:ind w:left="2260"/>
        <w:spacing w:after="0"/>
        <w:rPr>
          <w:sz w:val="20"/>
          <w:szCs w:val="20"/>
          <w:color w:val="auto"/>
        </w:rPr>
      </w:pPr>
      <w:r>
        <w:rPr>
          <w:rFonts w:ascii="Arial" w:cs="Arial" w:eastAsia="Arial" w:hAnsi="Arial"/>
          <w:sz w:val="16"/>
          <w:szCs w:val="16"/>
          <w:color w:val="auto"/>
        </w:rPr>
        <w:t>financial position and cash flows.</w:t>
      </w:r>
    </w:p>
    <w:p>
      <w:pPr>
        <w:spacing w:after="0" w:line="167" w:lineRule="exact"/>
        <w:rPr>
          <w:sz w:val="20"/>
          <w:szCs w:val="20"/>
          <w:color w:val="auto"/>
        </w:rPr>
      </w:pPr>
    </w:p>
    <w:p>
      <w:pPr>
        <w:ind w:left="2260" w:right="160"/>
        <w:spacing w:after="0" w:line="242" w:lineRule="auto"/>
        <w:rPr>
          <w:sz w:val="20"/>
          <w:szCs w:val="20"/>
          <w:color w:val="auto"/>
        </w:rPr>
      </w:pPr>
      <w:r>
        <w:rPr>
          <w:rFonts w:ascii="Arial" w:cs="Arial" w:eastAsia="Arial" w:hAnsi="Arial"/>
          <w:sz w:val="16"/>
          <w:szCs w:val="16"/>
          <w:color w:val="auto"/>
        </w:rPr>
        <w:t>We discuss additional information related to accounting for uncertainty in income taxes in Note 7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SDG&amp;E AND SOCALGAS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w:t>
      </w:r>
    </w:p>
    <w:tbl>
      <w:tblPr>
        <w:tblLayout w:type="fixed"/>
        <w:tblInd w:w="0" w:type="dxa"/>
        <w:tblCellMar>
          <w:top w:w="0" w:type="dxa"/>
          <w:left w:w="0" w:type="dxa"/>
          <w:bottom w:w="0" w:type="dxa"/>
          <w:right w:w="0" w:type="dxa"/>
        </w:tblCellMar>
      </w:tblPr>
      <w:tr>
        <w:trPr>
          <w:trHeight w:val="176"/>
        </w:trPr>
        <w:tc>
          <w:tcPr>
            <w:tcW w:w="2000" w:type="dxa"/>
            <w:vAlign w:val="bottom"/>
          </w:tcPr>
          <w:p>
            <w:pPr>
              <w:spacing w:after="0"/>
              <w:rPr>
                <w:sz w:val="20"/>
                <w:szCs w:val="20"/>
                <w:color w:val="auto"/>
              </w:rPr>
            </w:pPr>
            <w:r>
              <w:rPr>
                <w:rFonts w:ascii="Arial" w:cs="Arial" w:eastAsia="Arial" w:hAnsi="Arial"/>
                <w:sz w:val="13"/>
                <w:szCs w:val="13"/>
                <w:color w:val="auto"/>
              </w:rPr>
              <w:t>Assumptions &amp; Approach Used</w:t>
            </w:r>
          </w:p>
        </w:tc>
        <w:tc>
          <w:tcPr>
            <w:tcW w:w="9260" w:type="dxa"/>
            <w:vAlign w:val="bottom"/>
          </w:tcPr>
          <w:p>
            <w:pPr>
              <w:ind w:left="240"/>
              <w:spacing w:after="0" w:line="176" w:lineRule="exact"/>
              <w:rPr>
                <w:sz w:val="20"/>
                <w:szCs w:val="20"/>
                <w:color w:val="auto"/>
              </w:rPr>
            </w:pPr>
            <w:r>
              <w:rPr>
                <w:rFonts w:ascii="Arial" w:cs="Arial" w:eastAsia="Arial" w:hAnsi="Arial"/>
                <w:sz w:val="16"/>
                <w:szCs w:val="16"/>
                <w:color w:val="auto"/>
              </w:rPr>
              <w:t>We value derivative instruments at fair value on the balance sheet. Depending on the purpose for the contract and the</w:t>
            </w:r>
          </w:p>
        </w:tc>
      </w:tr>
      <w:tr>
        <w:trPr>
          <w:trHeight w:val="176"/>
        </w:trPr>
        <w:tc>
          <w:tcPr>
            <w:tcW w:w="2000" w:type="dxa"/>
            <w:vAlign w:val="bottom"/>
          </w:tcPr>
          <w:p>
            <w:pPr>
              <w:spacing w:after="0"/>
              <w:rPr>
                <w:sz w:val="15"/>
                <w:szCs w:val="15"/>
                <w:color w:val="auto"/>
              </w:rPr>
            </w:pPr>
          </w:p>
        </w:tc>
        <w:tc>
          <w:tcPr>
            <w:tcW w:w="9260" w:type="dxa"/>
            <w:vAlign w:val="bottom"/>
          </w:tcPr>
          <w:p>
            <w:pPr>
              <w:ind w:left="240"/>
              <w:spacing w:after="0" w:line="176" w:lineRule="exact"/>
              <w:rPr>
                <w:sz w:val="20"/>
                <w:szCs w:val="20"/>
                <w:color w:val="auto"/>
              </w:rPr>
            </w:pPr>
            <w:r>
              <w:rPr>
                <w:rFonts w:ascii="Arial" w:cs="Arial" w:eastAsia="Arial" w:hAnsi="Arial"/>
                <w:sz w:val="16"/>
                <w:szCs w:val="16"/>
                <w:color w:val="auto"/>
              </w:rPr>
              <w:t>applicability of hedge accounting, the impact of instruments may be offset in earnings, on the balance sheet, or in other</w:t>
            </w:r>
          </w:p>
        </w:tc>
      </w:tr>
      <w:tr>
        <w:trPr>
          <w:trHeight w:val="176"/>
        </w:trPr>
        <w:tc>
          <w:tcPr>
            <w:tcW w:w="2000" w:type="dxa"/>
            <w:vAlign w:val="bottom"/>
          </w:tcPr>
          <w:p>
            <w:pPr>
              <w:spacing w:after="0"/>
              <w:rPr>
                <w:sz w:val="15"/>
                <w:szCs w:val="15"/>
                <w:color w:val="auto"/>
              </w:rPr>
            </w:pPr>
          </w:p>
        </w:tc>
        <w:tc>
          <w:tcPr>
            <w:tcW w:w="9260" w:type="dxa"/>
            <w:vAlign w:val="bottom"/>
          </w:tcPr>
          <w:p>
            <w:pPr>
              <w:ind w:left="240"/>
              <w:spacing w:after="0" w:line="176" w:lineRule="exact"/>
              <w:rPr>
                <w:sz w:val="20"/>
                <w:szCs w:val="20"/>
                <w:color w:val="auto"/>
              </w:rPr>
            </w:pPr>
            <w:r>
              <w:rPr>
                <w:rFonts w:ascii="Arial" w:cs="Arial" w:eastAsia="Arial" w:hAnsi="Arial"/>
                <w:sz w:val="16"/>
                <w:szCs w:val="16"/>
                <w:color w:val="auto"/>
              </w:rPr>
              <w:t>comprehensive income. We also use normal purchase or sale accounting for certain contracts. As discussed elsewhere in this</w:t>
            </w:r>
          </w:p>
        </w:tc>
      </w:tr>
      <w:tr>
        <w:trPr>
          <w:trHeight w:val="176"/>
        </w:trPr>
        <w:tc>
          <w:tcPr>
            <w:tcW w:w="2000" w:type="dxa"/>
            <w:vAlign w:val="bottom"/>
          </w:tcPr>
          <w:p>
            <w:pPr>
              <w:spacing w:after="0"/>
              <w:rPr>
                <w:sz w:val="15"/>
                <w:szCs w:val="15"/>
                <w:color w:val="auto"/>
              </w:rPr>
            </w:pPr>
          </w:p>
        </w:tc>
        <w:tc>
          <w:tcPr>
            <w:tcW w:w="9260" w:type="dxa"/>
            <w:vAlign w:val="bottom"/>
          </w:tcPr>
          <w:p>
            <w:pPr>
              <w:ind w:left="240"/>
              <w:spacing w:after="0" w:line="176" w:lineRule="exact"/>
              <w:rPr>
                <w:sz w:val="20"/>
                <w:szCs w:val="20"/>
                <w:color w:val="auto"/>
              </w:rPr>
            </w:pPr>
            <w:r>
              <w:rPr>
                <w:rFonts w:ascii="Arial" w:cs="Arial" w:eastAsia="Arial" w:hAnsi="Arial"/>
                <w:sz w:val="16"/>
                <w:szCs w:val="16"/>
                <w:color w:val="auto"/>
              </w:rPr>
              <w:t>report, whenever possible, we use exchange quotations or other third-party pricing to estimate fair values; if no such data is</w:t>
            </w:r>
          </w:p>
        </w:tc>
      </w:tr>
      <w:tr>
        <w:trPr>
          <w:trHeight w:val="176"/>
        </w:trPr>
        <w:tc>
          <w:tcPr>
            <w:tcW w:w="2000" w:type="dxa"/>
            <w:vAlign w:val="bottom"/>
          </w:tcPr>
          <w:p>
            <w:pPr>
              <w:spacing w:after="0"/>
              <w:rPr>
                <w:sz w:val="15"/>
                <w:szCs w:val="15"/>
                <w:color w:val="auto"/>
              </w:rPr>
            </w:pPr>
          </w:p>
        </w:tc>
        <w:tc>
          <w:tcPr>
            <w:tcW w:w="9260" w:type="dxa"/>
            <w:vAlign w:val="bottom"/>
          </w:tcPr>
          <w:p>
            <w:pPr>
              <w:ind w:left="240"/>
              <w:spacing w:after="0" w:line="176" w:lineRule="exact"/>
              <w:rPr>
                <w:sz w:val="20"/>
                <w:szCs w:val="20"/>
                <w:color w:val="auto"/>
              </w:rPr>
            </w:pPr>
            <w:r>
              <w:rPr>
                <w:rFonts w:ascii="Arial" w:cs="Arial" w:eastAsia="Arial" w:hAnsi="Arial"/>
                <w:sz w:val="16"/>
                <w:szCs w:val="16"/>
                <w:color w:val="auto"/>
              </w:rPr>
              <w:t>available, we use internally developed models and other techniques. The assumed collectability of derivative assets and</w:t>
            </w:r>
          </w:p>
        </w:tc>
      </w:tr>
      <w:tr>
        <w:trPr>
          <w:trHeight w:val="195"/>
        </w:trPr>
        <w:tc>
          <w:tcPr>
            <w:tcW w:w="2000" w:type="dxa"/>
            <w:vAlign w:val="bottom"/>
          </w:tcPr>
          <w:p>
            <w:pPr>
              <w:spacing w:after="0"/>
              <w:rPr>
                <w:sz w:val="16"/>
                <w:szCs w:val="16"/>
                <w:color w:val="auto"/>
              </w:rPr>
            </w:pPr>
          </w:p>
        </w:tc>
        <w:tc>
          <w:tcPr>
            <w:tcW w:w="9260" w:type="dxa"/>
            <w:vAlign w:val="bottom"/>
          </w:tcPr>
          <w:p>
            <w:pPr>
              <w:ind w:left="240"/>
              <w:spacing w:after="0"/>
              <w:rPr>
                <w:sz w:val="20"/>
                <w:szCs w:val="20"/>
                <w:color w:val="auto"/>
              </w:rPr>
            </w:pPr>
            <w:r>
              <w:rPr>
                <w:rFonts w:ascii="Arial" w:cs="Arial" w:eastAsia="Arial" w:hAnsi="Arial"/>
                <w:sz w:val="16"/>
                <w:szCs w:val="16"/>
                <w:color w:val="auto"/>
              </w:rPr>
              <w:t>receivables considers</w:t>
            </w:r>
          </w:p>
        </w:tc>
      </w:tr>
      <w:tr>
        <w:trPr>
          <w:trHeight w:val="365"/>
        </w:trPr>
        <w:tc>
          <w:tcPr>
            <w:tcW w:w="2000" w:type="dxa"/>
            <w:vAlign w:val="bottom"/>
          </w:tcPr>
          <w:p>
            <w:pPr>
              <w:spacing w:after="0"/>
              <w:rPr>
                <w:sz w:val="24"/>
                <w:szCs w:val="24"/>
                <w:color w:val="auto"/>
              </w:rPr>
            </w:pPr>
          </w:p>
        </w:tc>
        <w:tc>
          <w:tcPr>
            <w:tcW w:w="9260" w:type="dxa"/>
            <w:vAlign w:val="bottom"/>
          </w:tcPr>
          <w:p>
            <w:pPr>
              <w:ind w:left="5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events specific to a given counterparty</w:t>
            </w:r>
          </w:p>
        </w:tc>
      </w:tr>
      <w:tr>
        <w:trPr>
          <w:trHeight w:val="432"/>
        </w:trPr>
        <w:tc>
          <w:tcPr>
            <w:tcW w:w="2000" w:type="dxa"/>
            <w:vAlign w:val="bottom"/>
          </w:tcPr>
          <w:p>
            <w:pPr>
              <w:spacing w:after="0"/>
              <w:rPr>
                <w:sz w:val="24"/>
                <w:szCs w:val="24"/>
                <w:color w:val="auto"/>
              </w:rPr>
            </w:pPr>
          </w:p>
        </w:tc>
        <w:tc>
          <w:tcPr>
            <w:tcW w:w="9260" w:type="dxa"/>
            <w:vAlign w:val="bottom"/>
          </w:tcPr>
          <w:p>
            <w:pPr>
              <w:ind w:left="5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the tenor of the transaction</w:t>
            </w:r>
          </w:p>
        </w:tc>
      </w:tr>
      <w:tr>
        <w:trPr>
          <w:trHeight w:val="432"/>
        </w:trPr>
        <w:tc>
          <w:tcPr>
            <w:tcW w:w="2000" w:type="dxa"/>
            <w:vAlign w:val="bottom"/>
          </w:tcPr>
          <w:p>
            <w:pPr>
              <w:spacing w:after="0"/>
              <w:rPr>
                <w:sz w:val="24"/>
                <w:szCs w:val="24"/>
                <w:color w:val="auto"/>
              </w:rPr>
            </w:pPr>
          </w:p>
        </w:tc>
        <w:tc>
          <w:tcPr>
            <w:tcW w:w="9260" w:type="dxa"/>
            <w:vAlign w:val="bottom"/>
          </w:tcPr>
          <w:p>
            <w:pPr>
              <w:ind w:left="560"/>
              <w:spacing w:after="0"/>
              <w:rPr>
                <w:sz w:val="20"/>
                <w:szCs w:val="20"/>
                <w:color w:val="auto"/>
              </w:rPr>
            </w:pPr>
            <w:r>
              <w:rPr>
                <w:rFonts w:ascii="Arial" w:cs="Arial" w:eastAsia="Arial" w:hAnsi="Arial"/>
                <w:sz w:val="16"/>
                <w:szCs w:val="16"/>
                <w:color w:val="auto"/>
              </w:rPr>
              <w:t>§   the credit-worthiness of the counterparty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Effect if Different</w:t>
      </w:r>
    </w:p>
    <w:p>
      <w:pPr>
        <w:spacing w:after="0"/>
        <w:rPr>
          <w:sz w:val="20"/>
          <w:szCs w:val="20"/>
          <w:color w:val="auto"/>
        </w:rPr>
      </w:pPr>
      <w:r>
        <w:rPr>
          <w:rFonts w:ascii="Arial" w:cs="Arial" w:eastAsia="Arial" w:hAnsi="Arial"/>
          <w:sz w:val="12"/>
          <w:szCs w:val="12"/>
          <w:color w:val="auto"/>
        </w:rPr>
        <w:t>Assumptions Used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The application of hedge accounting to certain derivatives and the normal purchase or sale accounting election is made on a contract-by-contract basis. Using hedge accounting or the normal purchase or sale election in a different manner could materially impact Sempra Energy’s results of operations. However, such alternatives would not have a significant impact on the Sempra Utilities’ results of operations because of regulatory accounting principles. We provide details of our financial instruments in Note 10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-3810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1520" w:space="720"/>
            <w:col w:w="9180"/>
          </w:cols>
          <w:pgMar w:left="240" w:top="143" w:right="239" w:bottom="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200" w:type="dxa"/>
            <w:vAlign w:val="bottom"/>
          </w:tcPr>
          <w:p>
            <w:pPr>
              <w:spacing w:after="0"/>
              <w:rPr>
                <w:sz w:val="20"/>
                <w:szCs w:val="20"/>
                <w:color w:val="auto"/>
              </w:rPr>
            </w:pPr>
            <w:r>
              <w:rPr>
                <w:rFonts w:ascii="Arial" w:cs="Arial" w:eastAsia="Arial" w:hAnsi="Arial"/>
                <w:sz w:val="16"/>
                <w:szCs w:val="16"/>
                <w:b w:val="1"/>
                <w:bCs w:val="1"/>
                <w:color w:val="auto"/>
              </w:rPr>
              <w:t>DEFINED BENEFIT PLANS</w:t>
            </w:r>
          </w:p>
        </w:tc>
        <w:tc>
          <w:tcPr>
            <w:tcW w:w="9160" w:type="dxa"/>
            <w:vAlign w:val="bottom"/>
            <w:vMerge w:val="restart"/>
          </w:tcPr>
          <w:p>
            <w:pPr>
              <w:ind w:left="140"/>
              <w:spacing w:after="0"/>
              <w:rPr>
                <w:sz w:val="20"/>
                <w:szCs w:val="20"/>
                <w:color w:val="auto"/>
              </w:rPr>
            </w:pPr>
            <w:r>
              <w:rPr>
                <w:rFonts w:ascii="Arial" w:cs="Arial" w:eastAsia="Arial" w:hAnsi="Arial"/>
                <w:sz w:val="16"/>
                <w:szCs w:val="16"/>
                <w:color w:val="auto"/>
              </w:rPr>
              <w:t>To measure our pension and postretirement obligations, costs and liabilities, we rely on several assumptions. We consider</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Arial" w:cs="Arial" w:eastAsia="Arial" w:hAnsi="Arial"/>
                <w:sz w:val="13"/>
                <w:szCs w:val="13"/>
                <w:color w:val="auto"/>
              </w:rPr>
              <w:t>Assumptions &amp; Approach Used</w:t>
            </w: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9160" w:type="dxa"/>
            <w:vAlign w:val="bottom"/>
          </w:tcPr>
          <w:p>
            <w:pPr>
              <w:ind w:left="140"/>
              <w:spacing w:after="0" w:line="176" w:lineRule="exact"/>
              <w:rPr>
                <w:sz w:val="20"/>
                <w:szCs w:val="20"/>
                <w:color w:val="auto"/>
              </w:rPr>
            </w:pPr>
            <w:r>
              <w:rPr>
                <w:rFonts w:ascii="Arial" w:cs="Arial" w:eastAsia="Arial" w:hAnsi="Arial"/>
                <w:sz w:val="16"/>
                <w:szCs w:val="16"/>
                <w:color w:val="auto"/>
              </w:rPr>
              <w:t>current market conditions, including interest rates, in making these assumptions. We annually review these assumptions prior</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9160" w:type="dxa"/>
            <w:vAlign w:val="bottom"/>
          </w:tcPr>
          <w:p>
            <w:pPr>
              <w:ind w:left="140"/>
              <w:spacing w:after="0"/>
              <w:rPr>
                <w:sz w:val="20"/>
                <w:szCs w:val="20"/>
                <w:color w:val="auto"/>
              </w:rPr>
            </w:pPr>
            <w:r>
              <w:rPr>
                <w:rFonts w:ascii="Arial" w:cs="Arial" w:eastAsia="Arial" w:hAnsi="Arial"/>
                <w:sz w:val="16"/>
                <w:szCs w:val="16"/>
                <w:color w:val="auto"/>
              </w:rPr>
              <w:t>to the beginning of each year and update when appropriate.</w:t>
            </w:r>
          </w:p>
        </w:tc>
        <w:tc>
          <w:tcPr>
            <w:tcW w:w="0" w:type="dxa"/>
            <w:vAlign w:val="bottom"/>
          </w:tcPr>
          <w:p>
            <w:pPr>
              <w:spacing w:after="0"/>
              <w:rPr>
                <w:sz w:val="1"/>
                <w:szCs w:val="1"/>
                <w:color w:val="auto"/>
              </w:rPr>
            </w:pPr>
          </w:p>
        </w:tc>
      </w:tr>
      <w:tr>
        <w:trPr>
          <w:trHeight w:val="351"/>
        </w:trPr>
        <w:tc>
          <w:tcPr>
            <w:tcW w:w="2200" w:type="dxa"/>
            <w:vAlign w:val="bottom"/>
          </w:tcPr>
          <w:p>
            <w:pPr>
              <w:spacing w:after="0"/>
              <w:rPr>
                <w:sz w:val="24"/>
                <w:szCs w:val="24"/>
                <w:color w:val="auto"/>
              </w:rPr>
            </w:pPr>
          </w:p>
        </w:tc>
        <w:tc>
          <w:tcPr>
            <w:tcW w:w="9160" w:type="dxa"/>
            <w:vAlign w:val="bottom"/>
          </w:tcPr>
          <w:p>
            <w:pPr>
              <w:ind w:left="140"/>
              <w:spacing w:after="0"/>
              <w:rPr>
                <w:sz w:val="20"/>
                <w:szCs w:val="20"/>
                <w:color w:val="auto"/>
              </w:rPr>
            </w:pPr>
            <w:r>
              <w:rPr>
                <w:rFonts w:ascii="Arial" w:cs="Arial" w:eastAsia="Arial" w:hAnsi="Arial"/>
                <w:sz w:val="16"/>
                <w:szCs w:val="16"/>
                <w:color w:val="auto"/>
              </w:rPr>
              <w:t>The critical assumptions used to develop the required estimates include the following key factors:</w:t>
            </w:r>
          </w:p>
        </w:tc>
        <w:tc>
          <w:tcPr>
            <w:tcW w:w="0" w:type="dxa"/>
            <w:vAlign w:val="bottom"/>
          </w:tcPr>
          <w:p>
            <w:pPr>
              <w:spacing w:after="0"/>
              <w:rPr>
                <w:sz w:val="1"/>
                <w:szCs w:val="1"/>
                <w:color w:val="auto"/>
              </w:rPr>
            </w:pPr>
          </w:p>
        </w:tc>
      </w:tr>
      <w:tr>
        <w:trPr>
          <w:trHeight w:val="378"/>
        </w:trPr>
        <w:tc>
          <w:tcPr>
            <w:tcW w:w="2200" w:type="dxa"/>
            <w:vAlign w:val="bottom"/>
          </w:tcPr>
          <w:p>
            <w:pPr>
              <w:spacing w:after="0"/>
              <w:rPr>
                <w:sz w:val="24"/>
                <w:szCs w:val="24"/>
                <w:color w:val="auto"/>
              </w:rPr>
            </w:pPr>
          </w:p>
        </w:tc>
        <w:tc>
          <w:tcPr>
            <w:tcW w:w="9160" w:type="dxa"/>
            <w:vAlign w:val="bottom"/>
          </w:tcPr>
          <w:p>
            <w:pPr>
              <w:ind w:left="460"/>
              <w:spacing w:after="0"/>
              <w:rPr>
                <w:sz w:val="20"/>
                <w:szCs w:val="20"/>
                <w:color w:val="auto"/>
              </w:rPr>
            </w:pPr>
            <w:r>
              <w:rPr>
                <w:rFonts w:ascii="Arial" w:cs="Arial" w:eastAsia="Arial" w:hAnsi="Arial"/>
                <w:sz w:val="16"/>
                <w:szCs w:val="16"/>
                <w:color w:val="auto"/>
              </w:rPr>
              <w:t>§   discount rate</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9160" w:type="dxa"/>
            <w:vAlign w:val="bottom"/>
          </w:tcPr>
          <w:p>
            <w:pPr>
              <w:ind w:left="4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expected return on plan assets</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9160" w:type="dxa"/>
            <w:vAlign w:val="bottom"/>
          </w:tcPr>
          <w:p>
            <w:pPr>
              <w:ind w:left="4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health-care cost trend rates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3" w:right="239" w:bottom="0" w:gutter="0" w:footer="0" w:header="0"/>
          <w:type w:val="continuous"/>
        </w:sectPr>
      </w:pPr>
    </w:p>
    <w:bookmarkStart w:id="179" w:name="page180"/>
    <w:bookmarkEnd w:id="179"/>
    <w:p>
      <w:pPr>
        <w:ind w:left="2960" w:hanging="291"/>
        <w:spacing w:after="0"/>
        <w:tabs>
          <w:tab w:leader="none" w:pos="2960"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mortality rates</w:t>
      </w:r>
    </w:p>
    <w:p>
      <w:pPr>
        <w:spacing w:after="0" w:line="248" w:lineRule="exact"/>
        <w:rPr>
          <w:rFonts w:ascii="Arial" w:cs="Arial" w:eastAsia="Arial" w:hAnsi="Arial"/>
          <w:sz w:val="16"/>
          <w:szCs w:val="16"/>
          <w:b w:val="1"/>
          <w:bCs w:val="1"/>
          <w:color w:val="auto"/>
        </w:rPr>
      </w:pPr>
    </w:p>
    <w:p>
      <w:pPr>
        <w:ind w:left="2960" w:hanging="291"/>
        <w:spacing w:after="0"/>
        <w:tabs>
          <w:tab w:leader="none" w:pos="2960"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rate of compensation increases</w:t>
      </w:r>
    </w:p>
    <w:p>
      <w:pPr>
        <w:spacing w:after="0" w:line="248" w:lineRule="exact"/>
        <w:rPr>
          <w:rFonts w:ascii="Arial" w:cs="Arial" w:eastAsia="Arial" w:hAnsi="Arial"/>
          <w:sz w:val="16"/>
          <w:szCs w:val="16"/>
          <w:b w:val="1"/>
          <w:bCs w:val="1"/>
          <w:color w:val="auto"/>
        </w:rPr>
      </w:pPr>
    </w:p>
    <w:p>
      <w:pPr>
        <w:ind w:left="2960" w:hanging="291"/>
        <w:spacing w:after="0"/>
        <w:tabs>
          <w:tab w:leader="none" w:pos="29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payout elections (lump sum or annuity)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SDG&amp;E AND SOCALGAS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 (CONTINUED)</w:t>
      </w:r>
    </w:p>
    <w:p>
      <w:pPr>
        <w:spacing w:after="0" w:line="183" w:lineRule="auto"/>
        <w:tabs>
          <w:tab w:leader="none" w:pos="2220" w:val="left"/>
        </w:tabs>
        <w:rPr>
          <w:sz w:val="20"/>
          <w:szCs w:val="20"/>
          <w:color w:val="auto"/>
        </w:rPr>
      </w:pPr>
      <w:r>
        <w:rPr>
          <w:rFonts w:ascii="Arial" w:cs="Arial" w:eastAsia="Arial" w:hAnsi="Arial"/>
          <w:sz w:val="15"/>
          <w:szCs w:val="15"/>
          <w:color w:val="auto"/>
          <w:vertAlign w:val="superscript"/>
        </w:rPr>
        <w:t>Effect if Different</w:t>
      </w:r>
      <w:r>
        <w:rPr>
          <w:sz w:val="20"/>
          <w:szCs w:val="20"/>
          <w:color w:val="auto"/>
        </w:rPr>
        <w:tab/>
      </w:r>
      <w:r>
        <w:rPr>
          <w:rFonts w:ascii="Arial" w:cs="Arial" w:eastAsia="Arial" w:hAnsi="Arial"/>
          <w:sz w:val="16"/>
          <w:szCs w:val="16"/>
          <w:color w:val="auto"/>
        </w:rPr>
        <w:t>The actuarial assumptions we use may differ materially from actual results due to:</w:t>
      </w:r>
    </w:p>
    <w:p>
      <w:pPr>
        <w:spacing w:after="0"/>
        <w:rPr>
          <w:sz w:val="20"/>
          <w:szCs w:val="20"/>
          <w:color w:val="auto"/>
        </w:rPr>
      </w:pPr>
      <w:r>
        <w:rPr>
          <w:rFonts w:ascii="Arial" w:cs="Arial" w:eastAsia="Arial" w:hAnsi="Arial"/>
          <w:sz w:val="13"/>
          <w:szCs w:val="13"/>
          <w:color w:val="auto"/>
        </w:rPr>
        <w:t>Assumptions Used</w:t>
      </w:r>
    </w:p>
    <w:p>
      <w:pPr>
        <w:spacing w:after="0" w:line="128" w:lineRule="exact"/>
        <w:rPr>
          <w:sz w:val="20"/>
          <w:szCs w:val="20"/>
          <w:color w:val="auto"/>
        </w:rPr>
      </w:pPr>
    </w:p>
    <w:p>
      <w:pPr>
        <w:ind w:left="2840" w:hanging="279"/>
        <w:spacing w:after="0"/>
        <w:tabs>
          <w:tab w:leader="none" w:pos="28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return on plan assets</w:t>
      </w:r>
    </w:p>
    <w:p>
      <w:pPr>
        <w:spacing w:after="0" w:line="248" w:lineRule="exact"/>
        <w:rPr>
          <w:rFonts w:ascii="Arial" w:cs="Arial" w:eastAsia="Arial" w:hAnsi="Arial"/>
          <w:sz w:val="16"/>
          <w:szCs w:val="16"/>
          <w:color w:val="auto"/>
        </w:rPr>
      </w:pPr>
    </w:p>
    <w:p>
      <w:pPr>
        <w:ind w:left="2840" w:hanging="279"/>
        <w:spacing w:after="0"/>
        <w:tabs>
          <w:tab w:leader="none" w:pos="28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changing market and economic conditions</w:t>
      </w:r>
    </w:p>
    <w:p>
      <w:pPr>
        <w:spacing w:after="0" w:line="248" w:lineRule="exact"/>
        <w:rPr>
          <w:rFonts w:ascii="Arial" w:cs="Arial" w:eastAsia="Arial" w:hAnsi="Arial"/>
          <w:sz w:val="16"/>
          <w:szCs w:val="16"/>
          <w:color w:val="auto"/>
        </w:rPr>
      </w:pPr>
    </w:p>
    <w:p>
      <w:pPr>
        <w:ind w:left="2840" w:hanging="279"/>
        <w:spacing w:after="0"/>
        <w:tabs>
          <w:tab w:leader="none" w:pos="28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higher or lower withdrawal rates</w:t>
      </w:r>
    </w:p>
    <w:p>
      <w:pPr>
        <w:spacing w:after="0" w:line="248" w:lineRule="exact"/>
        <w:rPr>
          <w:rFonts w:ascii="Arial" w:cs="Arial" w:eastAsia="Arial" w:hAnsi="Arial"/>
          <w:sz w:val="16"/>
          <w:szCs w:val="16"/>
          <w:color w:val="auto"/>
        </w:rPr>
      </w:pPr>
    </w:p>
    <w:p>
      <w:pPr>
        <w:ind w:left="2840" w:hanging="279"/>
        <w:spacing w:after="0"/>
        <w:tabs>
          <w:tab w:leader="none" w:pos="28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longer or shorter participant life spans</w:t>
      </w:r>
    </w:p>
    <w:p>
      <w:pPr>
        <w:spacing w:after="0" w:line="248" w:lineRule="exact"/>
        <w:rPr>
          <w:rFonts w:ascii="Arial" w:cs="Arial" w:eastAsia="Arial" w:hAnsi="Arial"/>
          <w:sz w:val="16"/>
          <w:szCs w:val="16"/>
          <w:color w:val="auto"/>
        </w:rPr>
      </w:pPr>
    </w:p>
    <w:p>
      <w:pPr>
        <w:ind w:left="2840" w:hanging="279"/>
        <w:spacing w:after="0"/>
        <w:tabs>
          <w:tab w:leader="none" w:pos="28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more or fewer lump sum versus annuity payout elections made by plan participants</w:t>
      </w:r>
    </w:p>
    <w:p>
      <w:pPr>
        <w:spacing w:after="0" w:line="248" w:lineRule="exact"/>
        <w:rPr>
          <w:rFonts w:ascii="Arial" w:cs="Arial" w:eastAsia="Arial" w:hAnsi="Arial"/>
          <w:sz w:val="16"/>
          <w:szCs w:val="16"/>
          <w:color w:val="auto"/>
        </w:rPr>
      </w:pPr>
    </w:p>
    <w:p>
      <w:pPr>
        <w:ind w:left="2840" w:hanging="279"/>
        <w:spacing w:after="0"/>
        <w:tabs>
          <w:tab w:leader="none" w:pos="28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retirement rates</w:t>
      </w:r>
    </w:p>
    <w:p>
      <w:pPr>
        <w:spacing w:after="0" w:line="397" w:lineRule="exact"/>
        <w:rPr>
          <w:sz w:val="20"/>
          <w:szCs w:val="20"/>
          <w:color w:val="auto"/>
        </w:rPr>
      </w:pPr>
    </w:p>
    <w:p>
      <w:pPr>
        <w:ind w:left="2240" w:right="20"/>
        <w:spacing w:after="0" w:line="234" w:lineRule="auto"/>
        <w:rPr>
          <w:sz w:val="20"/>
          <w:szCs w:val="20"/>
          <w:color w:val="auto"/>
        </w:rPr>
      </w:pPr>
      <w:r>
        <w:rPr>
          <w:rFonts w:ascii="Arial" w:cs="Arial" w:eastAsia="Arial" w:hAnsi="Arial"/>
          <w:sz w:val="16"/>
          <w:szCs w:val="16"/>
          <w:color w:val="auto"/>
        </w:rPr>
        <w:t>These differences, other than those related to the Sempra Utilities plans, where rate recovery offsets any effects of the assumptions on earnings, may result in a significant impact to the amount of pension and postretirement benefit expense we record. For the remaining plans, the approximate annual effect on earnings of a 25 basis point increase or decrease in the assumed discount rate would be less than $1 million and the effect of a 25 basis point increase or decrease in the assumed rate of return on plan assets would be less than $1 million.</w:t>
      </w:r>
    </w:p>
    <w:p>
      <w:pPr>
        <w:spacing w:after="0" w:line="156" w:lineRule="exact"/>
        <w:rPr>
          <w:sz w:val="20"/>
          <w:szCs w:val="20"/>
          <w:color w:val="auto"/>
        </w:rPr>
      </w:pPr>
    </w:p>
    <w:p>
      <w:pPr>
        <w:ind w:left="2240" w:right="120"/>
        <w:spacing w:after="0" w:line="242" w:lineRule="auto"/>
        <w:rPr>
          <w:sz w:val="20"/>
          <w:szCs w:val="20"/>
          <w:color w:val="auto"/>
        </w:rPr>
      </w:pPr>
      <w:r>
        <w:rPr>
          <w:rFonts w:ascii="Arial" w:cs="Arial" w:eastAsia="Arial" w:hAnsi="Arial"/>
          <w:sz w:val="16"/>
          <w:szCs w:val="16"/>
          <w:color w:val="auto"/>
        </w:rPr>
        <w:t>We provide additional information, including the impact of increases and decreases in the health-care cost trend rate, in Note 8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AND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ind w:left="2120" w:right="200" w:hanging="2106"/>
        <w:spacing w:after="0" w:line="242" w:lineRule="auto"/>
        <w:tabs>
          <w:tab w:leader="none" w:pos="2100" w:val="left"/>
        </w:tabs>
        <w:rPr>
          <w:sz w:val="20"/>
          <w:szCs w:val="20"/>
          <w:color w:val="auto"/>
        </w:rPr>
      </w:pPr>
      <w:r>
        <w:rPr>
          <w:rFonts w:ascii="Arial" w:cs="Arial" w:eastAsia="Arial" w:hAnsi="Arial"/>
          <w:sz w:val="25"/>
          <w:szCs w:val="25"/>
          <w:color w:val="auto"/>
          <w:vertAlign w:val="superscript"/>
        </w:rPr>
        <w:t>Assumptions &amp; Approach Used</w:t>
      </w:r>
      <w:r>
        <w:rPr>
          <w:sz w:val="20"/>
          <w:szCs w:val="20"/>
          <w:color w:val="auto"/>
        </w:rPr>
        <w:tab/>
      </w:r>
      <w:r>
        <w:rPr>
          <w:rFonts w:ascii="Arial" w:cs="Arial" w:eastAsia="Arial" w:hAnsi="Arial"/>
          <w:sz w:val="16"/>
          <w:szCs w:val="16"/>
          <w:color w:val="auto"/>
        </w:rPr>
        <w:t>SDG&amp;E’s legal asset retirement obligations (AROs) related to the decommissioning of SONGS are recorded at fair value based on a site specific study performed every three years. The fair value of the obligations includes</w:t>
      </w:r>
    </w:p>
    <w:p>
      <w:pPr>
        <w:spacing w:after="0" w:line="183" w:lineRule="exact"/>
        <w:rPr>
          <w:sz w:val="20"/>
          <w:szCs w:val="20"/>
          <w:color w:val="auto"/>
        </w:rPr>
      </w:pPr>
    </w:p>
    <w:p>
      <w:pPr>
        <w:ind w:left="2720" w:hanging="281"/>
        <w:spacing w:after="0"/>
        <w:tabs>
          <w:tab w:leader="none" w:pos="27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estimated decommissioning costs, including labor, equipment, material and other disposal costs</w:t>
      </w:r>
    </w:p>
    <w:p>
      <w:pPr>
        <w:spacing w:after="0" w:line="248" w:lineRule="exact"/>
        <w:rPr>
          <w:rFonts w:ascii="Arial" w:cs="Arial" w:eastAsia="Arial" w:hAnsi="Arial"/>
          <w:sz w:val="16"/>
          <w:szCs w:val="16"/>
          <w:color w:val="auto"/>
        </w:rPr>
      </w:pPr>
    </w:p>
    <w:p>
      <w:pPr>
        <w:ind w:left="2720" w:hanging="281"/>
        <w:spacing w:after="0"/>
        <w:tabs>
          <w:tab w:leader="none" w:pos="2720"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t>inflation adjustment applied to estimated cash flows</w:t>
      </w:r>
    </w:p>
    <w:p>
      <w:pPr>
        <w:spacing w:after="0" w:line="248" w:lineRule="exact"/>
        <w:rPr>
          <w:rFonts w:ascii="Arial" w:cs="Arial" w:eastAsia="Arial" w:hAnsi="Arial"/>
          <w:sz w:val="16"/>
          <w:szCs w:val="16"/>
          <w:b w:val="1"/>
          <w:bCs w:val="1"/>
          <w:color w:val="auto"/>
        </w:rPr>
      </w:pPr>
    </w:p>
    <w:p>
      <w:pPr>
        <w:ind w:left="2720" w:hanging="281"/>
        <w:spacing w:after="0"/>
        <w:tabs>
          <w:tab w:leader="none" w:pos="2720"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t>discount rate based on a credit-adjusted risk-free rate</w:t>
      </w:r>
    </w:p>
    <w:p>
      <w:pPr>
        <w:spacing w:after="0" w:line="248" w:lineRule="exact"/>
        <w:rPr>
          <w:rFonts w:ascii="Arial" w:cs="Arial" w:eastAsia="Arial" w:hAnsi="Arial"/>
          <w:sz w:val="16"/>
          <w:szCs w:val="16"/>
          <w:b w:val="1"/>
          <w:bCs w:val="1"/>
          <w:color w:val="auto"/>
        </w:rPr>
      </w:pPr>
    </w:p>
    <w:p>
      <w:pPr>
        <w:ind w:left="2720" w:hanging="281"/>
        <w:spacing w:after="0"/>
        <w:tabs>
          <w:tab w:leader="none" w:pos="27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expected date of decommissioning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5" w:right="239" w:bottom="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Effect if Different</w:t>
      </w:r>
    </w:p>
    <w:p>
      <w:pPr>
        <w:spacing w:after="0"/>
        <w:rPr>
          <w:sz w:val="20"/>
          <w:szCs w:val="20"/>
          <w:color w:val="auto"/>
        </w:rPr>
      </w:pPr>
      <w:r>
        <w:rPr>
          <w:rFonts w:ascii="Arial" w:cs="Arial" w:eastAsia="Arial" w:hAnsi="Arial"/>
          <w:sz w:val="12"/>
          <w:szCs w:val="12"/>
          <w:color w:val="auto"/>
        </w:rPr>
        <w:t>Assumptions Used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320"/>
        <w:spacing w:after="0" w:line="235" w:lineRule="auto"/>
        <w:rPr>
          <w:sz w:val="20"/>
          <w:szCs w:val="20"/>
          <w:color w:val="auto"/>
        </w:rPr>
      </w:pPr>
      <w:r>
        <w:rPr>
          <w:rFonts w:ascii="Arial" w:cs="Arial" w:eastAsia="Arial" w:hAnsi="Arial"/>
          <w:sz w:val="16"/>
          <w:szCs w:val="16"/>
          <w:color w:val="auto"/>
        </w:rPr>
        <w:t>Changes in the estimated decommissioning costs, or in the assumptions and judgments by management underlying these estimates, could cause revisions to the estimated total cost associated with retiring the assets. Due to regulatory recovery of SDG&amp;E’s nuclear decommissioning expense, rate-making accounting treatment is applied to SDG&amp;E’s nuclear decommissioning activities, so they have no impact on SDG&amp;E’s reported earnings.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detail in Note 6 of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1905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302260</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720"/>
            <w:col w:w="9200"/>
          </w:cols>
          <w:pgMar w:left="240" w:top="155" w:right="239" w:bottom="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TESTING OF LONG-LIVED ASSETS</w:t>
      </w:r>
    </w:p>
    <w:tbl>
      <w:tblPr>
        <w:tblLayout w:type="fixed"/>
        <w:tblInd w:w="0" w:type="dxa"/>
        <w:tblCellMar>
          <w:top w:w="0" w:type="dxa"/>
          <w:left w:w="0" w:type="dxa"/>
          <w:bottom w:w="0" w:type="dxa"/>
          <w:right w:w="0" w:type="dxa"/>
        </w:tblCellMar>
      </w:tblPr>
      <w:tr>
        <w:trPr>
          <w:trHeight w:val="147"/>
        </w:trPr>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Assumptions &amp; Approach</w:t>
            </w:r>
          </w:p>
        </w:tc>
        <w:tc>
          <w:tcPr>
            <w:tcW w:w="9740" w:type="dxa"/>
            <w:vAlign w:val="bottom"/>
          </w:tcPr>
          <w:p>
            <w:pPr>
              <w:ind w:left="240"/>
              <w:spacing w:after="0" w:line="147" w:lineRule="exact"/>
              <w:rPr>
                <w:sz w:val="20"/>
                <w:szCs w:val="20"/>
                <w:color w:val="auto"/>
              </w:rPr>
            </w:pPr>
            <w:r>
              <w:rPr>
                <w:rFonts w:ascii="Arial" w:cs="Arial" w:eastAsia="Arial" w:hAnsi="Arial"/>
                <w:sz w:val="16"/>
                <w:szCs w:val="16"/>
                <w:color w:val="auto"/>
              </w:rPr>
              <w:t>Whenever events or changes in circumstances indicate that an asset’s carrying amount may not be recoverable, we consider if the</w:t>
            </w:r>
          </w:p>
        </w:tc>
      </w:tr>
      <w:tr>
        <w:trPr>
          <w:trHeight w:val="204"/>
        </w:trPr>
        <w:tc>
          <w:tcPr>
            <w:tcW w:w="1680" w:type="dxa"/>
            <w:vAlign w:val="bottom"/>
            <w:gridSpan w:val="2"/>
          </w:tcPr>
          <w:p>
            <w:pPr>
              <w:spacing w:after="0"/>
              <w:rPr>
                <w:sz w:val="20"/>
                <w:szCs w:val="20"/>
                <w:color w:val="auto"/>
              </w:rPr>
            </w:pPr>
            <w:r>
              <w:rPr>
                <w:rFonts w:ascii="Arial" w:cs="Arial" w:eastAsia="Arial" w:hAnsi="Arial"/>
                <w:sz w:val="13"/>
                <w:szCs w:val="13"/>
                <w:color w:val="auto"/>
              </w:rPr>
              <w:t>Used</w:t>
            </w:r>
          </w:p>
        </w:tc>
        <w:tc>
          <w:tcPr>
            <w:tcW w:w="9740" w:type="dxa"/>
            <w:vAlign w:val="bottom"/>
          </w:tcPr>
          <w:p>
            <w:pPr>
              <w:ind w:left="240"/>
              <w:spacing w:after="0"/>
              <w:rPr>
                <w:sz w:val="20"/>
                <w:szCs w:val="20"/>
                <w:color w:val="auto"/>
              </w:rPr>
            </w:pPr>
            <w:r>
              <w:rPr>
                <w:rFonts w:ascii="Arial" w:cs="Arial" w:eastAsia="Arial" w:hAnsi="Arial"/>
                <w:sz w:val="16"/>
                <w:szCs w:val="16"/>
                <w:color w:val="auto"/>
              </w:rPr>
              <w:t>estimated future undiscounted cash flows are less than the carrying amount of the assets. If so, we estimate the fair value of these</w:t>
            </w:r>
          </w:p>
        </w:tc>
      </w:tr>
      <w:tr>
        <w:trPr>
          <w:trHeight w:val="176"/>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740" w:type="dxa"/>
            <w:vAlign w:val="bottom"/>
          </w:tcPr>
          <w:p>
            <w:pPr>
              <w:ind w:left="240"/>
              <w:spacing w:after="0" w:line="176" w:lineRule="exact"/>
              <w:rPr>
                <w:sz w:val="20"/>
                <w:szCs w:val="20"/>
                <w:color w:val="auto"/>
              </w:rPr>
            </w:pPr>
            <w:r>
              <w:rPr>
                <w:rFonts w:ascii="Arial" w:cs="Arial" w:eastAsia="Arial" w:hAnsi="Arial"/>
                <w:sz w:val="16"/>
                <w:szCs w:val="16"/>
                <w:color w:val="auto"/>
              </w:rPr>
              <w:t>assets to determine the extent to which cost exceeds fair value. For these estimates, we may consider data from multiple valuation</w:t>
            </w:r>
          </w:p>
        </w:tc>
      </w:tr>
      <w:tr>
        <w:trPr>
          <w:trHeight w:val="176"/>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740" w:type="dxa"/>
            <w:vAlign w:val="bottom"/>
          </w:tcPr>
          <w:p>
            <w:pPr>
              <w:ind w:left="240"/>
              <w:spacing w:after="0" w:line="176" w:lineRule="exact"/>
              <w:rPr>
                <w:sz w:val="20"/>
                <w:szCs w:val="20"/>
                <w:color w:val="auto"/>
              </w:rPr>
            </w:pPr>
            <w:r>
              <w:rPr>
                <w:rFonts w:ascii="Arial" w:cs="Arial" w:eastAsia="Arial" w:hAnsi="Arial"/>
                <w:sz w:val="16"/>
                <w:szCs w:val="16"/>
                <w:color w:val="auto"/>
              </w:rPr>
              <w:t>methods, including data from market participants. We exercise judgment to estimate the future cash flows and the useful lives of</w:t>
            </w:r>
          </w:p>
        </w:tc>
      </w:tr>
      <w:tr>
        <w:trPr>
          <w:trHeight w:val="176"/>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740" w:type="dxa"/>
            <w:vAlign w:val="bottom"/>
          </w:tcPr>
          <w:p>
            <w:pPr>
              <w:ind w:left="240"/>
              <w:spacing w:after="0" w:line="176" w:lineRule="exact"/>
              <w:rPr>
                <w:sz w:val="20"/>
                <w:szCs w:val="20"/>
                <w:color w:val="auto"/>
              </w:rPr>
            </w:pPr>
            <w:r>
              <w:rPr>
                <w:rFonts w:ascii="Arial" w:cs="Arial" w:eastAsia="Arial" w:hAnsi="Arial"/>
                <w:sz w:val="16"/>
                <w:szCs w:val="16"/>
                <w:color w:val="auto"/>
              </w:rPr>
              <w:t>long-lived assets and to determine our intent to use the assets. Our intent to use or dispose of assets is subject to re-evaluation and</w:t>
            </w:r>
          </w:p>
        </w:tc>
      </w:tr>
      <w:tr>
        <w:trPr>
          <w:trHeight w:val="194"/>
        </w:trPr>
        <w:tc>
          <w:tcPr>
            <w:tcW w:w="2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97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can change over time.</w:t>
            </w:r>
          </w:p>
        </w:tc>
      </w:tr>
      <w:tr>
        <w:trPr>
          <w:trHeight w:val="135"/>
        </w:trPr>
        <w:tc>
          <w:tcPr>
            <w:tcW w:w="20" w:type="dxa"/>
            <w:vAlign w:val="bottom"/>
          </w:tcPr>
          <w:p>
            <w:pPr>
              <w:spacing w:after="0"/>
              <w:rPr>
                <w:sz w:val="11"/>
                <w:szCs w:val="11"/>
                <w:color w:val="auto"/>
              </w:rPr>
            </w:pPr>
          </w:p>
        </w:tc>
        <w:tc>
          <w:tcPr>
            <w:tcW w:w="1660" w:type="dxa"/>
            <w:vAlign w:val="bottom"/>
          </w:tcPr>
          <w:p>
            <w:pPr>
              <w:spacing w:after="0" w:line="135" w:lineRule="exact"/>
              <w:rPr>
                <w:sz w:val="20"/>
                <w:szCs w:val="20"/>
                <w:color w:val="auto"/>
              </w:rPr>
            </w:pPr>
            <w:r>
              <w:rPr>
                <w:rFonts w:ascii="Arial" w:cs="Arial" w:eastAsia="Arial" w:hAnsi="Arial"/>
                <w:sz w:val="13"/>
                <w:szCs w:val="13"/>
                <w:color w:val="auto"/>
              </w:rPr>
              <w:t>Effect if Different</w:t>
            </w:r>
          </w:p>
        </w:tc>
        <w:tc>
          <w:tcPr>
            <w:tcW w:w="9740" w:type="dxa"/>
            <w:vAlign w:val="bottom"/>
          </w:tcPr>
          <w:p>
            <w:pPr>
              <w:ind w:left="240"/>
              <w:spacing w:after="0" w:line="135" w:lineRule="exact"/>
              <w:rPr>
                <w:sz w:val="20"/>
                <w:szCs w:val="20"/>
                <w:color w:val="auto"/>
              </w:rPr>
            </w:pPr>
            <w:r>
              <w:rPr>
                <w:rFonts w:ascii="Arial" w:cs="Arial" w:eastAsia="Arial" w:hAnsi="Arial"/>
                <w:sz w:val="15"/>
                <w:szCs w:val="15"/>
                <w:color w:val="auto"/>
              </w:rPr>
              <w:t>If an impairment test is required, the fair value of long-lived assets can vary if differing estimates and assumptions are used in the</w:t>
            </w:r>
          </w:p>
        </w:tc>
      </w:tr>
      <w:tr>
        <w:trPr>
          <w:trHeight w:val="204"/>
        </w:trPr>
        <w:tc>
          <w:tcPr>
            <w:tcW w:w="1680" w:type="dxa"/>
            <w:vAlign w:val="bottom"/>
            <w:gridSpan w:val="2"/>
          </w:tcPr>
          <w:p>
            <w:pPr>
              <w:spacing w:after="0"/>
              <w:rPr>
                <w:sz w:val="20"/>
                <w:szCs w:val="20"/>
                <w:color w:val="auto"/>
              </w:rPr>
            </w:pPr>
            <w:r>
              <w:rPr>
                <w:rFonts w:ascii="Arial" w:cs="Arial" w:eastAsia="Arial" w:hAnsi="Arial"/>
                <w:sz w:val="13"/>
                <w:szCs w:val="13"/>
                <w:color w:val="auto"/>
              </w:rPr>
              <w:t>Assumptions Used</w:t>
            </w:r>
          </w:p>
        </w:tc>
        <w:tc>
          <w:tcPr>
            <w:tcW w:w="9740" w:type="dxa"/>
            <w:vAlign w:val="bottom"/>
          </w:tcPr>
          <w:p>
            <w:pPr>
              <w:ind w:left="240"/>
              <w:spacing w:after="0"/>
              <w:rPr>
                <w:sz w:val="20"/>
                <w:szCs w:val="20"/>
                <w:color w:val="auto"/>
              </w:rPr>
            </w:pPr>
            <w:r>
              <w:rPr>
                <w:rFonts w:ascii="Arial" w:cs="Arial" w:eastAsia="Arial" w:hAnsi="Arial"/>
                <w:sz w:val="16"/>
                <w:szCs w:val="16"/>
                <w:color w:val="auto"/>
              </w:rPr>
              <w:t>valuation techniques applied as indicated by changing market or other conditions. We discuss impairment of long-lived assets in</w:t>
            </w:r>
          </w:p>
        </w:tc>
      </w:tr>
      <w:tr>
        <w:trPr>
          <w:trHeight w:val="194"/>
        </w:trPr>
        <w:tc>
          <w:tcPr>
            <w:tcW w:w="2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97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Note 1 of the Notes to Consolidated Financial Statements.</w:t>
            </w:r>
          </w:p>
        </w:tc>
      </w:tr>
    </w:tbl>
    <w:p>
      <w:pPr>
        <w:spacing w:after="0" w:line="144" w:lineRule="exact"/>
        <w:rPr>
          <w:sz w:val="20"/>
          <w:szCs w:val="20"/>
          <w:color w:val="auto"/>
        </w:rPr>
      </w:pPr>
    </w:p>
    <w:p>
      <w:pPr>
        <w:sectPr>
          <w:pgSz w:w="11900" w:h="16838" w:orient="portrait"/>
          <w:cols w:equalWidth="0" w:num="1">
            <w:col w:w="11420"/>
          </w:cols>
          <w:pgMar w:left="240" w:top="155" w:right="23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IMPAIRMENT TESTING OF GOODWILL</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Assumptions &amp; Approach</w:t>
      </w:r>
    </w:p>
    <w:p>
      <w:pPr>
        <w:spacing w:after="0"/>
        <w:rPr>
          <w:sz w:val="20"/>
          <w:szCs w:val="20"/>
          <w:color w:val="auto"/>
        </w:rPr>
      </w:pPr>
      <w:r>
        <w:rPr>
          <w:rFonts w:ascii="Arial" w:cs="Arial" w:eastAsia="Arial" w:hAnsi="Arial"/>
          <w:sz w:val="13"/>
          <w:szCs w:val="13"/>
          <w:color w:val="auto"/>
        </w:rPr>
        <w:t>Used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On an annual basis or whenever events or changes in circumstances necessitate an evaluation, we consider whether goodwill may be impaired. We exercise judgment to develop estimates of the fair value of the reporting unit and the corresponding goodwill. Our fair value estimates are developed from the perspective of a knowledgeable market participant. In the absence of observable transactions in the marketplace for similar investments, we consider an income-based approach such as discounted cash flow analysis. A discounted cash flow analysis may be based directly on anticipated future revenues and expenses and may be performed based on free cash flows generated within the reporting unit. Critical assumptions that affect our estimates of fair value may include</w:t>
      </w:r>
    </w:p>
    <w:p>
      <w:pPr>
        <w:spacing w:after="0" w:line="187" w:lineRule="exact"/>
        <w:rPr>
          <w:sz w:val="20"/>
          <w:szCs w:val="20"/>
          <w:color w:val="auto"/>
        </w:rPr>
      </w:pPr>
    </w:p>
    <w:p>
      <w:pPr>
        <w:ind w:left="620" w:hanging="295"/>
        <w:spacing w:after="0"/>
        <w:tabs>
          <w:tab w:leader="none" w:pos="6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consideration of market transactions</w:t>
      </w:r>
    </w:p>
    <w:p>
      <w:pPr>
        <w:spacing w:after="0" w:line="248" w:lineRule="exact"/>
        <w:rPr>
          <w:rFonts w:ascii="Arial" w:cs="Arial" w:eastAsia="Arial" w:hAnsi="Arial"/>
          <w:sz w:val="16"/>
          <w:szCs w:val="16"/>
          <w:color w:val="auto"/>
        </w:rPr>
      </w:pPr>
    </w:p>
    <w:p>
      <w:pPr>
        <w:ind w:left="620" w:hanging="295"/>
        <w:spacing w:after="0"/>
        <w:tabs>
          <w:tab w:leader="none" w:pos="6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future cash flows</w:t>
      </w:r>
    </w:p>
    <w:p>
      <w:pPr>
        <w:spacing w:after="0" w:line="248" w:lineRule="exact"/>
        <w:rPr>
          <w:rFonts w:ascii="Arial" w:cs="Arial" w:eastAsia="Arial" w:hAnsi="Arial"/>
          <w:sz w:val="16"/>
          <w:szCs w:val="16"/>
          <w:color w:val="auto"/>
        </w:rPr>
      </w:pPr>
    </w:p>
    <w:p>
      <w:pPr>
        <w:ind w:left="620" w:hanging="295"/>
        <w:spacing w:after="0"/>
        <w:tabs>
          <w:tab w:leader="none" w:pos="6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appropriate risk-adjusted discount rate</w:t>
      </w:r>
    </w:p>
    <w:p>
      <w:pPr>
        <w:sectPr>
          <w:pgSz w:w="11900" w:h="16838" w:orient="portrait"/>
          <w:cols w:equalWidth="0" w:num="2">
            <w:col w:w="2980" w:space="120"/>
            <w:col w:w="8320"/>
          </w:cols>
          <w:pgMar w:left="240" w:top="155" w:right="239" w:bottom="0" w:gutter="0" w:footer="0" w:header="0"/>
          <w:type w:val="continuous"/>
        </w:sectPr>
      </w:pPr>
    </w:p>
    <w:bookmarkStart w:id="180" w:name="page181"/>
    <w:bookmarkEnd w:id="180"/>
    <w:p>
      <w:pPr>
        <w:ind w:left="3720" w:hanging="295"/>
        <w:spacing w:after="0"/>
        <w:tabs>
          <w:tab w:leader="none" w:pos="37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country risk</w:t>
      </w:r>
    </w:p>
    <w:p>
      <w:pPr>
        <w:spacing w:after="0" w:line="248" w:lineRule="exact"/>
        <w:rPr>
          <w:rFonts w:ascii="Arial" w:cs="Arial" w:eastAsia="Arial" w:hAnsi="Arial"/>
          <w:sz w:val="16"/>
          <w:szCs w:val="16"/>
          <w:color w:val="auto"/>
        </w:rPr>
      </w:pPr>
    </w:p>
    <w:p>
      <w:pPr>
        <w:ind w:left="3720" w:hanging="295"/>
        <w:spacing w:after="0"/>
        <w:tabs>
          <w:tab w:leader="none" w:pos="37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entity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5" w:right="239" w:bottom="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Effect if Different</w:t>
      </w:r>
    </w:p>
    <w:p>
      <w:pPr>
        <w:spacing w:after="0"/>
        <w:rPr>
          <w:sz w:val="20"/>
          <w:szCs w:val="20"/>
          <w:color w:val="auto"/>
        </w:rPr>
      </w:pPr>
      <w:r>
        <w:rPr>
          <w:rFonts w:ascii="Arial" w:cs="Arial" w:eastAsia="Arial" w:hAnsi="Arial"/>
          <w:sz w:val="12"/>
          <w:szCs w:val="12"/>
          <w:color w:val="auto"/>
        </w:rPr>
        <w:t>Assumptions Used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Testing goodwill for impairment requires an entity to first determine if the carrying value of a reporting unit exceeds its fair value and if so, to measure the amount of goodwill impairment, if any. When determining if goodwill is impaired, the fair value of the reporting unit and goodwill can vary if differing estimates and assumptions are used in the valuation techniques applied as indicated by changing market or other conditions. As a result, recognizing a goodwill impairment may or may not be required. Sempra Energy added $975 million in goodwill to its Consolidated Balance Sheet in 2011. We discuss goodwill in Notes 1, 2 and 3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86995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720"/>
            <w:col w:w="8320"/>
          </w:cols>
          <w:pgMar w:left="240" w:top="155" w:right="239" w:bottom="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CARRYING VALUE OF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120" w:right="360" w:hanging="2119"/>
        <w:spacing w:after="0" w:line="237" w:lineRule="auto"/>
        <w:tabs>
          <w:tab w:leader="none" w:pos="2100" w:val="left"/>
        </w:tabs>
        <w:rPr>
          <w:sz w:val="20"/>
          <w:szCs w:val="20"/>
          <w:color w:val="auto"/>
        </w:rPr>
      </w:pPr>
      <w:r>
        <w:rPr>
          <w:rFonts w:ascii="Arial" w:cs="Arial" w:eastAsia="Arial" w:hAnsi="Arial"/>
          <w:sz w:val="25"/>
          <w:szCs w:val="25"/>
          <w:color w:val="auto"/>
          <w:vertAlign w:val="superscript"/>
        </w:rPr>
        <w:t>Assumptions &amp; Approach Used</w:t>
      </w:r>
      <w:r>
        <w:rPr>
          <w:sz w:val="20"/>
          <w:szCs w:val="20"/>
          <w:color w:val="auto"/>
        </w:rPr>
        <w:tab/>
      </w:r>
      <w:r>
        <w:rPr>
          <w:rFonts w:ascii="Arial" w:cs="Arial" w:eastAsia="Arial" w:hAnsi="Arial"/>
          <w:sz w:val="16"/>
          <w:szCs w:val="16"/>
          <w:color w:val="auto"/>
        </w:rPr>
        <w:t>We generally account for investments under the equity method when we have an ownership interest of 20 to 50 percent. The premium, or excess cost over the underlying carrying value of net assets, is referred to as equity method goodwill, which is included in the impairment testing of the equity method investment.</w:t>
      </w:r>
    </w:p>
    <w:p>
      <w:pPr>
        <w:spacing w:after="0" w:line="157" w:lineRule="exact"/>
        <w:rPr>
          <w:sz w:val="20"/>
          <w:szCs w:val="20"/>
          <w:color w:val="auto"/>
        </w:rPr>
      </w:pPr>
    </w:p>
    <w:p>
      <w:pPr>
        <w:ind w:left="2120" w:right="100"/>
        <w:spacing w:after="0" w:line="231" w:lineRule="auto"/>
        <w:rPr>
          <w:sz w:val="20"/>
          <w:szCs w:val="20"/>
          <w:color w:val="auto"/>
        </w:rPr>
      </w:pPr>
      <w:r>
        <w:rPr>
          <w:rFonts w:ascii="Arial" w:cs="Arial" w:eastAsia="Arial" w:hAnsi="Arial"/>
          <w:sz w:val="16"/>
          <w:szCs w:val="16"/>
          <w:color w:val="auto"/>
        </w:rPr>
        <w:t>We consider whether the fair value of each equity investment as a whole, not the underlying net assets, has declined and whether that decline is other than temporary. To help evaluate whether a decline in fair value below cost has occurred and if the decline is other than temporary, we may develop fair value estimates for the investment. Our fair value estimates are developed from the perspective of a knowledgeable market participant. In the absence of observable transactions in the marketplace for similar investments, we consider an income-based approach such as discounted cash flow analysis or, with less weighting, the replacement cost of the underlying net assets. A discounted cash flow analysis may be based directly on anticipated future distributions from the investment, or may be performed based on free cash flows generated within the entity and adjusted for our ownership share total. When calculating estimates of fair or realizable values, we also consider whether we intend to hold or sell the investment. For certain held investments, critical assumptions include</w:t>
      </w:r>
    </w:p>
    <w:p>
      <w:pPr>
        <w:spacing w:after="0" w:line="177" w:lineRule="exact"/>
        <w:rPr>
          <w:sz w:val="20"/>
          <w:szCs w:val="20"/>
          <w:color w:val="auto"/>
        </w:rPr>
      </w:pPr>
    </w:p>
    <w:p>
      <w:pPr>
        <w:ind w:left="2460"/>
        <w:spacing w:after="0"/>
        <w:tabs>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appropriate risk-adjusted discount rate</w:t>
      </w:r>
    </w:p>
    <w:p>
      <w:pPr>
        <w:spacing w:after="0" w:line="248" w:lineRule="exact"/>
        <w:rPr>
          <w:sz w:val="20"/>
          <w:szCs w:val="20"/>
          <w:color w:val="auto"/>
        </w:rPr>
      </w:pPr>
    </w:p>
    <w:p>
      <w:pPr>
        <w:ind w:left="2460"/>
        <w:spacing w:after="0"/>
        <w:tabs>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availability and costs of natural gas</w:t>
      </w:r>
    </w:p>
    <w:p>
      <w:pPr>
        <w:spacing w:after="0" w:line="248" w:lineRule="exact"/>
        <w:rPr>
          <w:sz w:val="20"/>
          <w:szCs w:val="20"/>
          <w:color w:val="auto"/>
        </w:rPr>
      </w:pPr>
    </w:p>
    <w:p>
      <w:pPr>
        <w:ind w:left="2460"/>
        <w:spacing w:after="0"/>
        <w:tabs>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competing fuels (primarily propane) and electricity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20" w:type="dxa"/>
            <w:vAlign w:val="bottom"/>
          </w:tcPr>
          <w:p>
            <w:pPr>
              <w:ind w:left="520"/>
              <w:spacing w:after="0"/>
              <w:rPr>
                <w:sz w:val="20"/>
                <w:szCs w:val="20"/>
                <w:color w:val="auto"/>
              </w:rPr>
            </w:pPr>
            <w:r>
              <w:rPr>
                <w:rFonts w:ascii="Arial" w:cs="Arial" w:eastAsia="Arial" w:hAnsi="Arial"/>
                <w:sz w:val="16"/>
                <w:szCs w:val="16"/>
                <w:color w:val="auto"/>
              </w:rPr>
              <w:t>For investments that we hold for sale, such as our Argentine investments, or investments that are substantially sold, such as RBS</w:t>
            </w:r>
          </w:p>
        </w:tc>
      </w:tr>
      <w:tr>
        <w:trPr>
          <w:trHeight w:val="176"/>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820" w:type="dxa"/>
            <w:vAlign w:val="bottom"/>
          </w:tcPr>
          <w:p>
            <w:pPr>
              <w:ind w:left="520"/>
              <w:spacing w:after="0" w:line="176" w:lineRule="exact"/>
              <w:rPr>
                <w:sz w:val="20"/>
                <w:szCs w:val="20"/>
                <w:color w:val="auto"/>
              </w:rPr>
            </w:pPr>
            <w:r>
              <w:rPr>
                <w:rFonts w:ascii="Arial" w:cs="Arial" w:eastAsia="Arial" w:hAnsi="Arial"/>
                <w:sz w:val="16"/>
                <w:szCs w:val="16"/>
                <w:color w:val="auto"/>
              </w:rPr>
              <w:t>Sempra Commodities, we consider comparable sales values, executed sales transactions or indications of value determined by</w:t>
            </w:r>
          </w:p>
        </w:tc>
      </w:tr>
      <w:tr>
        <w:trPr>
          <w:trHeight w:val="194"/>
        </w:trPr>
        <w:tc>
          <w:tcPr>
            <w:tcW w:w="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9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cash and affiliate receivables within the entity when determining our estimates of fair value.</w:t>
            </w:r>
          </w:p>
        </w:tc>
      </w:tr>
      <w:tr>
        <w:trPr>
          <w:trHeight w:val="135"/>
        </w:trPr>
        <w:tc>
          <w:tcPr>
            <w:tcW w:w="20" w:type="dxa"/>
            <w:vAlign w:val="bottom"/>
          </w:tcPr>
          <w:p>
            <w:pPr>
              <w:spacing w:after="0"/>
              <w:rPr>
                <w:sz w:val="11"/>
                <w:szCs w:val="11"/>
                <w:color w:val="auto"/>
              </w:rPr>
            </w:pPr>
          </w:p>
        </w:tc>
        <w:tc>
          <w:tcPr>
            <w:tcW w:w="1580" w:type="dxa"/>
            <w:vAlign w:val="bottom"/>
          </w:tcPr>
          <w:p>
            <w:pPr>
              <w:spacing w:after="0" w:line="135" w:lineRule="exact"/>
              <w:rPr>
                <w:sz w:val="20"/>
                <w:szCs w:val="20"/>
                <w:color w:val="auto"/>
              </w:rPr>
            </w:pPr>
            <w:r>
              <w:rPr>
                <w:rFonts w:ascii="Arial" w:cs="Arial" w:eastAsia="Arial" w:hAnsi="Arial"/>
                <w:sz w:val="13"/>
                <w:szCs w:val="13"/>
                <w:color w:val="auto"/>
              </w:rPr>
              <w:t>Effect if Different</w:t>
            </w:r>
          </w:p>
        </w:tc>
        <w:tc>
          <w:tcPr>
            <w:tcW w:w="9820" w:type="dxa"/>
            <w:vAlign w:val="bottom"/>
          </w:tcPr>
          <w:p>
            <w:pPr>
              <w:ind w:left="520"/>
              <w:spacing w:after="0" w:line="135" w:lineRule="exact"/>
              <w:rPr>
                <w:sz w:val="20"/>
                <w:szCs w:val="20"/>
                <w:color w:val="auto"/>
              </w:rPr>
            </w:pPr>
            <w:r>
              <w:rPr>
                <w:rFonts w:ascii="Arial" w:cs="Arial" w:eastAsia="Arial" w:hAnsi="Arial"/>
                <w:sz w:val="15"/>
                <w:szCs w:val="15"/>
                <w:color w:val="auto"/>
              </w:rPr>
              <w:t>The risk assumptions applied by other market participants to value the investments could vary significantly or the appropriate</w:t>
            </w:r>
          </w:p>
        </w:tc>
      </w:tr>
      <w:tr>
        <w:trPr>
          <w:trHeight w:val="204"/>
        </w:trPr>
        <w:tc>
          <w:tcPr>
            <w:tcW w:w="1600" w:type="dxa"/>
            <w:vAlign w:val="bottom"/>
            <w:gridSpan w:val="2"/>
          </w:tcPr>
          <w:p>
            <w:pPr>
              <w:spacing w:after="0"/>
              <w:rPr>
                <w:sz w:val="20"/>
                <w:szCs w:val="20"/>
                <w:color w:val="auto"/>
              </w:rPr>
            </w:pPr>
            <w:r>
              <w:rPr>
                <w:rFonts w:ascii="Arial" w:cs="Arial" w:eastAsia="Arial" w:hAnsi="Arial"/>
                <w:sz w:val="13"/>
                <w:szCs w:val="13"/>
                <w:color w:val="auto"/>
              </w:rPr>
              <w:t>Assumptions Used</w:t>
            </w:r>
          </w:p>
        </w:tc>
        <w:tc>
          <w:tcPr>
            <w:tcW w:w="9820" w:type="dxa"/>
            <w:vAlign w:val="bottom"/>
          </w:tcPr>
          <w:p>
            <w:pPr>
              <w:ind w:left="520"/>
              <w:spacing w:after="0"/>
              <w:rPr>
                <w:sz w:val="20"/>
                <w:szCs w:val="20"/>
                <w:color w:val="auto"/>
              </w:rPr>
            </w:pPr>
            <w:r>
              <w:rPr>
                <w:rFonts w:ascii="Arial" w:cs="Arial" w:eastAsia="Arial" w:hAnsi="Arial"/>
                <w:sz w:val="16"/>
                <w:szCs w:val="16"/>
                <w:color w:val="auto"/>
              </w:rPr>
              <w:t>approaches could be weighted differently. These differences could impact whether or not the fair value of the investment is less</w:t>
            </w:r>
          </w:p>
        </w:tc>
      </w:tr>
      <w:tr>
        <w:trPr>
          <w:trHeight w:val="176"/>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820" w:type="dxa"/>
            <w:vAlign w:val="bottom"/>
          </w:tcPr>
          <w:p>
            <w:pPr>
              <w:ind w:left="520"/>
              <w:spacing w:after="0" w:line="176" w:lineRule="exact"/>
              <w:rPr>
                <w:sz w:val="20"/>
                <w:szCs w:val="20"/>
                <w:color w:val="auto"/>
              </w:rPr>
            </w:pPr>
            <w:r>
              <w:rPr>
                <w:rFonts w:ascii="Arial" w:cs="Arial" w:eastAsia="Arial" w:hAnsi="Arial"/>
                <w:sz w:val="16"/>
                <w:szCs w:val="16"/>
                <w:color w:val="auto"/>
              </w:rPr>
              <w:t>than its cost, and if so, whether that condition is other than temporary. This could result in an impairment charge or a different</w:t>
            </w:r>
          </w:p>
        </w:tc>
      </w:tr>
      <w:tr>
        <w:trPr>
          <w:trHeight w:val="195"/>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20" w:type="dxa"/>
            <w:vAlign w:val="bottom"/>
          </w:tcPr>
          <w:p>
            <w:pPr>
              <w:ind w:left="520"/>
              <w:spacing w:after="0"/>
              <w:rPr>
                <w:sz w:val="20"/>
                <w:szCs w:val="20"/>
                <w:color w:val="auto"/>
              </w:rPr>
            </w:pPr>
            <w:r>
              <w:rPr>
                <w:rFonts w:ascii="Arial" w:cs="Arial" w:eastAsia="Arial" w:hAnsi="Arial"/>
                <w:sz w:val="16"/>
                <w:szCs w:val="16"/>
                <w:color w:val="auto"/>
              </w:rPr>
              <w:t>amount of impairment charge, and, in cases where an impairment charge has been recorded, additional loss or gain upon sale.</w:t>
            </w:r>
          </w:p>
        </w:tc>
      </w:tr>
      <w:tr>
        <w:trPr>
          <w:trHeight w:val="351"/>
        </w:trPr>
        <w:tc>
          <w:tcPr>
            <w:tcW w:w="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We provide additional details in Note 4 of the Notes to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NONCASH PERFORMANCE INDICATORS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key noncash performance indicators related to each business unit follows: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Key noncash performance indicators include number of customers, and natural gas volumes and electricity sold. Additional noncash performance indicators include goals related to safety, customer service, customer reputation, environmental considerations, on-time and on-budget completion of major projects and initiatives, and in the case of SDG&amp;E, electric reliability. We discuss natural gas volumes and electricity sold in “Results of Operations – Changes in Revenues, Costs and Earnings” above.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Key noncash performance indicators include plant availability factors at the generating plants. For competitive reasons, Sempra Generation does not disclose its plant availability factors. Additional noncash performance indicators include goals related to safety, environmental considerations, and compliance with reliability standards.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Key noncash performance indicators for Sempra Pipelines &amp; Storage’s consolidated operations include natural gas sales volume, facility availability, capacity utilization, and for our South American and other distribution operations, customer count and consumption. We discuss these above in “Our Business” and “Factors Influencing Future Performance.” Additional noncash performance indicators include goals related to safety, environmental considerations, and regulatory compliance.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0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Key noncash performance indicators include plant availability and capacity utilization. We discuss these above in “Our Business” and “Factors Influencing Future Performance.” Additional noncash performance indicators include goals related to safety, environmental considerations, regulatory compliance, and on-time and on-budget completion of development projects.</w:t>
      </w:r>
    </w:p>
    <w:p>
      <w:pPr>
        <w:sectPr>
          <w:pgSz w:w="11900" w:h="16838" w:orient="portrait"/>
          <w:cols w:equalWidth="0" w:num="1">
            <w:col w:w="11420"/>
          </w:cols>
          <w:pgMar w:left="240" w:top="155" w:right="239" w:bottom="0" w:gutter="0" w:footer="0" w:header="0"/>
          <w:type w:val="continuous"/>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NEW ACCOUNTING STANDARDS</w:t>
      </w: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 significant effect on our financial statements in Note 2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FORWARD-LOOKING STATEMENTS</w:t>
      </w:r>
    </w:p>
    <w:p>
      <w:pPr>
        <w:spacing w:after="0" w:line="19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54"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“contemplates,” “intends,” “depends,” “should,” “could,” “would,” “will,” “may,” “potential,” “target,” “goals,” or similar expressions, or when we discuss our guidance, strategy, plans or intentions, we are making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8" w:lineRule="exact"/>
        <w:rPr>
          <w:sz w:val="20"/>
          <w:szCs w:val="20"/>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actions by the California Public Utilities Commission, California State Legislature, Federal Energy Regulatory Commission,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impact of benchmark interest rates, generally U.S. Treasury bond and Moody’s A-rated utility bond yields, on our Sempra Utilities’ cost of capital;</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and equipment failures;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risks inherent in nuclear power generation and radioactive materials storage, including the catastrophic release of such materials;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status of deregulation of retail natural gas and electricity delivery;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 as described in this report and in our Annual Report on Form 10-K and other reports that we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COMMON STOCK DATA</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traded on the New York Stock Exchange. At February 24, 2012, there were approximately 37,500 record holders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Sempra Energy quarterly common stock data:</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301" w:lineRule="exact"/>
        <w:rPr>
          <w:sz w:val="20"/>
          <w:szCs w:val="20"/>
          <w:color w:val="auto"/>
        </w:rPr>
      </w:pPr>
    </w:p>
    <w:p>
      <w:pPr>
        <w:ind w:left="4280"/>
        <w:spacing w:after="0"/>
        <w:tabs>
          <w:tab w:leader="none" w:pos="6320" w:val="left"/>
          <w:tab w:leader="none" w:pos="8760" w:val="left"/>
          <w:tab w:leader="none" w:pos="10980" w:val="left"/>
        </w:tabs>
        <w:rPr>
          <w:sz w:val="20"/>
          <w:szCs w:val="20"/>
          <w:color w:val="auto"/>
        </w:rPr>
      </w:pPr>
      <w:r>
        <w:rPr>
          <w:rFonts w:ascii="Arial" w:cs="Arial" w:eastAsia="Arial" w:hAnsi="Arial"/>
          <w:sz w:val="14"/>
          <w:szCs w:val="14"/>
          <w:color w:val="auto"/>
        </w:rPr>
        <w:t>First</w:t>
      </w:r>
      <w:r>
        <w:rPr>
          <w:sz w:val="20"/>
          <w:szCs w:val="20"/>
          <w:color w:val="auto"/>
        </w:rPr>
        <w:tab/>
      </w:r>
      <w:r>
        <w:rPr>
          <w:rFonts w:ascii="Arial" w:cs="Arial" w:eastAsia="Arial" w:hAnsi="Arial"/>
          <w:sz w:val="14"/>
          <w:szCs w:val="14"/>
          <w:color w:val="auto"/>
        </w:rPr>
        <w:t>Second</w:t>
      </w:r>
      <w:r>
        <w:rPr>
          <w:sz w:val="20"/>
          <w:szCs w:val="20"/>
          <w:color w:val="auto"/>
        </w:rPr>
        <w:tab/>
      </w:r>
      <w:r>
        <w:rPr>
          <w:rFonts w:ascii="Arial" w:cs="Arial" w:eastAsia="Arial" w:hAnsi="Arial"/>
          <w:sz w:val="14"/>
          <w:szCs w:val="14"/>
          <w:color w:val="auto"/>
        </w:rPr>
        <w:t>Third</w:t>
      </w:r>
      <w:r>
        <w:rPr>
          <w:sz w:val="20"/>
          <w:szCs w:val="20"/>
          <w:color w:val="auto"/>
        </w:rPr>
        <w:tab/>
      </w:r>
      <w:r>
        <w:rPr>
          <w:rFonts w:ascii="Arial" w:cs="Arial" w:eastAsia="Arial" w:hAnsi="Arial"/>
          <w:sz w:val="14"/>
          <w:szCs w:val="14"/>
          <w:color w:val="auto"/>
        </w:rPr>
        <w:t>Fourth</w:t>
      </w:r>
    </w:p>
    <w:p>
      <w:pPr>
        <w:sectPr>
          <w:pgSz w:w="11900" w:h="16838" w:orient="portrait"/>
          <w:cols w:equalWidth="0" w:num="1">
            <w:col w:w="11420"/>
          </w:cols>
          <w:pgMar w:left="240" w:top="118" w:right="239" w:bottom="0" w:gutter="0" w:footer="0" w:header="0"/>
          <w:type w:val="continuous"/>
        </w:sectPr>
      </w:pPr>
    </w:p>
    <w:bookmarkStart w:id="182" w:name="page183"/>
    <w:bookmarkEnd w:id="182"/>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781"/>
              <w:spacing w:after="0"/>
              <w:rPr>
                <w:sz w:val="20"/>
                <w:szCs w:val="20"/>
                <w:color w:val="auto"/>
              </w:rPr>
            </w:pPr>
            <w:r>
              <w:rPr>
                <w:rFonts w:ascii="Arial" w:cs="Arial" w:eastAsia="Arial" w:hAnsi="Arial"/>
                <w:sz w:val="14"/>
                <w:szCs w:val="14"/>
                <w:color w:val="auto"/>
              </w:rPr>
              <w:t>Quarter</w:t>
            </w:r>
          </w:p>
        </w:tc>
        <w:tc>
          <w:tcPr>
            <w:tcW w:w="9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left="761"/>
              <w:spacing w:after="0"/>
              <w:rPr>
                <w:sz w:val="20"/>
                <w:szCs w:val="20"/>
                <w:color w:val="auto"/>
              </w:rPr>
            </w:pPr>
            <w:r>
              <w:rPr>
                <w:rFonts w:ascii="Arial" w:cs="Arial" w:eastAsia="Arial" w:hAnsi="Arial"/>
                <w:sz w:val="14"/>
                <w:szCs w:val="14"/>
                <w:color w:val="auto"/>
              </w:rPr>
              <w:t>Quarter</w:t>
            </w: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761"/>
              <w:spacing w:after="0"/>
              <w:rPr>
                <w:sz w:val="20"/>
                <w:szCs w:val="20"/>
                <w:color w:val="auto"/>
              </w:rPr>
            </w:pPr>
            <w:r>
              <w:rPr>
                <w:rFonts w:ascii="Arial" w:cs="Arial" w:eastAsia="Arial" w:hAnsi="Arial"/>
                <w:sz w:val="14"/>
                <w:szCs w:val="14"/>
                <w:color w:val="auto"/>
              </w:rPr>
              <w:t>Quarter</w:t>
            </w: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left="801"/>
              <w:spacing w:after="0"/>
              <w:rPr>
                <w:sz w:val="20"/>
                <w:szCs w:val="20"/>
                <w:color w:val="auto"/>
              </w:rPr>
            </w:pPr>
            <w:r>
              <w:rPr>
                <w:rFonts w:ascii="Arial" w:cs="Arial" w:eastAsia="Arial" w:hAnsi="Arial"/>
                <w:sz w:val="14"/>
                <w:szCs w:val="14"/>
                <w:color w:val="auto"/>
              </w:rPr>
              <w:t>Quarter</w:t>
            </w:r>
          </w:p>
        </w:tc>
      </w:tr>
      <w:tr>
        <w:trPr>
          <w:trHeight w:val="191"/>
        </w:trPr>
        <w:tc>
          <w:tcPr>
            <w:tcW w:w="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2011</w:t>
            </w:r>
          </w:p>
        </w:tc>
        <w:tc>
          <w:tcPr>
            <w:tcW w:w="1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76"/>
        </w:trPr>
        <w:tc>
          <w:tcPr>
            <w:tcW w:w="1600" w:type="dxa"/>
            <w:vAlign w:val="bottom"/>
            <w:gridSpan w:val="2"/>
          </w:tcPr>
          <w:p>
            <w:pPr>
              <w:spacing w:after="0" w:line="176" w:lineRule="exact"/>
              <w:rPr>
                <w:sz w:val="20"/>
                <w:szCs w:val="20"/>
                <w:color w:val="auto"/>
              </w:rPr>
            </w:pPr>
            <w:r>
              <w:rPr>
                <w:rFonts w:ascii="Arial" w:cs="Arial" w:eastAsia="Arial" w:hAnsi="Arial"/>
                <w:sz w:val="16"/>
                <w:szCs w:val="16"/>
                <w:color w:val="auto"/>
              </w:rPr>
              <w:t>Market price</w:t>
            </w:r>
          </w:p>
        </w:tc>
        <w:tc>
          <w:tcPr>
            <w:tcW w:w="1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580" w:type="dxa"/>
            <w:vAlign w:val="bottom"/>
          </w:tcPr>
          <w:p>
            <w:pPr>
              <w:ind w:left="160"/>
              <w:spacing w:after="0" w:line="176" w:lineRule="exact"/>
              <w:rPr>
                <w:sz w:val="20"/>
                <w:szCs w:val="20"/>
                <w:color w:val="auto"/>
              </w:rPr>
            </w:pPr>
            <w:r>
              <w:rPr>
                <w:rFonts w:ascii="Arial" w:cs="Arial" w:eastAsia="Arial" w:hAnsi="Arial"/>
                <w:sz w:val="16"/>
                <w:szCs w:val="16"/>
                <w:color w:val="auto"/>
              </w:rPr>
              <w:t>High</w:t>
            </w:r>
          </w:p>
        </w:tc>
        <w:tc>
          <w:tcPr>
            <w:tcW w:w="1620" w:type="dxa"/>
            <w:vAlign w:val="bottom"/>
          </w:tcPr>
          <w:p>
            <w:pPr>
              <w:jc w:val="right"/>
              <w:ind w:right="759"/>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center"/>
              <w:ind w:left="761"/>
              <w:spacing w:after="0" w:line="176" w:lineRule="exact"/>
              <w:rPr>
                <w:sz w:val="20"/>
                <w:szCs w:val="20"/>
                <w:color w:val="auto"/>
              </w:rPr>
            </w:pPr>
            <w:r>
              <w:rPr>
                <w:rFonts w:ascii="Arial" w:cs="Arial" w:eastAsia="Arial" w:hAnsi="Arial"/>
                <w:sz w:val="16"/>
                <w:szCs w:val="16"/>
                <w:color w:val="auto"/>
              </w:rPr>
              <w:t>54.44</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center"/>
              <w:ind w:left="761"/>
              <w:spacing w:after="0" w:line="176" w:lineRule="exact"/>
              <w:rPr>
                <w:sz w:val="20"/>
                <w:szCs w:val="20"/>
                <w:color w:val="auto"/>
              </w:rPr>
            </w:pPr>
            <w:r>
              <w:rPr>
                <w:rFonts w:ascii="Arial" w:cs="Arial" w:eastAsia="Arial" w:hAnsi="Arial"/>
                <w:sz w:val="16"/>
                <w:szCs w:val="16"/>
                <w:color w:val="auto"/>
                <w:w w:val="99"/>
              </w:rPr>
              <w:t>55.97</w:t>
            </w:r>
          </w:p>
        </w:tc>
        <w:tc>
          <w:tcPr>
            <w:tcW w:w="960" w:type="dxa"/>
            <w:vAlign w:val="bottom"/>
          </w:tcPr>
          <w:p>
            <w:pPr>
              <w:jc w:val="right"/>
              <w:ind w:right="77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Pr>
          <w:p>
            <w:pPr>
              <w:jc w:val="center"/>
              <w:ind w:left="741"/>
              <w:spacing w:after="0" w:line="176" w:lineRule="exact"/>
              <w:rPr>
                <w:sz w:val="20"/>
                <w:szCs w:val="20"/>
                <w:color w:val="auto"/>
              </w:rPr>
            </w:pPr>
            <w:r>
              <w:rPr>
                <w:rFonts w:ascii="Arial" w:cs="Arial" w:eastAsia="Arial" w:hAnsi="Arial"/>
                <w:sz w:val="16"/>
                <w:szCs w:val="16"/>
                <w:color w:val="auto"/>
                <w:w w:val="99"/>
              </w:rPr>
              <w:t>53.76</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center"/>
              <w:ind w:left="781"/>
              <w:spacing w:after="0" w:line="176" w:lineRule="exact"/>
              <w:rPr>
                <w:sz w:val="20"/>
                <w:szCs w:val="20"/>
                <w:color w:val="auto"/>
              </w:rPr>
            </w:pPr>
            <w:r>
              <w:rPr>
                <w:rFonts w:ascii="Arial" w:cs="Arial" w:eastAsia="Arial" w:hAnsi="Arial"/>
                <w:sz w:val="16"/>
                <w:szCs w:val="16"/>
                <w:color w:val="auto"/>
              </w:rPr>
              <w:t>55.61</w:t>
            </w:r>
          </w:p>
        </w:tc>
      </w:tr>
      <w:tr>
        <w:trPr>
          <w:trHeight w:val="195"/>
        </w:trPr>
        <w:tc>
          <w:tcPr>
            <w:tcW w:w="2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Low</w:t>
            </w:r>
          </w:p>
        </w:tc>
        <w:tc>
          <w:tcPr>
            <w:tcW w:w="162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761"/>
              <w:spacing w:after="0"/>
              <w:rPr>
                <w:sz w:val="20"/>
                <w:szCs w:val="20"/>
                <w:color w:val="auto"/>
              </w:rPr>
            </w:pPr>
            <w:r>
              <w:rPr>
                <w:rFonts w:ascii="Arial" w:cs="Arial" w:eastAsia="Arial" w:hAnsi="Arial"/>
                <w:sz w:val="16"/>
                <w:szCs w:val="16"/>
                <w:color w:val="auto"/>
              </w:rPr>
              <w:t>50.32</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center"/>
              <w:ind w:left="761"/>
              <w:spacing w:after="0"/>
              <w:rPr>
                <w:sz w:val="20"/>
                <w:szCs w:val="20"/>
                <w:color w:val="auto"/>
              </w:rPr>
            </w:pPr>
            <w:r>
              <w:rPr>
                <w:rFonts w:ascii="Arial" w:cs="Arial" w:eastAsia="Arial" w:hAnsi="Arial"/>
                <w:sz w:val="16"/>
                <w:szCs w:val="16"/>
                <w:color w:val="auto"/>
                <w:w w:val="99"/>
              </w:rPr>
              <w:t>51.53</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center"/>
              <w:ind w:left="741"/>
              <w:spacing w:after="0"/>
              <w:rPr>
                <w:sz w:val="20"/>
                <w:szCs w:val="20"/>
                <w:color w:val="auto"/>
              </w:rPr>
            </w:pPr>
            <w:r>
              <w:rPr>
                <w:rFonts w:ascii="Arial" w:cs="Arial" w:eastAsia="Arial" w:hAnsi="Arial"/>
                <w:sz w:val="16"/>
                <w:szCs w:val="16"/>
                <w:color w:val="auto"/>
                <w:w w:val="99"/>
              </w:rPr>
              <w:t>44.78</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center"/>
              <w:ind w:left="781"/>
              <w:spacing w:after="0"/>
              <w:rPr>
                <w:sz w:val="20"/>
                <w:szCs w:val="20"/>
                <w:color w:val="auto"/>
              </w:rPr>
            </w:pPr>
            <w:r>
              <w:rPr>
                <w:rFonts w:ascii="Arial" w:cs="Arial" w:eastAsia="Arial" w:hAnsi="Arial"/>
                <w:sz w:val="16"/>
                <w:szCs w:val="16"/>
                <w:color w:val="auto"/>
              </w:rPr>
              <w:t>48.38</w:t>
            </w:r>
          </w:p>
        </w:tc>
      </w:tr>
      <w:tr>
        <w:trPr>
          <w:trHeight w:val="332"/>
        </w:trPr>
        <w:tc>
          <w:tcPr>
            <w:tcW w:w="1600" w:type="dxa"/>
            <w:vAlign w:val="bottom"/>
            <w:gridSpan w:val="2"/>
          </w:tcPr>
          <w:p>
            <w:pPr>
              <w:spacing w:after="0"/>
              <w:rPr>
                <w:sz w:val="20"/>
                <w:szCs w:val="20"/>
                <w:color w:val="auto"/>
              </w:rPr>
            </w:pPr>
            <w:r>
              <w:rPr>
                <w:rFonts w:ascii="Arial" w:cs="Arial" w:eastAsia="Arial" w:hAnsi="Arial"/>
                <w:sz w:val="16"/>
                <w:szCs w:val="16"/>
                <w:color w:val="auto"/>
              </w:rPr>
              <w:t>2010</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1600" w:type="dxa"/>
            <w:vAlign w:val="bottom"/>
            <w:gridSpan w:val="2"/>
          </w:tcPr>
          <w:p>
            <w:pPr>
              <w:spacing w:after="0" w:line="176" w:lineRule="exact"/>
              <w:rPr>
                <w:sz w:val="20"/>
                <w:szCs w:val="20"/>
                <w:color w:val="auto"/>
              </w:rPr>
            </w:pPr>
            <w:r>
              <w:rPr>
                <w:rFonts w:ascii="Arial" w:cs="Arial" w:eastAsia="Arial" w:hAnsi="Arial"/>
                <w:sz w:val="16"/>
                <w:szCs w:val="16"/>
                <w:color w:val="auto"/>
              </w:rPr>
              <w:t>Market price</w:t>
            </w:r>
          </w:p>
        </w:tc>
        <w:tc>
          <w:tcPr>
            <w:tcW w:w="1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580" w:type="dxa"/>
            <w:vAlign w:val="bottom"/>
          </w:tcPr>
          <w:p>
            <w:pPr>
              <w:ind w:left="160"/>
              <w:spacing w:after="0" w:line="176" w:lineRule="exact"/>
              <w:rPr>
                <w:sz w:val="20"/>
                <w:szCs w:val="20"/>
                <w:color w:val="auto"/>
              </w:rPr>
            </w:pPr>
            <w:r>
              <w:rPr>
                <w:rFonts w:ascii="Arial" w:cs="Arial" w:eastAsia="Arial" w:hAnsi="Arial"/>
                <w:sz w:val="16"/>
                <w:szCs w:val="16"/>
                <w:color w:val="auto"/>
              </w:rPr>
              <w:t>High</w:t>
            </w:r>
          </w:p>
        </w:tc>
        <w:tc>
          <w:tcPr>
            <w:tcW w:w="1620" w:type="dxa"/>
            <w:vAlign w:val="bottom"/>
          </w:tcPr>
          <w:p>
            <w:pPr>
              <w:jc w:val="right"/>
              <w:ind w:right="759"/>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center"/>
              <w:ind w:left="761"/>
              <w:spacing w:after="0" w:line="176" w:lineRule="exact"/>
              <w:rPr>
                <w:sz w:val="20"/>
                <w:szCs w:val="20"/>
                <w:color w:val="auto"/>
              </w:rPr>
            </w:pPr>
            <w:r>
              <w:rPr>
                <w:rFonts w:ascii="Arial" w:cs="Arial" w:eastAsia="Arial" w:hAnsi="Arial"/>
                <w:sz w:val="16"/>
                <w:szCs w:val="16"/>
                <w:color w:val="auto"/>
              </w:rPr>
              <w:t>56.61</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center"/>
              <w:ind w:left="761"/>
              <w:spacing w:after="0" w:line="176" w:lineRule="exact"/>
              <w:rPr>
                <w:sz w:val="20"/>
                <w:szCs w:val="20"/>
                <w:color w:val="auto"/>
              </w:rPr>
            </w:pPr>
            <w:r>
              <w:rPr>
                <w:rFonts w:ascii="Arial" w:cs="Arial" w:eastAsia="Arial" w:hAnsi="Arial"/>
                <w:sz w:val="16"/>
                <w:szCs w:val="16"/>
                <w:color w:val="auto"/>
                <w:w w:val="99"/>
              </w:rPr>
              <w:t>51.43</w:t>
            </w:r>
          </w:p>
        </w:tc>
        <w:tc>
          <w:tcPr>
            <w:tcW w:w="960" w:type="dxa"/>
            <w:vAlign w:val="bottom"/>
          </w:tcPr>
          <w:p>
            <w:pPr>
              <w:jc w:val="right"/>
              <w:ind w:right="77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Pr>
          <w:p>
            <w:pPr>
              <w:jc w:val="center"/>
              <w:ind w:left="741"/>
              <w:spacing w:after="0" w:line="176" w:lineRule="exact"/>
              <w:rPr>
                <w:sz w:val="20"/>
                <w:szCs w:val="20"/>
                <w:color w:val="auto"/>
              </w:rPr>
            </w:pPr>
            <w:r>
              <w:rPr>
                <w:rFonts w:ascii="Arial" w:cs="Arial" w:eastAsia="Arial" w:hAnsi="Arial"/>
                <w:sz w:val="16"/>
                <w:szCs w:val="16"/>
                <w:color w:val="auto"/>
                <w:w w:val="99"/>
              </w:rPr>
              <w:t>54.32</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center"/>
              <w:ind w:left="781"/>
              <w:spacing w:after="0" w:line="176" w:lineRule="exact"/>
              <w:rPr>
                <w:sz w:val="20"/>
                <w:szCs w:val="20"/>
                <w:color w:val="auto"/>
              </w:rPr>
            </w:pPr>
            <w:r>
              <w:rPr>
                <w:rFonts w:ascii="Arial" w:cs="Arial" w:eastAsia="Arial" w:hAnsi="Arial"/>
                <w:sz w:val="16"/>
                <w:szCs w:val="16"/>
                <w:color w:val="auto"/>
              </w:rPr>
              <w:t>54.45</w:t>
            </w:r>
          </w:p>
        </w:tc>
      </w:tr>
      <w:tr>
        <w:trPr>
          <w:trHeight w:val="194"/>
        </w:trPr>
        <w:tc>
          <w:tcPr>
            <w:tcW w:w="20" w:type="dxa"/>
            <w:vAlign w:val="bottom"/>
          </w:tcPr>
          <w:p>
            <w:pPr>
              <w:spacing w:after="0"/>
              <w:rPr>
                <w:sz w:val="16"/>
                <w:szCs w:val="16"/>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Low</w:t>
            </w: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center"/>
              <w:ind w:left="761"/>
              <w:spacing w:after="0"/>
              <w:rPr>
                <w:sz w:val="20"/>
                <w:szCs w:val="20"/>
                <w:color w:val="auto"/>
              </w:rPr>
            </w:pPr>
            <w:r>
              <w:rPr>
                <w:rFonts w:ascii="Arial" w:cs="Arial" w:eastAsia="Arial" w:hAnsi="Arial"/>
                <w:sz w:val="16"/>
                <w:szCs w:val="16"/>
                <w:color w:val="auto"/>
              </w:rPr>
              <w:t>47.55</w:t>
            </w: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center"/>
              <w:ind w:left="761"/>
              <w:spacing w:after="0"/>
              <w:rPr>
                <w:sz w:val="20"/>
                <w:szCs w:val="20"/>
                <w:color w:val="auto"/>
              </w:rPr>
            </w:pPr>
            <w:r>
              <w:rPr>
                <w:rFonts w:ascii="Arial" w:cs="Arial" w:eastAsia="Arial" w:hAnsi="Arial"/>
                <w:sz w:val="16"/>
                <w:szCs w:val="16"/>
                <w:color w:val="auto"/>
                <w:w w:val="99"/>
              </w:rPr>
              <w:t>43.91</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center"/>
              <w:ind w:left="741"/>
              <w:spacing w:after="0"/>
              <w:rPr>
                <w:sz w:val="20"/>
                <w:szCs w:val="20"/>
                <w:color w:val="auto"/>
              </w:rPr>
            </w:pPr>
            <w:r>
              <w:rPr>
                <w:rFonts w:ascii="Arial" w:cs="Arial" w:eastAsia="Arial" w:hAnsi="Arial"/>
                <w:sz w:val="16"/>
                <w:szCs w:val="16"/>
                <w:color w:val="auto"/>
                <w:w w:val="99"/>
              </w:rPr>
              <w:t>46.25</w:t>
            </w: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center"/>
              <w:ind w:left="781"/>
              <w:spacing w:after="0"/>
              <w:rPr>
                <w:sz w:val="20"/>
                <w:szCs w:val="20"/>
                <w:color w:val="auto"/>
              </w:rPr>
            </w:pPr>
            <w:r>
              <w:rPr>
                <w:rFonts w:ascii="Arial" w:cs="Arial" w:eastAsia="Arial" w:hAnsi="Arial"/>
                <w:sz w:val="16"/>
                <w:szCs w:val="16"/>
                <w:color w:val="auto"/>
              </w:rPr>
              <w:t>49.49</w:t>
            </w:r>
          </w:p>
        </w:tc>
      </w:tr>
    </w:tbl>
    <w:p>
      <w:pPr>
        <w:spacing w:after="0" w:line="202" w:lineRule="exact"/>
        <w:rPr>
          <w:sz w:val="20"/>
          <w:szCs w:val="20"/>
          <w:color w:val="auto"/>
        </w:rPr>
      </w:pPr>
    </w:p>
    <w:p>
      <w:pPr>
        <w:jc w:val="both"/>
        <w:ind w:right="920"/>
        <w:spacing w:after="0" w:line="264" w:lineRule="auto"/>
        <w:rPr>
          <w:sz w:val="20"/>
          <w:szCs w:val="20"/>
          <w:color w:val="auto"/>
        </w:rPr>
      </w:pPr>
      <w:r>
        <w:rPr>
          <w:rFonts w:ascii="Arial" w:cs="Arial" w:eastAsia="Arial" w:hAnsi="Arial"/>
          <w:sz w:val="18"/>
          <w:szCs w:val="18"/>
          <w:color w:val="auto"/>
        </w:rPr>
        <w:t>We declared dividends of $0.48 and $0.39 per share in each quarter of 2011 and 2010, respectively. On February 24, 2012, our board of directors approved an increase to our quarterly common stock dividend to $0.60 per share ($2.40 annually), an increase of $0.12 per share ($0.48 annually) from $0.48 per share ($1.92 annually) authorized in February 2011.</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 AND SDG&amp;E COMMON STOCK</w:t>
      </w:r>
    </w:p>
    <w:p>
      <w:pPr>
        <w:spacing w:after="0" w:line="2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Pacific Enterprises (PE), a wholly owned subsidiary of Sempra Energy, owns all of SoCalGas’ outstanding common stock. Enova Corporation, a wholly owned subsidiary of Sempra Energy, owns all of SDG&amp;E’s issued and outstanding common stock.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dividend declarations for SoCalGas and SDG&amp;E is included in each of their “Statements of Consolidated Comprehensive Income and Changes in Equity” set forth in the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3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payment and the amount of future dividends for Sempra Energy, SDG&amp;E, and SoCalGas are within the discretion of their boards of directors. The CPUC’s regulation of the Sempra Utilities’ capital structures limits the amounts that the Sempra Utilities can pay us in the form of loans and dividends. We discuss these matters in Note 1 of the Notes to the Consolidated Financial Statements under “Restricted Net Assets” and in “Management’s Discussion and Analysis of Financial Condition and Results of Operations – Capital Resources and Liquidity” in the “Overview – Sempra Utilities,” “Overview – Sempra Energy Consolidated” and “Dividends”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PERFORMANCE GRAPH -- COMPARATIVE TOTAL SHAREHOLDER RETURNS</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graph (Figure 2) compares the percentage change in the cumulative total shareholder return on Sempra Energy common stock for the five-year period ending December 31, 2011, with the performance over the same period of the Standard &amp; Poor’s (S&amp;P) 500 Index and the Standard &amp; Poor’s 500 Utilities Index.</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returns were calculated assuming an initial investment of $100 in our common stock, the S&amp;P 500 Index and the S&amp;P 500 Utilities Index on December 31, 2006,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614680</wp:posOffset>
            </wp:positionV>
            <wp:extent cx="5342890" cy="31216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2890" cy="3121660"/>
                    </a:xfrm>
                    <a:prstGeom prst="rect">
                      <a:avLst/>
                    </a:prstGeom>
                    <a:noFill/>
                  </pic:spPr>
                </pic:pic>
              </a:graphicData>
            </a:graphic>
          </wp:anchor>
        </w:drawing>
      </w:r>
    </w:p>
    <w:p>
      <w:pPr>
        <w:sectPr>
          <w:pgSz w:w="11900" w:h="16838" w:orient="portrait"/>
          <w:cols w:equalWidth="0" w:num="1">
            <w:col w:w="11420"/>
          </w:cols>
          <w:pgMar w:left="240" w:top="141" w:right="239" w:bottom="2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Figure 2: Comparison of Cumulative Five-Year Total Return</w:t>
      </w:r>
    </w:p>
    <w:p>
      <w:pPr>
        <w:sectPr>
          <w:pgSz w:w="11900" w:h="16838" w:orient="portrait"/>
          <w:cols w:equalWidth="0" w:num="1">
            <w:col w:w="11420"/>
          </w:cols>
          <w:pgMar w:left="240" w:top="141" w:right="239" w:bottom="273" w:gutter="0" w:footer="0" w:header="0"/>
          <w:type w:val="continuous"/>
        </w:sectPr>
      </w:pPr>
    </w:p>
    <w:bookmarkStart w:id="183" w:name="page184"/>
    <w:bookmarkEnd w:id="183"/>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FIVE-YEAR SUMMARIES</w:t>
      </w:r>
    </w:p>
    <w:p>
      <w:pPr>
        <w:spacing w:after="0" w:line="19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following tables present selected financial data of Sempra Energy, SDG&amp;E and SoCalGas for the five years ended December 31, 2011. The data is derived from the audited consolidated financial statements of each company. You should read this information in conjunction with “Management’s Discussion and Analysis of Financial Condition and Results of Operations” and the consolidated financial statements and notes contained in this Annual Report.</w:t>
      </w:r>
    </w:p>
    <w:p>
      <w:pPr>
        <w:spacing w:after="0" w:line="143" w:lineRule="exact"/>
        <w:rPr>
          <w:sz w:val="20"/>
          <w:szCs w:val="20"/>
          <w:color w:val="auto"/>
        </w:rPr>
      </w:pPr>
    </w:p>
    <w:p>
      <w:pPr>
        <w:ind w:right="5240"/>
        <w:spacing w:after="0" w:line="243" w:lineRule="auto"/>
        <w:rPr>
          <w:sz w:val="20"/>
          <w:szCs w:val="20"/>
          <w:color w:val="auto"/>
        </w:rPr>
      </w:pPr>
      <w:r>
        <w:rPr>
          <w:rFonts w:ascii="Arial" w:cs="Arial" w:eastAsia="Arial" w:hAnsi="Arial"/>
          <w:sz w:val="16"/>
          <w:szCs w:val="16"/>
          <w:b w:val="1"/>
          <w:bCs w:val="1"/>
          <w:color w:val="auto"/>
        </w:rPr>
        <w:t xml:space="preserve">FIVE-YEAR SUMMARY OF SELECTED FINANCIAL DATA FOR SEMPRA ENERGY </w:t>
      </w:r>
      <w:r>
        <w:rPr>
          <w:rFonts w:ascii="Arial" w:cs="Arial" w:eastAsia="Arial" w:hAnsi="Arial"/>
          <w:sz w:val="14"/>
          <w:szCs w:val="14"/>
          <w:i w:val="1"/>
          <w:iCs w:val="1"/>
          <w:color w:val="auto"/>
        </w:rPr>
        <w:t>(In millions,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5"/>
          </w:tcPr>
          <w:p>
            <w:pPr>
              <w:jc w:val="right"/>
              <w:ind w:right="508"/>
              <w:spacing w:after="0" w:line="159" w:lineRule="exact"/>
              <w:rPr>
                <w:sz w:val="20"/>
                <w:szCs w:val="20"/>
                <w:color w:val="auto"/>
              </w:rPr>
            </w:pPr>
            <w:r>
              <w:rPr>
                <w:rFonts w:ascii="Arial" w:cs="Arial" w:eastAsia="Arial" w:hAnsi="Arial"/>
                <w:sz w:val="14"/>
                <w:szCs w:val="14"/>
                <w:color w:val="auto"/>
              </w:rPr>
              <w:t>At December 31 or for the years then ended</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2010</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2007</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Utilities: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Natural gas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4,489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4,491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4,002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5,573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4,968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Electric</w:t>
            </w:r>
          </w:p>
        </w:tc>
        <w:tc>
          <w:tcPr>
            <w:tcW w:w="3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3,833</w:t>
            </w:r>
          </w:p>
        </w:tc>
        <w:tc>
          <w:tcPr>
            <w:tcW w:w="3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2,528</w:t>
            </w:r>
          </w:p>
        </w:tc>
        <w:tc>
          <w:tcPr>
            <w:tcW w:w="3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2,419</w:t>
            </w:r>
          </w:p>
        </w:tc>
        <w:tc>
          <w:tcPr>
            <w:tcW w:w="3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2,553</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40" w:type="dxa"/>
            <w:vAlign w:val="bottom"/>
            <w:gridSpan w:val="2"/>
          </w:tcPr>
          <w:p>
            <w:pPr>
              <w:spacing w:after="0" w:line="137" w:lineRule="exact"/>
              <w:rPr>
                <w:sz w:val="20"/>
                <w:szCs w:val="20"/>
                <w:color w:val="auto"/>
              </w:rPr>
            </w:pPr>
            <w:r>
              <w:rPr>
                <w:rFonts w:ascii="Arial" w:cs="Arial" w:eastAsia="Arial" w:hAnsi="Arial"/>
                <w:sz w:val="14"/>
                <w:szCs w:val="14"/>
                <w:color w:val="auto"/>
              </w:rPr>
              <w:t>Energy-related businesses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1,714</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1,984</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1,685</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2,632</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4,286</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ind w:left="140"/>
              <w:spacing w:after="0" w:line="142" w:lineRule="exact"/>
              <w:rPr>
                <w:sz w:val="20"/>
                <w:szCs w:val="20"/>
                <w:color w:val="auto"/>
              </w:rPr>
            </w:pPr>
            <w:r>
              <w:rPr>
                <w:rFonts w:ascii="Arial" w:cs="Arial" w:eastAsia="Arial" w:hAnsi="Arial"/>
                <w:sz w:val="14"/>
                <w:szCs w:val="14"/>
                <w:color w:val="auto"/>
              </w:rPr>
              <w:t>Total revenues</w:t>
            </w:r>
          </w:p>
        </w:tc>
        <w:tc>
          <w:tcPr>
            <w:tcW w:w="3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10,036</w:t>
            </w:r>
          </w:p>
        </w:tc>
        <w:tc>
          <w:tcPr>
            <w:tcW w:w="3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9,003</w:t>
            </w:r>
          </w:p>
        </w:tc>
        <w:tc>
          <w:tcPr>
            <w:tcW w:w="3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8,106</w:t>
            </w:r>
          </w:p>
        </w:tc>
        <w:tc>
          <w:tcPr>
            <w:tcW w:w="3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10,758</w:t>
            </w:r>
          </w:p>
        </w:tc>
        <w:tc>
          <w:tcPr>
            <w:tcW w:w="3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11,438</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64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1,407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733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1,122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1,068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(Earnings) losses from continuing operations attributable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to noncontrolling interests</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55</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40" w:type="dxa"/>
            <w:vAlign w:val="bottom"/>
            <w:gridSpan w:val="2"/>
          </w:tcPr>
          <w:p>
            <w:pPr>
              <w:spacing w:after="0" w:line="137" w:lineRule="exact"/>
              <w:rPr>
                <w:sz w:val="20"/>
                <w:szCs w:val="20"/>
                <w:color w:val="auto"/>
              </w:rPr>
            </w:pPr>
            <w:r>
              <w:rPr>
                <w:rFonts w:ascii="Arial" w:cs="Arial" w:eastAsia="Arial" w:hAnsi="Arial"/>
                <w:sz w:val="14"/>
                <w:szCs w:val="14"/>
                <w:color w:val="auto"/>
              </w:rPr>
              <w:t>Preferred dividends of subsidiaries</w:t>
            </w:r>
          </w:p>
        </w:tc>
        <w:tc>
          <w:tcPr>
            <w:tcW w:w="320" w:type="dxa"/>
            <w:vAlign w:val="bottom"/>
          </w:tcPr>
          <w:p>
            <w:pPr>
              <w:spacing w:after="0"/>
              <w:rPr>
                <w:sz w:val="14"/>
                <w:szCs w:val="14"/>
                <w:color w:val="auto"/>
              </w:rPr>
            </w:pPr>
          </w:p>
        </w:tc>
        <w:tc>
          <w:tcPr>
            <w:tcW w:w="100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4"/>
                <w:szCs w:val="14"/>
                <w:color w:val="auto"/>
              </w:rPr>
            </w:pPr>
          </w:p>
        </w:tc>
        <w:tc>
          <w:tcPr>
            <w:tcW w:w="100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100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4"/>
                <w:szCs w:val="14"/>
                <w:color w:val="auto"/>
              </w:rPr>
            </w:pPr>
          </w:p>
        </w:tc>
        <w:tc>
          <w:tcPr>
            <w:tcW w:w="102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4"/>
                <w:szCs w:val="14"/>
                <w:color w:val="auto"/>
              </w:rPr>
            </w:pPr>
          </w:p>
        </w:tc>
        <w:tc>
          <w:tcPr>
            <w:tcW w:w="1040" w:type="dxa"/>
            <w:vAlign w:val="bottom"/>
            <w:gridSpan w:val="2"/>
          </w:tcPr>
          <w:p>
            <w:pPr>
              <w:jc w:val="right"/>
              <w:ind w:right="240"/>
              <w:spacing w:after="0" w:line="137"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7"/>
        </w:trPr>
        <w:tc>
          <w:tcPr>
            <w:tcW w:w="4640" w:type="dxa"/>
            <w:vAlign w:val="bottom"/>
            <w:gridSpan w:val="2"/>
          </w:tcPr>
          <w:p>
            <w:pPr>
              <w:spacing w:after="0"/>
              <w:rPr>
                <w:sz w:val="20"/>
                <w:szCs w:val="20"/>
                <w:color w:val="auto"/>
              </w:rPr>
            </w:pPr>
            <w:r>
              <w:rPr>
                <w:rFonts w:ascii="Arial" w:cs="Arial" w:eastAsia="Arial" w:hAnsi="Arial"/>
                <w:sz w:val="14"/>
                <w:szCs w:val="14"/>
                <w:color w:val="auto"/>
              </w:rPr>
              <w:t>Income from continuing operations attributable</w:t>
            </w:r>
          </w:p>
        </w:tc>
        <w:tc>
          <w:tcPr>
            <w:tcW w:w="3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1,357</w:t>
            </w:r>
          </w:p>
        </w:tc>
        <w:tc>
          <w:tcPr>
            <w:tcW w:w="3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739</w:t>
            </w:r>
          </w:p>
        </w:tc>
        <w:tc>
          <w:tcPr>
            <w:tcW w:w="3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1,119</w:t>
            </w:r>
          </w:p>
        </w:tc>
        <w:tc>
          <w:tcPr>
            <w:tcW w:w="3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1,113</w:t>
            </w:r>
          </w:p>
        </w:tc>
        <w:tc>
          <w:tcPr>
            <w:tcW w:w="3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20" w:type="dxa"/>
            <w:vAlign w:val="bottom"/>
          </w:tcPr>
          <w:p>
            <w:pPr>
              <w:ind w:left="140"/>
              <w:spacing w:after="0" w:line="127" w:lineRule="exact"/>
              <w:rPr>
                <w:sz w:val="20"/>
                <w:szCs w:val="20"/>
                <w:color w:val="auto"/>
              </w:rPr>
            </w:pPr>
            <w:r>
              <w:rPr>
                <w:rFonts w:ascii="Arial" w:cs="Arial" w:eastAsia="Arial" w:hAnsi="Arial"/>
                <w:sz w:val="14"/>
                <w:szCs w:val="14"/>
                <w:color w:val="auto"/>
              </w:rPr>
              <w:t>to common shares</w:t>
            </w:r>
          </w:p>
        </w:tc>
        <w:tc>
          <w:tcPr>
            <w:tcW w:w="3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6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1,407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733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1,122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1,068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1,092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Earnings attributable to common shares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1,357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739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1,119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1,113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1,099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Attributable to common shares: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Income from continuing operations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30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5.66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3.02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4.60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4.50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30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5.62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2.98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4.52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4.43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Earnings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30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5.66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3.02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4.60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4.50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ind w:left="30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5.62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2.98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4.52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4.43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4640" w:type="dxa"/>
            <w:vAlign w:val="bottom"/>
            <w:gridSpan w:val="2"/>
          </w:tcPr>
          <w:p>
            <w:pPr>
              <w:spacing w:after="0"/>
              <w:rPr>
                <w:sz w:val="20"/>
                <w:szCs w:val="20"/>
                <w:color w:val="auto"/>
              </w:rPr>
            </w:pPr>
            <w:r>
              <w:rPr>
                <w:rFonts w:ascii="Arial" w:cs="Arial" w:eastAsia="Arial" w:hAnsi="Arial"/>
                <w:sz w:val="14"/>
                <w:szCs w:val="14"/>
                <w:color w:val="auto"/>
              </w:rPr>
              <w:t>Dividends declared per common share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1.92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1.56</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1.56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1.37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Return on common equity</w:t>
            </w:r>
          </w:p>
        </w:tc>
        <w:tc>
          <w:tcPr>
            <w:tcW w:w="3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14.4 %</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8.2 %</w:t>
            </w:r>
          </w:p>
        </w:tc>
        <w:tc>
          <w:tcPr>
            <w:tcW w:w="34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13.2 %</w:t>
            </w:r>
          </w:p>
        </w:tc>
        <w:tc>
          <w:tcPr>
            <w:tcW w:w="36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13.6 %</w:t>
            </w:r>
          </w:p>
        </w:tc>
        <w:tc>
          <w:tcPr>
            <w:tcW w:w="3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13.9 %</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Effective income tax rate</w:t>
            </w:r>
          </w:p>
        </w:tc>
        <w:tc>
          <w:tcPr>
            <w:tcW w:w="3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21 %</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13 %</w:t>
            </w:r>
          </w:p>
        </w:tc>
        <w:tc>
          <w:tcPr>
            <w:tcW w:w="34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29 %</w:t>
            </w:r>
          </w:p>
        </w:tc>
        <w:tc>
          <w:tcPr>
            <w:tcW w:w="36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30 %</w:t>
            </w:r>
          </w:p>
        </w:tc>
        <w:tc>
          <w:tcPr>
            <w:tcW w:w="3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Price range of common shares: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High</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55.97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56.61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57.18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63.00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66.38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Low</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44.78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43.91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36.43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34.29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50.95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4640" w:type="dxa"/>
            <w:vAlign w:val="bottom"/>
            <w:gridSpan w:val="2"/>
          </w:tcPr>
          <w:p>
            <w:pPr>
              <w:spacing w:after="0"/>
              <w:rPr>
                <w:sz w:val="20"/>
                <w:szCs w:val="20"/>
                <w:color w:val="auto"/>
              </w:rPr>
            </w:pPr>
            <w:r>
              <w:rPr>
                <w:rFonts w:ascii="Arial" w:cs="Arial" w:eastAsia="Arial" w:hAnsi="Arial"/>
                <w:sz w:val="14"/>
                <w:szCs w:val="14"/>
                <w:color w:val="auto"/>
              </w:rPr>
              <w:t>Weighted average rate base: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SoCalGas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2,948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2,860</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2,758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2,702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2,642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SDG&amp;E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5,071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4,697</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4,362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4,050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3,846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4640" w:type="dxa"/>
            <w:vAlign w:val="bottom"/>
            <w:gridSpan w:val="2"/>
          </w:tcPr>
          <w:p>
            <w:pPr>
              <w:spacing w:after="0"/>
              <w:rPr>
                <w:sz w:val="20"/>
                <w:szCs w:val="20"/>
                <w:color w:val="auto"/>
              </w:rPr>
            </w:pPr>
            <w:r>
              <w:rPr>
                <w:rFonts w:ascii="Arial" w:cs="Arial" w:eastAsia="Arial" w:hAnsi="Arial"/>
                <w:sz w:val="14"/>
                <w:szCs w:val="14"/>
                <w:color w:val="auto"/>
              </w:rPr>
              <w:t>AT DECEMBER 31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2,332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3,353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2,295</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2,476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9,964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33,356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30,283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28,512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26,400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28,717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4,163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3,786</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3,888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3,612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9,020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Long-term debt (excludes current portion)</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10,078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8,980</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7,460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6,544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4,553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Short-term debt(1)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785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507</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1,191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913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1,071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Contingently redeemable preferred stock of subsidiary</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Sempra Energy shareholders’ equity</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9,838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9,027</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9,007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7,969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8,339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Common shares outstanding</w:t>
            </w:r>
          </w:p>
        </w:tc>
        <w:tc>
          <w:tcPr>
            <w:tcW w:w="3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239.9</w:t>
            </w:r>
          </w:p>
        </w:tc>
        <w:tc>
          <w:tcPr>
            <w:tcW w:w="3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240.4</w:t>
            </w:r>
          </w:p>
        </w:tc>
        <w:tc>
          <w:tcPr>
            <w:tcW w:w="3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246.5</w:t>
            </w:r>
          </w:p>
        </w:tc>
        <w:tc>
          <w:tcPr>
            <w:tcW w:w="3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243.3</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Book value per share</w:t>
            </w:r>
          </w:p>
        </w:tc>
        <w:tc>
          <w:tcPr>
            <w:tcW w:w="3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41.00</w:t>
            </w:r>
          </w:p>
        </w:tc>
        <w:tc>
          <w:tcPr>
            <w:tcW w:w="34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37.54</w:t>
            </w:r>
          </w:p>
        </w:tc>
        <w:tc>
          <w:tcPr>
            <w:tcW w:w="34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36.54</w:t>
            </w:r>
          </w:p>
        </w:tc>
        <w:tc>
          <w:tcPr>
            <w:tcW w:w="36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32.75</w:t>
            </w:r>
          </w:p>
        </w:tc>
        <w:tc>
          <w:tcPr>
            <w:tcW w:w="36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31.93</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Includes long-term debt due within one year.</w:t>
      </w:r>
    </w:p>
    <w:p>
      <w:pPr>
        <w:spacing w:after="0" w:line="23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discuss the impact of natural gas prices on revenues in 2011, 2010 and 2009 and the changes in our effective income tax rate in 2011 and 2010 in “Management’s Discussion and Analysis of Financial Condition and Results of Operations — Changes in Revenues, Costs and Earnings.”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April 6, 2011, we increased our interests in two South American utilities, which are now consolidated. Prior to the acquisition, we accounted for our investments in these entities as equity method investments. On April 30, 2010, we completed an acquisition resulting in the purchase of Mexican pipeline and natural gas infrastructure. We discuss these acquisitions in Note 3 of the Notes to Consolidated Financial Statements.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1, 2008, we sold our commodities-marketing businesses into a joint venture, and began accounting for these businesses under the equity method. In 2010 and early 2011, we and RBS sold substantially all of the businesses and assets of the joint venture. We discuss these transactions further in Notes 3 and 4 of the Notes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discuss litigation and other contingencies in Note 15 of the Notes to Consolidated Financial Statements.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Income and Earnings Attributable to Common Shares in 2007 included $26 million in after-tax loss from discontinued operations, primarily due to asset sales.</w:t>
      </w:r>
    </w:p>
    <w:p>
      <w:pPr>
        <w:spacing w:after="0" w:line="200" w:lineRule="exact"/>
        <w:rPr>
          <w:sz w:val="20"/>
          <w:szCs w:val="20"/>
          <w:color w:val="auto"/>
        </w:rPr>
      </w:pPr>
    </w:p>
    <w:p>
      <w:pPr>
        <w:spacing w:after="0" w:line="210" w:lineRule="exact"/>
        <w:rPr>
          <w:sz w:val="20"/>
          <w:szCs w:val="20"/>
          <w:color w:val="auto"/>
        </w:rPr>
      </w:pPr>
    </w:p>
    <w:p>
      <w:pPr>
        <w:ind w:right="4580"/>
        <w:spacing w:after="0" w:line="243" w:lineRule="auto"/>
        <w:rPr>
          <w:sz w:val="20"/>
          <w:szCs w:val="20"/>
          <w:color w:val="auto"/>
        </w:rPr>
      </w:pPr>
      <w:r>
        <w:rPr>
          <w:rFonts w:ascii="Arial" w:cs="Arial" w:eastAsia="Arial" w:hAnsi="Arial"/>
          <w:sz w:val="16"/>
          <w:szCs w:val="16"/>
          <w:b w:val="1"/>
          <w:bCs w:val="1"/>
          <w:color w:val="auto"/>
        </w:rPr>
        <w:t xml:space="preserve">FIVE-YEAR SUMMARIES OF SELECTED FINANCIAL DATA FOR SDG&amp;E AND SOCALGAS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5"/>
          </w:tcPr>
          <w:p>
            <w:pPr>
              <w:jc w:val="right"/>
              <w:ind w:right="148"/>
              <w:spacing w:after="0" w:line="159" w:lineRule="exact"/>
              <w:rPr>
                <w:sz w:val="20"/>
                <w:szCs w:val="20"/>
                <w:color w:val="auto"/>
              </w:rPr>
            </w:pPr>
            <w:r>
              <w:rPr>
                <w:rFonts w:ascii="Arial" w:cs="Arial" w:eastAsia="Arial" w:hAnsi="Arial"/>
                <w:sz w:val="14"/>
                <w:szCs w:val="14"/>
                <w:color w:val="auto"/>
              </w:rPr>
              <w:t>At December 31 or for the years then ended</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2008</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2007</w:t>
            </w: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Statement of Operations Data:</w:t>
            </w: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Operating revenues</w:t>
            </w:r>
          </w:p>
        </w:tc>
        <w:tc>
          <w:tcPr>
            <w:tcW w:w="9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3,373</w:t>
            </w: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3,049</w:t>
            </w: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2,916</w:t>
            </w: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3,251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2,852</w:t>
            </w:r>
          </w:p>
        </w:tc>
      </w:tr>
      <w:tr>
        <w:trPr>
          <w:trHeight w:val="162"/>
        </w:trPr>
        <w:tc>
          <w:tcPr>
            <w:tcW w:w="20" w:type="dxa"/>
            <w:vAlign w:val="bottom"/>
          </w:tcPr>
          <w:p>
            <w:pPr>
              <w:spacing w:after="0"/>
              <w:rPr>
                <w:sz w:val="14"/>
                <w:szCs w:val="14"/>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Operating income</w:t>
            </w:r>
          </w:p>
        </w:tc>
        <w:tc>
          <w:tcPr>
            <w:tcW w:w="92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755</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657</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62"/>
        </w:trPr>
        <w:tc>
          <w:tcPr>
            <w:tcW w:w="20" w:type="dxa"/>
            <w:vAlign w:val="bottom"/>
          </w:tcPr>
          <w:p>
            <w:pPr>
              <w:spacing w:after="0"/>
              <w:rPr>
                <w:sz w:val="14"/>
                <w:szCs w:val="14"/>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Dividends on preferred stock</w:t>
            </w:r>
          </w:p>
        </w:tc>
        <w:tc>
          <w:tcPr>
            <w:tcW w:w="92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72"/>
        </w:trPr>
        <w:tc>
          <w:tcPr>
            <w:tcW w:w="20" w:type="dxa"/>
            <w:vAlign w:val="bottom"/>
          </w:tcPr>
          <w:p>
            <w:pPr>
              <w:spacing w:after="0"/>
              <w:rPr>
                <w:sz w:val="14"/>
                <w:szCs w:val="14"/>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Earnings attributable to common shares</w:t>
            </w:r>
          </w:p>
        </w:tc>
        <w:tc>
          <w:tcPr>
            <w:tcW w:w="92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369</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8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Balance Sheet Data:</w:t>
      </w:r>
    </w:p>
    <w:p>
      <w:pPr>
        <w:sectPr>
          <w:pgSz w:w="11900" w:h="16874" w:orient="portrait"/>
          <w:cols w:equalWidth="0" w:num="1">
            <w:col w:w="11420"/>
          </w:cols>
          <w:pgMar w:left="240" w:top="1068" w:right="239" w:bottom="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13,555</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12,077</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10,229</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9,079</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8,499</w:t>
            </w: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Long-term debt (excludes current portion)</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4,058</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3,479</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2,623</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2,142</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1,958</w:t>
            </w: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Short-term debt(1)</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Preferred stock subject to mandatory redemption</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Contingently redeemable preferred stock</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64"/>
        </w:trPr>
        <w:tc>
          <w:tcPr>
            <w:tcW w:w="20" w:type="dxa"/>
            <w:vAlign w:val="bottom"/>
          </w:tcPr>
          <w:p>
            <w:pPr>
              <w:spacing w:after="0"/>
              <w:rPr>
                <w:sz w:val="14"/>
                <w:szCs w:val="14"/>
                <w:color w:val="auto"/>
              </w:rPr>
            </w:pPr>
          </w:p>
        </w:tc>
        <w:tc>
          <w:tcPr>
            <w:tcW w:w="38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SDG&amp;E shareholders’ equity</w:t>
            </w:r>
          </w:p>
        </w:tc>
        <w:tc>
          <w:tcPr>
            <w:tcW w:w="10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3,739</w:t>
            </w: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3,108</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2,739</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2,542</w:t>
            </w: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2,200</w:t>
            </w: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Statement of Operations Data:</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Operating revenues</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3,816</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3,822</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3,355</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4,768</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4,282</w:t>
            </w: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Operating income</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437</w:t>
            </w: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Dividends on preferred stock</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Earnings attributable to common shares</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73"/>
        </w:trPr>
        <w:tc>
          <w:tcPr>
            <w:tcW w:w="3860" w:type="dxa"/>
            <w:vAlign w:val="bottom"/>
            <w:gridSpan w:val="2"/>
          </w:tcPr>
          <w:p>
            <w:pPr>
              <w:spacing w:after="0"/>
              <w:rPr>
                <w:sz w:val="20"/>
                <w:szCs w:val="20"/>
                <w:color w:val="auto"/>
              </w:rPr>
            </w:pPr>
            <w:r>
              <w:rPr>
                <w:rFonts w:ascii="Arial" w:cs="Arial" w:eastAsia="Arial" w:hAnsi="Arial"/>
                <w:sz w:val="14"/>
                <w:szCs w:val="14"/>
                <w:color w:val="auto"/>
              </w:rPr>
              <w:t>Balance Sheet Data:</w:t>
            </w: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8,475</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7,986</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7,287</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7,351</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6,406</w:t>
            </w: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Long-term debt (excludes current portion)</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1,064</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1,283</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1,270</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1,113</w:t>
            </w:r>
          </w:p>
        </w:tc>
      </w:tr>
      <w:tr>
        <w:trPr>
          <w:trHeight w:val="162"/>
        </w:trPr>
        <w:tc>
          <w:tcPr>
            <w:tcW w:w="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Short-term debt(1)</w:t>
            </w:r>
          </w:p>
        </w:tc>
        <w:tc>
          <w:tcPr>
            <w:tcW w:w="10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5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5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38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SoCalGas shareholders’ equity</w:t>
            </w:r>
          </w:p>
        </w:tc>
        <w:tc>
          <w:tcPr>
            <w:tcW w:w="10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2,193</w:t>
            </w: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1,955</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1,766</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1,490</w:t>
            </w: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1,470</w:t>
            </w:r>
          </w:p>
        </w:tc>
      </w:tr>
    </w:tbl>
    <w:p>
      <w:pPr>
        <w:spacing w:after="0"/>
        <w:rPr>
          <w:sz w:val="20"/>
          <w:szCs w:val="20"/>
          <w:color w:val="auto"/>
        </w:rPr>
      </w:pPr>
      <w:r>
        <w:rPr>
          <w:rFonts w:ascii="Arial" w:cs="Arial" w:eastAsia="Arial" w:hAnsi="Arial"/>
          <w:sz w:val="14"/>
          <w:szCs w:val="14"/>
          <w:i w:val="1"/>
          <w:iCs w:val="1"/>
          <w:color w:val="auto"/>
        </w:rPr>
        <w:t>(1) Includes long-term debt due within one year.</w:t>
      </w:r>
    </w:p>
    <w:p>
      <w:pPr>
        <w:spacing w:after="0" w:line="2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We discuss the impact of natural gas prices on revenues in 2011, 2010 and 2009 in “Management’s Discussion and Analysis of Financial Condition and Results of Operations </w:t>
      </w:r>
      <w:r>
        <w:rPr>
          <w:rFonts w:ascii="Arial" w:cs="Arial" w:eastAsia="Arial" w:hAnsi="Arial"/>
          <w:sz w:val="18"/>
          <w:szCs w:val="18"/>
          <w:i w:val="1"/>
          <w:iCs w:val="1"/>
          <w:color w:val="auto"/>
        </w:rPr>
        <w:t>—</w:t>
      </w:r>
      <w:r>
        <w:rPr>
          <w:rFonts w:ascii="Arial" w:cs="Arial" w:eastAsia="Arial" w:hAnsi="Arial"/>
          <w:sz w:val="18"/>
          <w:szCs w:val="18"/>
          <w:color w:val="auto"/>
        </w:rPr>
        <w:t xml:space="preserve"> Changes in Revenues, Costs and Earnings.” We do not provide per-share data for SDG&amp;E and SoCalGas because the common stock of each of them is indirectly wholly owned by Sempra Energy.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discuss litigation and other contingencies in Note 15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EVALUATION OF DISCLOSURE CONTROLS AND PROCEDURES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SOCALGAS</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8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December 31, 2011,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MANAGEMENT’S REPORT ON INTERNAL CONTROL OVER FINANCIAL REPORTING</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SOCALGAS</w:t>
      </w:r>
    </w:p>
    <w:p>
      <w:pPr>
        <w:spacing w:after="0" w:line="2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respective management of each company is responsible for establishing and maintaining adequate internal control over financial reporting, as defined in Exchange Act Rules 13a-15(f). Under the supervision and with the participation of the management of each company, including each company’s principal executive officer and principal financial officer, the effectiveness of each company’s internal control over financial reporting was evaluated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the evaluations, each company concluded that its internal control over financial reporting was effective as of December 31, 2011. Deloitte &amp; Touche, LLP audited the effectiveness of each company’s internal control over financial reporting as of December 31, 2011, as stated in their reports, which are included in this Annual Report.</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right="920"/>
        <w:spacing w:after="0" w:line="248" w:lineRule="auto"/>
        <w:rPr>
          <w:sz w:val="20"/>
          <w:szCs w:val="20"/>
          <w:color w:val="auto"/>
        </w:rPr>
      </w:pPr>
      <w:r>
        <w:rPr>
          <w:rFonts w:ascii="Arial" w:cs="Arial" w:eastAsia="Arial" w:hAnsi="Arial"/>
          <w:sz w:val="23"/>
          <w:szCs w:val="23"/>
          <w:color w:val="auto"/>
        </w:rPr>
        <w:t>CHANGES IN AND DISAGREEMENTS WITH ACCOUNTANTS ON ACCOUNTING AND FINANCIAL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3"/>
          <w:szCs w:val="23"/>
          <w:color w:val="auto"/>
        </w:rPr>
        <w:t>REPORTS OF INDEPENDENT REGISTERED PUBLIC ACCOUNTING FIRM</w:t>
      </w:r>
    </w:p>
    <w:p>
      <w:pPr>
        <w:sectPr>
          <w:pgSz w:w="11900" w:h="16838" w:orient="portrait"/>
          <w:cols w:equalWidth="0" w:num="1">
            <w:col w:w="11420"/>
          </w:cols>
          <w:pgMar w:left="240" w:top="144" w:right="239" w:bottom="5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255"/>
                    </a:xfrm>
                    <a:prstGeom prst="rect">
                      <a:avLst/>
                    </a:prstGeom>
                    <a:noFill/>
                  </pic:spPr>
                </pic:pic>
              </a:graphicData>
            </a:graphic>
          </wp:anchor>
        </w:drawing>
        <w:t>SEMPRA ENERGY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Sempra Energy:</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Sempra Energy and subsidiaries (the “Company”) as of December 31,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2011 of the Company and our report dated February 28, 2012 expressed an unqualified opinion on those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257" w:right="2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b w:val="1"/>
          <w:bCs w:val="1"/>
          <w:i w:val="1"/>
          <w:iCs w:val="1"/>
          <w:color w:val="auto"/>
        </w:rPr>
        <w:t>To the Board of Directors and Shareholders of Sempra Energy:</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Sempra Energy and subsidiaries (the “Company”) as of December 31, 2011 and 2010, and the related consolidated statements of operations, comprehensive income and changes in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Sempra Energy and subsidiaries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18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28, 2012 expressed an unqualified opinion on the Company’s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380"/>
          </w:cols>
          <w:pgMar w:left="240" w:top="730" w:right="27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SAN DIEGO GAS &amp; ELECTRIC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San Diego Gas &amp; Electric Company:</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San Diego Gas &amp; Electric Company (the “Company”) as of December 31,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2011 of the Company and our report dated February 28, 2012 expressed an unqualified opinion on those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973" w:right="23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b w:val="1"/>
          <w:bCs w:val="1"/>
          <w:i w:val="1"/>
          <w:iCs w:val="1"/>
          <w:color w:val="auto"/>
        </w:rPr>
        <w:t>To the Board of Directors and Shareholders of San Diego Gas &amp; Electric Company:</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San Diego Gas &amp; Electric Company (the “Company”) as of December 31, 2011 and 2010, and the related consolidated statements of operations, comprehensive income and changes in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San Diego Gas &amp; Electric Company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28, 2012 expressed an unqualified opinion on the Company’s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340"/>
          </w:cols>
          <w:pgMar w:left="240" w:top="731" w:right="31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SOUTHERN CALIFORNIA GAS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Southern California Gas Company:</w:t>
      </w:r>
    </w:p>
    <w:p>
      <w:pPr>
        <w:spacing w:after="0" w:line="20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Southern California Gas Company and subsidiaries (the “Company”) as of December 31,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2011 of the Company and our report dated February 28, 2012 expressed an unqualified opinion on those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973" w:right="2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b w:val="1"/>
          <w:bCs w:val="1"/>
          <w:i w:val="1"/>
          <w:iCs w:val="1"/>
          <w:color w:val="auto"/>
        </w:rPr>
        <w:t>To the Board of Directors and Shareholders of Southern California Gas Company: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Southern California Gas Company and subsidiaries (the “Company”) as of December 31, 2011 and 2010, and the related consolidated statements of operations, comprehensive income and changes in shareholders’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Southern California Gas Company and subsidiaries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18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28, 2012 expressed an unqualified opinion on the Company’s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380"/>
          </w:cols>
          <w:pgMar w:left="240" w:top="730" w:right="27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center"/>
              <w:ind w:left="840"/>
              <w:spacing w:after="0" w:line="159" w:lineRule="exact"/>
              <w:rPr>
                <w:sz w:val="20"/>
                <w:szCs w:val="20"/>
                <w:color w:val="auto"/>
              </w:rPr>
            </w:pPr>
            <w:r>
              <w:rPr>
                <w:rFonts w:ascii="Arial" w:cs="Arial" w:eastAsia="Arial" w:hAnsi="Arial"/>
                <w:sz w:val="14"/>
                <w:szCs w:val="14"/>
                <w:color w:val="auto"/>
              </w:rPr>
              <w:t>Years ended December 31,</w:t>
            </w:r>
          </w:p>
        </w:tc>
        <w:tc>
          <w:tcPr>
            <w:tcW w:w="12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2009</w:t>
            </w:r>
          </w:p>
        </w:tc>
      </w:tr>
      <w:tr>
        <w:trPr>
          <w:trHeight w:val="340"/>
        </w:trPr>
        <w:tc>
          <w:tcPr>
            <w:tcW w:w="690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Utilities</w:t>
            </w:r>
          </w:p>
        </w:tc>
        <w:tc>
          <w:tcPr>
            <w:tcW w:w="3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8,322</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7,019</w:t>
            </w: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6,421</w:t>
            </w:r>
          </w:p>
        </w:tc>
      </w:tr>
      <w:tr>
        <w:trPr>
          <w:trHeight w:val="194"/>
        </w:trPr>
        <w:tc>
          <w:tcPr>
            <w:tcW w:w="6900" w:type="dxa"/>
            <w:vAlign w:val="bottom"/>
            <w:gridSpan w:val="2"/>
          </w:tcPr>
          <w:p>
            <w:pPr>
              <w:spacing w:after="0"/>
              <w:rPr>
                <w:sz w:val="20"/>
                <w:szCs w:val="20"/>
                <w:color w:val="auto"/>
              </w:rPr>
            </w:pPr>
            <w:r>
              <w:rPr>
                <w:rFonts w:ascii="Arial" w:cs="Arial" w:eastAsia="Arial" w:hAnsi="Arial"/>
                <w:sz w:val="16"/>
                <w:szCs w:val="16"/>
                <w:color w:val="auto"/>
              </w:rPr>
              <w:t>Energy-related businesses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1,714</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w:t>
            </w:r>
          </w:p>
        </w:tc>
      </w:tr>
      <w:tr>
        <w:trPr>
          <w:trHeight w:val="164"/>
        </w:trPr>
        <w:tc>
          <w:tcPr>
            <w:tcW w:w="20" w:type="dxa"/>
            <w:vAlign w:val="bottom"/>
          </w:tcPr>
          <w:p>
            <w:pPr>
              <w:spacing w:after="0"/>
              <w:rPr>
                <w:sz w:val="14"/>
                <w:szCs w:val="14"/>
                <w:color w:val="auto"/>
              </w:rPr>
            </w:pPr>
          </w:p>
        </w:tc>
        <w:tc>
          <w:tcPr>
            <w:tcW w:w="6880" w:type="dxa"/>
            <w:vAlign w:val="bottom"/>
          </w:tcPr>
          <w:p>
            <w:pPr>
              <w:ind w:left="160"/>
              <w:spacing w:after="0" w:line="164" w:lineRule="exact"/>
              <w:rPr>
                <w:sz w:val="20"/>
                <w:szCs w:val="20"/>
                <w:color w:val="auto"/>
              </w:rPr>
            </w:pPr>
            <w:r>
              <w:rPr>
                <w:rFonts w:ascii="Arial" w:cs="Arial" w:eastAsia="Arial" w:hAnsi="Arial"/>
                <w:sz w:val="16"/>
                <w:szCs w:val="16"/>
                <w:color w:val="auto"/>
              </w:rPr>
              <w:t>Total revenues</w:t>
            </w:r>
          </w:p>
        </w:tc>
        <w:tc>
          <w:tcPr>
            <w:tcW w:w="360" w:type="dxa"/>
            <w:vAlign w:val="bottom"/>
          </w:tcPr>
          <w:p>
            <w:pPr>
              <w:spacing w:after="0"/>
              <w:rPr>
                <w:sz w:val="14"/>
                <w:szCs w:val="14"/>
                <w:color w:val="auto"/>
              </w:rPr>
            </w:pPr>
          </w:p>
        </w:tc>
        <w:tc>
          <w:tcPr>
            <w:tcW w:w="1180" w:type="dxa"/>
            <w:vAlign w:val="bottom"/>
          </w:tcPr>
          <w:p>
            <w:pPr>
              <w:jc w:val="right"/>
              <w:ind w:right="20"/>
              <w:spacing w:after="0" w:line="164" w:lineRule="exact"/>
              <w:rPr>
                <w:sz w:val="20"/>
                <w:szCs w:val="20"/>
                <w:color w:val="auto"/>
              </w:rPr>
            </w:pPr>
            <w:r>
              <w:rPr>
                <w:rFonts w:ascii="Arial" w:cs="Arial" w:eastAsia="Arial" w:hAnsi="Arial"/>
                <w:sz w:val="16"/>
                <w:szCs w:val="16"/>
                <w:color w:val="auto"/>
              </w:rPr>
              <w:t>10,036</w:t>
            </w:r>
          </w:p>
        </w:tc>
        <w:tc>
          <w:tcPr>
            <w:tcW w:w="20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9,003</w:t>
            </w:r>
          </w:p>
        </w:tc>
        <w:tc>
          <w:tcPr>
            <w:tcW w:w="22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8,106</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EXPENSES AND OTHER INCOME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Utilities: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Cost of natural gas</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(1,866)</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(2,012)</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(1,645)</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(1,397)</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(637)</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(672)</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Energy-related businesses: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Cost of natural gas, electric fuel and purchased power</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(746)</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(1,046)</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(864)</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Other cost of sales</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(137)</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(88)</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(77)</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Litigation expense</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(169)</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Other operation and maintenance</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(2,788)</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(2,499)</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(2,467)</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(978)</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(867)</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(775)</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Franchise fees and other taxes</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(343)</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(296)</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Write-off of long-lived assets</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(132)</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Equity earnings (losses), before income tax:</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RBS Sempra Commodities LLP</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(314)</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463</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Other</w:t>
            </w:r>
          </w:p>
        </w:tc>
        <w:tc>
          <w:tcPr>
            <w:tcW w:w="360" w:type="dxa"/>
            <w:vAlign w:val="bottom"/>
          </w:tcPr>
          <w:p>
            <w:pPr>
              <w:spacing w:after="0"/>
              <w:rPr>
                <w:sz w:val="15"/>
                <w:szCs w:val="15"/>
                <w:color w:val="auto"/>
              </w:rPr>
            </w:pPr>
          </w:p>
        </w:tc>
        <w:tc>
          <w:tcPr>
            <w:tcW w:w="11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33</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Remeasurement of equity method investments</w:t>
            </w:r>
          </w:p>
        </w:tc>
        <w:tc>
          <w:tcPr>
            <w:tcW w:w="360" w:type="dxa"/>
            <w:vAlign w:val="bottom"/>
          </w:tcPr>
          <w:p>
            <w:pPr>
              <w:spacing w:after="0"/>
              <w:rPr>
                <w:sz w:val="15"/>
                <w:szCs w:val="15"/>
                <w:color w:val="auto"/>
              </w:rPr>
            </w:pPr>
          </w:p>
        </w:tc>
        <w:tc>
          <w:tcPr>
            <w:tcW w:w="11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277</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Other income, net</w:t>
            </w:r>
          </w:p>
        </w:tc>
        <w:tc>
          <w:tcPr>
            <w:tcW w:w="360" w:type="dxa"/>
            <w:vAlign w:val="bottom"/>
          </w:tcPr>
          <w:p>
            <w:pPr>
              <w:spacing w:after="0"/>
              <w:rPr>
                <w:sz w:val="15"/>
                <w:szCs w:val="15"/>
                <w:color w:val="auto"/>
              </w:rPr>
            </w:pPr>
          </w:p>
        </w:tc>
        <w:tc>
          <w:tcPr>
            <w:tcW w:w="11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130</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140</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149</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5"/>
                <w:szCs w:val="15"/>
                <w:color w:val="auto"/>
              </w:rPr>
            </w:pPr>
          </w:p>
        </w:tc>
        <w:tc>
          <w:tcPr>
            <w:tcW w:w="11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26</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r>
      <w:tr>
        <w:trPr>
          <w:trHeight w:val="194"/>
        </w:trPr>
        <w:tc>
          <w:tcPr>
            <w:tcW w:w="69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r>
      <w:tr>
        <w:trPr>
          <w:trHeight w:val="164"/>
        </w:trPr>
        <w:tc>
          <w:tcPr>
            <w:tcW w:w="6900" w:type="dxa"/>
            <w:vAlign w:val="bottom"/>
            <w:gridSpan w:val="2"/>
          </w:tcPr>
          <w:p>
            <w:pPr>
              <w:spacing w:after="0" w:line="164" w:lineRule="exact"/>
              <w:rPr>
                <w:sz w:val="20"/>
                <w:szCs w:val="20"/>
                <w:color w:val="auto"/>
              </w:rPr>
            </w:pPr>
            <w:r>
              <w:rPr>
                <w:rFonts w:ascii="Arial" w:cs="Arial" w:eastAsia="Arial" w:hAnsi="Arial"/>
                <w:sz w:val="16"/>
                <w:szCs w:val="16"/>
                <w:color w:val="auto"/>
              </w:rPr>
              <w:t>Income before income taxes and equity earnings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of certain unconsolidated subsidiaries</w:t>
            </w:r>
          </w:p>
        </w:tc>
        <w:tc>
          <w:tcPr>
            <w:tcW w:w="360" w:type="dxa"/>
            <w:vAlign w:val="bottom"/>
          </w:tcPr>
          <w:p>
            <w:pPr>
              <w:spacing w:after="0"/>
              <w:rPr>
                <w:sz w:val="15"/>
                <w:szCs w:val="15"/>
                <w:color w:val="auto"/>
              </w:rPr>
            </w:pPr>
          </w:p>
        </w:tc>
        <w:tc>
          <w:tcPr>
            <w:tcW w:w="11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1,721</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786</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1,476</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(366)</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(102)</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(422)</w:t>
            </w:r>
          </w:p>
        </w:tc>
      </w:tr>
      <w:tr>
        <w:trPr>
          <w:trHeight w:val="194"/>
        </w:trPr>
        <w:tc>
          <w:tcPr>
            <w:tcW w:w="6900" w:type="dxa"/>
            <w:vAlign w:val="bottom"/>
            <w:gridSpan w:val="2"/>
          </w:tcPr>
          <w:p>
            <w:pPr>
              <w:spacing w:after="0"/>
              <w:rPr>
                <w:sz w:val="20"/>
                <w:szCs w:val="20"/>
                <w:color w:val="auto"/>
              </w:rPr>
            </w:pPr>
            <w:r>
              <w:rPr>
                <w:rFonts w:ascii="Arial" w:cs="Arial" w:eastAsia="Arial" w:hAnsi="Arial"/>
                <w:sz w:val="16"/>
                <w:szCs w:val="16"/>
                <w:color w:val="auto"/>
              </w:rPr>
              <w:t>Equity earnings, net of income tax</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164"/>
        </w:trPr>
        <w:tc>
          <w:tcPr>
            <w:tcW w:w="6900" w:type="dxa"/>
            <w:vAlign w:val="bottom"/>
            <w:gridSpan w:val="2"/>
          </w:tcPr>
          <w:p>
            <w:pPr>
              <w:spacing w:after="0" w:line="164" w:lineRule="exact"/>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4"/>
                <w:szCs w:val="14"/>
                <w:color w:val="auto"/>
              </w:rPr>
            </w:pPr>
          </w:p>
        </w:tc>
        <w:tc>
          <w:tcPr>
            <w:tcW w:w="1180" w:type="dxa"/>
            <w:vAlign w:val="bottom"/>
          </w:tcPr>
          <w:p>
            <w:pPr>
              <w:jc w:val="right"/>
              <w:ind w:right="20"/>
              <w:spacing w:after="0" w:line="164" w:lineRule="exact"/>
              <w:rPr>
                <w:sz w:val="20"/>
                <w:szCs w:val="20"/>
                <w:color w:val="auto"/>
              </w:rPr>
            </w:pPr>
            <w:r>
              <w:rPr>
                <w:rFonts w:ascii="Arial" w:cs="Arial" w:eastAsia="Arial" w:hAnsi="Arial"/>
                <w:sz w:val="16"/>
                <w:szCs w:val="16"/>
                <w:color w:val="auto"/>
              </w:rPr>
              <w:t>1,407</w:t>
            </w:r>
          </w:p>
        </w:tc>
        <w:tc>
          <w:tcPr>
            <w:tcW w:w="20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733</w:t>
            </w:r>
          </w:p>
        </w:tc>
        <w:tc>
          <w:tcPr>
            <w:tcW w:w="22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1,122</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(Earnings) losses attributable to noncontrolling interests</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194"/>
        </w:trPr>
        <w:tc>
          <w:tcPr>
            <w:tcW w:w="690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Earnings</w:t>
            </w:r>
          </w:p>
        </w:tc>
        <w:tc>
          <w:tcPr>
            <w:tcW w:w="36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1,357</w:t>
            </w: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739</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1,119</w:t>
            </w:r>
          </w:p>
        </w:tc>
      </w:tr>
      <w:tr>
        <w:trPr>
          <w:trHeight w:val="534"/>
        </w:trPr>
        <w:tc>
          <w:tcPr>
            <w:tcW w:w="6900" w:type="dxa"/>
            <w:vAlign w:val="bottom"/>
            <w:gridSpan w:val="2"/>
          </w:tcPr>
          <w:p>
            <w:pPr>
              <w:spacing w:after="0"/>
              <w:rPr>
                <w:sz w:val="20"/>
                <w:szCs w:val="20"/>
                <w:color w:val="auto"/>
              </w:rPr>
            </w:pPr>
            <w:r>
              <w:rPr>
                <w:rFonts w:ascii="Arial" w:cs="Arial" w:eastAsia="Arial" w:hAnsi="Arial"/>
                <w:sz w:val="16"/>
                <w:szCs w:val="16"/>
                <w:color w:val="auto"/>
              </w:rPr>
              <w:t>Basic earnings per common share</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r>
      <w:tr>
        <w:trPr>
          <w:trHeight w:val="183"/>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Weighted-average number of shares outstanding, basic (thousands)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239,720</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244,736</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243,339</w:t>
            </w:r>
          </w:p>
        </w:tc>
      </w:tr>
      <w:tr>
        <w:trPr>
          <w:trHeight w:val="385"/>
        </w:trPr>
        <w:tc>
          <w:tcPr>
            <w:tcW w:w="6900" w:type="dxa"/>
            <w:vAlign w:val="bottom"/>
            <w:gridSpan w:val="2"/>
          </w:tcPr>
          <w:p>
            <w:pPr>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r>
      <w:tr>
        <w:trPr>
          <w:trHeight w:val="183"/>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Weighted-average number of shares outstanding, diluted (thousands)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241,523</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247,942</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247,384</w:t>
            </w:r>
          </w:p>
        </w:tc>
      </w:tr>
      <w:tr>
        <w:trPr>
          <w:trHeight w:val="385"/>
        </w:trPr>
        <w:tc>
          <w:tcPr>
            <w:tcW w:w="6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Dividends declared per share of common stock</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186"/>
        </w:trPr>
        <w:tc>
          <w:tcPr>
            <w:tcW w:w="6900" w:type="dxa"/>
            <w:vAlign w:val="bottom"/>
            <w:gridSpan w:val="2"/>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462"/>
        </w:trPr>
        <w:tc>
          <w:tcPr>
            <w:tcW w:w="20" w:type="dxa"/>
            <w:vAlign w:val="bottom"/>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688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SEMPRA ENERGY</w:t>
            </w:r>
          </w:p>
        </w:tc>
        <w:tc>
          <w:tcPr>
            <w:tcW w:w="360" w:type="dxa"/>
            <w:vAlign w:val="bottom"/>
            <w:shd w:val="clear" w:color="auto" w:fill="C0C0C0"/>
          </w:tcPr>
          <w:p>
            <w:pPr>
              <w:spacing w:after="0"/>
              <w:rPr>
                <w:sz w:val="11"/>
                <w:szCs w:val="11"/>
                <w:color w:val="auto"/>
              </w:rPr>
            </w:pPr>
          </w:p>
        </w:tc>
        <w:tc>
          <w:tcPr>
            <w:tcW w:w="118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1280" w:type="dxa"/>
            <w:vAlign w:val="bottom"/>
            <w:shd w:val="clear" w:color="auto" w:fill="C0C0C0"/>
          </w:tcPr>
          <w:p>
            <w:pPr>
              <w:spacing w:after="0"/>
              <w:rPr>
                <w:sz w:val="11"/>
                <w:szCs w:val="11"/>
                <w:color w:val="auto"/>
              </w:rPr>
            </w:pPr>
          </w:p>
        </w:tc>
        <w:tc>
          <w:tcPr>
            <w:tcW w:w="220" w:type="dxa"/>
            <w:vAlign w:val="bottom"/>
            <w:shd w:val="clear" w:color="auto" w:fill="C0C0C0"/>
          </w:tcPr>
          <w:p>
            <w:pPr>
              <w:spacing w:after="0"/>
              <w:rPr>
                <w:sz w:val="11"/>
                <w:szCs w:val="11"/>
                <w:color w:val="auto"/>
              </w:rPr>
            </w:pPr>
          </w:p>
        </w:tc>
        <w:tc>
          <w:tcPr>
            <w:tcW w:w="1280" w:type="dxa"/>
            <w:vAlign w:val="bottom"/>
            <w:shd w:val="clear" w:color="auto" w:fill="C0C0C0"/>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88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CONSOLIDATED BALANCE SHEETS</w:t>
            </w:r>
          </w:p>
        </w:tc>
        <w:tc>
          <w:tcPr>
            <w:tcW w:w="360" w:type="dxa"/>
            <w:vAlign w:val="bottom"/>
            <w:shd w:val="clear" w:color="auto" w:fill="C0C0C0"/>
          </w:tcPr>
          <w:p>
            <w:pPr>
              <w:spacing w:after="0"/>
              <w:rPr>
                <w:sz w:val="17"/>
                <w:szCs w:val="17"/>
                <w:color w:val="auto"/>
              </w:rPr>
            </w:pPr>
          </w:p>
        </w:tc>
        <w:tc>
          <w:tcPr>
            <w:tcW w:w="11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68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shd w:val="clear" w:color="auto" w:fill="C0C0C0"/>
          </w:tcPr>
          <w:p>
            <w:pPr>
              <w:spacing w:after="0"/>
              <w:rPr>
                <w:sz w:val="14"/>
                <w:szCs w:val="14"/>
                <w:color w:val="auto"/>
              </w:rPr>
            </w:pPr>
          </w:p>
        </w:tc>
        <w:tc>
          <w:tcPr>
            <w:tcW w:w="11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6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6880" w:type="dxa"/>
            <w:vAlign w:val="bottom"/>
          </w:tcPr>
          <w:p>
            <w:pPr>
              <w:spacing w:after="0" w:line="164" w:lineRule="exact"/>
              <w:rPr>
                <w:sz w:val="20"/>
                <w:szCs w:val="20"/>
                <w:color w:val="auto"/>
              </w:rPr>
            </w:pPr>
            <w:r>
              <w:rPr>
                <w:rFonts w:ascii="Arial" w:cs="Arial" w:eastAsia="Arial" w:hAnsi="Arial"/>
                <w:sz w:val="16"/>
                <w:szCs w:val="16"/>
                <w:color w:val="auto"/>
              </w:rPr>
              <w:t>ASSETS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Cash and cash equivalents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252</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912</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131</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Trade accounts receivable, net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1,198</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891</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Other accounts and notes receivable, net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147</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141</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Due from unconsolidated affiliates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Income taxes receivable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248</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346</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258</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Regulatory balancing accounts – undercollected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89</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90</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Settlements receivable related to wildfire litigation</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300</w:t>
            </w:r>
          </w:p>
        </w:tc>
      </w:tr>
      <w:tr>
        <w:trPr>
          <w:trHeight w:val="194"/>
        </w:trPr>
        <w:tc>
          <w:tcPr>
            <w:tcW w:w="20" w:type="dxa"/>
            <w:vAlign w:val="bottom"/>
          </w:tcPr>
          <w:p>
            <w:pPr>
              <w:spacing w:after="0"/>
              <w:rPr>
                <w:sz w:val="16"/>
                <w:szCs w:val="16"/>
                <w:color w:val="auto"/>
              </w:rPr>
            </w:pPr>
          </w:p>
        </w:tc>
        <w:tc>
          <w:tcPr>
            <w:tcW w:w="6880" w:type="dxa"/>
            <w:vAlign w:val="bottom"/>
          </w:tcPr>
          <w:p>
            <w:pPr>
              <w:ind w:left="16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r>
      <w:tr>
        <w:trPr>
          <w:trHeight w:val="183"/>
        </w:trPr>
        <w:tc>
          <w:tcPr>
            <w:tcW w:w="20" w:type="dxa"/>
            <w:vAlign w:val="bottom"/>
          </w:tcPr>
          <w:p>
            <w:pPr>
              <w:spacing w:after="0"/>
              <w:rPr>
                <w:sz w:val="15"/>
                <w:szCs w:val="15"/>
                <w:color w:val="auto"/>
              </w:rPr>
            </w:pPr>
          </w:p>
        </w:tc>
        <w:tc>
          <w:tcPr>
            <w:tcW w:w="6880" w:type="dxa"/>
            <w:vAlign w:val="bottom"/>
          </w:tcPr>
          <w:p>
            <w:pPr>
              <w:ind w:left="340"/>
              <w:spacing w:after="0" w:line="176" w:lineRule="exact"/>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2,332</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3,353</w:t>
            </w:r>
          </w:p>
        </w:tc>
      </w:tr>
      <w:tr>
        <w:trPr>
          <w:trHeight w:val="340"/>
        </w:trPr>
        <w:tc>
          <w:tcPr>
            <w:tcW w:w="6900" w:type="dxa"/>
            <w:vAlign w:val="bottom"/>
            <w:gridSpan w:val="2"/>
          </w:tcPr>
          <w:p>
            <w:pPr>
              <w:spacing w:after="0"/>
              <w:rPr>
                <w:sz w:val="20"/>
                <w:szCs w:val="20"/>
                <w:color w:val="auto"/>
              </w:rPr>
            </w:pPr>
            <w:r>
              <w:rPr>
                <w:rFonts w:ascii="Arial" w:cs="Arial" w:eastAsia="Arial" w:hAnsi="Arial"/>
                <w:sz w:val="16"/>
                <w:szCs w:val="16"/>
                <w:color w:val="auto"/>
              </w:rPr>
              <w:t>Investments and other 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880" w:type="dxa"/>
            <w:vAlign w:val="bottom"/>
          </w:tcPr>
          <w:p>
            <w:pPr>
              <w:ind w:left="340"/>
              <w:spacing w:after="0" w:line="176" w:lineRule="exact"/>
              <w:rPr>
                <w:sz w:val="20"/>
                <w:szCs w:val="20"/>
                <w:color w:val="auto"/>
              </w:rPr>
            </w:pPr>
            <w:r>
              <w:rPr>
                <w:rFonts w:ascii="Arial" w:cs="Arial" w:eastAsia="Arial" w:hAnsi="Arial"/>
                <w:sz w:val="16"/>
                <w:szCs w:val="16"/>
                <w:color w:val="auto"/>
              </w:rPr>
              <w:t>benefit obligations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1,126</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869</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 arising from wildfire litigation costs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594</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364</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Other regulatory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1,060</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934</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Nuclear decommissioning trusts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804</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769</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Investment in RBS Sempra Commodities LLP</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126</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787</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Other investments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1,545</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2,164</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1,036</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Other intangible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448</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453</w:t>
            </w:r>
          </w:p>
        </w:tc>
      </w:tr>
      <w:tr>
        <w:trPr>
          <w:trHeight w:val="194"/>
        </w:trPr>
        <w:tc>
          <w:tcPr>
            <w:tcW w:w="20" w:type="dxa"/>
            <w:vAlign w:val="bottom"/>
          </w:tcPr>
          <w:p>
            <w:pPr>
              <w:spacing w:after="0"/>
              <w:rPr>
                <w:sz w:val="16"/>
                <w:szCs w:val="16"/>
                <w:color w:val="auto"/>
              </w:rPr>
            </w:pPr>
          </w:p>
        </w:tc>
        <w:tc>
          <w:tcPr>
            <w:tcW w:w="6880" w:type="dxa"/>
            <w:vAlign w:val="bottom"/>
          </w:tcPr>
          <w:p>
            <w:pPr>
              <w:ind w:left="160"/>
              <w:spacing w:after="0"/>
              <w:rPr>
                <w:sz w:val="20"/>
                <w:szCs w:val="20"/>
                <w:color w:val="auto"/>
              </w:rPr>
            </w:pPr>
            <w:r>
              <w:rPr>
                <w:rFonts w:ascii="Arial" w:cs="Arial" w:eastAsia="Arial" w:hAnsi="Arial"/>
                <w:sz w:val="16"/>
                <w:szCs w:val="16"/>
                <w:color w:val="auto"/>
              </w:rPr>
              <w:t>Sundry</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r>
      <w:tr>
        <w:trPr>
          <w:trHeight w:val="183"/>
        </w:trPr>
        <w:tc>
          <w:tcPr>
            <w:tcW w:w="20" w:type="dxa"/>
            <w:vAlign w:val="bottom"/>
          </w:tcPr>
          <w:p>
            <w:pPr>
              <w:spacing w:after="0"/>
              <w:rPr>
                <w:sz w:val="15"/>
                <w:szCs w:val="15"/>
                <w:color w:val="auto"/>
              </w:rPr>
            </w:pPr>
          </w:p>
        </w:tc>
        <w:tc>
          <w:tcPr>
            <w:tcW w:w="6880" w:type="dxa"/>
            <w:vAlign w:val="bottom"/>
          </w:tcPr>
          <w:p>
            <w:pPr>
              <w:ind w:left="340"/>
              <w:spacing w:after="0" w:line="176" w:lineRule="exact"/>
              <w:rPr>
                <w:sz w:val="20"/>
                <w:szCs w:val="20"/>
                <w:color w:val="auto"/>
              </w:rPr>
            </w:pPr>
            <w:r>
              <w:rPr>
                <w:rFonts w:ascii="Arial" w:cs="Arial" w:eastAsia="Arial" w:hAnsi="Arial"/>
                <w:sz w:val="16"/>
                <w:szCs w:val="16"/>
                <w:color w:val="auto"/>
              </w:rPr>
              <w:t>Total investments and other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7,452</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7,054</w:t>
            </w:r>
          </w:p>
        </w:tc>
      </w:tr>
      <w:tr>
        <w:trPr>
          <w:trHeight w:val="340"/>
        </w:trPr>
        <w:tc>
          <w:tcPr>
            <w:tcW w:w="690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880" w:type="dxa"/>
            <w:vAlign w:val="bottom"/>
          </w:tcPr>
          <w:p>
            <w:pPr>
              <w:ind w:left="160"/>
              <w:spacing w:after="0" w:line="176" w:lineRule="exact"/>
              <w:rPr>
                <w:sz w:val="20"/>
                <w:szCs w:val="20"/>
                <w:color w:val="auto"/>
              </w:rPr>
            </w:pPr>
            <w:r>
              <w:rPr>
                <w:rFonts w:ascii="Arial" w:cs="Arial" w:eastAsia="Arial" w:hAnsi="Arial"/>
                <w:sz w:val="16"/>
                <w:szCs w:val="16"/>
                <w:color w:val="auto"/>
              </w:rPr>
              <w:t>Property, plant and equipment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31,303</w:t>
            </w: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27,087</w:t>
            </w:r>
          </w:p>
        </w:tc>
      </w:tr>
      <w:tr>
        <w:trPr>
          <w:trHeight w:val="194"/>
        </w:trPr>
        <w:tc>
          <w:tcPr>
            <w:tcW w:w="20" w:type="dxa"/>
            <w:vAlign w:val="bottom"/>
          </w:tcPr>
          <w:p>
            <w:pPr>
              <w:spacing w:after="0"/>
              <w:rPr>
                <w:sz w:val="16"/>
                <w:szCs w:val="16"/>
                <w:color w:val="auto"/>
              </w:rPr>
            </w:pPr>
          </w:p>
        </w:tc>
        <w:tc>
          <w:tcPr>
            <w:tcW w:w="6880" w:type="dxa"/>
            <w:vAlign w:val="bottom"/>
          </w:tcPr>
          <w:p>
            <w:pPr>
              <w:ind w:left="160"/>
              <w:spacing w:after="0"/>
              <w:rPr>
                <w:sz w:val="20"/>
                <w:szCs w:val="20"/>
                <w:color w:val="auto"/>
              </w:rPr>
            </w:pPr>
            <w:r>
              <w:rPr>
                <w:rFonts w:ascii="Arial" w:cs="Arial" w:eastAsia="Arial" w:hAnsi="Arial"/>
                <w:sz w:val="16"/>
                <w:szCs w:val="16"/>
                <w:color w:val="auto"/>
              </w:rPr>
              <w:t>Less accumulated depreciation and amortization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(7,731)</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(7,211)</w:t>
            </w:r>
          </w:p>
        </w:tc>
      </w:tr>
    </w:tbl>
    <w:p>
      <w:pPr>
        <w:sectPr>
          <w:pgSz w:w="11900" w:h="16838" w:orient="portrait"/>
          <w:cols w:equalWidth="0" w:num="1">
            <w:col w:w="11420"/>
          </w:cols>
          <w:pgMar w:left="240" w:top="513" w:right="239" w:bottom="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60" w:type="dxa"/>
            <w:vAlign w:val="bottom"/>
          </w:tcPr>
          <w:p>
            <w:pPr>
              <w:ind w:left="340"/>
              <w:spacing w:after="0"/>
              <w:rPr>
                <w:sz w:val="20"/>
                <w:szCs w:val="20"/>
                <w:color w:val="auto"/>
              </w:rPr>
            </w:pPr>
            <w:r>
              <w:rPr>
                <w:rFonts w:ascii="Arial" w:cs="Arial" w:eastAsia="Arial" w:hAnsi="Arial"/>
                <w:sz w:val="16"/>
                <w:szCs w:val="16"/>
                <w:color w:val="auto"/>
              </w:rPr>
              <w:t>Property, plant and equipment, net ($494 and $516 at December 31, 2011 and</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23,572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19,876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ind w:left="520"/>
              <w:spacing w:after="0" w:line="168" w:lineRule="exact"/>
              <w:rPr>
                <w:sz w:val="20"/>
                <w:szCs w:val="20"/>
                <w:color w:val="auto"/>
              </w:rPr>
            </w:pPr>
            <w:r>
              <w:rPr>
                <w:rFonts w:ascii="Arial" w:cs="Arial" w:eastAsia="Arial" w:hAnsi="Arial"/>
                <w:sz w:val="16"/>
                <w:szCs w:val="16"/>
                <w:color w:val="auto"/>
              </w:rPr>
              <w:t>2010, respectively, related to VIE)</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80" w:type="dxa"/>
            <w:vAlign w:val="bottom"/>
            <w:gridSpan w:val="2"/>
          </w:tcPr>
          <w:p>
            <w:pPr>
              <w:spacing w:after="0" w:line="176" w:lineRule="exact"/>
              <w:rPr>
                <w:sz w:val="20"/>
                <w:szCs w:val="20"/>
                <w:color w:val="auto"/>
              </w:rPr>
            </w:pPr>
            <w:r>
              <w:rPr>
                <w:rFonts w:ascii="Arial" w:cs="Arial" w:eastAsia="Arial" w:hAnsi="Arial"/>
                <w:sz w:val="16"/>
                <w:szCs w:val="16"/>
                <w:color w:val="auto"/>
              </w:rPr>
              <w:t>Total assets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33,356</w:t>
            </w:r>
          </w:p>
        </w:tc>
        <w:tc>
          <w:tcPr>
            <w:tcW w:w="2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30,283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6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76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SEMPRA ENERGY</w:t>
            </w:r>
          </w:p>
        </w:tc>
        <w:tc>
          <w:tcPr>
            <w:tcW w:w="800" w:type="dxa"/>
            <w:vAlign w:val="bottom"/>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58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900" w:type="dxa"/>
            <w:vAlign w:val="bottom"/>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20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CONSOLIDATED BALANCE SHEETS</w:t>
            </w:r>
          </w:p>
        </w:tc>
        <w:tc>
          <w:tcPr>
            <w:tcW w:w="8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9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2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gridSpan w:val="3"/>
          </w:tcPr>
          <w:p>
            <w:pPr>
              <w:jc w:val="right"/>
              <w:ind w:right="159"/>
              <w:spacing w:after="0"/>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60" w:type="dxa"/>
            <w:vAlign w:val="bottom"/>
          </w:tcPr>
          <w:p>
            <w:pPr>
              <w:spacing w:after="0" w:line="164" w:lineRule="exact"/>
              <w:rPr>
                <w:sz w:val="20"/>
                <w:szCs w:val="20"/>
                <w:color w:val="auto"/>
              </w:rPr>
            </w:pPr>
            <w:r>
              <w:rPr>
                <w:rFonts w:ascii="Arial" w:cs="Arial" w:eastAsia="Arial" w:hAnsi="Arial"/>
                <w:sz w:val="16"/>
                <w:szCs w:val="16"/>
                <w:color w:val="auto"/>
              </w:rPr>
              <w:t>LIABILITIES AND EQUITY</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gridSpan w:val="2"/>
          </w:tcPr>
          <w:p>
            <w:pPr>
              <w:spacing w:after="0" w:line="176" w:lineRule="exact"/>
              <w:rPr>
                <w:sz w:val="20"/>
                <w:szCs w:val="20"/>
                <w:color w:val="auto"/>
              </w:rPr>
            </w:pPr>
            <w:r>
              <w:rPr>
                <w:rFonts w:ascii="Arial" w:cs="Arial" w:eastAsia="Arial" w:hAnsi="Arial"/>
                <w:sz w:val="16"/>
                <w:szCs w:val="16"/>
                <w:color w:val="auto"/>
              </w:rPr>
              <w:t>Current liabilities: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Short-term debt</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265"/>
              <w:spacing w:after="0" w:line="17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449</w:t>
            </w:r>
          </w:p>
        </w:tc>
        <w:tc>
          <w:tcPr>
            <w:tcW w:w="2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Accounts payable – trade</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983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Accounts payable – other</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Due to unconsolidated affiliates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Income taxes payable</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Deferred income taxes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173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Dividends and interest payable</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Accrued compensation and benefits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Regulatory balancing accounts – overcollected</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Current portion of long-term debt</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336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92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Customer deposits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Reserve for wildfire litigation</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tcPr>
          <w:p>
            <w:pPr>
              <w:ind w:left="160"/>
              <w:spacing w:after="0"/>
              <w:rPr>
                <w:sz w:val="20"/>
                <w:szCs w:val="20"/>
                <w:color w:val="auto"/>
              </w:rPr>
            </w:pPr>
            <w:r>
              <w:rPr>
                <w:rFonts w:ascii="Arial" w:cs="Arial" w:eastAsia="Arial" w:hAnsi="Arial"/>
                <w:sz w:val="16"/>
                <w:szCs w:val="16"/>
                <w:color w:val="auto"/>
              </w:rPr>
              <w:t>Other</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Pr>
          <w:p>
            <w:pPr>
              <w:ind w:left="340"/>
              <w:spacing w:after="0" w:line="176" w:lineRule="exact"/>
              <w:rPr>
                <w:sz w:val="20"/>
                <w:szCs w:val="20"/>
                <w:color w:val="auto"/>
              </w:rPr>
            </w:pPr>
            <w:r>
              <w:rPr>
                <w:rFonts w:ascii="Arial" w:cs="Arial" w:eastAsia="Arial" w:hAnsi="Arial"/>
                <w:sz w:val="16"/>
                <w:szCs w:val="16"/>
                <w:color w:val="auto"/>
              </w:rPr>
              <w:t>Total current liabilities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4,163</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3,786</w:t>
            </w:r>
          </w:p>
        </w:tc>
        <w:tc>
          <w:tcPr>
            <w:tcW w:w="0" w:type="dxa"/>
            <w:vAlign w:val="bottom"/>
          </w:tcPr>
          <w:p>
            <w:pPr>
              <w:spacing w:after="0"/>
              <w:rPr>
                <w:sz w:val="1"/>
                <w:szCs w:val="1"/>
                <w:color w:val="auto"/>
              </w:rPr>
            </w:pPr>
          </w:p>
        </w:tc>
      </w:tr>
      <w:tr>
        <w:trPr>
          <w:trHeight w:val="183"/>
        </w:trPr>
        <w:tc>
          <w:tcPr>
            <w:tcW w:w="6780" w:type="dxa"/>
            <w:vAlign w:val="bottom"/>
            <w:gridSpan w:val="2"/>
          </w:tcPr>
          <w:p>
            <w:pPr>
              <w:spacing w:after="0"/>
              <w:rPr>
                <w:sz w:val="20"/>
                <w:szCs w:val="20"/>
                <w:color w:val="auto"/>
              </w:rPr>
            </w:pPr>
            <w:r>
              <w:rPr>
                <w:rFonts w:ascii="Arial" w:cs="Arial" w:eastAsia="Arial" w:hAnsi="Arial"/>
                <w:sz w:val="16"/>
                <w:szCs w:val="16"/>
                <w:color w:val="auto"/>
              </w:rPr>
              <w:t>Long-term debt ($345 and $355 at December 31, 2011 and 2010, respectively,</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10,078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8,980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ind w:left="260"/>
              <w:spacing w:after="0" w:line="168" w:lineRule="exact"/>
              <w:rPr>
                <w:sz w:val="20"/>
                <w:szCs w:val="20"/>
                <w:color w:val="auto"/>
              </w:rPr>
            </w:pPr>
            <w:r>
              <w:rPr>
                <w:rFonts w:ascii="Arial" w:cs="Arial" w:eastAsia="Arial" w:hAnsi="Arial"/>
                <w:sz w:val="16"/>
                <w:szCs w:val="16"/>
                <w:color w:val="auto"/>
              </w:rPr>
              <w:t>related to VIE)</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678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Customer advances for construction</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1,423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Deferred income taxes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1,554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Deferred investment tax credits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2,551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Asset retirement obligations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1,905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Other regulatory liabilities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tcPr>
          <w:p>
            <w:pPr>
              <w:ind w:left="160"/>
              <w:spacing w:after="0"/>
              <w:rPr>
                <w:sz w:val="20"/>
                <w:szCs w:val="20"/>
                <w:color w:val="auto"/>
              </w:rPr>
            </w:pPr>
            <w:r>
              <w:rPr>
                <w:rFonts w:ascii="Arial" w:cs="Arial" w:eastAsia="Arial" w:hAnsi="Arial"/>
                <w:sz w:val="16"/>
                <w:szCs w:val="16"/>
                <w:color w:val="auto"/>
              </w:rPr>
              <w:t>Deferred credits and other</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Pr>
          <w:p>
            <w:pPr>
              <w:ind w:left="34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8,795</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8,200</w:t>
            </w:r>
          </w:p>
        </w:tc>
        <w:tc>
          <w:tcPr>
            <w:tcW w:w="0" w:type="dxa"/>
            <w:vAlign w:val="bottom"/>
          </w:tcPr>
          <w:p>
            <w:pPr>
              <w:spacing w:after="0"/>
              <w:rPr>
                <w:sz w:val="1"/>
                <w:szCs w:val="1"/>
                <w:color w:val="auto"/>
              </w:rPr>
            </w:pPr>
          </w:p>
        </w:tc>
      </w:tr>
      <w:tr>
        <w:trPr>
          <w:trHeight w:val="183"/>
        </w:trPr>
        <w:tc>
          <w:tcPr>
            <w:tcW w:w="6780" w:type="dxa"/>
            <w:vAlign w:val="bottom"/>
            <w:gridSpan w:val="2"/>
          </w:tcPr>
          <w:p>
            <w:pPr>
              <w:spacing w:after="0" w:line="176" w:lineRule="exact"/>
              <w:rPr>
                <w:sz w:val="20"/>
                <w:szCs w:val="20"/>
                <w:color w:val="auto"/>
              </w:rPr>
            </w:pPr>
            <w:r>
              <w:rPr>
                <w:rFonts w:ascii="Arial" w:cs="Arial" w:eastAsia="Arial" w:hAnsi="Arial"/>
                <w:sz w:val="16"/>
                <w:szCs w:val="16"/>
                <w:color w:val="auto"/>
              </w:rPr>
              <w:t>Contingently redeemable preferred stock of subsidiary</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91"/>
        </w:trPr>
        <w:tc>
          <w:tcPr>
            <w:tcW w:w="678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7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Preferred stock (50 million shares authorized; none issued)</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Common stock (750 million shares authorized; 240 million</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340"/>
              <w:spacing w:after="0" w:line="176" w:lineRule="exact"/>
              <w:rPr>
                <w:sz w:val="20"/>
                <w:szCs w:val="20"/>
                <w:color w:val="auto"/>
              </w:rPr>
            </w:pPr>
            <w:r>
              <w:rPr>
                <w:rFonts w:ascii="Arial" w:cs="Arial" w:eastAsia="Arial" w:hAnsi="Arial"/>
                <w:sz w:val="16"/>
                <w:szCs w:val="16"/>
                <w:color w:val="auto"/>
              </w:rPr>
              <w:t>shares outstanding at December 31, 2011 and 2010; no par value)</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2,104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Retained earnings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8,225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7,329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Deferred compensation</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19"/>
              <w:spacing w:after="0" w:line="176"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60" w:type="dxa"/>
            <w:vAlign w:val="bottom"/>
          </w:tcPr>
          <w:p>
            <w:pPr>
              <w:ind w:left="340"/>
              <w:spacing w:after="0" w:line="164" w:lineRule="exact"/>
              <w:rPr>
                <w:sz w:val="20"/>
                <w:szCs w:val="20"/>
                <w:color w:val="auto"/>
              </w:rPr>
            </w:pPr>
            <w:r>
              <w:rPr>
                <w:rFonts w:ascii="Arial" w:cs="Arial" w:eastAsia="Arial" w:hAnsi="Arial"/>
                <w:sz w:val="16"/>
                <w:szCs w:val="16"/>
                <w:color w:val="auto"/>
              </w:rPr>
              <w:t>Total Sempra Energy shareholders’ equity</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Arial" w:cs="Arial" w:eastAsia="Arial" w:hAnsi="Arial"/>
                <w:sz w:val="16"/>
                <w:szCs w:val="16"/>
                <w:color w:val="auto"/>
              </w:rPr>
              <w:t>9,838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Arial" w:cs="Arial" w:eastAsia="Arial" w:hAnsi="Arial"/>
                <w:sz w:val="16"/>
                <w:szCs w:val="16"/>
                <w:color w:val="auto"/>
              </w:rPr>
              <w:t>9,027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Preferred stock of subsidiaries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tcPr>
          <w:p>
            <w:pPr>
              <w:ind w:left="160"/>
              <w:spacing w:after="0"/>
              <w:rPr>
                <w:sz w:val="20"/>
                <w:szCs w:val="20"/>
                <w:color w:val="auto"/>
              </w:rPr>
            </w:pPr>
            <w:r>
              <w:rPr>
                <w:rFonts w:ascii="Arial" w:cs="Arial" w:eastAsia="Arial" w:hAnsi="Arial"/>
                <w:sz w:val="16"/>
                <w:szCs w:val="16"/>
                <w:color w:val="auto"/>
              </w:rPr>
              <w:t>Other noncontrolling interests</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Pr>
          <w:p>
            <w:pPr>
              <w:ind w:left="340"/>
              <w:spacing w:after="0" w:line="176" w:lineRule="exact"/>
              <w:rPr>
                <w:sz w:val="20"/>
                <w:szCs w:val="20"/>
                <w:color w:val="auto"/>
              </w:rPr>
            </w:pPr>
            <w:r>
              <w:rPr>
                <w:rFonts w:ascii="Arial" w:cs="Arial" w:eastAsia="Arial" w:hAnsi="Arial"/>
                <w:sz w:val="16"/>
                <w:szCs w:val="16"/>
                <w:color w:val="auto"/>
              </w:rPr>
              <w:t>Total equity</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10,241</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9,238</w:t>
            </w:r>
          </w:p>
        </w:tc>
        <w:tc>
          <w:tcPr>
            <w:tcW w:w="0" w:type="dxa"/>
            <w:vAlign w:val="bottom"/>
          </w:tcPr>
          <w:p>
            <w:pPr>
              <w:spacing w:after="0"/>
              <w:rPr>
                <w:sz w:val="1"/>
                <w:szCs w:val="1"/>
                <w:color w:val="auto"/>
              </w:rPr>
            </w:pPr>
          </w:p>
        </w:tc>
      </w:tr>
      <w:tr>
        <w:trPr>
          <w:trHeight w:val="183"/>
        </w:trPr>
        <w:tc>
          <w:tcPr>
            <w:tcW w:w="6780" w:type="dxa"/>
            <w:vAlign w:val="bottom"/>
            <w:gridSpan w:val="2"/>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33,356</w:t>
            </w:r>
          </w:p>
        </w:tc>
        <w:tc>
          <w:tcPr>
            <w:tcW w:w="2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30,283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6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5"/>
        </w:trPr>
        <w:tc>
          <w:tcPr>
            <w:tcW w:w="20" w:type="dxa"/>
            <w:vAlign w:val="bottom"/>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76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SEMPRA ENERGY</w:t>
            </w:r>
          </w:p>
        </w:tc>
        <w:tc>
          <w:tcPr>
            <w:tcW w:w="800" w:type="dxa"/>
            <w:vAlign w:val="bottom"/>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58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900" w:type="dxa"/>
            <w:vAlign w:val="bottom"/>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20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8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9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2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959"/>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60" w:type="dxa"/>
            <w:vAlign w:val="bottom"/>
          </w:tcPr>
          <w:p>
            <w:pPr>
              <w:spacing w:after="0" w:line="164" w:lineRule="exact"/>
              <w:rPr>
                <w:sz w:val="20"/>
                <w:szCs w:val="20"/>
                <w:color w:val="auto"/>
              </w:rPr>
            </w:pPr>
            <w:r>
              <w:rPr>
                <w:rFonts w:ascii="Arial" w:cs="Arial" w:eastAsia="Arial" w:hAnsi="Arial"/>
                <w:sz w:val="16"/>
                <w:szCs w:val="16"/>
                <w:color w:val="auto"/>
              </w:rPr>
              <w:t>CASH FLOWS FROM OPERATING ACTIVITIES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80"/>
              <w:spacing w:after="0" w:line="176"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1,407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733</w:t>
            </w:r>
          </w:p>
        </w:tc>
        <w:tc>
          <w:tcPr>
            <w:tcW w:w="10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Adjustments to reconcile net income to net cash provided</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340"/>
              <w:spacing w:after="0" w:line="176" w:lineRule="exact"/>
              <w:rPr>
                <w:sz w:val="20"/>
                <w:szCs w:val="20"/>
                <w:color w:val="auto"/>
              </w:rPr>
            </w:pPr>
            <w:r>
              <w:rPr>
                <w:rFonts w:ascii="Arial" w:cs="Arial" w:eastAsia="Arial" w:hAnsi="Arial"/>
                <w:sz w:val="16"/>
                <w:szCs w:val="16"/>
                <w:color w:val="auto"/>
              </w:rPr>
              <w:t>by operating activities: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520"/>
              <w:spacing w:after="0" w:line="176" w:lineRule="exact"/>
              <w:rPr>
                <w:sz w:val="20"/>
                <w:szCs w:val="20"/>
                <w:color w:val="auto"/>
              </w:rPr>
            </w:pPr>
            <w:r>
              <w:rPr>
                <w:rFonts w:ascii="Arial" w:cs="Arial" w:eastAsia="Arial" w:hAnsi="Arial"/>
                <w:sz w:val="16"/>
                <w:szCs w:val="16"/>
                <w:color w:val="auto"/>
              </w:rPr>
              <w:t>Depreciation and amortization</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978</w:t>
            </w:r>
          </w:p>
        </w:tc>
        <w:tc>
          <w:tcPr>
            <w:tcW w:w="12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867</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52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520"/>
              <w:spacing w:after="0" w:line="176" w:lineRule="exact"/>
              <w:rPr>
                <w:sz w:val="20"/>
                <w:szCs w:val="20"/>
                <w:color w:val="auto"/>
              </w:rPr>
            </w:pPr>
            <w:r>
              <w:rPr>
                <w:rFonts w:ascii="Arial" w:cs="Arial" w:eastAsia="Arial" w:hAnsi="Arial"/>
                <w:sz w:val="16"/>
                <w:szCs w:val="16"/>
                <w:color w:val="auto"/>
              </w:rPr>
              <w:t>Equity (earnings) losses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(61)</w:t>
            </w:r>
          </w:p>
        </w:tc>
        <w:tc>
          <w:tcPr>
            <w:tcW w:w="12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243</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520"/>
              <w:spacing w:after="0" w:line="176" w:lineRule="exact"/>
              <w:rPr>
                <w:sz w:val="20"/>
                <w:szCs w:val="20"/>
                <w:color w:val="auto"/>
              </w:rPr>
            </w:pPr>
            <w:r>
              <w:rPr>
                <w:rFonts w:ascii="Arial" w:cs="Arial" w:eastAsia="Arial" w:hAnsi="Arial"/>
                <w:sz w:val="16"/>
                <w:szCs w:val="16"/>
                <w:color w:val="auto"/>
              </w:rPr>
              <w:t>Remeasurement of equity method investments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(277)</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520"/>
              <w:spacing w:after="0" w:line="176" w:lineRule="exact"/>
              <w:rPr>
                <w:sz w:val="20"/>
                <w:szCs w:val="20"/>
                <w:color w:val="auto"/>
              </w:rPr>
            </w:pPr>
            <w:r>
              <w:rPr>
                <w:rFonts w:ascii="Arial" w:cs="Arial" w:eastAsia="Arial" w:hAnsi="Arial"/>
                <w:sz w:val="16"/>
                <w:szCs w:val="16"/>
                <w:color w:val="auto"/>
              </w:rPr>
              <w:t>Write-off of long-lived assets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52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520"/>
              <w:spacing w:after="0" w:line="176" w:lineRule="exact"/>
              <w:rPr>
                <w:sz w:val="20"/>
                <w:szCs w:val="20"/>
                <w:color w:val="auto"/>
              </w:rPr>
            </w:pPr>
            <w:r>
              <w:rPr>
                <w:rFonts w:ascii="Arial" w:cs="Arial" w:eastAsia="Arial" w:hAnsi="Arial"/>
                <w:sz w:val="16"/>
                <w:szCs w:val="16"/>
                <w:color w:val="auto"/>
              </w:rPr>
              <w:t>Other</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(15)</w:t>
            </w:r>
          </w:p>
        </w:tc>
        <w:tc>
          <w:tcPr>
            <w:tcW w:w="12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(55)</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(225)</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Distributions from RBS Sempra Commodities LLP</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53</w:t>
            </w:r>
          </w:p>
        </w:tc>
        <w:tc>
          <w:tcPr>
            <w:tcW w:w="12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198</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Changes in other assets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tcPr>
          <w:p>
            <w:pPr>
              <w:ind w:left="160"/>
              <w:spacing w:after="0"/>
              <w:rPr>
                <w:sz w:val="20"/>
                <w:szCs w:val="20"/>
                <w:color w:val="auto"/>
              </w:rPr>
            </w:pPr>
            <w:r>
              <w:rPr>
                <w:rFonts w:ascii="Arial" w:cs="Arial" w:eastAsia="Arial" w:hAnsi="Arial"/>
                <w:sz w:val="16"/>
                <w:szCs w:val="16"/>
                <w:color w:val="auto"/>
              </w:rPr>
              <w:t>Changes in other liabilities</w:t>
            </w:r>
          </w:p>
        </w:tc>
        <w:tc>
          <w:tcPr>
            <w:tcW w:w="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Pr>
          <w:p>
            <w:pPr>
              <w:ind w:left="34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1,867</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2,154</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340"/>
        </w:trPr>
        <w:tc>
          <w:tcPr>
            <w:tcW w:w="678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(2,844)</w:t>
            </w:r>
          </w:p>
        </w:tc>
        <w:tc>
          <w:tcPr>
            <w:tcW w:w="12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(2,062)</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Proceeds from sale of assets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303</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Expenditures for investments and acquisition of businesses,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340"/>
              <w:spacing w:after="0" w:line="176" w:lineRule="exact"/>
              <w:rPr>
                <w:sz w:val="20"/>
                <w:szCs w:val="20"/>
                <w:color w:val="auto"/>
              </w:rPr>
            </w:pPr>
            <w:r>
              <w:rPr>
                <w:rFonts w:ascii="Arial" w:cs="Arial" w:eastAsia="Arial" w:hAnsi="Arial"/>
                <w:sz w:val="16"/>
                <w:szCs w:val="16"/>
                <w:color w:val="auto"/>
              </w:rPr>
              <w:t>net of cash acquired</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(941)</w:t>
            </w:r>
          </w:p>
        </w:tc>
        <w:tc>
          <w:tcPr>
            <w:tcW w:w="12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(611)</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ind w:left="160"/>
              <w:spacing w:after="0" w:line="176" w:lineRule="exact"/>
              <w:rPr>
                <w:sz w:val="20"/>
                <w:szCs w:val="20"/>
                <w:color w:val="auto"/>
              </w:rPr>
            </w:pPr>
            <w:r>
              <w:rPr>
                <w:rFonts w:ascii="Arial" w:cs="Arial" w:eastAsia="Arial" w:hAnsi="Arial"/>
                <w:sz w:val="16"/>
                <w:szCs w:val="16"/>
                <w:color w:val="auto"/>
              </w:rPr>
              <w:t>Distributions from RBS Sempra Commodities LLP</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570</w:t>
            </w:r>
          </w:p>
        </w:tc>
        <w:tc>
          <w:tcPr>
            <w:tcW w:w="12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849</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ind w:left="160"/>
              <w:spacing w:after="0"/>
              <w:rPr>
                <w:sz w:val="20"/>
                <w:szCs w:val="20"/>
                <w:color w:val="auto"/>
              </w:rPr>
            </w:pPr>
            <w:r>
              <w:rPr>
                <w:rFonts w:ascii="Arial" w:cs="Arial" w:eastAsia="Arial" w:hAnsi="Arial"/>
                <w:sz w:val="16"/>
                <w:szCs w:val="16"/>
                <w:color w:val="auto"/>
              </w:rPr>
              <w:t>Distributions from other investments</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8" w:right="239" w:bottom="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ind w:left="180"/>
              <w:spacing w:after="0"/>
              <w:rPr>
                <w:sz w:val="20"/>
                <w:szCs w:val="20"/>
                <w:color w:val="auto"/>
              </w:rPr>
            </w:pPr>
            <w:r>
              <w:rPr>
                <w:rFonts w:ascii="Arial" w:cs="Arial" w:eastAsia="Arial" w:hAnsi="Arial"/>
                <w:sz w:val="16"/>
                <w:szCs w:val="16"/>
                <w:color w:val="auto"/>
              </w:rPr>
              <w:t>Purchases of nuclear decommissioning and other trust assets</w:t>
            </w: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(755)</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(371)</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Proceeds from sales by nuclear decommissioning and other trusts</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753</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372</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230</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Decrease in restricted cash</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653</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195</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Increase in restricted cash</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(541)</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(318)</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Decrease in notes receivable from unconsolidated affiliate</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Purchase of bonds issued by unconsolidated affiliate</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r>
      <w:tr>
        <w:trPr>
          <w:trHeight w:val="194"/>
        </w:trPr>
        <w:tc>
          <w:tcPr>
            <w:tcW w:w="6260" w:type="dxa"/>
            <w:vAlign w:val="bottom"/>
          </w:tcPr>
          <w:p>
            <w:pPr>
              <w:ind w:left="180"/>
              <w:spacing w:after="0"/>
              <w:rPr>
                <w:sz w:val="20"/>
                <w:szCs w:val="20"/>
                <w:color w:val="auto"/>
              </w:rPr>
            </w:pPr>
            <w:r>
              <w:rPr>
                <w:rFonts w:ascii="Arial" w:cs="Arial" w:eastAsia="Arial" w:hAnsi="Arial"/>
                <w:sz w:val="16"/>
                <w:szCs w:val="16"/>
                <w:color w:val="auto"/>
              </w:rPr>
              <w:t>Other</w:t>
            </w:r>
          </w:p>
        </w:tc>
        <w:tc>
          <w:tcPr>
            <w:tcW w:w="1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183"/>
        </w:trPr>
        <w:tc>
          <w:tcPr>
            <w:tcW w:w="626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1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(3,070)</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(1,283)</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(2,672)</w:t>
            </w:r>
          </w:p>
        </w:tc>
      </w:tr>
      <w:tr>
        <w:trPr>
          <w:trHeight w:val="340"/>
        </w:trPr>
        <w:tc>
          <w:tcPr>
            <w:tcW w:w="62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Common dividends paid</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(440)</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(364)</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(341)</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Redemption of subsidiary preferred stock</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(80)</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Preferred dividends paid by subsidiaries</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Issuances of common stock</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Repurchases of common stock</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(502)</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Issuances of debt (maturities greater than 90 days)</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2,098</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1,125</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2,151</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Payments on debt (maturities greater than 90 days)</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(482)</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(905)</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(435)</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(Decrease) increase in short-term debt, net</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(498)</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568</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(659)</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Payments on notes payable to unconsolidated affiliate</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r>
      <w:tr>
        <w:trPr>
          <w:trHeight w:val="176"/>
        </w:trPr>
        <w:tc>
          <w:tcPr>
            <w:tcW w:w="6260" w:type="dxa"/>
            <w:vAlign w:val="bottom"/>
          </w:tcPr>
          <w:p>
            <w:pPr>
              <w:ind w:left="180"/>
              <w:spacing w:after="0" w:line="176" w:lineRule="exact"/>
              <w:rPr>
                <w:sz w:val="20"/>
                <w:szCs w:val="20"/>
                <w:color w:val="auto"/>
              </w:rPr>
            </w:pPr>
            <w:r>
              <w:rPr>
                <w:rFonts w:ascii="Arial" w:cs="Arial" w:eastAsia="Arial" w:hAnsi="Arial"/>
                <w:sz w:val="16"/>
                <w:szCs w:val="16"/>
                <w:color w:val="auto"/>
              </w:rPr>
              <w:t>Purchase of noncontrolling interests</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4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(94)</w:t>
            </w:r>
          </w:p>
        </w:tc>
      </w:tr>
      <w:tr>
        <w:trPr>
          <w:trHeight w:val="194"/>
        </w:trPr>
        <w:tc>
          <w:tcPr>
            <w:tcW w:w="6260" w:type="dxa"/>
            <w:vAlign w:val="bottom"/>
          </w:tcPr>
          <w:p>
            <w:pPr>
              <w:ind w:left="180"/>
              <w:spacing w:after="0"/>
              <w:rPr>
                <w:sz w:val="20"/>
                <w:szCs w:val="20"/>
                <w:color w:val="auto"/>
              </w:rPr>
            </w:pPr>
            <w:r>
              <w:rPr>
                <w:rFonts w:ascii="Arial" w:cs="Arial" w:eastAsia="Arial" w:hAnsi="Arial"/>
                <w:sz w:val="16"/>
                <w:szCs w:val="16"/>
                <w:color w:val="auto"/>
              </w:rPr>
              <w:t>Other</w:t>
            </w:r>
          </w:p>
        </w:tc>
        <w:tc>
          <w:tcPr>
            <w:tcW w:w="1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626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(used in) financing activities</w:t>
            </w:r>
          </w:p>
        </w:tc>
        <w:tc>
          <w:tcPr>
            <w:tcW w:w="1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534</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(69)</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576</w:t>
            </w:r>
          </w:p>
        </w:tc>
      </w:tr>
      <w:tr>
        <w:trPr>
          <w:trHeight w:val="358"/>
        </w:trPr>
        <w:tc>
          <w:tcPr>
            <w:tcW w:w="62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40"/>
        </w:trPr>
        <w:tc>
          <w:tcPr>
            <w:tcW w:w="626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802</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194"/>
        </w:trPr>
        <w:tc>
          <w:tcPr>
            <w:tcW w:w="626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195"/>
        </w:trPr>
        <w:tc>
          <w:tcPr>
            <w:tcW w:w="6260" w:type="dxa"/>
            <w:vAlign w:val="bottom"/>
          </w:tcPr>
          <w:p>
            <w:pPr>
              <w:spacing w:after="0"/>
              <w:rPr>
                <w:sz w:val="20"/>
                <w:szCs w:val="20"/>
                <w:color w:val="auto"/>
              </w:rPr>
            </w:pPr>
            <w:r>
              <w:rPr>
                <w:rFonts w:ascii="Arial" w:cs="Arial" w:eastAsia="Arial" w:hAnsi="Arial"/>
                <w:sz w:val="16"/>
                <w:szCs w:val="16"/>
                <w:color w:val="auto"/>
              </w:rPr>
              <w:t>Cash and cash equivalents, December 31</w:t>
            </w:r>
          </w:p>
        </w:tc>
        <w:tc>
          <w:tcPr>
            <w:tcW w:w="1320" w:type="dxa"/>
            <w:vAlign w:val="bottom"/>
          </w:tcPr>
          <w:p>
            <w:pPr>
              <w:spacing w:after="0"/>
              <w:rPr>
                <w:sz w:val="16"/>
                <w:szCs w:val="16"/>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912</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ind w:left="882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-1905</wp:posOffset>
            </wp:positionV>
            <wp:extent cx="218694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22" w:lineRule="exact"/>
        <w:rPr>
          <w:sz w:val="20"/>
          <w:szCs w:val="20"/>
          <w:color w:val="auto"/>
        </w:rPr>
      </w:pPr>
    </w:p>
    <w:p>
      <w:pPr>
        <w:ind w:left="8360"/>
        <w:spacing w:after="0"/>
        <w:tabs>
          <w:tab w:leader="none" w:pos="9480" w:val="left"/>
          <w:tab w:leader="none" w:pos="10640" w:val="left"/>
        </w:tabs>
        <w:rPr>
          <w:sz w:val="20"/>
          <w:szCs w:val="20"/>
          <w:color w:val="auto"/>
        </w:rPr>
      </w:pPr>
      <w:r>
        <w:rPr>
          <w:rFonts w:ascii="Arial" w:cs="Arial" w:eastAsia="Arial" w:hAnsi="Arial"/>
          <w:sz w:val="14"/>
          <w:szCs w:val="14"/>
          <w:color w:val="auto"/>
        </w:rPr>
        <w:t>2011</w:t>
      </w:r>
      <w:r>
        <w:rPr>
          <w:sz w:val="20"/>
          <w:szCs w:val="20"/>
          <w:color w:val="auto"/>
        </w:rPr>
        <w:tab/>
      </w:r>
      <w:r>
        <w:rPr>
          <w:rFonts w:ascii="Arial" w:cs="Arial" w:eastAsia="Arial" w:hAnsi="Arial"/>
          <w:sz w:val="14"/>
          <w:szCs w:val="14"/>
          <w:color w:val="auto"/>
        </w:rPr>
        <w:t>2010</w:t>
      </w:r>
      <w:r>
        <w:rPr>
          <w:sz w:val="20"/>
          <w:szCs w:val="20"/>
          <w:color w:val="auto"/>
        </w:rPr>
        <w:tab/>
      </w:r>
      <w:r>
        <w:rPr>
          <w:rFonts w:ascii="Arial" w:cs="Arial" w:eastAsia="Arial" w:hAnsi="Arial"/>
          <w:sz w:val="14"/>
          <w:szCs w:val="14"/>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p>
      <w:pPr>
        <w:spacing w:after="0" w:line="12" w:lineRule="exact"/>
        <w:rPr>
          <w:sz w:val="20"/>
          <w:szCs w:val="20"/>
          <w:color w:val="auto"/>
        </w:rPr>
      </w:pPr>
    </w:p>
    <w:p>
      <w:pPr>
        <w:ind w:right="2320"/>
        <w:spacing w:after="0" w:line="229" w:lineRule="auto"/>
        <w:rPr>
          <w:sz w:val="20"/>
          <w:szCs w:val="20"/>
          <w:color w:val="auto"/>
        </w:rPr>
      </w:pPr>
      <w:r>
        <w:rPr>
          <w:rFonts w:ascii="Arial" w:cs="Arial" w:eastAsia="Arial" w:hAnsi="Arial"/>
          <w:sz w:val="16"/>
          <w:szCs w:val="16"/>
          <w:color w:val="auto"/>
        </w:rPr>
        <w:t>CHANGES IN OTHER WORKING CAPITAL COMPONENTS (Excluding cash and cash equivalents, and debt due within one year)</w:t>
      </w:r>
    </w:p>
    <w:p>
      <w:pPr>
        <w:ind w:left="180"/>
        <w:spacing w:after="0" w:line="229" w:lineRule="auto"/>
        <w:rPr>
          <w:sz w:val="20"/>
          <w:szCs w:val="20"/>
          <w:color w:val="auto"/>
        </w:rPr>
      </w:pPr>
      <w:r>
        <w:rPr>
          <w:rFonts w:ascii="Arial" w:cs="Arial" w:eastAsia="Arial" w:hAnsi="Arial"/>
          <w:sz w:val="16"/>
          <w:szCs w:val="16"/>
          <w:color w:val="auto"/>
        </w:rPr>
        <w:t>Accounts and notes receivable</w:t>
      </w:r>
    </w:p>
    <w:p>
      <w:pPr>
        <w:ind w:left="180"/>
        <w:spacing w:after="0" w:line="229" w:lineRule="auto"/>
        <w:rPr>
          <w:sz w:val="20"/>
          <w:szCs w:val="20"/>
          <w:color w:val="auto"/>
        </w:rPr>
      </w:pPr>
      <w:r>
        <w:rPr>
          <w:rFonts w:ascii="Arial" w:cs="Arial" w:eastAsia="Arial" w:hAnsi="Arial"/>
          <w:sz w:val="16"/>
          <w:szCs w:val="16"/>
          <w:color w:val="auto"/>
        </w:rPr>
        <w:t>Income taxes, net</w:t>
      </w:r>
    </w:p>
    <w:p>
      <w:pPr>
        <w:ind w:left="180"/>
        <w:spacing w:after="0" w:line="229" w:lineRule="auto"/>
        <w:rPr>
          <w:sz w:val="20"/>
          <w:szCs w:val="20"/>
          <w:color w:val="auto"/>
        </w:rPr>
      </w:pPr>
      <w:r>
        <w:rPr>
          <w:rFonts w:ascii="Arial" w:cs="Arial" w:eastAsia="Arial" w:hAnsi="Arial"/>
          <w:sz w:val="16"/>
          <w:szCs w:val="16"/>
          <w:color w:val="auto"/>
        </w:rPr>
        <w:t>Inventories</w:t>
      </w:r>
    </w:p>
    <w:p>
      <w:pPr>
        <w:ind w:left="180"/>
        <w:spacing w:after="0" w:line="229" w:lineRule="auto"/>
        <w:rPr>
          <w:sz w:val="20"/>
          <w:szCs w:val="20"/>
          <w:color w:val="auto"/>
        </w:rPr>
      </w:pPr>
      <w:r>
        <w:rPr>
          <w:rFonts w:ascii="Arial" w:cs="Arial" w:eastAsia="Arial" w:hAnsi="Arial"/>
          <w:sz w:val="16"/>
          <w:szCs w:val="16"/>
          <w:color w:val="auto"/>
        </w:rPr>
        <w:t>Regulatory balancing accounts</w:t>
      </w:r>
    </w:p>
    <w:p>
      <w:pPr>
        <w:ind w:left="180"/>
        <w:spacing w:after="0" w:line="229" w:lineRule="auto"/>
        <w:rPr>
          <w:sz w:val="20"/>
          <w:szCs w:val="20"/>
          <w:color w:val="auto"/>
        </w:rPr>
      </w:pPr>
      <w:r>
        <w:rPr>
          <w:rFonts w:ascii="Arial" w:cs="Arial" w:eastAsia="Arial" w:hAnsi="Arial"/>
          <w:sz w:val="16"/>
          <w:szCs w:val="16"/>
          <w:color w:val="auto"/>
        </w:rPr>
        <w:t>Regulatory assets and liabilities</w:t>
      </w:r>
    </w:p>
    <w:p>
      <w:pPr>
        <w:ind w:left="180"/>
        <w:spacing w:after="0" w:line="229" w:lineRule="auto"/>
        <w:rPr>
          <w:sz w:val="20"/>
          <w:szCs w:val="20"/>
          <w:color w:val="auto"/>
        </w:rPr>
      </w:pPr>
      <w:r>
        <w:rPr>
          <w:rFonts w:ascii="Arial" w:cs="Arial" w:eastAsia="Arial" w:hAnsi="Arial"/>
          <w:sz w:val="16"/>
          <w:szCs w:val="16"/>
          <w:color w:val="auto"/>
        </w:rPr>
        <w:t>Other current assets</w:t>
      </w:r>
    </w:p>
    <w:p>
      <w:pPr>
        <w:ind w:left="180"/>
        <w:spacing w:after="0"/>
        <w:rPr>
          <w:sz w:val="20"/>
          <w:szCs w:val="20"/>
          <w:color w:val="auto"/>
        </w:rPr>
      </w:pPr>
      <w:r>
        <w:rPr>
          <w:rFonts w:ascii="Arial" w:cs="Arial" w:eastAsia="Arial" w:hAnsi="Arial"/>
          <w:sz w:val="16"/>
          <w:szCs w:val="16"/>
          <w:color w:val="auto"/>
        </w:rPr>
        <w:t>Accounts and notes payable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liabilities</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change in other working capital components</w:t>
      </w:r>
    </w:p>
    <w:p>
      <w:pPr>
        <w:spacing w:after="0" w:line="167" w:lineRule="exact"/>
        <w:rPr>
          <w:sz w:val="20"/>
          <w:szCs w:val="20"/>
          <w:color w:val="auto"/>
        </w:rPr>
      </w:pPr>
    </w:p>
    <w:p>
      <w:pPr>
        <w:ind w:left="180" w:right="2420" w:hanging="179"/>
        <w:spacing w:after="0" w:line="229" w:lineRule="auto"/>
        <w:rPr>
          <w:sz w:val="20"/>
          <w:szCs w:val="20"/>
          <w:color w:val="auto"/>
        </w:rPr>
      </w:pPr>
      <w:r>
        <w:rPr>
          <w:rFonts w:ascii="Arial" w:cs="Arial" w:eastAsia="Arial" w:hAnsi="Arial"/>
          <w:sz w:val="16"/>
          <w:szCs w:val="16"/>
          <w:color w:val="auto"/>
        </w:rPr>
        <w:t>SUPPLEMENTAL DISCLOSURE OF CASH FLOW INFORMATION Interest payments, net of amounts capitalized</w:t>
      </w:r>
    </w:p>
    <w:p>
      <w:pPr>
        <w:ind w:left="180"/>
        <w:spacing w:after="0"/>
        <w:rPr>
          <w:sz w:val="20"/>
          <w:szCs w:val="20"/>
          <w:color w:val="auto"/>
        </w:rPr>
      </w:pPr>
      <w:r>
        <w:rPr>
          <w:rFonts w:ascii="Arial" w:cs="Arial" w:eastAsia="Arial" w:hAnsi="Arial"/>
          <w:sz w:val="16"/>
          <w:szCs w:val="16"/>
          <w:color w:val="auto"/>
        </w:rPr>
        <w:t>Income tax payments, net of refunds</w:t>
      </w:r>
    </w:p>
    <w:p>
      <w:pPr>
        <w:spacing w:after="0" w:line="167" w:lineRule="exact"/>
        <w:rPr>
          <w:sz w:val="20"/>
          <w:szCs w:val="20"/>
          <w:color w:val="auto"/>
        </w:rPr>
      </w:pPr>
    </w:p>
    <w:p>
      <w:pPr>
        <w:ind w:left="180" w:right="1900" w:hanging="170"/>
        <w:spacing w:after="0" w:line="229" w:lineRule="auto"/>
        <w:rPr>
          <w:sz w:val="20"/>
          <w:szCs w:val="20"/>
          <w:color w:val="auto"/>
        </w:rPr>
      </w:pPr>
      <w:r>
        <w:rPr>
          <w:rFonts w:ascii="Arial" w:cs="Arial" w:eastAsia="Arial" w:hAnsi="Arial"/>
          <w:sz w:val="16"/>
          <w:szCs w:val="16"/>
          <w:color w:val="auto"/>
        </w:rPr>
        <w:t>SUPPLEMENTAL DISCLOSURE OF NONCASH INVESTING ACTIVITIES Acquisition of businesses:</w:t>
      </w:r>
    </w:p>
    <w:p>
      <w:pPr>
        <w:ind w:left="360"/>
        <w:spacing w:after="0" w:line="229" w:lineRule="auto"/>
        <w:rPr>
          <w:sz w:val="20"/>
          <w:szCs w:val="20"/>
          <w:color w:val="auto"/>
        </w:rPr>
      </w:pPr>
      <w:r>
        <w:rPr>
          <w:rFonts w:ascii="Arial" w:cs="Arial" w:eastAsia="Arial" w:hAnsi="Arial"/>
          <w:sz w:val="16"/>
          <w:szCs w:val="16"/>
          <w:color w:val="auto"/>
        </w:rPr>
        <w:t>Assets acquired</w:t>
      </w:r>
    </w:p>
    <w:p>
      <w:pPr>
        <w:ind w:left="360"/>
        <w:spacing w:after="0" w:line="229" w:lineRule="auto"/>
        <w:rPr>
          <w:sz w:val="20"/>
          <w:szCs w:val="20"/>
          <w:color w:val="auto"/>
        </w:rPr>
      </w:pPr>
      <w:r>
        <w:rPr>
          <w:rFonts w:ascii="Arial" w:cs="Arial" w:eastAsia="Arial" w:hAnsi="Arial"/>
          <w:sz w:val="16"/>
          <w:szCs w:val="16"/>
          <w:color w:val="auto"/>
        </w:rPr>
        <w:t>Cash paid, net of cash acquired</w:t>
      </w:r>
    </w:p>
    <w:p>
      <w:pPr>
        <w:ind w:left="360" w:right="1480"/>
        <w:spacing w:after="0" w:line="242" w:lineRule="auto"/>
        <w:rPr>
          <w:sz w:val="20"/>
          <w:szCs w:val="20"/>
          <w:color w:val="auto"/>
        </w:rPr>
      </w:pPr>
      <w:r>
        <w:rPr>
          <w:rFonts w:ascii="Arial" w:cs="Arial" w:eastAsia="Arial" w:hAnsi="Arial"/>
          <w:sz w:val="16"/>
          <w:szCs w:val="16"/>
          <w:color w:val="auto"/>
        </w:rPr>
        <w:t>Fair value of equity method investments immediately prior to the acquisition Fair value of noncontrolling interests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consideration accrued</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Liabilities assumed</w:t>
      </w:r>
    </w:p>
    <w:p>
      <w:pPr>
        <w:spacing w:after="0" w:line="167" w:lineRule="exact"/>
        <w:rPr>
          <w:sz w:val="20"/>
          <w:szCs w:val="20"/>
          <w:color w:val="auto"/>
        </w:rPr>
      </w:pPr>
    </w:p>
    <w:p>
      <w:pPr>
        <w:ind w:left="180" w:right="1020" w:firstLine="9"/>
        <w:spacing w:after="0" w:line="229" w:lineRule="auto"/>
        <w:rPr>
          <w:sz w:val="20"/>
          <w:szCs w:val="20"/>
          <w:color w:val="auto"/>
        </w:rPr>
      </w:pPr>
      <w:r>
        <w:rPr>
          <w:rFonts w:ascii="Arial" w:cs="Arial" w:eastAsia="Arial" w:hAnsi="Arial"/>
          <w:sz w:val="16"/>
          <w:szCs w:val="16"/>
          <w:color w:val="auto"/>
        </w:rPr>
        <w:t>Increase in capital lease obligations for investments in property, plant and equipment Accrued capital expenditures</w:t>
      </w:r>
    </w:p>
    <w:p>
      <w:pPr>
        <w:ind w:left="180"/>
        <w:spacing w:after="0"/>
        <w:rPr>
          <w:sz w:val="20"/>
          <w:szCs w:val="20"/>
          <w:color w:val="auto"/>
        </w:rPr>
      </w:pPr>
      <w:r>
        <w:rPr>
          <w:rFonts w:ascii="Arial" w:cs="Arial" w:eastAsia="Arial" w:hAnsi="Arial"/>
          <w:sz w:val="16"/>
          <w:szCs w:val="16"/>
          <w:color w:val="auto"/>
        </w:rPr>
        <w:t>Return of investment (industrial development bonds)</w:t>
      </w:r>
    </w:p>
    <w:p>
      <w:pPr>
        <w:spacing w:after="0" w:line="167" w:lineRule="exact"/>
        <w:rPr>
          <w:sz w:val="20"/>
          <w:szCs w:val="20"/>
          <w:color w:val="auto"/>
        </w:rPr>
      </w:pPr>
    </w:p>
    <w:p>
      <w:pPr>
        <w:ind w:left="180" w:right="1880" w:hanging="179"/>
        <w:spacing w:after="0" w:line="229" w:lineRule="auto"/>
        <w:rPr>
          <w:sz w:val="20"/>
          <w:szCs w:val="20"/>
          <w:color w:val="auto"/>
        </w:rPr>
      </w:pPr>
      <w:r>
        <w:rPr>
          <w:rFonts w:ascii="Arial" w:cs="Arial" w:eastAsia="Arial" w:hAnsi="Arial"/>
          <w:sz w:val="16"/>
          <w:szCs w:val="16"/>
          <w:color w:val="auto"/>
        </w:rPr>
        <w:t>SUPPLEMENTAL DISCLOSURE OF NONCASH FINANCING ACTIVITIES Dividends declared but not paid</w:t>
      </w:r>
    </w:p>
    <w:p>
      <w:pPr>
        <w:ind w:left="180"/>
        <w:spacing w:after="0" w:line="229" w:lineRule="auto"/>
        <w:rPr>
          <w:sz w:val="20"/>
          <w:szCs w:val="20"/>
          <w:color w:val="auto"/>
        </w:rPr>
      </w:pPr>
      <w:r>
        <w:rPr>
          <w:rFonts w:ascii="Arial" w:cs="Arial" w:eastAsia="Arial" w:hAnsi="Arial"/>
          <w:sz w:val="16"/>
          <w:szCs w:val="16"/>
          <w:color w:val="auto"/>
        </w:rPr>
        <w:t>Cancellation of debt (industrial development bonds)</w:t>
      </w:r>
    </w:p>
    <w:p>
      <w:pPr>
        <w:ind w:left="180"/>
        <w:spacing w:after="0"/>
        <w:rPr>
          <w:sz w:val="20"/>
          <w:szCs w:val="20"/>
          <w:color w:val="auto"/>
        </w:rPr>
      </w:pPr>
      <w:r>
        <w:rPr>
          <w:rFonts w:ascii="Arial" w:cs="Arial" w:eastAsia="Arial" w:hAnsi="Arial"/>
          <w:sz w:val="16"/>
          <w:szCs w:val="16"/>
          <w:color w:val="auto"/>
        </w:rPr>
        <w:t>Conversion of debt into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46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89</w:t>
            </w:r>
          </w:p>
        </w:tc>
        <w:tc>
          <w:tcPr>
            <w:tcW w:w="48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(190)</w:t>
            </w: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268</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480" w:type="dxa"/>
            <w:vAlign w:val="bottom"/>
          </w:tcPr>
          <w:p>
            <w:pPr>
              <w:spacing w:after="0"/>
              <w:rPr>
                <w:sz w:val="15"/>
                <w:szCs w:val="15"/>
                <w:color w:val="auto"/>
              </w:rPr>
            </w:pPr>
          </w:p>
        </w:tc>
        <w:tc>
          <w:tcPr>
            <w:tcW w:w="7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(17)</w:t>
            </w: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(84)</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4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20" w:type="dxa"/>
            <w:vAlign w:val="bottom"/>
          </w:tcPr>
          <w:p>
            <w:pPr>
              <w:spacing w:after="0"/>
              <w:rPr>
                <w:sz w:val="15"/>
                <w:szCs w:val="15"/>
                <w:color w:val="auto"/>
              </w:rPr>
            </w:pP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(150)</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(155)</w:t>
            </w:r>
          </w:p>
        </w:tc>
        <w:tc>
          <w:tcPr>
            <w:tcW w:w="4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20" w:type="dxa"/>
            <w:vAlign w:val="bottom"/>
          </w:tcPr>
          <w:p>
            <w:pPr>
              <w:spacing w:after="0"/>
              <w:rPr>
                <w:sz w:val="15"/>
                <w:szCs w:val="15"/>
                <w:color w:val="auto"/>
              </w:rPr>
            </w:pP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480" w:type="dxa"/>
            <w:vAlign w:val="bottom"/>
          </w:tcPr>
          <w:p>
            <w:pPr>
              <w:spacing w:after="0"/>
              <w:rPr>
                <w:sz w:val="15"/>
                <w:szCs w:val="15"/>
                <w:color w:val="auto"/>
              </w:rPr>
            </w:pPr>
          </w:p>
        </w:tc>
        <w:tc>
          <w:tcPr>
            <w:tcW w:w="7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w:t>
            </w: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295</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310</w:t>
            </w:r>
          </w:p>
        </w:tc>
        <w:tc>
          <w:tcPr>
            <w:tcW w:w="4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685</w:t>
            </w:r>
          </w:p>
        </w:tc>
        <w:tc>
          <w:tcPr>
            <w:tcW w:w="20" w:type="dxa"/>
            <w:vAlign w:val="bottom"/>
          </w:tcPr>
          <w:p>
            <w:pPr>
              <w:spacing w:after="0"/>
              <w:rPr>
                <w:sz w:val="15"/>
                <w:szCs w:val="15"/>
                <w:color w:val="auto"/>
              </w:rPr>
            </w:pP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c>
          <w:tcPr>
            <w:tcW w:w="480" w:type="dxa"/>
            <w:vAlign w:val="bottom"/>
          </w:tcPr>
          <w:p>
            <w:pPr>
              <w:spacing w:after="0"/>
              <w:rPr>
                <w:sz w:val="15"/>
                <w:szCs w:val="15"/>
                <w:color w:val="auto"/>
              </w:rPr>
            </w:pPr>
          </w:p>
        </w:tc>
        <w:tc>
          <w:tcPr>
            <w:tcW w:w="7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(109)</w:t>
            </w:r>
          </w:p>
        </w:tc>
      </w:tr>
      <w:tr>
        <w:trPr>
          <w:trHeight w:val="194"/>
        </w:trPr>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(790)</w:t>
            </w:r>
          </w:p>
        </w:tc>
      </w:tr>
      <w:tr>
        <w:trPr>
          <w:trHeight w:val="183"/>
        </w:trPr>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3"/>
              <w:spacing w:after="0" w:line="176" w:lineRule="exact"/>
              <w:rPr>
                <w:sz w:val="20"/>
                <w:szCs w:val="20"/>
                <w:color w:val="auto"/>
              </w:rPr>
            </w:pPr>
            <w:r>
              <w:rPr>
                <w:rFonts w:ascii="Arial" w:cs="Arial" w:eastAsia="Arial" w:hAnsi="Arial"/>
                <w:sz w:val="16"/>
                <w:szCs w:val="16"/>
                <w:color w:val="auto"/>
              </w:rPr>
              <w:t>(225)$</w:t>
            </w: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(256)</w:t>
            </w:r>
          </w:p>
        </w:tc>
      </w:tr>
      <w:tr>
        <w:trPr>
          <w:trHeight w:val="515"/>
        </w:trPr>
        <w:tc>
          <w:tcPr>
            <w:tcW w:w="420" w:type="dxa"/>
            <w:vAlign w:val="bottom"/>
            <w:tcBorders>
              <w:top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46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480" w:type="dxa"/>
            <w:vAlign w:val="bottom"/>
            <w:tcBorders>
              <w:top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2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144</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w:t>
            </w:r>
          </w:p>
        </w:tc>
        <w:tc>
          <w:tcPr>
            <w:tcW w:w="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6"/>
                <w:szCs w:val="16"/>
                <w:color w:val="auto"/>
              </w:rPr>
            </w:pPr>
          </w:p>
        </w:tc>
      </w:tr>
      <w:tr>
        <w:trPr>
          <w:trHeight w:val="683"/>
        </w:trPr>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2,833</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303</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(611)</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(292)</w:t>
            </w:r>
          </w:p>
        </w:tc>
        <w:tc>
          <w:tcPr>
            <w:tcW w:w="48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(882)</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4"/>
        </w:trPr>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3"/>
        </w:trPr>
        <w:tc>
          <w:tcPr>
            <w:tcW w:w="4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1,029</w:t>
            </w:r>
          </w:p>
        </w:tc>
        <w:tc>
          <w:tcPr>
            <w:tcW w:w="4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4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340"/>
        </w:trPr>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3"/>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192</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24"/>
                <w:szCs w:val="24"/>
                <w:color w:val="auto"/>
              </w:rPr>
            </w:pP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368</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341</w:t>
            </w:r>
          </w:p>
        </w:tc>
        <w:tc>
          <w:tcPr>
            <w:tcW w:w="4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247</w:t>
            </w:r>
          </w:p>
        </w:tc>
        <w:tc>
          <w:tcPr>
            <w:tcW w:w="20" w:type="dxa"/>
            <w:vAlign w:val="bottom"/>
          </w:tcPr>
          <w:p>
            <w:pPr>
              <w:spacing w:after="0"/>
              <w:rPr>
                <w:sz w:val="15"/>
                <w:szCs w:val="15"/>
                <w:color w:val="auto"/>
              </w:rPr>
            </w:pPr>
          </w:p>
        </w:tc>
      </w:tr>
      <w:tr>
        <w:trPr>
          <w:trHeight w:val="195"/>
        </w:trPr>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508"/>
        </w:trPr>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120</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4"/>
                <w:szCs w:val="24"/>
                <w:color w:val="auto"/>
              </w:rPr>
            </w:pPr>
          </w:p>
        </w:tc>
      </w:tr>
      <w:tr>
        <w:trPr>
          <w:trHeight w:val="176"/>
        </w:trPr>
        <w:tc>
          <w:tcPr>
            <w:tcW w:w="4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180</w:t>
            </w:r>
          </w:p>
        </w:tc>
        <w:tc>
          <w:tcPr>
            <w:tcW w:w="4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5"/>
        </w:trPr>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bl>
    <w:p>
      <w:pPr>
        <w:spacing w:after="0" w:line="10" w:lineRule="exact"/>
        <w:rPr>
          <w:sz w:val="20"/>
          <w:szCs w:val="20"/>
          <w:color w:val="auto"/>
        </w:rPr>
      </w:pPr>
    </w:p>
    <w:p>
      <w:pPr>
        <w:sectPr>
          <w:pgSz w:w="11900" w:h="16838" w:orient="portrait"/>
          <w:cols w:equalWidth="0" w:num="2">
            <w:col w:w="7260" w:space="720"/>
            <w:col w:w="3440"/>
          </w:cols>
          <w:pgMar w:left="240" w:top="120" w:right="239" w:bottom="0" w:gutter="0" w:footer="0" w:header="0"/>
          <w:type w:val="continuous"/>
        </w:sect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4460"/>
        <w:spacing w:after="0" w:line="230" w:lineRule="auto"/>
        <w:rPr>
          <w:sz w:val="20"/>
          <w:szCs w:val="20"/>
          <w:color w:val="auto"/>
        </w:rPr>
      </w:pPr>
      <w:r>
        <w:rPr>
          <w:rFonts w:ascii="Arial" w:cs="Arial" w:eastAsia="Arial" w:hAnsi="Arial"/>
          <w:sz w:val="16"/>
          <w:szCs w:val="16"/>
          <w:b w:val="1"/>
          <w:bCs w:val="1"/>
          <w:color w:val="auto"/>
        </w:rPr>
        <w:t xml:space="preserve">CONSOLIDATED STATEMENTS OF COMPREHENSIVE INCOME AND CHANGES IN EQUITY </w:t>
      </w: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6"/>
        </w:trPr>
        <w:tc>
          <w:tcPr>
            <w:tcW w:w="3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8"/>
          </w:tcPr>
          <w:p>
            <w:pPr>
              <w:jc w:val="right"/>
              <w:ind w:right="88"/>
              <w:spacing w:after="0" w:line="159" w:lineRule="exact"/>
              <w:rPr>
                <w:sz w:val="20"/>
                <w:szCs w:val="20"/>
                <w:color w:val="auto"/>
              </w:rPr>
            </w:pPr>
            <w:r>
              <w:rPr>
                <w:rFonts w:ascii="Arial" w:cs="Arial" w:eastAsia="Arial" w:hAnsi="Arial"/>
                <w:sz w:val="14"/>
                <w:szCs w:val="14"/>
                <w:color w:val="auto"/>
              </w:rPr>
              <w:t>Years ended December 31, 2011, 2010 and 2009</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center"/>
              <w:ind w:right="28"/>
              <w:spacing w:after="0"/>
              <w:rPr>
                <w:sz w:val="20"/>
                <w:szCs w:val="20"/>
                <w:color w:val="auto"/>
              </w:rPr>
            </w:pPr>
            <w:r>
              <w:rPr>
                <w:rFonts w:ascii="Arial" w:cs="Arial" w:eastAsia="Arial" w:hAnsi="Arial"/>
                <w:sz w:val="14"/>
                <w:szCs w:val="14"/>
                <w:color w:val="auto"/>
              </w:rPr>
              <w:t>Deferred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gridSpan w:val="2"/>
          </w:tcPr>
          <w:p>
            <w:pPr>
              <w:jc w:val="center"/>
              <w:ind w:right="28"/>
              <w:spacing w:after="0"/>
              <w:rPr>
                <w:sz w:val="20"/>
                <w:szCs w:val="20"/>
                <w:color w:val="auto"/>
              </w:rPr>
            </w:pPr>
            <w:r>
              <w:rPr>
                <w:rFonts w:ascii="Arial" w:cs="Arial" w:eastAsia="Arial" w:hAnsi="Arial"/>
                <w:sz w:val="14"/>
                <w:szCs w:val="14"/>
                <w:color w:val="auto"/>
              </w:rPr>
              <w:t>Compen-</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Sempra</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248"/>
              <w:spacing w:after="0"/>
              <w:rPr>
                <w:sz w:val="20"/>
                <w:szCs w:val="20"/>
                <w:color w:val="auto"/>
              </w:rPr>
            </w:pPr>
            <w:r>
              <w:rPr>
                <w:rFonts w:ascii="Arial" w:cs="Arial" w:eastAsia="Arial" w:hAnsi="Arial"/>
                <w:sz w:val="14"/>
                <w:szCs w:val="14"/>
                <w:color w:val="auto"/>
              </w:rPr>
              <w:t>sation</w:t>
            </w:r>
          </w:p>
        </w:tc>
        <w:tc>
          <w:tcPr>
            <w:tcW w:w="22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gridSpan w:val="2"/>
          </w:tcPr>
          <w:p>
            <w:pPr>
              <w:jc w:val="center"/>
              <w:ind w:right="28"/>
              <w:spacing w:after="0"/>
              <w:rPr>
                <w:sz w:val="20"/>
                <w:szCs w:val="20"/>
                <w:color w:val="auto"/>
              </w:rPr>
            </w:pPr>
            <w:r>
              <w:rPr>
                <w:rFonts w:ascii="Arial" w:cs="Arial" w:eastAsia="Arial" w:hAnsi="Arial"/>
                <w:sz w:val="14"/>
                <w:szCs w:val="14"/>
                <w:color w:val="auto"/>
              </w:rPr>
              <w:t>Relating</w:t>
            </w:r>
          </w:p>
        </w:tc>
        <w:tc>
          <w:tcPr>
            <w:tcW w:w="2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color w:val="auto"/>
              </w:rPr>
              <w:t>Compre-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rPr>
              <w:t>Energy</w:t>
            </w:r>
          </w:p>
        </w:tc>
        <w:tc>
          <w:tcPr>
            <w:tcW w:w="2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228"/>
              <w:spacing w:after="0"/>
              <w:rPr>
                <w:sz w:val="20"/>
                <w:szCs w:val="20"/>
                <w:color w:val="auto"/>
              </w:rPr>
            </w:pPr>
            <w:r>
              <w:rPr>
                <w:rFonts w:ascii="Arial" w:cs="Arial" w:eastAsia="Arial" w:hAnsi="Arial"/>
                <w:sz w:val="14"/>
                <w:szCs w:val="14"/>
                <w:color w:val="auto"/>
              </w:rPr>
              <w:t>Common</w:t>
            </w: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5"/>
                <w:szCs w:val="15"/>
                <w:color w:val="auto"/>
              </w:rPr>
            </w:pPr>
          </w:p>
        </w:tc>
        <w:tc>
          <w:tcPr>
            <w:tcW w:w="780" w:type="dxa"/>
            <w:vAlign w:val="bottom"/>
          </w:tcPr>
          <w:p>
            <w:pPr>
              <w:jc w:val="center"/>
              <w:ind w:right="228"/>
              <w:spacing w:after="0"/>
              <w:rPr>
                <w:sz w:val="20"/>
                <w:szCs w:val="20"/>
                <w:color w:val="auto"/>
              </w:rPr>
            </w:pPr>
            <w:r>
              <w:rPr>
                <w:rFonts w:ascii="Arial" w:cs="Arial" w:eastAsia="Arial" w:hAnsi="Arial"/>
                <w:sz w:val="14"/>
                <w:szCs w:val="14"/>
                <w:color w:val="auto"/>
              </w:rPr>
              <w:t>to</w:t>
            </w:r>
          </w:p>
        </w:tc>
        <w:tc>
          <w:tcPr>
            <w:tcW w:w="2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hensive</w:t>
            </w:r>
          </w:p>
        </w:tc>
        <w:tc>
          <w:tcPr>
            <w:tcW w:w="140" w:type="dxa"/>
            <w:vAlign w:val="bottom"/>
          </w:tcPr>
          <w:p>
            <w:pPr>
              <w:spacing w:after="0"/>
              <w:rPr>
                <w:sz w:val="15"/>
                <w:szCs w:val="15"/>
                <w:color w:val="auto"/>
              </w:rPr>
            </w:pPr>
          </w:p>
        </w:tc>
        <w:tc>
          <w:tcPr>
            <w:tcW w:w="118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rPr>
              <w:t>Shareholders’</w:t>
            </w:r>
          </w:p>
        </w:tc>
        <w:tc>
          <w:tcPr>
            <w:tcW w:w="1020" w:type="dxa"/>
            <w:vAlign w:val="bottom"/>
            <w:gridSpan w:val="3"/>
          </w:tcPr>
          <w:p>
            <w:pPr>
              <w:jc w:val="center"/>
              <w:ind w:right="40"/>
              <w:spacing w:after="0"/>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5"/>
                <w:szCs w:val="15"/>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rPr>
              <w:t>Stock</w:t>
            </w:r>
          </w:p>
        </w:tc>
        <w:tc>
          <w:tcPr>
            <w:tcW w:w="9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Earnings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rPr>
              <w:t>ESOP</w:t>
            </w: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Income (Loss)</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10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3720" w:type="dxa"/>
            <w:vAlign w:val="bottom"/>
          </w:tcPr>
          <w:p>
            <w:pPr>
              <w:spacing w:after="0" w:line="142" w:lineRule="exact"/>
              <w:rPr>
                <w:sz w:val="20"/>
                <w:szCs w:val="20"/>
                <w:color w:val="auto"/>
              </w:rPr>
            </w:pPr>
            <w:r>
              <w:rPr>
                <w:rFonts w:ascii="Arial" w:cs="Arial" w:eastAsia="Arial" w:hAnsi="Arial"/>
                <w:sz w:val="14"/>
                <w:szCs w:val="14"/>
                <w:color w:val="auto"/>
              </w:rPr>
              <w:t>Balance at December 31, 2008</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2,265</w:t>
            </w:r>
          </w:p>
        </w:tc>
        <w:tc>
          <w:tcPr>
            <w:tcW w:w="34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color w:val="auto"/>
              </w:rPr>
              <w:t>6,235</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(18)</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(513)</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7,969</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340</w:t>
            </w:r>
          </w:p>
        </w:tc>
        <w:tc>
          <w:tcPr>
            <w:tcW w:w="40" w:type="dxa"/>
            <w:vAlign w:val="bottom"/>
          </w:tcPr>
          <w:p>
            <w:pPr>
              <w:spacing w:after="0"/>
              <w:rPr>
                <w:sz w:val="14"/>
                <w:szCs w:val="14"/>
                <w:color w:val="auto"/>
              </w:rPr>
            </w:pP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8,309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9"/>
        </w:trPr>
        <w:tc>
          <w:tcPr>
            <w:tcW w:w="372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1,129</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1,129</w:t>
            </w:r>
          </w:p>
        </w:tc>
        <w:tc>
          <w:tcPr>
            <w:tcW w:w="2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1,122</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44"/>
        </w:trPr>
        <w:tc>
          <w:tcPr>
            <w:tcW w:w="3720" w:type="dxa"/>
            <w:vAlign w:val="bottom"/>
          </w:tcPr>
          <w:p>
            <w:pPr>
              <w:ind w:left="160"/>
              <w:spacing w:after="0" w:line="144" w:lineRule="exact"/>
              <w:rPr>
                <w:sz w:val="20"/>
                <w:szCs w:val="20"/>
                <w:color w:val="auto"/>
              </w:rPr>
            </w:pPr>
            <w:r>
              <w:rPr>
                <w:rFonts w:ascii="Arial" w:cs="Arial" w:eastAsia="Arial" w:hAnsi="Arial"/>
                <w:sz w:val="14"/>
                <w:szCs w:val="14"/>
                <w:color w:val="auto"/>
              </w:rPr>
              <w:t>Foreign currency translation adjustments</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Arial" w:cs="Arial" w:eastAsia="Arial" w:hAnsi="Arial"/>
                <w:sz w:val="14"/>
                <w:szCs w:val="14"/>
                <w:color w:val="auto"/>
              </w:rPr>
              <w:t>102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tcPr>
          <w:p>
            <w:pPr>
              <w:ind w:left="160"/>
              <w:spacing w:after="0"/>
              <w:rPr>
                <w:sz w:val="20"/>
                <w:szCs w:val="20"/>
                <w:color w:val="auto"/>
              </w:rPr>
            </w:pPr>
            <w:r>
              <w:rPr>
                <w:rFonts w:ascii="Arial" w:cs="Arial" w:eastAsia="Arial" w:hAnsi="Arial"/>
                <w:sz w:val="14"/>
                <w:szCs w:val="14"/>
                <w:color w:val="auto"/>
              </w:rPr>
              <w:t>Available-for-sale securities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7</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62"/>
        </w:trPr>
        <w:tc>
          <w:tcPr>
            <w:tcW w:w="3720" w:type="dxa"/>
            <w:vAlign w:val="bottom"/>
          </w:tcPr>
          <w:p>
            <w:pPr>
              <w:ind w:left="160"/>
              <w:spacing w:after="0"/>
              <w:rPr>
                <w:sz w:val="20"/>
                <w:szCs w:val="20"/>
                <w:color w:val="auto"/>
              </w:rPr>
            </w:pPr>
            <w:r>
              <w:rPr>
                <w:rFonts w:ascii="Arial" w:cs="Arial" w:eastAsia="Arial" w:hAnsi="Arial"/>
                <w:sz w:val="14"/>
                <w:szCs w:val="14"/>
                <w:color w:val="auto"/>
              </w:rPr>
              <w:t>Pension and other postretirement benefits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75"/>
        </w:trPr>
        <w:tc>
          <w:tcPr>
            <w:tcW w:w="3720" w:type="dxa"/>
            <w:vAlign w:val="bottom"/>
          </w:tcPr>
          <w:p>
            <w:pPr>
              <w:ind w:left="160"/>
              <w:spacing w:after="0"/>
              <w:rPr>
                <w:sz w:val="20"/>
                <w:szCs w:val="20"/>
                <w:color w:val="auto"/>
              </w:rPr>
            </w:pPr>
            <w:r>
              <w:rPr>
                <w:rFonts w:ascii="Arial" w:cs="Arial" w:eastAsia="Arial" w:hAnsi="Arial"/>
                <w:sz w:val="14"/>
                <w:szCs w:val="14"/>
                <w:color w:val="auto"/>
              </w:rPr>
              <w:t>Financial instruments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2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0" w:right="239" w:bottom="0" w:gutter="0" w:footer="0" w:header="0"/>
          <w:type w:val="continuous"/>
        </w:sectPr>
      </w:pPr>
    </w:p>
    <w:bookmarkStart w:id="194" w:name="page195"/>
    <w:bookmarkEnd w:id="194"/>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20"/>
                <w:szCs w:val="20"/>
                <w:color w:val="auto"/>
              </w:rPr>
            </w:pPr>
            <w:r>
              <w:rPr>
                <w:rFonts w:ascii="Arial" w:cs="Arial" w:eastAsia="Arial" w:hAnsi="Arial"/>
                <w:sz w:val="14"/>
                <w:szCs w:val="14"/>
                <w:b w:val="1"/>
                <w:bCs w:val="1"/>
                <w:color w:val="auto"/>
              </w:rPr>
              <w:t>Comprehensive income (loss)</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1,263</w:t>
            </w:r>
          </w:p>
        </w:tc>
        <w:tc>
          <w:tcPr>
            <w:tcW w:w="0" w:type="dxa"/>
            <w:vAlign w:val="bottom"/>
          </w:tcPr>
          <w:p>
            <w:pPr>
              <w:spacing w:after="0"/>
              <w:rPr>
                <w:sz w:val="1"/>
                <w:szCs w:val="1"/>
                <w:color w:val="auto"/>
              </w:rPr>
            </w:pPr>
          </w:p>
        </w:tc>
      </w:tr>
      <w:tr>
        <w:trPr>
          <w:trHeight w:val="311"/>
        </w:trPr>
        <w:tc>
          <w:tcPr>
            <w:tcW w:w="37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(383)</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(383)</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(383)</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Preferred dividends of subsidiaries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Tax benefit related to share-based</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44"/>
        </w:trPr>
        <w:tc>
          <w:tcPr>
            <w:tcW w:w="3720" w:type="dxa"/>
            <w:vAlign w:val="bottom"/>
          </w:tcPr>
          <w:p>
            <w:pPr>
              <w:ind w:left="160"/>
              <w:spacing w:after="0" w:line="144" w:lineRule="exact"/>
              <w:rPr>
                <w:sz w:val="20"/>
                <w:szCs w:val="20"/>
                <w:color w:val="auto"/>
              </w:rPr>
            </w:pPr>
            <w:r>
              <w:rPr>
                <w:rFonts w:ascii="Arial" w:cs="Arial" w:eastAsia="Arial" w:hAnsi="Arial"/>
                <w:sz w:val="14"/>
                <w:szCs w:val="14"/>
                <w:color w:val="auto"/>
              </w:rPr>
              <w:t>compensation</w:t>
            </w:r>
          </w:p>
        </w:tc>
        <w:tc>
          <w:tcPr>
            <w:tcW w:w="460" w:type="dxa"/>
            <w:vAlign w:val="bottom"/>
          </w:tcPr>
          <w:p>
            <w:pPr>
              <w:spacing w:after="0"/>
              <w:rPr>
                <w:sz w:val="12"/>
                <w:szCs w:val="12"/>
                <w:color w:val="auto"/>
              </w:rPr>
            </w:pPr>
          </w:p>
        </w:tc>
        <w:tc>
          <w:tcPr>
            <w:tcW w:w="720" w:type="dxa"/>
            <w:vAlign w:val="bottom"/>
          </w:tcPr>
          <w:p>
            <w:pPr>
              <w:jc w:val="right"/>
              <w:ind w:right="48"/>
              <w:spacing w:after="0" w:line="144" w:lineRule="exact"/>
              <w:rPr>
                <w:sz w:val="20"/>
                <w:szCs w:val="20"/>
                <w:color w:val="auto"/>
              </w:rPr>
            </w:pPr>
            <w:r>
              <w:rPr>
                <w:rFonts w:ascii="Arial" w:cs="Arial" w:eastAsia="Arial" w:hAnsi="Arial"/>
                <w:sz w:val="14"/>
                <w:szCs w:val="14"/>
                <w:color w:val="auto"/>
              </w:rPr>
              <w:t>23</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4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(22)</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4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Equity contributed by noncontrolling interests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20"/>
                <w:szCs w:val="20"/>
                <w:color w:val="auto"/>
              </w:rPr>
            </w:pPr>
            <w:r>
              <w:rPr>
                <w:rFonts w:ascii="Arial" w:cs="Arial" w:eastAsia="Arial" w:hAnsi="Arial"/>
                <w:sz w:val="14"/>
                <w:szCs w:val="14"/>
                <w:color w:val="auto"/>
              </w:rPr>
              <w:t>Distributions to noncontrolling interests</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72"/>
        </w:trPr>
        <w:tc>
          <w:tcPr>
            <w:tcW w:w="3720" w:type="dxa"/>
            <w:vAlign w:val="bottom"/>
          </w:tcPr>
          <w:p>
            <w:pPr>
              <w:spacing w:after="0"/>
              <w:rPr>
                <w:sz w:val="20"/>
                <w:szCs w:val="20"/>
                <w:color w:val="auto"/>
              </w:rPr>
            </w:pPr>
            <w:r>
              <w:rPr>
                <w:rFonts w:ascii="Arial" w:cs="Arial" w:eastAsia="Arial" w:hAnsi="Arial"/>
                <w:sz w:val="14"/>
                <w:szCs w:val="14"/>
                <w:color w:val="auto"/>
              </w:rPr>
              <w:t>Purchase of noncontrolling interest in</w:t>
            </w:r>
          </w:p>
        </w:tc>
        <w:tc>
          <w:tcPr>
            <w:tcW w:w="46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(84)</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54"/>
        </w:trPr>
        <w:tc>
          <w:tcPr>
            <w:tcW w:w="3720" w:type="dxa"/>
            <w:vAlign w:val="bottom"/>
          </w:tcPr>
          <w:p>
            <w:pPr>
              <w:ind w:left="160"/>
              <w:spacing w:after="0" w:line="127" w:lineRule="exact"/>
              <w:rPr>
                <w:sz w:val="20"/>
                <w:szCs w:val="20"/>
                <w:color w:val="auto"/>
              </w:rPr>
            </w:pPr>
            <w:r>
              <w:rPr>
                <w:rFonts w:ascii="Arial" w:cs="Arial" w:eastAsia="Arial" w:hAnsi="Arial"/>
                <w:sz w:val="14"/>
                <w:szCs w:val="14"/>
                <w:color w:val="auto"/>
              </w:rPr>
              <w:t>subsidiary</w:t>
            </w: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line="142" w:lineRule="exact"/>
              <w:rPr>
                <w:sz w:val="20"/>
                <w:szCs w:val="20"/>
                <w:color w:val="auto"/>
              </w:rPr>
            </w:pPr>
            <w:r>
              <w:rPr>
                <w:rFonts w:ascii="Arial" w:cs="Arial" w:eastAsia="Arial" w:hAnsi="Arial"/>
                <w:sz w:val="14"/>
                <w:szCs w:val="14"/>
                <w:color w:val="auto"/>
              </w:rPr>
              <w:t>Balance at December 31, 2009</w:t>
            </w:r>
          </w:p>
        </w:tc>
        <w:tc>
          <w:tcPr>
            <w:tcW w:w="460" w:type="dxa"/>
            <w:vAlign w:val="bottom"/>
          </w:tcPr>
          <w:p>
            <w:pPr>
              <w:spacing w:after="0"/>
              <w:rPr>
                <w:sz w:val="14"/>
                <w:szCs w:val="14"/>
                <w:color w:val="auto"/>
              </w:rPr>
            </w:pPr>
          </w:p>
        </w:tc>
        <w:tc>
          <w:tcPr>
            <w:tcW w:w="72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2,418</w:t>
            </w:r>
          </w:p>
        </w:tc>
        <w:tc>
          <w:tcPr>
            <w:tcW w:w="320" w:type="dxa"/>
            <w:vAlign w:val="bottom"/>
          </w:tcPr>
          <w:p>
            <w:pPr>
              <w:spacing w:after="0"/>
              <w:rPr>
                <w:sz w:val="14"/>
                <w:szCs w:val="14"/>
                <w:color w:val="auto"/>
              </w:rPr>
            </w:pPr>
          </w:p>
        </w:tc>
        <w:tc>
          <w:tcPr>
            <w:tcW w:w="6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6,971</w:t>
            </w:r>
          </w:p>
        </w:tc>
        <w:tc>
          <w:tcPr>
            <w:tcW w:w="400" w:type="dxa"/>
            <w:vAlign w:val="bottom"/>
          </w:tcPr>
          <w:p>
            <w:pPr>
              <w:spacing w:after="0"/>
              <w:rPr>
                <w:sz w:val="14"/>
                <w:szCs w:val="14"/>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(369)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9,251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9"/>
        </w:trPr>
        <w:tc>
          <w:tcPr>
            <w:tcW w:w="372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749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733</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44"/>
        </w:trPr>
        <w:tc>
          <w:tcPr>
            <w:tcW w:w="3720" w:type="dxa"/>
            <w:vAlign w:val="bottom"/>
          </w:tcPr>
          <w:p>
            <w:pPr>
              <w:ind w:left="160"/>
              <w:spacing w:after="0" w:line="144" w:lineRule="exact"/>
              <w:rPr>
                <w:sz w:val="20"/>
                <w:szCs w:val="20"/>
                <w:color w:val="auto"/>
              </w:rPr>
            </w:pPr>
            <w:r>
              <w:rPr>
                <w:rFonts w:ascii="Arial" w:cs="Arial" w:eastAsia="Arial" w:hAnsi="Arial"/>
                <w:sz w:val="14"/>
                <w:szCs w:val="14"/>
                <w:color w:val="auto"/>
              </w:rPr>
              <w:t>Foreign currency translation adjustments</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tcPr>
          <w:p>
            <w:pPr>
              <w:ind w:left="160"/>
              <w:spacing w:after="0"/>
              <w:rPr>
                <w:sz w:val="20"/>
                <w:szCs w:val="20"/>
                <w:color w:val="auto"/>
              </w:rPr>
            </w:pPr>
            <w:r>
              <w:rPr>
                <w:rFonts w:ascii="Arial" w:cs="Arial" w:eastAsia="Arial" w:hAnsi="Arial"/>
                <w:sz w:val="14"/>
                <w:szCs w:val="14"/>
                <w:color w:val="auto"/>
              </w:rPr>
              <w:t>Available-for-sale securities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62"/>
        </w:trPr>
        <w:tc>
          <w:tcPr>
            <w:tcW w:w="3720" w:type="dxa"/>
            <w:vAlign w:val="bottom"/>
          </w:tcPr>
          <w:p>
            <w:pPr>
              <w:ind w:left="160"/>
              <w:spacing w:after="0"/>
              <w:rPr>
                <w:sz w:val="20"/>
                <w:szCs w:val="20"/>
                <w:color w:val="auto"/>
              </w:rPr>
            </w:pPr>
            <w:r>
              <w:rPr>
                <w:rFonts w:ascii="Arial" w:cs="Arial" w:eastAsia="Arial" w:hAnsi="Arial"/>
                <w:sz w:val="14"/>
                <w:szCs w:val="14"/>
                <w:color w:val="auto"/>
              </w:rPr>
              <w:t>Pension and other postretirement benefits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75"/>
        </w:trPr>
        <w:tc>
          <w:tcPr>
            <w:tcW w:w="3720" w:type="dxa"/>
            <w:vAlign w:val="bottom"/>
          </w:tcPr>
          <w:p>
            <w:pPr>
              <w:ind w:left="160"/>
              <w:spacing w:after="0" w:line="155" w:lineRule="exact"/>
              <w:rPr>
                <w:sz w:val="20"/>
                <w:szCs w:val="20"/>
                <w:color w:val="auto"/>
              </w:rPr>
            </w:pPr>
            <w:r>
              <w:rPr>
                <w:rFonts w:ascii="Arial" w:cs="Arial" w:eastAsia="Arial" w:hAnsi="Arial"/>
                <w:sz w:val="14"/>
                <w:szCs w:val="14"/>
                <w:color w:val="auto"/>
              </w:rPr>
              <w:t>Financial instruments</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(13)</w:t>
            </w:r>
          </w:p>
        </w:tc>
        <w:tc>
          <w:tcPr>
            <w:tcW w:w="140" w:type="dxa"/>
            <w:vAlign w:val="bottom"/>
          </w:tcPr>
          <w:p>
            <w:pPr>
              <w:spacing w:after="0"/>
              <w:rPr>
                <w:sz w:val="15"/>
                <w:szCs w:val="15"/>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tcPr>
          <w:p>
            <w:pPr>
              <w:spacing w:after="0" w:line="142" w:lineRule="exact"/>
              <w:rPr>
                <w:sz w:val="20"/>
                <w:szCs w:val="20"/>
                <w:color w:val="auto"/>
              </w:rPr>
            </w:pPr>
            <w:r>
              <w:rPr>
                <w:rFonts w:ascii="Arial" w:cs="Arial" w:eastAsia="Arial" w:hAnsi="Arial"/>
                <w:sz w:val="14"/>
                <w:szCs w:val="14"/>
                <w:b w:val="1"/>
                <w:bCs w:val="1"/>
                <w:color w:val="auto"/>
              </w:rPr>
              <w:t>Comprehensive income (loss)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788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779</w:t>
            </w:r>
          </w:p>
        </w:tc>
        <w:tc>
          <w:tcPr>
            <w:tcW w:w="0" w:type="dxa"/>
            <w:vAlign w:val="bottom"/>
          </w:tcPr>
          <w:p>
            <w:pPr>
              <w:spacing w:after="0"/>
              <w:rPr>
                <w:sz w:val="1"/>
                <w:szCs w:val="1"/>
                <w:color w:val="auto"/>
              </w:rPr>
            </w:pPr>
          </w:p>
        </w:tc>
      </w:tr>
      <w:tr>
        <w:trPr>
          <w:trHeight w:val="311"/>
        </w:trPr>
        <w:tc>
          <w:tcPr>
            <w:tcW w:w="37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(381)</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(381)</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(381)</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Preferred dividends of subsidiaries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Tax benefit related to share-based</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44"/>
        </w:trPr>
        <w:tc>
          <w:tcPr>
            <w:tcW w:w="3720" w:type="dxa"/>
            <w:vAlign w:val="bottom"/>
          </w:tcPr>
          <w:p>
            <w:pPr>
              <w:ind w:left="160"/>
              <w:spacing w:after="0" w:line="144" w:lineRule="exact"/>
              <w:rPr>
                <w:sz w:val="20"/>
                <w:szCs w:val="20"/>
                <w:color w:val="auto"/>
              </w:rPr>
            </w:pPr>
            <w:r>
              <w:rPr>
                <w:rFonts w:ascii="Arial" w:cs="Arial" w:eastAsia="Arial" w:hAnsi="Arial"/>
                <w:sz w:val="14"/>
                <w:szCs w:val="14"/>
                <w:color w:val="auto"/>
              </w:rPr>
              <w:t>compensation</w:t>
            </w:r>
          </w:p>
        </w:tc>
        <w:tc>
          <w:tcPr>
            <w:tcW w:w="460" w:type="dxa"/>
            <w:vAlign w:val="bottom"/>
          </w:tcPr>
          <w:p>
            <w:pPr>
              <w:spacing w:after="0"/>
              <w:rPr>
                <w:sz w:val="12"/>
                <w:szCs w:val="12"/>
                <w:color w:val="auto"/>
              </w:rPr>
            </w:pPr>
          </w:p>
        </w:tc>
        <w:tc>
          <w:tcPr>
            <w:tcW w:w="720" w:type="dxa"/>
            <w:vAlign w:val="bottom"/>
          </w:tcPr>
          <w:p>
            <w:pPr>
              <w:jc w:val="right"/>
              <w:ind w:right="48"/>
              <w:spacing w:after="0" w:line="144" w:lineRule="exact"/>
              <w:rPr>
                <w:sz w:val="20"/>
                <w:szCs w:val="20"/>
                <w:color w:val="auto"/>
              </w:rPr>
            </w:pPr>
            <w:r>
              <w:rPr>
                <w:rFonts w:ascii="Arial" w:cs="Arial" w:eastAsia="Arial" w:hAnsi="Arial"/>
                <w:sz w:val="14"/>
                <w:szCs w:val="14"/>
                <w:color w:val="auto"/>
              </w:rPr>
              <w:t>5</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4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(502)</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(502)</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4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82"/>
        </w:trPr>
        <w:tc>
          <w:tcPr>
            <w:tcW w:w="3720" w:type="dxa"/>
            <w:vAlign w:val="bottom"/>
          </w:tcPr>
          <w:p>
            <w:pPr>
              <w:spacing w:after="0" w:line="155" w:lineRule="exact"/>
              <w:rPr>
                <w:sz w:val="20"/>
                <w:szCs w:val="20"/>
                <w:color w:val="auto"/>
              </w:rPr>
            </w:pPr>
            <w:r>
              <w:rPr>
                <w:rFonts w:ascii="Arial" w:cs="Arial" w:eastAsia="Arial" w:hAnsi="Arial"/>
                <w:sz w:val="14"/>
                <w:szCs w:val="14"/>
                <w:color w:val="auto"/>
              </w:rPr>
              <w:t>Distributions to noncontrolling interests</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(24)</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69"/>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December 31, 2010</w:t>
            </w: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2,036</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7,329</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(330)</w:t>
            </w:r>
          </w:p>
        </w:tc>
        <w:tc>
          <w:tcPr>
            <w:tcW w:w="5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9,027</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9,238</w:t>
            </w:r>
          </w:p>
        </w:tc>
        <w:tc>
          <w:tcPr>
            <w:tcW w:w="0" w:type="dxa"/>
            <w:vAlign w:val="bottom"/>
          </w:tcPr>
          <w:p>
            <w:pPr>
              <w:spacing w:after="0"/>
              <w:rPr>
                <w:sz w:val="1"/>
                <w:szCs w:val="1"/>
                <w:color w:val="auto"/>
              </w:rPr>
            </w:pPr>
          </w:p>
        </w:tc>
      </w:tr>
      <w:tr>
        <w:trPr>
          <w:trHeight w:val="186"/>
        </w:trPr>
        <w:tc>
          <w:tcPr>
            <w:tcW w:w="3720" w:type="dxa"/>
            <w:vAlign w:val="bottom"/>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CONSOLIDATED STATEMENTS OF COMPREHENSIVE INCOME AND CHANGES IN EQUITY (CONTINUED)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3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8"/>
          </w:tcPr>
          <w:p>
            <w:pPr>
              <w:jc w:val="right"/>
              <w:ind w:right="240"/>
              <w:spacing w:after="0" w:line="159" w:lineRule="exact"/>
              <w:rPr>
                <w:sz w:val="20"/>
                <w:szCs w:val="20"/>
                <w:color w:val="auto"/>
              </w:rPr>
            </w:pPr>
            <w:r>
              <w:rPr>
                <w:rFonts w:ascii="Arial" w:cs="Arial" w:eastAsia="Arial" w:hAnsi="Arial"/>
                <w:sz w:val="14"/>
                <w:szCs w:val="14"/>
                <w:color w:val="auto"/>
              </w:rPr>
              <w:t>Years ended December 31, 2011, 2010 and 2009</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Deferred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Compen-</w:t>
            </w:r>
          </w:p>
        </w:tc>
        <w:tc>
          <w:tcPr>
            <w:tcW w:w="280" w:type="dxa"/>
            <w:vAlign w:val="bottom"/>
          </w:tcPr>
          <w:p>
            <w:pPr>
              <w:spacing w:after="0"/>
              <w:rPr>
                <w:sz w:val="17"/>
                <w:szCs w:val="17"/>
                <w:color w:val="auto"/>
              </w:rPr>
            </w:pPr>
          </w:p>
        </w:tc>
        <w:tc>
          <w:tcPr>
            <w:tcW w:w="1180" w:type="dxa"/>
            <w:vAlign w:val="bottom"/>
            <w:gridSpan w:val="2"/>
          </w:tcPr>
          <w:p>
            <w:pPr>
              <w:jc w:val="center"/>
              <w:ind w:right="8"/>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sation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Sempra</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Relating</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rPr>
              <w:t>Compre-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Energy</w:t>
            </w: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Common</w:t>
            </w:r>
          </w:p>
        </w:tc>
        <w:tc>
          <w:tcPr>
            <w:tcW w:w="1000" w:type="dxa"/>
            <w:vAlign w:val="bottom"/>
            <w:gridSpan w:val="2"/>
          </w:tcPr>
          <w:p>
            <w:pPr>
              <w:jc w:val="right"/>
              <w:ind w:right="208"/>
              <w:spacing w:after="0"/>
              <w:rPr>
                <w:sz w:val="20"/>
                <w:szCs w:val="20"/>
                <w:color w:val="auto"/>
              </w:rPr>
            </w:pPr>
            <w:r>
              <w:rPr>
                <w:rFonts w:ascii="Arial" w:cs="Arial" w:eastAsia="Arial" w:hAnsi="Arial"/>
                <w:sz w:val="14"/>
                <w:szCs w:val="14"/>
                <w:color w:val="auto"/>
              </w:rPr>
              <w:t>Retained</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to</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68"/>
              <w:spacing w:after="0"/>
              <w:rPr>
                <w:sz w:val="20"/>
                <w:szCs w:val="20"/>
                <w:color w:val="auto"/>
              </w:rPr>
            </w:pPr>
            <w:r>
              <w:rPr>
                <w:rFonts w:ascii="Arial" w:cs="Arial" w:eastAsia="Arial" w:hAnsi="Arial"/>
                <w:sz w:val="14"/>
                <w:szCs w:val="14"/>
                <w:color w:val="auto"/>
              </w:rPr>
              <w:t>hensive</w:t>
            </w:r>
          </w:p>
        </w:tc>
        <w:tc>
          <w:tcPr>
            <w:tcW w:w="14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Shareholders’</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Stock</w:t>
            </w:r>
          </w:p>
        </w:tc>
        <w:tc>
          <w:tcPr>
            <w:tcW w:w="10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Earnings</w:t>
            </w:r>
          </w:p>
        </w:tc>
        <w:tc>
          <w:tcPr>
            <w:tcW w:w="7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ESOP</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color w:val="auto"/>
              </w:rPr>
              <w:t>Income (Loss)</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680" w:type="dxa"/>
            <w:vAlign w:val="bottom"/>
          </w:tcPr>
          <w:p>
            <w:pPr>
              <w:spacing w:after="0" w:line="142" w:lineRule="exact"/>
              <w:rPr>
                <w:sz w:val="20"/>
                <w:szCs w:val="20"/>
                <w:color w:val="auto"/>
              </w:rPr>
            </w:pPr>
            <w:r>
              <w:rPr>
                <w:rFonts w:ascii="Arial" w:cs="Arial" w:eastAsia="Arial" w:hAnsi="Arial"/>
                <w:sz w:val="14"/>
                <w:szCs w:val="14"/>
                <w:color w:val="auto"/>
              </w:rPr>
              <w:t>Balance at December 31, 2010</w:t>
            </w: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2,036</w:t>
            </w:r>
          </w:p>
        </w:tc>
        <w:tc>
          <w:tcPr>
            <w:tcW w:w="34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7,329</w:t>
            </w:r>
          </w:p>
        </w:tc>
        <w:tc>
          <w:tcPr>
            <w:tcW w:w="720" w:type="dxa"/>
            <w:vAlign w:val="bottom"/>
          </w:tcPr>
          <w:p>
            <w:pPr>
              <w:jc w:val="right"/>
              <w:ind w:right="488"/>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jc w:val="center"/>
              <w:spacing w:after="0" w:line="142" w:lineRule="exact"/>
              <w:rPr>
                <w:sz w:val="20"/>
                <w:szCs w:val="20"/>
                <w:color w:val="auto"/>
              </w:rPr>
            </w:pPr>
            <w:r>
              <w:rPr>
                <w:rFonts w:ascii="Arial" w:cs="Arial" w:eastAsia="Arial" w:hAnsi="Arial"/>
                <w:sz w:val="14"/>
                <w:szCs w:val="14"/>
                <w:color w:val="auto"/>
              </w:rPr>
              <w:t>(8)</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(330)</w:t>
            </w:r>
          </w:p>
        </w:tc>
        <w:tc>
          <w:tcPr>
            <w:tcW w:w="3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9,027</w:t>
            </w:r>
          </w:p>
        </w:tc>
        <w:tc>
          <w:tcPr>
            <w:tcW w:w="80" w:type="dxa"/>
            <w:vAlign w:val="bottom"/>
          </w:tcPr>
          <w:p>
            <w:pPr>
              <w:spacing w:after="0"/>
              <w:rPr>
                <w:sz w:val="14"/>
                <w:szCs w:val="14"/>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211</w:t>
            </w:r>
          </w:p>
        </w:tc>
        <w:tc>
          <w:tcPr>
            <w:tcW w:w="40" w:type="dxa"/>
            <w:vAlign w:val="bottom"/>
          </w:tcPr>
          <w:p>
            <w:pPr>
              <w:spacing w:after="0"/>
              <w:rPr>
                <w:sz w:val="14"/>
                <w:szCs w:val="14"/>
                <w:color w:val="auto"/>
              </w:rPr>
            </w:pPr>
          </w:p>
        </w:tc>
        <w:tc>
          <w:tcPr>
            <w:tcW w:w="2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9,238</w:t>
            </w:r>
          </w:p>
        </w:tc>
        <w:tc>
          <w:tcPr>
            <w:tcW w:w="0" w:type="dxa"/>
            <w:vAlign w:val="bottom"/>
          </w:tcPr>
          <w:p>
            <w:pPr>
              <w:spacing w:after="0"/>
              <w:rPr>
                <w:sz w:val="1"/>
                <w:szCs w:val="1"/>
                <w:color w:val="auto"/>
              </w:rPr>
            </w:pPr>
          </w:p>
        </w:tc>
      </w:tr>
      <w:tr>
        <w:trPr>
          <w:trHeight w:val="329"/>
        </w:trPr>
        <w:tc>
          <w:tcPr>
            <w:tcW w:w="36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1,365</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1,407</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(76)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162"/>
        </w:trPr>
        <w:tc>
          <w:tcPr>
            <w:tcW w:w="3680" w:type="dxa"/>
            <w:vAlign w:val="bottom"/>
          </w:tcPr>
          <w:p>
            <w:pPr>
              <w:ind w:left="16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60"/>
              <w:spacing w:after="0"/>
              <w:rPr>
                <w:sz w:val="20"/>
                <w:szCs w:val="20"/>
                <w:color w:val="auto"/>
              </w:rPr>
            </w:pPr>
            <w:r>
              <w:rPr>
                <w:rFonts w:ascii="Arial" w:cs="Arial" w:eastAsia="Arial" w:hAnsi="Arial"/>
                <w:sz w:val="14"/>
                <w:szCs w:val="14"/>
                <w:color w:val="auto"/>
              </w:rPr>
              <w:t>Reclassification to net income of foreign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320"/>
              <w:spacing w:after="0"/>
              <w:rPr>
                <w:sz w:val="20"/>
                <w:szCs w:val="20"/>
                <w:color w:val="auto"/>
              </w:rPr>
            </w:pPr>
            <w:r>
              <w:rPr>
                <w:rFonts w:ascii="Arial" w:cs="Arial" w:eastAsia="Arial" w:hAnsi="Arial"/>
                <w:sz w:val="14"/>
                <w:szCs w:val="14"/>
                <w:color w:val="auto"/>
              </w:rPr>
              <w:t>currency translation adjustment related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320"/>
              <w:spacing w:after="0"/>
              <w:rPr>
                <w:sz w:val="20"/>
                <w:szCs w:val="20"/>
                <w:color w:val="auto"/>
              </w:rPr>
            </w:pPr>
            <w:r>
              <w:rPr>
                <w:rFonts w:ascii="Arial" w:cs="Arial" w:eastAsia="Arial" w:hAnsi="Arial"/>
                <w:sz w:val="14"/>
                <w:szCs w:val="14"/>
                <w:color w:val="auto"/>
              </w:rPr>
              <w:t>to remeasurement of equity method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(54)</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144"/>
        </w:trPr>
        <w:tc>
          <w:tcPr>
            <w:tcW w:w="3680" w:type="dxa"/>
            <w:vAlign w:val="bottom"/>
          </w:tcPr>
          <w:p>
            <w:pPr>
              <w:ind w:left="320"/>
              <w:spacing w:after="0" w:line="144" w:lineRule="exact"/>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4" w:lineRule="exact"/>
              <w:rPr>
                <w:sz w:val="20"/>
                <w:szCs w:val="20"/>
                <w:color w:val="auto"/>
              </w:rPr>
            </w:pPr>
            <w:r>
              <w:rPr>
                <w:rFonts w:ascii="Arial" w:cs="Arial" w:eastAsia="Arial" w:hAnsi="Arial"/>
                <w:sz w:val="14"/>
                <w:szCs w:val="14"/>
                <w:color w:val="auto"/>
              </w:rPr>
              <w:t>(54)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60"/>
              <w:spacing w:after="0"/>
              <w:rPr>
                <w:sz w:val="20"/>
                <w:szCs w:val="20"/>
                <w:color w:val="auto"/>
              </w:rPr>
            </w:pPr>
            <w:r>
              <w:rPr>
                <w:rFonts w:ascii="Arial" w:cs="Arial" w:eastAsia="Arial" w:hAnsi="Arial"/>
                <w:sz w:val="14"/>
                <w:szCs w:val="14"/>
                <w:color w:val="auto"/>
              </w:rPr>
              <w:t>Available-for-sale securities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2"/>
        </w:trPr>
        <w:tc>
          <w:tcPr>
            <w:tcW w:w="3680" w:type="dxa"/>
            <w:vAlign w:val="bottom"/>
          </w:tcPr>
          <w:p>
            <w:pPr>
              <w:ind w:left="160"/>
              <w:spacing w:after="0"/>
              <w:rPr>
                <w:sz w:val="20"/>
                <w:szCs w:val="20"/>
                <w:color w:val="auto"/>
              </w:rPr>
            </w:pPr>
            <w:r>
              <w:rPr>
                <w:rFonts w:ascii="Arial" w:cs="Arial" w:eastAsia="Arial" w:hAnsi="Arial"/>
                <w:sz w:val="14"/>
                <w:szCs w:val="14"/>
                <w:color w:val="auto"/>
              </w:rPr>
              <w:t>Pension and other postretirement benefits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2"/>
        </w:trPr>
        <w:tc>
          <w:tcPr>
            <w:tcW w:w="3680" w:type="dxa"/>
            <w:vAlign w:val="bottom"/>
          </w:tcPr>
          <w:p>
            <w:pPr>
              <w:ind w:left="160"/>
              <w:spacing w:after="0" w:line="155" w:lineRule="exact"/>
              <w:rPr>
                <w:sz w:val="20"/>
                <w:szCs w:val="20"/>
                <w:color w:val="auto"/>
              </w:rPr>
            </w:pPr>
            <w:r>
              <w:rPr>
                <w:rFonts w:ascii="Arial" w:cs="Arial" w:eastAsia="Arial" w:hAnsi="Arial"/>
                <w:sz w:val="14"/>
                <w:szCs w:val="14"/>
                <w:color w:val="auto"/>
              </w:rPr>
              <w:t>Financial instruments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(16)</w:t>
            </w:r>
          </w:p>
        </w:tc>
        <w:tc>
          <w:tcPr>
            <w:tcW w:w="160" w:type="dxa"/>
            <w:vAlign w:val="bottom"/>
          </w:tcPr>
          <w:p>
            <w:pPr>
              <w:spacing w:after="0"/>
              <w:rPr>
                <w:sz w:val="15"/>
                <w:szCs w:val="15"/>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69"/>
        </w:trPr>
        <w:tc>
          <w:tcPr>
            <w:tcW w:w="3680" w:type="dxa"/>
            <w:vAlign w:val="bottom"/>
          </w:tcPr>
          <w:p>
            <w:pPr>
              <w:spacing w:after="0" w:line="142" w:lineRule="exact"/>
              <w:rPr>
                <w:sz w:val="20"/>
                <w:szCs w:val="20"/>
                <w:color w:val="auto"/>
              </w:rPr>
            </w:pPr>
            <w:r>
              <w:rPr>
                <w:rFonts w:ascii="Arial" w:cs="Arial" w:eastAsia="Arial" w:hAnsi="Arial"/>
                <w:sz w:val="14"/>
                <w:szCs w:val="14"/>
                <w:b w:val="1"/>
                <w:bCs w:val="1"/>
                <w:color w:val="auto"/>
              </w:rPr>
              <w:t>Comprehensive income (loss)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1,218</w:t>
            </w:r>
          </w:p>
        </w:tc>
        <w:tc>
          <w:tcPr>
            <w:tcW w:w="0" w:type="dxa"/>
            <w:vAlign w:val="bottom"/>
          </w:tcPr>
          <w:p>
            <w:pPr>
              <w:spacing w:after="0"/>
              <w:rPr>
                <w:sz w:val="1"/>
                <w:szCs w:val="1"/>
                <w:color w:val="auto"/>
              </w:rPr>
            </w:pPr>
          </w:p>
        </w:tc>
      </w:tr>
      <w:tr>
        <w:trPr>
          <w:trHeight w:val="311"/>
        </w:trPr>
        <w:tc>
          <w:tcPr>
            <w:tcW w:w="368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(461)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(461)</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Preferred dividends of subsidiaries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Distributions to noncontrolling interests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Equity contributed by noncontrolling interests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Arial" w:cs="Arial" w:eastAsia="Arial" w:hAnsi="Arial"/>
                <w:sz w:val="14"/>
                <w:szCs w:val="14"/>
                <w:color w:val="auto"/>
              </w:rPr>
              <w:t>Acquisition of South American entities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Purchase of noncontrolling interests in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44"/>
        </w:trPr>
        <w:tc>
          <w:tcPr>
            <w:tcW w:w="3680" w:type="dxa"/>
            <w:vAlign w:val="bottom"/>
          </w:tcPr>
          <w:p>
            <w:pPr>
              <w:ind w:left="160"/>
              <w:spacing w:after="0" w:line="144" w:lineRule="exact"/>
              <w:rPr>
                <w:sz w:val="20"/>
                <w:szCs w:val="20"/>
                <w:color w:val="auto"/>
              </w:rPr>
            </w:pPr>
            <w:r>
              <w:rPr>
                <w:rFonts w:ascii="Arial" w:cs="Arial" w:eastAsia="Arial" w:hAnsi="Arial"/>
                <w:sz w:val="14"/>
                <w:szCs w:val="14"/>
                <w:color w:val="auto"/>
              </w:rPr>
              <w:t>subsidiary</w:t>
            </w:r>
          </w:p>
        </w:tc>
        <w:tc>
          <w:tcPr>
            <w:tcW w:w="26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4"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tcPr>
          <w:p>
            <w:pPr>
              <w:spacing w:after="0" w:line="155" w:lineRule="exact"/>
              <w:rPr>
                <w:sz w:val="20"/>
                <w:szCs w:val="20"/>
                <w:color w:val="auto"/>
              </w:rPr>
            </w:pPr>
            <w:r>
              <w:rPr>
                <w:rFonts w:ascii="Arial" w:cs="Arial" w:eastAsia="Arial" w:hAnsi="Arial"/>
                <w:sz w:val="14"/>
                <w:szCs w:val="14"/>
                <w:color w:val="auto"/>
              </w:rPr>
              <w:t>Redemption of preferred stock of subsidiary</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(80)</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December 31, 2011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2,104</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8,225</w:t>
            </w: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9,838</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10,241</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600" w:type="dxa"/>
            <w:vAlign w:val="bottom"/>
          </w:tcPr>
          <w:p>
            <w:pPr>
              <w:spacing w:after="0" w:line="164" w:lineRule="exact"/>
              <w:rPr>
                <w:sz w:val="20"/>
                <w:szCs w:val="20"/>
                <w:color w:val="auto"/>
              </w:rPr>
            </w:pPr>
            <w:r>
              <w:rPr>
                <w:rFonts w:ascii="Arial" w:cs="Arial" w:eastAsia="Arial" w:hAnsi="Arial"/>
                <w:sz w:val="16"/>
                <w:szCs w:val="16"/>
                <w:color w:val="auto"/>
              </w:rPr>
              <w:t>Operating revenues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Electric</w:t>
            </w:r>
          </w:p>
        </w:tc>
        <w:tc>
          <w:tcPr>
            <w:tcW w:w="1040" w:type="dxa"/>
            <w:vAlign w:val="bottom"/>
          </w:tcPr>
          <w:p>
            <w:pPr>
              <w:jc w:val="right"/>
              <w:ind w:right="703"/>
              <w:spacing w:after="0" w:line="176"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2,830</w:t>
            </w:r>
          </w:p>
        </w:tc>
        <w:tc>
          <w:tcPr>
            <w:tcW w:w="3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2,535</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2,426</w:t>
            </w:r>
          </w:p>
        </w:tc>
      </w:tr>
      <w:tr>
        <w:trPr>
          <w:trHeight w:val="194"/>
        </w:trPr>
        <w:tc>
          <w:tcPr>
            <w:tcW w:w="20" w:type="dxa"/>
            <w:vAlign w:val="bottom"/>
          </w:tcPr>
          <w:p>
            <w:pPr>
              <w:spacing w:after="0"/>
              <w:rPr>
                <w:sz w:val="16"/>
                <w:szCs w:val="16"/>
                <w:color w:val="auto"/>
              </w:rPr>
            </w:pPr>
          </w:p>
        </w:tc>
        <w:tc>
          <w:tcPr>
            <w:tcW w:w="6600" w:type="dxa"/>
            <w:vAlign w:val="bottom"/>
          </w:tcPr>
          <w:p>
            <w:pPr>
              <w:ind w:left="160"/>
              <w:spacing w:after="0"/>
              <w:rPr>
                <w:sz w:val="20"/>
                <w:szCs w:val="20"/>
                <w:color w:val="auto"/>
              </w:rPr>
            </w:pPr>
            <w:r>
              <w:rPr>
                <w:rFonts w:ascii="Arial" w:cs="Arial" w:eastAsia="Arial" w:hAnsi="Arial"/>
                <w:sz w:val="16"/>
                <w:szCs w:val="16"/>
                <w:color w:val="auto"/>
              </w:rPr>
              <w:t>Natural gas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543</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514</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183"/>
        </w:trPr>
        <w:tc>
          <w:tcPr>
            <w:tcW w:w="20" w:type="dxa"/>
            <w:vAlign w:val="bottom"/>
          </w:tcPr>
          <w:p>
            <w:pPr>
              <w:spacing w:after="0"/>
              <w:rPr>
                <w:sz w:val="15"/>
                <w:szCs w:val="15"/>
                <w:color w:val="auto"/>
              </w:rPr>
            </w:pPr>
          </w:p>
        </w:tc>
        <w:tc>
          <w:tcPr>
            <w:tcW w:w="6600" w:type="dxa"/>
            <w:vAlign w:val="bottom"/>
          </w:tcPr>
          <w:p>
            <w:pPr>
              <w:ind w:left="340"/>
              <w:spacing w:after="0" w:line="176" w:lineRule="exact"/>
              <w:rPr>
                <w:sz w:val="20"/>
                <w:szCs w:val="20"/>
                <w:color w:val="auto"/>
              </w:rPr>
            </w:pPr>
            <w:r>
              <w:rPr>
                <w:rFonts w:ascii="Arial" w:cs="Arial" w:eastAsia="Arial" w:hAnsi="Arial"/>
                <w:sz w:val="16"/>
                <w:szCs w:val="16"/>
                <w:color w:val="auto"/>
              </w:rPr>
              <w:t>Total operating revenues</w:t>
            </w: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3,373</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3,049</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2,916</w:t>
            </w:r>
          </w:p>
        </w:tc>
      </w:tr>
      <w:tr>
        <w:trPr>
          <w:trHeight w:val="164"/>
        </w:trPr>
        <w:tc>
          <w:tcPr>
            <w:tcW w:w="6620" w:type="dxa"/>
            <w:vAlign w:val="bottom"/>
            <w:gridSpan w:val="2"/>
          </w:tcPr>
          <w:p>
            <w:pPr>
              <w:spacing w:after="0" w:line="164" w:lineRule="exact"/>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1040" w:type="dxa"/>
            <w:vAlign w:val="bottom"/>
          </w:tcPr>
          <w:p>
            <w:pPr>
              <w:spacing w:after="0"/>
              <w:rPr>
                <w:sz w:val="15"/>
                <w:szCs w:val="15"/>
                <w:color w:val="auto"/>
              </w:rPr>
            </w:pPr>
          </w:p>
        </w:tc>
        <w:tc>
          <w:tcPr>
            <w:tcW w:w="6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715</w:t>
            </w:r>
          </w:p>
        </w:tc>
        <w:tc>
          <w:tcPr>
            <w:tcW w:w="380" w:type="dxa"/>
            <w:vAlign w:val="bottom"/>
          </w:tcPr>
          <w:p>
            <w:pPr>
              <w:spacing w:after="0"/>
              <w:rPr>
                <w:sz w:val="15"/>
                <w:szCs w:val="15"/>
                <w:color w:val="auto"/>
              </w:rPr>
            </w:pPr>
          </w:p>
        </w:tc>
        <w:tc>
          <w:tcPr>
            <w:tcW w:w="12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637</w:t>
            </w:r>
          </w:p>
        </w:tc>
        <w:tc>
          <w:tcPr>
            <w:tcW w:w="3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672</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Cost of natural gas</w:t>
            </w:r>
          </w:p>
        </w:tc>
        <w:tc>
          <w:tcPr>
            <w:tcW w:w="1040" w:type="dxa"/>
            <w:vAlign w:val="bottom"/>
          </w:tcPr>
          <w:p>
            <w:pPr>
              <w:spacing w:after="0"/>
              <w:rPr>
                <w:sz w:val="15"/>
                <w:szCs w:val="15"/>
                <w:color w:val="auto"/>
              </w:rPr>
            </w:pPr>
          </w:p>
        </w:tc>
        <w:tc>
          <w:tcPr>
            <w:tcW w:w="6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226</w:t>
            </w:r>
          </w:p>
        </w:tc>
        <w:tc>
          <w:tcPr>
            <w:tcW w:w="380" w:type="dxa"/>
            <w:vAlign w:val="bottom"/>
          </w:tcPr>
          <w:p>
            <w:pPr>
              <w:spacing w:after="0"/>
              <w:rPr>
                <w:sz w:val="15"/>
                <w:szCs w:val="15"/>
                <w:color w:val="auto"/>
              </w:rPr>
            </w:pPr>
          </w:p>
        </w:tc>
        <w:tc>
          <w:tcPr>
            <w:tcW w:w="12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217</w:t>
            </w:r>
          </w:p>
        </w:tc>
        <w:tc>
          <w:tcPr>
            <w:tcW w:w="3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206</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Operation and maintenance</w:t>
            </w:r>
          </w:p>
        </w:tc>
        <w:tc>
          <w:tcPr>
            <w:tcW w:w="1040" w:type="dxa"/>
            <w:vAlign w:val="bottom"/>
          </w:tcPr>
          <w:p>
            <w:pPr>
              <w:spacing w:after="0"/>
              <w:rPr>
                <w:sz w:val="15"/>
                <w:szCs w:val="15"/>
                <w:color w:val="auto"/>
              </w:rPr>
            </w:pPr>
          </w:p>
        </w:tc>
        <w:tc>
          <w:tcPr>
            <w:tcW w:w="6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1,072</w:t>
            </w:r>
          </w:p>
        </w:tc>
        <w:tc>
          <w:tcPr>
            <w:tcW w:w="380" w:type="dxa"/>
            <w:vAlign w:val="bottom"/>
          </w:tcPr>
          <w:p>
            <w:pPr>
              <w:spacing w:after="0"/>
              <w:rPr>
                <w:sz w:val="15"/>
                <w:szCs w:val="15"/>
                <w:color w:val="auto"/>
              </w:rPr>
            </w:pPr>
          </w:p>
        </w:tc>
        <w:tc>
          <w:tcPr>
            <w:tcW w:w="12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987</w:t>
            </w:r>
          </w:p>
        </w:tc>
        <w:tc>
          <w:tcPr>
            <w:tcW w:w="3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960</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5"/>
                <w:szCs w:val="15"/>
                <w:color w:val="auto"/>
              </w:rPr>
            </w:pPr>
          </w:p>
        </w:tc>
        <w:tc>
          <w:tcPr>
            <w:tcW w:w="6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422</w:t>
            </w:r>
          </w:p>
        </w:tc>
        <w:tc>
          <w:tcPr>
            <w:tcW w:w="380" w:type="dxa"/>
            <w:vAlign w:val="bottom"/>
          </w:tcPr>
          <w:p>
            <w:pPr>
              <w:spacing w:after="0"/>
              <w:rPr>
                <w:sz w:val="15"/>
                <w:szCs w:val="15"/>
                <w:color w:val="auto"/>
              </w:rPr>
            </w:pPr>
          </w:p>
        </w:tc>
        <w:tc>
          <w:tcPr>
            <w:tcW w:w="12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381</w:t>
            </w:r>
          </w:p>
        </w:tc>
        <w:tc>
          <w:tcPr>
            <w:tcW w:w="3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329</w:t>
            </w:r>
          </w:p>
        </w:tc>
      </w:tr>
      <w:tr>
        <w:trPr>
          <w:trHeight w:val="194"/>
        </w:trPr>
        <w:tc>
          <w:tcPr>
            <w:tcW w:w="20" w:type="dxa"/>
            <w:vAlign w:val="bottom"/>
          </w:tcPr>
          <w:p>
            <w:pPr>
              <w:spacing w:after="0"/>
              <w:rPr>
                <w:sz w:val="16"/>
                <w:szCs w:val="16"/>
                <w:color w:val="auto"/>
              </w:rPr>
            </w:pPr>
          </w:p>
        </w:tc>
        <w:tc>
          <w:tcPr>
            <w:tcW w:w="6600" w:type="dxa"/>
            <w:vAlign w:val="bottom"/>
          </w:tcPr>
          <w:p>
            <w:pPr>
              <w:ind w:left="160"/>
              <w:spacing w:after="0"/>
              <w:rPr>
                <w:sz w:val="20"/>
                <w:szCs w:val="20"/>
                <w:color w:val="auto"/>
              </w:rPr>
            </w:pPr>
            <w:r>
              <w:rPr>
                <w:rFonts w:ascii="Arial" w:cs="Arial" w:eastAsia="Arial" w:hAnsi="Arial"/>
                <w:sz w:val="16"/>
                <w:szCs w:val="16"/>
                <w:color w:val="auto"/>
              </w:rPr>
              <w:t>Franchise fees and other taxes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183</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183"/>
        </w:trPr>
        <w:tc>
          <w:tcPr>
            <w:tcW w:w="20" w:type="dxa"/>
            <w:vAlign w:val="bottom"/>
          </w:tcPr>
          <w:p>
            <w:pPr>
              <w:spacing w:after="0"/>
              <w:rPr>
                <w:sz w:val="15"/>
                <w:szCs w:val="15"/>
                <w:color w:val="auto"/>
              </w:rPr>
            </w:pPr>
          </w:p>
        </w:tc>
        <w:tc>
          <w:tcPr>
            <w:tcW w:w="6600" w:type="dxa"/>
            <w:vAlign w:val="bottom"/>
          </w:tcPr>
          <w:p>
            <w:pPr>
              <w:ind w:left="340"/>
              <w:spacing w:after="0" w:line="176" w:lineRule="exact"/>
              <w:rPr>
                <w:sz w:val="20"/>
                <w:szCs w:val="20"/>
                <w:color w:val="auto"/>
              </w:rPr>
            </w:pPr>
            <w:r>
              <w:rPr>
                <w:rFonts w:ascii="Arial" w:cs="Arial" w:eastAsia="Arial" w:hAnsi="Arial"/>
                <w:sz w:val="16"/>
                <w:szCs w:val="16"/>
                <w:color w:val="auto"/>
              </w:rPr>
              <w:t>Total operating expenses</w:t>
            </w: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2,618</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2,392</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2,327</w:t>
            </w:r>
          </w:p>
        </w:tc>
      </w:tr>
      <w:tr>
        <w:trPr>
          <w:trHeight w:val="195"/>
        </w:trPr>
        <w:tc>
          <w:tcPr>
            <w:tcW w:w="662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040" w:type="dxa"/>
            <w:vAlign w:val="bottom"/>
          </w:tcPr>
          <w:p>
            <w:pPr>
              <w:spacing w:after="0"/>
              <w:rPr>
                <w:sz w:val="16"/>
                <w:szCs w:val="16"/>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755</w:t>
            </w:r>
          </w:p>
        </w:tc>
        <w:tc>
          <w:tcPr>
            <w:tcW w:w="380" w:type="dxa"/>
            <w:vAlign w:val="bottom"/>
          </w:tcPr>
          <w:p>
            <w:pPr>
              <w:spacing w:after="0"/>
              <w:rPr>
                <w:sz w:val="16"/>
                <w:szCs w:val="16"/>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657</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589</w:t>
            </w:r>
          </w:p>
        </w:tc>
      </w:tr>
    </w:tbl>
    <w:p>
      <w:pPr>
        <w:sectPr>
          <w:pgSz w:w="11900" w:h="16876" w:orient="portrait"/>
          <w:cols w:equalWidth="0" w:num="1">
            <w:col w:w="11420"/>
          </w:cols>
          <w:pgMar w:left="240" w:top="126" w:right="239" w:bottom="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20"/>
                <w:szCs w:val="20"/>
                <w:color w:val="auto"/>
              </w:rPr>
            </w:pPr>
            <w:r>
              <w:rPr>
                <w:rFonts w:ascii="Arial" w:cs="Arial" w:eastAsia="Arial" w:hAnsi="Arial"/>
                <w:sz w:val="16"/>
                <w:szCs w:val="16"/>
                <w:color w:val="auto"/>
              </w:rPr>
              <w:t>Other income, net</w:t>
            </w:r>
          </w:p>
        </w:tc>
        <w:tc>
          <w:tcPr>
            <w:tcW w:w="74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6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6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76"/>
        </w:trPr>
        <w:tc>
          <w:tcPr>
            <w:tcW w:w="6620" w:type="dxa"/>
            <w:vAlign w:val="bottom"/>
          </w:tcPr>
          <w:p>
            <w:pPr>
              <w:spacing w:after="0" w:line="176" w:lineRule="exact"/>
              <w:rPr>
                <w:sz w:val="20"/>
                <w:szCs w:val="20"/>
                <w:color w:val="auto"/>
              </w:rPr>
            </w:pPr>
            <w:r>
              <w:rPr>
                <w:rFonts w:ascii="Arial" w:cs="Arial" w:eastAsia="Arial" w:hAnsi="Arial"/>
                <w:sz w:val="16"/>
                <w:szCs w:val="16"/>
                <w:color w:val="auto"/>
              </w:rPr>
              <w:t>Interest income</w:t>
            </w:r>
          </w:p>
        </w:tc>
        <w:tc>
          <w:tcPr>
            <w:tcW w:w="740" w:type="dxa"/>
            <w:vAlign w:val="bottom"/>
          </w:tcPr>
          <w:p>
            <w:pPr>
              <w:spacing w:after="0"/>
              <w:rPr>
                <w:sz w:val="15"/>
                <w:szCs w:val="15"/>
                <w:color w:val="auto"/>
              </w:rPr>
            </w:pPr>
          </w:p>
        </w:tc>
        <w:tc>
          <w:tcPr>
            <w:tcW w:w="9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spacing w:after="0"/>
              <w:rPr>
                <w:sz w:val="15"/>
                <w:szCs w:val="15"/>
                <w:color w:val="auto"/>
              </w:rPr>
            </w:pPr>
          </w:p>
        </w:tc>
        <w:tc>
          <w:tcPr>
            <w:tcW w:w="96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Interest expense</w:t>
            </w: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c>
          <w:tcPr>
            <w:tcW w:w="6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164"/>
        </w:trPr>
        <w:tc>
          <w:tcPr>
            <w:tcW w:w="6620" w:type="dxa"/>
            <w:vAlign w:val="bottom"/>
          </w:tcPr>
          <w:p>
            <w:pPr>
              <w:spacing w:after="0" w:line="164" w:lineRule="exact"/>
              <w:rPr>
                <w:sz w:val="20"/>
                <w:szCs w:val="20"/>
                <w:color w:val="auto"/>
              </w:rPr>
            </w:pPr>
            <w:r>
              <w:rPr>
                <w:rFonts w:ascii="Arial" w:cs="Arial" w:eastAsia="Arial" w:hAnsi="Arial"/>
                <w:sz w:val="16"/>
                <w:szCs w:val="16"/>
                <w:color w:val="auto"/>
              </w:rPr>
              <w:t>Income before income taxes</w:t>
            </w:r>
          </w:p>
        </w:tc>
        <w:tc>
          <w:tcPr>
            <w:tcW w:w="740" w:type="dxa"/>
            <w:vAlign w:val="bottom"/>
          </w:tcPr>
          <w:p>
            <w:pPr>
              <w:spacing w:after="0"/>
              <w:rPr>
                <w:sz w:val="14"/>
                <w:szCs w:val="14"/>
                <w:color w:val="auto"/>
              </w:rPr>
            </w:pPr>
          </w:p>
        </w:tc>
        <w:tc>
          <w:tcPr>
            <w:tcW w:w="940" w:type="dxa"/>
            <w:vAlign w:val="bottom"/>
          </w:tcPr>
          <w:p>
            <w:pPr>
              <w:jc w:val="right"/>
              <w:ind w:right="59"/>
              <w:spacing w:after="0" w:line="164" w:lineRule="exact"/>
              <w:rPr>
                <w:sz w:val="20"/>
                <w:szCs w:val="20"/>
                <w:color w:val="auto"/>
              </w:rPr>
            </w:pPr>
            <w:r>
              <w:rPr>
                <w:rFonts w:ascii="Arial" w:cs="Arial" w:eastAsia="Arial" w:hAnsi="Arial"/>
                <w:sz w:val="16"/>
                <w:szCs w:val="16"/>
                <w:color w:val="auto"/>
              </w:rPr>
              <w:t>692</w:t>
            </w:r>
          </w:p>
        </w:tc>
        <w:tc>
          <w:tcPr>
            <w:tcW w:w="640" w:type="dxa"/>
            <w:vAlign w:val="bottom"/>
          </w:tcPr>
          <w:p>
            <w:pPr>
              <w:spacing w:after="0"/>
              <w:rPr>
                <w:sz w:val="14"/>
                <w:szCs w:val="14"/>
                <w:color w:val="auto"/>
              </w:rPr>
            </w:pPr>
          </w:p>
        </w:tc>
        <w:tc>
          <w:tcPr>
            <w:tcW w:w="960" w:type="dxa"/>
            <w:vAlign w:val="bottom"/>
          </w:tcPr>
          <w:p>
            <w:pPr>
              <w:jc w:val="right"/>
              <w:ind w:right="59"/>
              <w:spacing w:after="0" w:line="164" w:lineRule="exact"/>
              <w:rPr>
                <w:sz w:val="20"/>
                <w:szCs w:val="20"/>
                <w:color w:val="auto"/>
              </w:rPr>
            </w:pPr>
            <w:r>
              <w:rPr>
                <w:rFonts w:ascii="Arial" w:cs="Arial" w:eastAsia="Arial" w:hAnsi="Arial"/>
                <w:sz w:val="16"/>
                <w:szCs w:val="16"/>
                <w:color w:val="auto"/>
              </w:rPr>
              <w:t>531</w:t>
            </w:r>
          </w:p>
        </w:tc>
        <w:tc>
          <w:tcPr>
            <w:tcW w:w="66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Arial" w:cs="Arial" w:eastAsia="Arial" w:hAnsi="Arial"/>
                <w:sz w:val="16"/>
                <w:szCs w:val="16"/>
                <w:color w:val="auto"/>
              </w:rPr>
              <w:t>550</w:t>
            </w: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Income tax expense</w:t>
            </w: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c>
          <w:tcPr>
            <w:tcW w:w="6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164"/>
        </w:trPr>
        <w:tc>
          <w:tcPr>
            <w:tcW w:w="6620" w:type="dxa"/>
            <w:vAlign w:val="bottom"/>
          </w:tcPr>
          <w:p>
            <w:pPr>
              <w:spacing w:after="0" w:line="164" w:lineRule="exact"/>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4"/>
                <w:szCs w:val="14"/>
                <w:color w:val="auto"/>
              </w:rPr>
            </w:pPr>
          </w:p>
        </w:tc>
        <w:tc>
          <w:tcPr>
            <w:tcW w:w="940" w:type="dxa"/>
            <w:vAlign w:val="bottom"/>
          </w:tcPr>
          <w:p>
            <w:pPr>
              <w:jc w:val="right"/>
              <w:ind w:right="59"/>
              <w:spacing w:after="0" w:line="164" w:lineRule="exact"/>
              <w:rPr>
                <w:sz w:val="20"/>
                <w:szCs w:val="20"/>
                <w:color w:val="auto"/>
              </w:rPr>
            </w:pPr>
            <w:r>
              <w:rPr>
                <w:rFonts w:ascii="Arial" w:cs="Arial" w:eastAsia="Arial" w:hAnsi="Arial"/>
                <w:sz w:val="16"/>
                <w:szCs w:val="16"/>
                <w:color w:val="auto"/>
              </w:rPr>
              <w:t>455</w:t>
            </w:r>
          </w:p>
        </w:tc>
        <w:tc>
          <w:tcPr>
            <w:tcW w:w="640" w:type="dxa"/>
            <w:vAlign w:val="bottom"/>
          </w:tcPr>
          <w:p>
            <w:pPr>
              <w:spacing w:after="0"/>
              <w:rPr>
                <w:sz w:val="14"/>
                <w:szCs w:val="14"/>
                <w:color w:val="auto"/>
              </w:rPr>
            </w:pPr>
          </w:p>
        </w:tc>
        <w:tc>
          <w:tcPr>
            <w:tcW w:w="960" w:type="dxa"/>
            <w:vAlign w:val="bottom"/>
          </w:tcPr>
          <w:p>
            <w:pPr>
              <w:jc w:val="right"/>
              <w:ind w:right="59"/>
              <w:spacing w:after="0" w:line="164" w:lineRule="exact"/>
              <w:rPr>
                <w:sz w:val="20"/>
                <w:szCs w:val="20"/>
                <w:color w:val="auto"/>
              </w:rPr>
            </w:pPr>
            <w:r>
              <w:rPr>
                <w:rFonts w:ascii="Arial" w:cs="Arial" w:eastAsia="Arial" w:hAnsi="Arial"/>
                <w:sz w:val="16"/>
                <w:szCs w:val="16"/>
                <w:color w:val="auto"/>
              </w:rPr>
              <w:t>358</w:t>
            </w:r>
          </w:p>
        </w:tc>
        <w:tc>
          <w:tcPr>
            <w:tcW w:w="66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Arial" w:cs="Arial" w:eastAsia="Arial" w:hAnsi="Arial"/>
                <w:sz w:val="16"/>
                <w:szCs w:val="16"/>
                <w:color w:val="auto"/>
              </w:rPr>
              <w:t>373</w:t>
            </w: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6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164"/>
        </w:trPr>
        <w:tc>
          <w:tcPr>
            <w:tcW w:w="6620" w:type="dxa"/>
            <w:vAlign w:val="bottom"/>
          </w:tcPr>
          <w:p>
            <w:pPr>
              <w:spacing w:after="0" w:line="164" w:lineRule="exact"/>
              <w:rPr>
                <w:sz w:val="20"/>
                <w:szCs w:val="20"/>
                <w:color w:val="auto"/>
              </w:rPr>
            </w:pPr>
            <w:r>
              <w:rPr>
                <w:rFonts w:ascii="Arial" w:cs="Arial" w:eastAsia="Arial" w:hAnsi="Arial"/>
                <w:sz w:val="16"/>
                <w:szCs w:val="16"/>
                <w:color w:val="auto"/>
              </w:rPr>
              <w:t>Earnings</w:t>
            </w:r>
          </w:p>
        </w:tc>
        <w:tc>
          <w:tcPr>
            <w:tcW w:w="740" w:type="dxa"/>
            <w:vAlign w:val="bottom"/>
          </w:tcPr>
          <w:p>
            <w:pPr>
              <w:spacing w:after="0"/>
              <w:rPr>
                <w:sz w:val="14"/>
                <w:szCs w:val="14"/>
                <w:color w:val="auto"/>
              </w:rPr>
            </w:pPr>
          </w:p>
        </w:tc>
        <w:tc>
          <w:tcPr>
            <w:tcW w:w="940" w:type="dxa"/>
            <w:vAlign w:val="bottom"/>
          </w:tcPr>
          <w:p>
            <w:pPr>
              <w:jc w:val="right"/>
              <w:ind w:right="59"/>
              <w:spacing w:after="0" w:line="164" w:lineRule="exact"/>
              <w:rPr>
                <w:sz w:val="20"/>
                <w:szCs w:val="20"/>
                <w:color w:val="auto"/>
              </w:rPr>
            </w:pPr>
            <w:r>
              <w:rPr>
                <w:rFonts w:ascii="Arial" w:cs="Arial" w:eastAsia="Arial" w:hAnsi="Arial"/>
                <w:sz w:val="16"/>
                <w:szCs w:val="16"/>
                <w:color w:val="auto"/>
              </w:rPr>
              <w:t>436</w:t>
            </w:r>
          </w:p>
        </w:tc>
        <w:tc>
          <w:tcPr>
            <w:tcW w:w="640" w:type="dxa"/>
            <w:vAlign w:val="bottom"/>
          </w:tcPr>
          <w:p>
            <w:pPr>
              <w:spacing w:after="0"/>
              <w:rPr>
                <w:sz w:val="14"/>
                <w:szCs w:val="14"/>
                <w:color w:val="auto"/>
              </w:rPr>
            </w:pPr>
          </w:p>
        </w:tc>
        <w:tc>
          <w:tcPr>
            <w:tcW w:w="960" w:type="dxa"/>
            <w:vAlign w:val="bottom"/>
          </w:tcPr>
          <w:p>
            <w:pPr>
              <w:jc w:val="right"/>
              <w:ind w:right="59"/>
              <w:spacing w:after="0" w:line="164" w:lineRule="exact"/>
              <w:rPr>
                <w:sz w:val="20"/>
                <w:szCs w:val="20"/>
                <w:color w:val="auto"/>
              </w:rPr>
            </w:pPr>
            <w:r>
              <w:rPr>
                <w:rFonts w:ascii="Arial" w:cs="Arial" w:eastAsia="Arial" w:hAnsi="Arial"/>
                <w:sz w:val="16"/>
                <w:szCs w:val="16"/>
                <w:color w:val="auto"/>
              </w:rPr>
              <w:t>374</w:t>
            </w:r>
          </w:p>
        </w:tc>
        <w:tc>
          <w:tcPr>
            <w:tcW w:w="66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Arial" w:cs="Arial" w:eastAsia="Arial" w:hAnsi="Arial"/>
                <w:sz w:val="16"/>
                <w:szCs w:val="16"/>
                <w:color w:val="auto"/>
              </w:rPr>
              <w:t>349</w:t>
            </w: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6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5"/>
        </w:trPr>
        <w:tc>
          <w:tcPr>
            <w:tcW w:w="6620" w:type="dxa"/>
            <w:vAlign w:val="bottom"/>
          </w:tcPr>
          <w:p>
            <w:pPr>
              <w:spacing w:after="0"/>
              <w:rPr>
                <w:sz w:val="20"/>
                <w:szCs w:val="20"/>
                <w:color w:val="auto"/>
              </w:rPr>
            </w:pPr>
            <w:r>
              <w:rPr>
                <w:rFonts w:ascii="Arial" w:cs="Arial" w:eastAsia="Arial" w:hAnsi="Arial"/>
                <w:sz w:val="16"/>
                <w:szCs w:val="16"/>
                <w:color w:val="auto"/>
              </w:rPr>
              <w:t>Earnings attributable to common shares</w:t>
            </w:r>
          </w:p>
        </w:tc>
        <w:tc>
          <w:tcPr>
            <w:tcW w:w="7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431</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369</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4"/>
                <w:szCs w:val="14"/>
                <w:color w:val="auto"/>
              </w:rPr>
            </w:pPr>
          </w:p>
        </w:tc>
        <w:tc>
          <w:tcPr>
            <w:tcW w:w="1300" w:type="dxa"/>
            <w:vAlign w:val="bottom"/>
          </w:tcPr>
          <w:p>
            <w:pPr>
              <w:jc w:val="center"/>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20" w:type="dxa"/>
            <w:vAlign w:val="bottom"/>
          </w:tcPr>
          <w:p>
            <w:pPr>
              <w:spacing w:after="0" w:line="164" w:lineRule="exact"/>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40" w:type="dxa"/>
            <w:vAlign w:val="bottom"/>
            <w:gridSpan w:val="2"/>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Accounts receivable – trade, net</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267</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Accounts receivable – other, net</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102</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Settlements receivable related to wildfire litigation</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34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795</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340"/>
        </w:trPr>
        <w:tc>
          <w:tcPr>
            <w:tcW w:w="84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Deferred taxes recoverable in rates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570</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191</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34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 arising from wildfire litigation costs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594</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160</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804</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340"/>
              <w:spacing w:after="0" w:line="176" w:lineRule="exact"/>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2,720</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340"/>
        </w:trPr>
        <w:tc>
          <w:tcPr>
            <w:tcW w:w="844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13,003</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11,247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6"/>
                <w:szCs w:val="16"/>
                <w:color w:val="auto"/>
              </w:rPr>
              <w:t>Property, plant and equipment, net ($494 and $516 at December 31, 2011</w:t>
            </w: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10,040</w:t>
            </w:r>
          </w:p>
        </w:tc>
        <w:tc>
          <w:tcPr>
            <w:tcW w:w="20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8,553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20" w:type="dxa"/>
            <w:vAlign w:val="bottom"/>
          </w:tcPr>
          <w:p>
            <w:pPr>
              <w:ind w:left="620"/>
              <w:spacing w:after="0" w:line="168" w:lineRule="exact"/>
              <w:rPr>
                <w:sz w:val="20"/>
                <w:szCs w:val="20"/>
                <w:color w:val="auto"/>
              </w:rPr>
            </w:pPr>
            <w:r>
              <w:rPr>
                <w:rFonts w:ascii="Arial" w:cs="Arial" w:eastAsia="Arial" w:hAnsi="Arial"/>
                <w:sz w:val="16"/>
                <w:szCs w:val="16"/>
                <w:color w:val="auto"/>
              </w:rPr>
              <w:t>and 2010, respectively, related to VIE)</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40" w:type="dxa"/>
            <w:vAlign w:val="bottom"/>
            <w:gridSpan w:val="2"/>
          </w:tcPr>
          <w:p>
            <w:pPr>
              <w:spacing w:after="0" w:line="176" w:lineRule="exact"/>
              <w:rPr>
                <w:sz w:val="20"/>
                <w:szCs w:val="20"/>
                <w:color w:val="auto"/>
              </w:rPr>
            </w:pPr>
            <w:r>
              <w:rPr>
                <w:rFonts w:ascii="Arial" w:cs="Arial" w:eastAsia="Arial" w:hAnsi="Arial"/>
                <w:sz w:val="16"/>
                <w:szCs w:val="16"/>
                <w:color w:val="auto"/>
              </w:rPr>
              <w:t>Total assets</w:t>
            </w:r>
          </w:p>
        </w:tc>
        <w:tc>
          <w:tcPr>
            <w:tcW w:w="20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13,555</w:t>
            </w: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12,077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2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SAN DIEGO GAS &amp; ELECTRIC COMPANY</w:t>
            </w:r>
          </w:p>
        </w:tc>
        <w:tc>
          <w:tcPr>
            <w:tcW w:w="200" w:type="dxa"/>
            <w:vAlign w:val="bottom"/>
            <w:shd w:val="clear" w:color="auto" w:fill="C0C0C0"/>
          </w:tcPr>
          <w:p>
            <w:pPr>
              <w:spacing w:after="0"/>
              <w:rPr>
                <w:sz w:val="11"/>
                <w:szCs w:val="11"/>
                <w:color w:val="auto"/>
              </w:rPr>
            </w:pPr>
          </w:p>
        </w:tc>
        <w:tc>
          <w:tcPr>
            <w:tcW w:w="128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130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3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6"/>
                <w:szCs w:val="16"/>
                <w:color w:val="auto"/>
              </w:rPr>
            </w:pPr>
          </w:p>
        </w:tc>
        <w:tc>
          <w:tcPr>
            <w:tcW w:w="1300" w:type="dxa"/>
            <w:vAlign w:val="bottom"/>
          </w:tcPr>
          <w:p>
            <w:pPr>
              <w:jc w:val="center"/>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20" w:type="dxa"/>
            <w:vAlign w:val="bottom"/>
          </w:tcPr>
          <w:p>
            <w:pPr>
              <w:spacing w:after="0" w:line="164" w:lineRule="exact"/>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00" w:type="dxa"/>
            <w:vAlign w:val="bottom"/>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Due to unconsolidated affiliate</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Reserve for wildfire litigation</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340"/>
              <w:spacing w:after="0" w:line="176"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1,436</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6"/>
                <w:szCs w:val="16"/>
                <w:color w:val="auto"/>
              </w:rPr>
              <w:t>Long-term debt ($345 and $355 at December 31, 2011 and 2010, respectively,</w:t>
            </w: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4,058</w:t>
            </w:r>
          </w:p>
        </w:tc>
        <w:tc>
          <w:tcPr>
            <w:tcW w:w="20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20" w:type="dxa"/>
            <w:vAlign w:val="bottom"/>
          </w:tcPr>
          <w:p>
            <w:pPr>
              <w:ind w:left="160"/>
              <w:spacing w:after="0" w:line="168" w:lineRule="exact"/>
              <w:rPr>
                <w:sz w:val="20"/>
                <w:szCs w:val="20"/>
                <w:color w:val="auto"/>
              </w:rPr>
            </w:pPr>
            <w:r>
              <w:rPr>
                <w:rFonts w:ascii="Arial" w:cs="Arial" w:eastAsia="Arial" w:hAnsi="Arial"/>
                <w:sz w:val="16"/>
                <w:szCs w:val="16"/>
                <w:color w:val="auto"/>
              </w:rPr>
              <w:t>related to VIE)</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844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342</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1,167</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1,462</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693</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243</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34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4,141</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183"/>
        </w:trPr>
        <w:tc>
          <w:tcPr>
            <w:tcW w:w="8440" w:type="dxa"/>
            <w:vAlign w:val="bottom"/>
            <w:gridSpan w:val="2"/>
          </w:tcPr>
          <w:p>
            <w:pPr>
              <w:spacing w:after="0" w:line="176" w:lineRule="exact"/>
              <w:rPr>
                <w:sz w:val="20"/>
                <w:szCs w:val="20"/>
                <w:color w:val="auto"/>
              </w:rPr>
            </w:pPr>
            <w:r>
              <w:rPr>
                <w:rFonts w:ascii="Arial" w:cs="Arial" w:eastAsia="Arial" w:hAnsi="Arial"/>
                <w:sz w:val="16"/>
                <w:szCs w:val="16"/>
                <w:color w:val="auto"/>
              </w:rPr>
              <w:t>Contingently redeemable preferred stock</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2"/>
        </w:trPr>
        <w:tc>
          <w:tcPr>
            <w:tcW w:w="73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Common stock (255 million shares authorized; 117 million shares outstanding;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no par value)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1,338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1,138</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2,411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1,980</w:t>
            </w:r>
          </w:p>
        </w:tc>
        <w:tc>
          <w:tcPr>
            <w:tcW w:w="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164"/>
        </w:trPr>
        <w:tc>
          <w:tcPr>
            <w:tcW w:w="20" w:type="dxa"/>
            <w:vAlign w:val="bottom"/>
          </w:tcPr>
          <w:p>
            <w:pPr>
              <w:spacing w:after="0"/>
              <w:rPr>
                <w:sz w:val="14"/>
                <w:szCs w:val="14"/>
                <w:color w:val="auto"/>
              </w:rPr>
            </w:pPr>
          </w:p>
        </w:tc>
        <w:tc>
          <w:tcPr>
            <w:tcW w:w="7340" w:type="dxa"/>
            <w:vAlign w:val="bottom"/>
          </w:tcPr>
          <w:p>
            <w:pPr>
              <w:ind w:left="340"/>
              <w:spacing w:after="0" w:line="164" w:lineRule="exact"/>
              <w:rPr>
                <w:sz w:val="20"/>
                <w:szCs w:val="20"/>
                <w:color w:val="auto"/>
              </w:rPr>
            </w:pPr>
            <w:r>
              <w:rPr>
                <w:rFonts w:ascii="Arial" w:cs="Arial" w:eastAsia="Arial" w:hAnsi="Arial"/>
                <w:sz w:val="16"/>
                <w:szCs w:val="16"/>
                <w:color w:val="auto"/>
              </w:rPr>
              <w:t>Total SDG&amp;E shareholder’s equity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39"/>
              <w:spacing w:after="0" w:line="164" w:lineRule="exact"/>
              <w:rPr>
                <w:sz w:val="20"/>
                <w:szCs w:val="20"/>
                <w:color w:val="auto"/>
              </w:rPr>
            </w:pPr>
            <w:r>
              <w:rPr>
                <w:rFonts w:ascii="Arial" w:cs="Arial" w:eastAsia="Arial" w:hAnsi="Arial"/>
                <w:sz w:val="16"/>
                <w:szCs w:val="16"/>
                <w:color w:val="auto"/>
              </w:rPr>
              <w:t>3,739</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3,108</w:t>
            </w: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102</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Total equity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3,841</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3,221</w:t>
            </w:r>
          </w:p>
        </w:tc>
        <w:tc>
          <w:tcPr>
            <w:tcW w:w="20" w:type="dxa"/>
            <w:vAlign w:val="bottom"/>
          </w:tcPr>
          <w:p>
            <w:pPr>
              <w:spacing w:after="0"/>
              <w:rPr>
                <w:sz w:val="15"/>
                <w:szCs w:val="15"/>
                <w:color w:val="auto"/>
              </w:rPr>
            </w:pPr>
          </w:p>
        </w:tc>
      </w:tr>
      <w:tr>
        <w:trPr>
          <w:trHeight w:val="183"/>
        </w:trPr>
        <w:tc>
          <w:tcPr>
            <w:tcW w:w="7360" w:type="dxa"/>
            <w:vAlign w:val="bottom"/>
            <w:gridSpan w:val="2"/>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13,555 $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12,077</w:t>
            </w: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734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462"/>
        </w:trPr>
        <w:tc>
          <w:tcPr>
            <w:tcW w:w="20" w:type="dxa"/>
            <w:vAlign w:val="bottom"/>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734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SAN DIEGO GAS &amp; ELECTRIC COMPANY</w:t>
            </w:r>
          </w:p>
        </w:tc>
        <w:tc>
          <w:tcPr>
            <w:tcW w:w="42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560" w:type="dxa"/>
            <w:vAlign w:val="bottom"/>
            <w:shd w:val="clear" w:color="auto" w:fill="C0C0C0"/>
          </w:tcPr>
          <w:p>
            <w:pPr>
              <w:spacing w:after="0"/>
              <w:rPr>
                <w:sz w:val="11"/>
                <w:szCs w:val="11"/>
                <w:color w:val="auto"/>
              </w:rPr>
            </w:pPr>
          </w:p>
        </w:tc>
        <w:tc>
          <w:tcPr>
            <w:tcW w:w="340" w:type="dxa"/>
            <w:vAlign w:val="bottom"/>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220" w:type="dxa"/>
            <w:vAlign w:val="bottom"/>
            <w:shd w:val="clear" w:color="auto" w:fill="C0C0C0"/>
          </w:tcPr>
          <w:p>
            <w:pPr>
              <w:spacing w:after="0"/>
              <w:rPr>
                <w:sz w:val="11"/>
                <w:szCs w:val="11"/>
                <w:color w:val="auto"/>
              </w:rPr>
            </w:pPr>
          </w:p>
        </w:tc>
        <w:tc>
          <w:tcPr>
            <w:tcW w:w="920" w:type="dxa"/>
            <w:vAlign w:val="bottom"/>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360" w:type="dxa"/>
            <w:vAlign w:val="bottom"/>
            <w:shd w:val="clear" w:color="auto" w:fill="C0C0C0"/>
          </w:tcPr>
          <w:p>
            <w:pPr>
              <w:spacing w:after="0"/>
              <w:rPr>
                <w:sz w:val="11"/>
                <w:szCs w:val="11"/>
                <w:color w:val="auto"/>
              </w:rPr>
            </w:pPr>
          </w:p>
        </w:tc>
        <w:tc>
          <w:tcPr>
            <w:tcW w:w="88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734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4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734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88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color w:val="auto"/>
              </w:rPr>
              <w:t>Years ended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7340" w:type="dxa"/>
            <w:vAlign w:val="bottom"/>
          </w:tcPr>
          <w:p>
            <w:pPr>
              <w:spacing w:after="0" w:line="164" w:lineRule="exact"/>
              <w:rPr>
                <w:sz w:val="20"/>
                <w:szCs w:val="20"/>
                <w:color w:val="auto"/>
              </w:rPr>
            </w:pPr>
            <w:r>
              <w:rPr>
                <w:rFonts w:ascii="Arial" w:cs="Arial" w:eastAsia="Arial" w:hAnsi="Arial"/>
                <w:sz w:val="16"/>
                <w:szCs w:val="16"/>
                <w:color w:val="auto"/>
              </w:rPr>
              <w:t>CASH FLOWS FROM OPERATING ACTIVITIES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Net income</w:t>
            </w: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455</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358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373</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Adjustments to reconcile net income to net cash provided by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operating activities: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520"/>
              <w:spacing w:after="0" w:line="176" w:lineRule="exact"/>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422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381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329</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52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290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52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(41)</w:t>
            </w:r>
          </w:p>
        </w:tc>
      </w:tr>
      <w:tr>
        <w:trPr>
          <w:trHeight w:val="176"/>
        </w:trPr>
        <w:tc>
          <w:tcPr>
            <w:tcW w:w="20" w:type="dxa"/>
            <w:vAlign w:val="bottom"/>
          </w:tcPr>
          <w:p>
            <w:pPr>
              <w:spacing w:after="0"/>
              <w:rPr>
                <w:sz w:val="15"/>
                <w:szCs w:val="15"/>
                <w:color w:val="auto"/>
              </w:rPr>
            </w:pPr>
          </w:p>
        </w:tc>
        <w:tc>
          <w:tcPr>
            <w:tcW w:w="7340" w:type="dxa"/>
            <w:vAlign w:val="bottom"/>
          </w:tcPr>
          <w:p>
            <w:pPr>
              <w:ind w:left="520"/>
              <w:spacing w:after="0" w:line="176" w:lineRule="exact"/>
              <w:rPr>
                <w:sz w:val="20"/>
                <w:szCs w:val="20"/>
                <w:color w:val="auto"/>
              </w:rPr>
            </w:pPr>
            <w:r>
              <w:rPr>
                <w:rFonts w:ascii="Arial" w:cs="Arial" w:eastAsia="Arial" w:hAnsi="Arial"/>
                <w:sz w:val="16"/>
                <w:szCs w:val="16"/>
                <w:color w:val="auto"/>
              </w:rPr>
              <w:t>Other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(21)</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Changes in other assets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Changes in other liabilities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(53)</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Changes in working capital components: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(53)</w:t>
            </w: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Due to/from affiliates, net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Inventories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Other current assets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309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343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660</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Income taxes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(44)</w:t>
            </w: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Regulatory balancing accounts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Interest payable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(639)</w:t>
            </w:r>
          </w:p>
        </w:tc>
      </w:tr>
      <w:tr>
        <w:trPr>
          <w:trHeight w:val="183"/>
        </w:trPr>
        <w:tc>
          <w:tcPr>
            <w:tcW w:w="20" w:type="dxa"/>
            <w:vAlign w:val="bottom"/>
          </w:tcPr>
          <w:p>
            <w:pPr>
              <w:spacing w:after="0"/>
              <w:rPr>
                <w:sz w:val="15"/>
                <w:szCs w:val="15"/>
                <w:color w:val="auto"/>
              </w:rPr>
            </w:pPr>
          </w:p>
        </w:tc>
        <w:tc>
          <w:tcPr>
            <w:tcW w:w="7340" w:type="dxa"/>
            <w:vAlign w:val="bottom"/>
          </w:tcPr>
          <w:p>
            <w:pPr>
              <w:ind w:left="52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882</w:t>
            </w:r>
          </w:p>
        </w:tc>
        <w:tc>
          <w:tcPr>
            <w:tcW w:w="1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729</w:t>
            </w:r>
          </w:p>
        </w:tc>
        <w:tc>
          <w:tcPr>
            <w:tcW w:w="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641</w:t>
            </w:r>
          </w:p>
        </w:tc>
        <w:tc>
          <w:tcPr>
            <w:tcW w:w="20" w:type="dxa"/>
            <w:vAlign w:val="bottom"/>
          </w:tcPr>
          <w:p>
            <w:pPr>
              <w:spacing w:after="0"/>
              <w:rPr>
                <w:sz w:val="15"/>
                <w:szCs w:val="15"/>
                <w:color w:val="auto"/>
              </w:rPr>
            </w:pPr>
          </w:p>
        </w:tc>
      </w:tr>
      <w:tr>
        <w:trPr>
          <w:trHeight w:val="164"/>
        </w:trPr>
        <w:tc>
          <w:tcPr>
            <w:tcW w:w="7360" w:type="dxa"/>
            <w:vAlign w:val="bottom"/>
            <w:gridSpan w:val="2"/>
          </w:tcPr>
          <w:p>
            <w:pPr>
              <w:spacing w:after="0" w:line="164" w:lineRule="exact"/>
              <w:rPr>
                <w:sz w:val="20"/>
                <w:szCs w:val="20"/>
                <w:color w:val="auto"/>
              </w:rPr>
            </w:pPr>
            <w:r>
              <w:rPr>
                <w:rFonts w:ascii="Arial" w:cs="Arial" w:eastAsia="Arial" w:hAnsi="Arial"/>
                <w:sz w:val="16"/>
                <w:szCs w:val="16"/>
                <w:color w:val="auto"/>
              </w:rPr>
              <w:t>CASH FLOWS FROM INVESTING ACTIVITIES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(1,831)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(1,210)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(955)</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Expenditures for short-term investments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(152)</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Proceeds from sale of short-term investments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176</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Purchases of nuclear decommissioning trust assets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(748)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(362)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(237)</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Proceeds from sales by nuclear decommissioning trusts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741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352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230</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Decrease in loans to affiliates, net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Proceeds from sale of assets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Decrease in restricted cash</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Increase in restricted cash</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(447)</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(45)</w:t>
            </w:r>
          </w:p>
        </w:tc>
      </w:tr>
      <w:tr>
        <w:trPr>
          <w:trHeight w:val="183"/>
        </w:trPr>
        <w:tc>
          <w:tcPr>
            <w:tcW w:w="20" w:type="dxa"/>
            <w:vAlign w:val="bottom"/>
          </w:tcPr>
          <w:p>
            <w:pPr>
              <w:spacing w:after="0"/>
              <w:rPr>
                <w:sz w:val="15"/>
                <w:szCs w:val="15"/>
                <w:color w:val="auto"/>
              </w:rPr>
            </w:pPr>
          </w:p>
        </w:tc>
        <w:tc>
          <w:tcPr>
            <w:tcW w:w="7340" w:type="dxa"/>
            <w:vAlign w:val="bottom"/>
          </w:tcPr>
          <w:p>
            <w:pPr>
              <w:ind w:left="520"/>
              <w:spacing w:after="0" w:line="176" w:lineRule="exact"/>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(1,764)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(1,314)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(925)</w:t>
            </w:r>
          </w:p>
        </w:tc>
      </w:tr>
      <w:tr>
        <w:trPr>
          <w:trHeight w:val="164"/>
        </w:trPr>
        <w:tc>
          <w:tcPr>
            <w:tcW w:w="7360" w:type="dxa"/>
            <w:vAlign w:val="bottom"/>
            <w:gridSpan w:val="2"/>
          </w:tcPr>
          <w:p>
            <w:pPr>
              <w:spacing w:after="0" w:line="164" w:lineRule="exact"/>
              <w:rPr>
                <w:sz w:val="20"/>
                <w:szCs w:val="20"/>
                <w:color w:val="auto"/>
              </w:rPr>
            </w:pPr>
            <w:r>
              <w:rPr>
                <w:rFonts w:ascii="Arial" w:cs="Arial" w:eastAsia="Arial" w:hAnsi="Arial"/>
                <w:sz w:val="16"/>
                <w:szCs w:val="16"/>
                <w:color w:val="auto"/>
              </w:rPr>
              <w:t>CASH FLOWS FROM FINANCING ACTIVITIES</w:t>
            </w: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Capital contribution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200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Common dividends paid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(150)</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Preferred dividends paid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Issuances of long-term debt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598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744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439</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Payments on long-term debt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w:t>
            </w: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Increase in short-term debt, net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Capital contribution received by Otay Mesa VIE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Capital distributions made by Otay Mesa VIE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w:t>
            </w:r>
          </w:p>
        </w:tc>
      </w:tr>
      <w:tr>
        <w:trPr>
          <w:trHeight w:val="194"/>
        </w:trPr>
        <w:tc>
          <w:tcPr>
            <w:tcW w:w="2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Other</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183"/>
        </w:trPr>
        <w:tc>
          <w:tcPr>
            <w:tcW w:w="20" w:type="dxa"/>
            <w:vAlign w:val="bottom"/>
          </w:tcPr>
          <w:p>
            <w:pPr>
              <w:spacing w:after="0"/>
              <w:rPr>
                <w:sz w:val="15"/>
                <w:szCs w:val="15"/>
                <w:color w:val="auto"/>
              </w:rPr>
            </w:pPr>
          </w:p>
        </w:tc>
        <w:tc>
          <w:tcPr>
            <w:tcW w:w="7340" w:type="dxa"/>
            <w:vAlign w:val="bottom"/>
          </w:tcPr>
          <w:p>
            <w:pPr>
              <w:ind w:left="440"/>
              <w:spacing w:after="0" w:line="176" w:lineRule="exact"/>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784</w:t>
            </w:r>
          </w:p>
        </w:tc>
        <w:tc>
          <w:tcPr>
            <w:tcW w:w="1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699</w:t>
            </w:r>
          </w:p>
        </w:tc>
        <w:tc>
          <w:tcPr>
            <w:tcW w:w="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278</w:t>
            </w:r>
          </w:p>
        </w:tc>
        <w:tc>
          <w:tcPr>
            <w:tcW w:w="20" w:type="dxa"/>
            <w:vAlign w:val="bottom"/>
          </w:tcPr>
          <w:p>
            <w:pPr>
              <w:spacing w:after="0"/>
              <w:rPr>
                <w:sz w:val="15"/>
                <w:szCs w:val="15"/>
                <w:color w:val="auto"/>
              </w:rPr>
            </w:pPr>
          </w:p>
        </w:tc>
      </w:tr>
      <w:tr>
        <w:trPr>
          <w:trHeight w:val="164"/>
        </w:trPr>
        <w:tc>
          <w:tcPr>
            <w:tcW w:w="7360" w:type="dxa"/>
            <w:vAlign w:val="bottom"/>
            <w:gridSpan w:val="2"/>
          </w:tcPr>
          <w:p>
            <w:pPr>
              <w:spacing w:after="0" w:line="164" w:lineRule="exact"/>
              <w:rPr>
                <w:sz w:val="20"/>
                <w:szCs w:val="20"/>
                <w:color w:val="auto"/>
              </w:rPr>
            </w:pPr>
            <w:r>
              <w:rPr>
                <w:rFonts w:ascii="Arial" w:cs="Arial" w:eastAsia="Arial" w:hAnsi="Arial"/>
                <w:sz w:val="16"/>
                <w:szCs w:val="16"/>
                <w:color w:val="auto"/>
              </w:rPr>
              <w:t>(Decrease) increase in cash and cash equivalents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(98)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114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4"/>
                <w:szCs w:val="14"/>
                <w:color w:val="auto"/>
              </w:rPr>
            </w:pPr>
          </w:p>
        </w:tc>
      </w:tr>
      <w:tr>
        <w:trPr>
          <w:trHeight w:val="194"/>
        </w:trPr>
        <w:tc>
          <w:tcPr>
            <w:tcW w:w="7360" w:type="dxa"/>
            <w:vAlign w:val="bottom"/>
            <w:gridSpan w:val="2"/>
          </w:tcPr>
          <w:p>
            <w:pPr>
              <w:spacing w:after="0"/>
              <w:rPr>
                <w:sz w:val="20"/>
                <w:szCs w:val="20"/>
                <w:color w:val="auto"/>
              </w:rPr>
            </w:pPr>
            <w:r>
              <w:rPr>
                <w:rFonts w:ascii="Arial" w:cs="Arial" w:eastAsia="Arial" w:hAnsi="Arial"/>
                <w:sz w:val="16"/>
                <w:szCs w:val="16"/>
                <w:color w:val="auto"/>
              </w:rPr>
              <w:t>Cash and cash equivalents, January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6"/>
                <w:szCs w:val="16"/>
                <w:color w:val="auto"/>
              </w:rPr>
            </w:pPr>
          </w:p>
        </w:tc>
      </w:tr>
      <w:tr>
        <w:trPr>
          <w:trHeight w:val="183"/>
        </w:trPr>
        <w:tc>
          <w:tcPr>
            <w:tcW w:w="7360" w:type="dxa"/>
            <w:vAlign w:val="bottom"/>
            <w:gridSpan w:val="2"/>
          </w:tcPr>
          <w:p>
            <w:pPr>
              <w:spacing w:after="0" w:line="176" w:lineRule="exact"/>
              <w:rPr>
                <w:sz w:val="20"/>
                <w:szCs w:val="20"/>
                <w:color w:val="auto"/>
              </w:rPr>
            </w:pPr>
            <w:r>
              <w:rPr>
                <w:rFonts w:ascii="Arial" w:cs="Arial" w:eastAsia="Arial" w:hAnsi="Arial"/>
                <w:sz w:val="16"/>
                <w:szCs w:val="16"/>
                <w:color w:val="auto"/>
              </w:rPr>
              <w:t>Cash and cash equivalents, December 31</w:t>
            </w: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29</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734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462"/>
        </w:trPr>
        <w:tc>
          <w:tcPr>
            <w:tcW w:w="20" w:type="dxa"/>
            <w:vAlign w:val="bottom"/>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734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SAN DIEGO GAS &amp; ELECTRIC COMPANY</w:t>
            </w:r>
          </w:p>
        </w:tc>
        <w:tc>
          <w:tcPr>
            <w:tcW w:w="42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560" w:type="dxa"/>
            <w:vAlign w:val="bottom"/>
            <w:shd w:val="clear" w:color="auto" w:fill="C0C0C0"/>
          </w:tcPr>
          <w:p>
            <w:pPr>
              <w:spacing w:after="0"/>
              <w:rPr>
                <w:sz w:val="11"/>
                <w:szCs w:val="11"/>
                <w:color w:val="auto"/>
              </w:rPr>
            </w:pPr>
          </w:p>
        </w:tc>
        <w:tc>
          <w:tcPr>
            <w:tcW w:w="340" w:type="dxa"/>
            <w:vAlign w:val="bottom"/>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220" w:type="dxa"/>
            <w:vAlign w:val="bottom"/>
            <w:shd w:val="clear" w:color="auto" w:fill="C0C0C0"/>
          </w:tcPr>
          <w:p>
            <w:pPr>
              <w:spacing w:after="0"/>
              <w:rPr>
                <w:sz w:val="11"/>
                <w:szCs w:val="11"/>
                <w:color w:val="auto"/>
              </w:rPr>
            </w:pPr>
          </w:p>
        </w:tc>
        <w:tc>
          <w:tcPr>
            <w:tcW w:w="920" w:type="dxa"/>
            <w:vAlign w:val="bottom"/>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360" w:type="dxa"/>
            <w:vAlign w:val="bottom"/>
            <w:shd w:val="clear" w:color="auto" w:fill="C0C0C0"/>
          </w:tcPr>
          <w:p>
            <w:pPr>
              <w:spacing w:after="0"/>
              <w:rPr>
                <w:sz w:val="11"/>
                <w:szCs w:val="11"/>
                <w:color w:val="auto"/>
              </w:rPr>
            </w:pPr>
          </w:p>
        </w:tc>
        <w:tc>
          <w:tcPr>
            <w:tcW w:w="88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734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CONSOLIDATED STATEMENTS OF CASH FLOWS (CONTINUED)</w:t>
            </w:r>
          </w:p>
        </w:tc>
        <w:tc>
          <w:tcPr>
            <w:tcW w:w="4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734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88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Years ended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7340" w:type="dxa"/>
            <w:vAlign w:val="bottom"/>
          </w:tcPr>
          <w:p>
            <w:pPr>
              <w:spacing w:after="0" w:line="164" w:lineRule="exact"/>
              <w:rPr>
                <w:sz w:val="20"/>
                <w:szCs w:val="20"/>
                <w:color w:val="auto"/>
              </w:rPr>
            </w:pPr>
            <w:r>
              <w:rPr>
                <w:rFonts w:ascii="Arial" w:cs="Arial" w:eastAsia="Arial" w:hAnsi="Arial"/>
                <w:sz w:val="16"/>
                <w:szCs w:val="16"/>
                <w:color w:val="auto"/>
              </w:rPr>
              <w:t>SUPPLEMENTAL DISCLOSURE OF CASH FLOW INFORMATION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5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0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131</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120</w:t>
            </w:r>
          </w:p>
        </w:tc>
        <w:tc>
          <w:tcPr>
            <w:tcW w:w="360" w:type="dxa"/>
            <w:vAlign w:val="bottom"/>
          </w:tcPr>
          <w:p>
            <w:pPr>
              <w:jc w:val="right"/>
              <w:ind w:right="179"/>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Income tax payments, net of refunds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6"/>
                <w:szCs w:val="16"/>
                <w:color w:val="auto"/>
              </w:rPr>
            </w:pPr>
          </w:p>
        </w:tc>
      </w:tr>
      <w:tr>
        <w:trPr>
          <w:trHeight w:val="332"/>
        </w:trPr>
        <w:tc>
          <w:tcPr>
            <w:tcW w:w="7360" w:type="dxa"/>
            <w:vAlign w:val="bottom"/>
            <w:gridSpan w:val="2"/>
          </w:tcPr>
          <w:p>
            <w:pPr>
              <w:spacing w:after="0"/>
              <w:rPr>
                <w:sz w:val="20"/>
                <w:szCs w:val="20"/>
                <w:color w:val="auto"/>
              </w:rPr>
            </w:pPr>
            <w:r>
              <w:rPr>
                <w:rFonts w:ascii="Arial" w:cs="Arial" w:eastAsia="Arial" w:hAnsi="Arial"/>
                <w:sz w:val="16"/>
                <w:szCs w:val="16"/>
                <w:color w:val="auto"/>
              </w:rPr>
              <w:t>SUPPLEMENTAL DISCLOSURE OF NONCASH ACTIVITIES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Increase in capital lease obligations for investments in property, plant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340"/>
              <w:spacing w:after="0" w:line="176" w:lineRule="exact"/>
              <w:rPr>
                <w:sz w:val="20"/>
                <w:szCs w:val="20"/>
                <w:color w:val="auto"/>
              </w:rPr>
            </w:pPr>
            <w:r>
              <w:rPr>
                <w:rFonts w:ascii="Arial" w:cs="Arial" w:eastAsia="Arial" w:hAnsi="Arial"/>
                <w:sz w:val="16"/>
                <w:szCs w:val="16"/>
                <w:color w:val="auto"/>
              </w:rPr>
              <w:t>and equipment</w:t>
            </w:r>
          </w:p>
        </w:tc>
        <w:tc>
          <w:tcPr>
            <w:tcW w:w="5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740" w:type="dxa"/>
            <w:vAlign w:val="bottom"/>
            <w:gridSpan w:val="3"/>
          </w:tcPr>
          <w:p>
            <w:pPr>
              <w:jc w:val="right"/>
              <w:ind w:right="39"/>
              <w:spacing w:after="0" w:line="176" w:lineRule="exact"/>
              <w:rPr>
                <w:sz w:val="20"/>
                <w:szCs w:val="20"/>
                <w:color w:val="auto"/>
              </w:rPr>
            </w:pPr>
            <w:r>
              <w:rPr>
                <w:rFonts w:ascii="Arial" w:cs="Arial" w:eastAsia="Arial" w:hAnsi="Arial"/>
                <w:sz w:val="16"/>
                <w:szCs w:val="16"/>
                <w:color w:val="auto"/>
              </w:rPr>
              <w:t>― $</w:t>
            </w: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188</w:t>
            </w:r>
          </w:p>
        </w:tc>
        <w:tc>
          <w:tcPr>
            <w:tcW w:w="360" w:type="dxa"/>
            <w:vAlign w:val="bottom"/>
          </w:tcPr>
          <w:p>
            <w:pPr>
              <w:jc w:val="right"/>
              <w:ind w:right="179"/>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6"/>
                <w:szCs w:val="16"/>
                <w:color w:val="auto"/>
              </w:rPr>
              <w:t>Accrued capital expenditures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187</w:t>
            </w:r>
          </w:p>
        </w:tc>
        <w:tc>
          <w:tcPr>
            <w:tcW w:w="220" w:type="dxa"/>
            <w:vAlign w:val="bottom"/>
          </w:tcPr>
          <w:p>
            <w:pPr>
              <w:spacing w:after="0"/>
              <w:rPr>
                <w:sz w:val="15"/>
                <w:szCs w:val="15"/>
                <w:color w:val="auto"/>
              </w:rPr>
            </w:pPr>
          </w:p>
        </w:tc>
        <w:tc>
          <w:tcPr>
            <w:tcW w:w="10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173</w:t>
            </w: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157</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Dividends declared but not paid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4460"/>
        <w:spacing w:after="0" w:line="237" w:lineRule="auto"/>
        <w:rPr>
          <w:sz w:val="20"/>
          <w:szCs w:val="20"/>
          <w:color w:val="auto"/>
        </w:rPr>
      </w:pPr>
      <w:r>
        <w:rPr>
          <w:rFonts w:ascii="Arial" w:cs="Arial" w:eastAsia="Arial" w:hAnsi="Arial"/>
          <w:sz w:val="16"/>
          <w:szCs w:val="16"/>
          <w:b w:val="1"/>
          <w:bCs w:val="1"/>
          <w:color w:val="auto"/>
        </w:rPr>
        <w:t xml:space="preserve">CONSOLIDATED STATEMENTS OF COMPREHENSIVE INCOME AND CHANGES IN EQUITY </w:t>
      </w:r>
      <w:r>
        <w:rPr>
          <w:rFonts w:ascii="Arial" w:cs="Arial" w:eastAsia="Arial" w:hAnsi="Arial"/>
          <w:sz w:val="14"/>
          <w:szCs w:val="14"/>
          <w:i w:val="1"/>
          <w:iCs w:val="1"/>
          <w:color w:val="auto"/>
        </w:rPr>
        <w:t>(Dollars in millions)</w:t>
      </w:r>
    </w:p>
    <w:p>
      <w:pPr>
        <w:sectPr>
          <w:pgSz w:w="11900" w:h="16838" w:orient="portrait"/>
          <w:cols w:equalWidth="0" w:num="1">
            <w:col w:w="11420"/>
          </w:cols>
          <w:pgMar w:left="240" w:top="303" w:right="239" w:bottom="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rPr>
              <w:t>Years ended December 2011, 2010 and 2009</w:t>
            </w: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SDG&amp;E</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Common</w:t>
            </w:r>
          </w:p>
        </w:tc>
        <w:tc>
          <w:tcPr>
            <w:tcW w:w="20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Retained</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5"/>
                <w:szCs w:val="15"/>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Shareholder’s</w:t>
            </w:r>
          </w:p>
        </w:tc>
        <w:tc>
          <w:tcPr>
            <w:tcW w:w="1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Noncontrolling</w:t>
            </w:r>
          </w:p>
        </w:tc>
        <w:tc>
          <w:tcPr>
            <w:tcW w:w="160" w:type="dxa"/>
            <w:vAlign w:val="bottom"/>
          </w:tcPr>
          <w:p>
            <w:pPr>
              <w:spacing w:after="0"/>
              <w:rPr>
                <w:sz w:val="15"/>
                <w:szCs w:val="15"/>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Stock</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Earnings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Income (Loss)</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Interests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740" w:type="dxa"/>
            <w:vAlign w:val="bottom"/>
          </w:tcPr>
          <w:p>
            <w:pPr>
              <w:spacing w:after="0" w:line="142" w:lineRule="exact"/>
              <w:rPr>
                <w:sz w:val="20"/>
                <w:szCs w:val="20"/>
                <w:color w:val="auto"/>
              </w:rPr>
            </w:pPr>
            <w:r>
              <w:rPr>
                <w:rFonts w:ascii="Arial" w:cs="Arial" w:eastAsia="Arial" w:hAnsi="Arial"/>
                <w:sz w:val="14"/>
                <w:szCs w:val="14"/>
                <w:color w:val="auto"/>
              </w:rPr>
              <w:t>Balance at December 31, 2008</w:t>
            </w: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1,138</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42" w:lineRule="exact"/>
              <w:rPr>
                <w:sz w:val="20"/>
                <w:szCs w:val="20"/>
                <w:color w:val="auto"/>
              </w:rPr>
            </w:pPr>
            <w:r>
              <w:rPr>
                <w:rFonts w:ascii="Arial" w:cs="Arial" w:eastAsia="Arial" w:hAnsi="Arial"/>
                <w:sz w:val="14"/>
                <w:szCs w:val="14"/>
                <w:color w:val="auto"/>
              </w:rPr>
              <w:t>1,417</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4"/>
                <w:szCs w:val="14"/>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2,542</w:t>
            </w:r>
          </w:p>
        </w:tc>
        <w:tc>
          <w:tcPr>
            <w:tcW w:w="80" w:type="dxa"/>
            <w:vAlign w:val="bottom"/>
          </w:tcPr>
          <w:p>
            <w:pPr>
              <w:spacing w:after="0"/>
              <w:rPr>
                <w:sz w:val="14"/>
                <w:szCs w:val="14"/>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4"/>
                <w:szCs w:val="14"/>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2,670</w:t>
            </w:r>
          </w:p>
        </w:tc>
        <w:tc>
          <w:tcPr>
            <w:tcW w:w="0" w:type="dxa"/>
            <w:vAlign w:val="bottom"/>
          </w:tcPr>
          <w:p>
            <w:pPr>
              <w:spacing w:after="0"/>
              <w:rPr>
                <w:sz w:val="1"/>
                <w:szCs w:val="1"/>
                <w:color w:val="auto"/>
              </w:rPr>
            </w:pPr>
          </w:p>
        </w:tc>
      </w:tr>
      <w:tr>
        <w:trPr>
          <w:trHeight w:val="329"/>
        </w:trPr>
        <w:tc>
          <w:tcPr>
            <w:tcW w:w="37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349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44"/>
        </w:trPr>
        <w:tc>
          <w:tcPr>
            <w:tcW w:w="3740" w:type="dxa"/>
            <w:vAlign w:val="bottom"/>
          </w:tcPr>
          <w:p>
            <w:pPr>
              <w:ind w:left="160"/>
              <w:spacing w:after="0" w:line="144" w:lineRule="exact"/>
              <w:rPr>
                <w:sz w:val="20"/>
                <w:szCs w:val="20"/>
                <w:color w:val="auto"/>
              </w:rPr>
            </w:pPr>
            <w:r>
              <w:rPr>
                <w:rFonts w:ascii="Arial" w:cs="Arial" w:eastAsia="Arial" w:hAnsi="Arial"/>
                <w:sz w:val="14"/>
                <w:szCs w:val="14"/>
                <w:color w:val="auto"/>
              </w:rPr>
              <w:t>Pension and other postretirement benefits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line="144"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160"/>
              <w:spacing w:after="0" w:line="155" w:lineRule="exact"/>
              <w:rPr>
                <w:sz w:val="20"/>
                <w:szCs w:val="20"/>
                <w:color w:val="auto"/>
              </w:rPr>
            </w:pPr>
            <w:r>
              <w:rPr>
                <w:rFonts w:ascii="Arial" w:cs="Arial" w:eastAsia="Arial" w:hAnsi="Arial"/>
                <w:sz w:val="14"/>
                <w:szCs w:val="14"/>
                <w:color w:val="auto"/>
              </w:rPr>
              <w:t>Financial instruments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5"/>
                <w:szCs w:val="15"/>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69"/>
        </w:trPr>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Comprehensive income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373</w:t>
            </w:r>
          </w:p>
        </w:tc>
        <w:tc>
          <w:tcPr>
            <w:tcW w:w="0" w:type="dxa"/>
            <w:vAlign w:val="bottom"/>
          </w:tcPr>
          <w:p>
            <w:pPr>
              <w:spacing w:after="0"/>
              <w:rPr>
                <w:sz w:val="1"/>
                <w:szCs w:val="1"/>
                <w:color w:val="auto"/>
              </w:rPr>
            </w:pPr>
          </w:p>
        </w:tc>
      </w:tr>
      <w:tr>
        <w:trPr>
          <w:trHeight w:val="311"/>
        </w:trPr>
        <w:tc>
          <w:tcPr>
            <w:tcW w:w="37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(150)</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82"/>
        </w:trPr>
        <w:tc>
          <w:tcPr>
            <w:tcW w:w="3740" w:type="dxa"/>
            <w:vAlign w:val="bottom"/>
          </w:tcPr>
          <w:p>
            <w:pPr>
              <w:spacing w:after="0" w:line="155" w:lineRule="exact"/>
              <w:rPr>
                <w:sz w:val="20"/>
                <w:szCs w:val="20"/>
                <w:color w:val="auto"/>
              </w:rPr>
            </w:pPr>
            <w:r>
              <w:rPr>
                <w:rFonts w:ascii="Arial" w:cs="Arial" w:eastAsia="Arial" w:hAnsi="Arial"/>
                <w:sz w:val="14"/>
                <w:szCs w:val="14"/>
                <w:color w:val="auto"/>
              </w:rPr>
              <w:t>Equity contributed by noncontrolling interest</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69"/>
        </w:trPr>
        <w:tc>
          <w:tcPr>
            <w:tcW w:w="3740" w:type="dxa"/>
            <w:vAlign w:val="bottom"/>
          </w:tcPr>
          <w:p>
            <w:pPr>
              <w:spacing w:after="0" w:line="142" w:lineRule="exact"/>
              <w:rPr>
                <w:sz w:val="20"/>
                <w:szCs w:val="20"/>
                <w:color w:val="auto"/>
              </w:rPr>
            </w:pPr>
            <w:r>
              <w:rPr>
                <w:rFonts w:ascii="Arial" w:cs="Arial" w:eastAsia="Arial" w:hAnsi="Arial"/>
                <w:sz w:val="14"/>
                <w:szCs w:val="14"/>
                <w:color w:val="auto"/>
              </w:rPr>
              <w:t>Balance at December 31, 2009</w:t>
            </w:r>
          </w:p>
        </w:tc>
        <w:tc>
          <w:tcPr>
            <w:tcW w:w="260" w:type="dxa"/>
            <w:vAlign w:val="bottom"/>
          </w:tcPr>
          <w:p>
            <w:pPr>
              <w:spacing w:after="0"/>
              <w:rPr>
                <w:sz w:val="14"/>
                <w:szCs w:val="14"/>
                <w:color w:val="auto"/>
              </w:rPr>
            </w:pPr>
          </w:p>
        </w:tc>
        <w:tc>
          <w:tcPr>
            <w:tcW w:w="94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1,138</w:t>
            </w:r>
          </w:p>
        </w:tc>
        <w:tc>
          <w:tcPr>
            <w:tcW w:w="200" w:type="dxa"/>
            <w:vAlign w:val="bottom"/>
          </w:tcPr>
          <w:p>
            <w:pPr>
              <w:spacing w:after="0"/>
              <w:rPr>
                <w:sz w:val="14"/>
                <w:szCs w:val="14"/>
                <w:color w:val="auto"/>
              </w:rPr>
            </w:pPr>
          </w:p>
        </w:tc>
        <w:tc>
          <w:tcPr>
            <w:tcW w:w="940" w:type="dxa"/>
            <w:vAlign w:val="bottom"/>
          </w:tcPr>
          <w:p>
            <w:pPr>
              <w:jc w:val="right"/>
              <w:ind w:right="8"/>
              <w:spacing w:after="0" w:line="142" w:lineRule="exact"/>
              <w:rPr>
                <w:sz w:val="20"/>
                <w:szCs w:val="20"/>
                <w:color w:val="auto"/>
              </w:rPr>
            </w:pPr>
            <w:r>
              <w:rPr>
                <w:rFonts w:ascii="Arial" w:cs="Arial" w:eastAsia="Arial" w:hAnsi="Arial"/>
                <w:sz w:val="14"/>
                <w:szCs w:val="14"/>
                <w:color w:val="auto"/>
              </w:rPr>
              <w:t>1,611</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2,885</w:t>
            </w:r>
          </w:p>
        </w:tc>
        <w:tc>
          <w:tcPr>
            <w:tcW w:w="0" w:type="dxa"/>
            <w:vAlign w:val="bottom"/>
          </w:tcPr>
          <w:p>
            <w:pPr>
              <w:spacing w:after="0"/>
              <w:rPr>
                <w:sz w:val="1"/>
                <w:szCs w:val="1"/>
                <w:color w:val="auto"/>
              </w:rPr>
            </w:pPr>
          </w:p>
        </w:tc>
      </w:tr>
      <w:tr>
        <w:trPr>
          <w:trHeight w:val="329"/>
        </w:trPr>
        <w:tc>
          <w:tcPr>
            <w:tcW w:w="374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374</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374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54"/>
        </w:trPr>
        <w:tc>
          <w:tcPr>
            <w:tcW w:w="3740" w:type="dxa"/>
            <w:vAlign w:val="bottom"/>
          </w:tcPr>
          <w:p>
            <w:pPr>
              <w:ind w:left="160"/>
              <w:spacing w:after="0" w:line="127" w:lineRule="exact"/>
              <w:rPr>
                <w:sz w:val="20"/>
                <w:szCs w:val="20"/>
                <w:color w:val="auto"/>
              </w:rPr>
            </w:pPr>
            <w:r>
              <w:rPr>
                <w:rFonts w:ascii="Arial" w:cs="Arial" w:eastAsia="Arial" w:hAnsi="Arial"/>
                <w:sz w:val="14"/>
                <w:szCs w:val="14"/>
                <w:color w:val="auto"/>
              </w:rPr>
              <w:t>Financial instruments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Comprehensive income (loss)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311"/>
        </w:trPr>
        <w:tc>
          <w:tcPr>
            <w:tcW w:w="37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2"/>
        </w:trPr>
        <w:tc>
          <w:tcPr>
            <w:tcW w:w="3740" w:type="dxa"/>
            <w:vAlign w:val="bottom"/>
          </w:tcPr>
          <w:p>
            <w:pPr>
              <w:spacing w:after="0" w:line="155" w:lineRule="exact"/>
              <w:rPr>
                <w:sz w:val="20"/>
                <w:szCs w:val="20"/>
                <w:color w:val="auto"/>
              </w:rPr>
            </w:pPr>
            <w:r>
              <w:rPr>
                <w:rFonts w:ascii="Arial" w:cs="Arial" w:eastAsia="Arial" w:hAnsi="Arial"/>
                <w:sz w:val="14"/>
                <w:szCs w:val="14"/>
                <w:color w:val="auto"/>
              </w:rPr>
              <w:t>Distributions to noncontrolling interest</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(24)</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69"/>
        </w:trPr>
        <w:tc>
          <w:tcPr>
            <w:tcW w:w="3740" w:type="dxa"/>
            <w:vAlign w:val="bottom"/>
          </w:tcPr>
          <w:p>
            <w:pPr>
              <w:spacing w:after="0" w:line="142" w:lineRule="exact"/>
              <w:rPr>
                <w:sz w:val="20"/>
                <w:szCs w:val="20"/>
                <w:color w:val="auto"/>
              </w:rPr>
            </w:pPr>
            <w:r>
              <w:rPr>
                <w:rFonts w:ascii="Arial" w:cs="Arial" w:eastAsia="Arial" w:hAnsi="Arial"/>
                <w:sz w:val="14"/>
                <w:szCs w:val="14"/>
                <w:color w:val="auto"/>
              </w:rPr>
              <w:t>Balance at December 31, 2010</w:t>
            </w:r>
          </w:p>
        </w:tc>
        <w:tc>
          <w:tcPr>
            <w:tcW w:w="260" w:type="dxa"/>
            <w:vAlign w:val="bottom"/>
          </w:tcPr>
          <w:p>
            <w:pPr>
              <w:spacing w:after="0"/>
              <w:rPr>
                <w:sz w:val="14"/>
                <w:szCs w:val="14"/>
                <w:color w:val="auto"/>
              </w:rPr>
            </w:pPr>
          </w:p>
        </w:tc>
        <w:tc>
          <w:tcPr>
            <w:tcW w:w="94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1,138</w:t>
            </w:r>
          </w:p>
        </w:tc>
        <w:tc>
          <w:tcPr>
            <w:tcW w:w="200" w:type="dxa"/>
            <w:vAlign w:val="bottom"/>
          </w:tcPr>
          <w:p>
            <w:pPr>
              <w:spacing w:after="0"/>
              <w:rPr>
                <w:sz w:val="14"/>
                <w:szCs w:val="14"/>
                <w:color w:val="auto"/>
              </w:rPr>
            </w:pPr>
          </w:p>
        </w:tc>
        <w:tc>
          <w:tcPr>
            <w:tcW w:w="940" w:type="dxa"/>
            <w:vAlign w:val="bottom"/>
          </w:tcPr>
          <w:p>
            <w:pPr>
              <w:jc w:val="right"/>
              <w:ind w:right="8"/>
              <w:spacing w:after="0" w:line="142" w:lineRule="exact"/>
              <w:rPr>
                <w:sz w:val="20"/>
                <w:szCs w:val="20"/>
                <w:color w:val="auto"/>
              </w:rPr>
            </w:pPr>
            <w:r>
              <w:rPr>
                <w:rFonts w:ascii="Arial" w:cs="Arial" w:eastAsia="Arial" w:hAnsi="Arial"/>
                <w:sz w:val="14"/>
                <w:szCs w:val="14"/>
                <w:color w:val="auto"/>
              </w:rPr>
              <w:t>1,980</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3,221</w:t>
            </w:r>
          </w:p>
        </w:tc>
        <w:tc>
          <w:tcPr>
            <w:tcW w:w="0" w:type="dxa"/>
            <w:vAlign w:val="bottom"/>
          </w:tcPr>
          <w:p>
            <w:pPr>
              <w:spacing w:after="0"/>
              <w:rPr>
                <w:sz w:val="1"/>
                <w:szCs w:val="1"/>
                <w:color w:val="auto"/>
              </w:rPr>
            </w:pPr>
          </w:p>
        </w:tc>
      </w:tr>
      <w:tr>
        <w:trPr>
          <w:trHeight w:val="329"/>
        </w:trPr>
        <w:tc>
          <w:tcPr>
            <w:tcW w:w="37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436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436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455</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54"/>
        </w:trPr>
        <w:tc>
          <w:tcPr>
            <w:tcW w:w="3740" w:type="dxa"/>
            <w:vAlign w:val="bottom"/>
          </w:tcPr>
          <w:p>
            <w:pPr>
              <w:ind w:left="160"/>
              <w:spacing w:after="0" w:line="127" w:lineRule="exact"/>
              <w:rPr>
                <w:sz w:val="20"/>
                <w:szCs w:val="20"/>
                <w:color w:val="auto"/>
              </w:rPr>
            </w:pPr>
            <w:r>
              <w:rPr>
                <w:rFonts w:ascii="Arial" w:cs="Arial" w:eastAsia="Arial" w:hAnsi="Arial"/>
                <w:sz w:val="14"/>
                <w:szCs w:val="14"/>
                <w:color w:val="auto"/>
              </w:rPr>
              <w:t>Financial instruments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Comprehensive income (loss)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419</w:t>
            </w:r>
          </w:p>
        </w:tc>
        <w:tc>
          <w:tcPr>
            <w:tcW w:w="0" w:type="dxa"/>
            <w:vAlign w:val="bottom"/>
          </w:tcPr>
          <w:p>
            <w:pPr>
              <w:spacing w:after="0"/>
              <w:rPr>
                <w:sz w:val="1"/>
                <w:szCs w:val="1"/>
                <w:color w:val="auto"/>
              </w:rPr>
            </w:pPr>
          </w:p>
        </w:tc>
      </w:tr>
      <w:tr>
        <w:trPr>
          <w:trHeight w:val="311"/>
        </w:trPr>
        <w:tc>
          <w:tcPr>
            <w:tcW w:w="37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Capital contribution</w:t>
            </w:r>
          </w:p>
        </w:tc>
        <w:tc>
          <w:tcPr>
            <w:tcW w:w="26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82"/>
        </w:trPr>
        <w:tc>
          <w:tcPr>
            <w:tcW w:w="3740" w:type="dxa"/>
            <w:vAlign w:val="bottom"/>
          </w:tcPr>
          <w:p>
            <w:pPr>
              <w:spacing w:after="0" w:line="155" w:lineRule="exact"/>
              <w:rPr>
                <w:sz w:val="20"/>
                <w:szCs w:val="20"/>
                <w:color w:val="auto"/>
              </w:rPr>
            </w:pPr>
            <w:r>
              <w:rPr>
                <w:rFonts w:ascii="Arial" w:cs="Arial" w:eastAsia="Arial" w:hAnsi="Arial"/>
                <w:sz w:val="14"/>
                <w:szCs w:val="14"/>
                <w:color w:val="auto"/>
              </w:rPr>
              <w:t>Equity contributed by noncontrolling interest</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69"/>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December 31, 2011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3,739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3,841</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2011</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2009</w:t>
            </w:r>
          </w:p>
        </w:tc>
      </w:tr>
      <w:tr>
        <w:trPr>
          <w:trHeight w:val="291"/>
        </w:trPr>
        <w:tc>
          <w:tcPr>
            <w:tcW w:w="662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10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3,816</w:t>
            </w: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3,355</w:t>
            </w:r>
          </w:p>
        </w:tc>
      </w:tr>
      <w:tr>
        <w:trPr>
          <w:trHeight w:val="164"/>
        </w:trPr>
        <w:tc>
          <w:tcPr>
            <w:tcW w:w="6620" w:type="dxa"/>
            <w:vAlign w:val="bottom"/>
            <w:gridSpan w:val="2"/>
          </w:tcPr>
          <w:p>
            <w:pPr>
              <w:spacing w:after="0" w:line="164" w:lineRule="exact"/>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Cost of natural gas</w:t>
            </w:r>
          </w:p>
        </w:tc>
        <w:tc>
          <w:tcPr>
            <w:tcW w:w="1040" w:type="dxa"/>
            <w:vAlign w:val="bottom"/>
          </w:tcPr>
          <w:p>
            <w:pPr>
              <w:spacing w:after="0"/>
              <w:rPr>
                <w:sz w:val="15"/>
                <w:szCs w:val="15"/>
                <w:color w:val="auto"/>
              </w:rPr>
            </w:pPr>
          </w:p>
        </w:tc>
        <w:tc>
          <w:tcPr>
            <w:tcW w:w="6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1,568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1,699</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1,343</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Operation and maintenance</w:t>
            </w:r>
          </w:p>
        </w:tc>
        <w:tc>
          <w:tcPr>
            <w:tcW w:w="1040" w:type="dxa"/>
            <w:vAlign w:val="bottom"/>
          </w:tcPr>
          <w:p>
            <w:pPr>
              <w:spacing w:after="0"/>
              <w:rPr>
                <w:sz w:val="15"/>
                <w:szCs w:val="15"/>
                <w:color w:val="auto"/>
              </w:rPr>
            </w:pPr>
          </w:p>
        </w:tc>
        <w:tc>
          <w:tcPr>
            <w:tcW w:w="6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1,305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1,174</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1,138</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Depreciation</w:t>
            </w:r>
          </w:p>
        </w:tc>
        <w:tc>
          <w:tcPr>
            <w:tcW w:w="1040" w:type="dxa"/>
            <w:vAlign w:val="bottom"/>
          </w:tcPr>
          <w:p>
            <w:pPr>
              <w:spacing w:after="0"/>
              <w:rPr>
                <w:sz w:val="15"/>
                <w:szCs w:val="15"/>
                <w:color w:val="auto"/>
              </w:rPr>
            </w:pPr>
          </w:p>
        </w:tc>
        <w:tc>
          <w:tcPr>
            <w:tcW w:w="6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331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309</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293</w:t>
            </w:r>
          </w:p>
        </w:tc>
      </w:tr>
      <w:tr>
        <w:trPr>
          <w:trHeight w:val="194"/>
        </w:trPr>
        <w:tc>
          <w:tcPr>
            <w:tcW w:w="20" w:type="dxa"/>
            <w:vAlign w:val="bottom"/>
          </w:tcPr>
          <w:p>
            <w:pPr>
              <w:spacing w:after="0"/>
              <w:rPr>
                <w:sz w:val="16"/>
                <w:szCs w:val="16"/>
                <w:color w:val="auto"/>
              </w:rPr>
            </w:pPr>
          </w:p>
        </w:tc>
        <w:tc>
          <w:tcPr>
            <w:tcW w:w="6600" w:type="dxa"/>
            <w:vAlign w:val="bottom"/>
          </w:tcPr>
          <w:p>
            <w:pPr>
              <w:ind w:left="160"/>
              <w:spacing w:after="0"/>
              <w:rPr>
                <w:sz w:val="20"/>
                <w:szCs w:val="20"/>
                <w:color w:val="auto"/>
              </w:rPr>
            </w:pPr>
            <w:r>
              <w:rPr>
                <w:rFonts w:ascii="Arial" w:cs="Arial" w:eastAsia="Arial" w:hAnsi="Arial"/>
                <w:sz w:val="16"/>
                <w:szCs w:val="16"/>
                <w:color w:val="auto"/>
              </w:rPr>
              <w:t>Franchise fees and other taxes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126</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124</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183"/>
        </w:trPr>
        <w:tc>
          <w:tcPr>
            <w:tcW w:w="20" w:type="dxa"/>
            <w:vAlign w:val="bottom"/>
          </w:tcPr>
          <w:p>
            <w:pPr>
              <w:spacing w:after="0"/>
              <w:rPr>
                <w:sz w:val="15"/>
                <w:szCs w:val="15"/>
                <w:color w:val="auto"/>
              </w:rPr>
            </w:pPr>
          </w:p>
        </w:tc>
        <w:tc>
          <w:tcPr>
            <w:tcW w:w="6600" w:type="dxa"/>
            <w:vAlign w:val="bottom"/>
          </w:tcPr>
          <w:p>
            <w:pPr>
              <w:ind w:left="340"/>
              <w:spacing w:after="0" w:line="176" w:lineRule="exact"/>
              <w:rPr>
                <w:sz w:val="20"/>
                <w:szCs w:val="20"/>
                <w:color w:val="auto"/>
              </w:rPr>
            </w:pPr>
            <w:r>
              <w:rPr>
                <w:rFonts w:ascii="Arial" w:cs="Arial" w:eastAsia="Arial" w:hAnsi="Arial"/>
                <w:sz w:val="16"/>
                <w:szCs w:val="16"/>
                <w:color w:val="auto"/>
              </w:rPr>
              <w:t>Total operating expenses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3,330</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3,306</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2,879</w:t>
            </w:r>
          </w:p>
        </w:tc>
      </w:tr>
      <w:tr>
        <w:trPr>
          <w:trHeight w:val="164"/>
        </w:trPr>
        <w:tc>
          <w:tcPr>
            <w:tcW w:w="6620" w:type="dxa"/>
            <w:vAlign w:val="bottom"/>
            <w:gridSpan w:val="2"/>
          </w:tcPr>
          <w:p>
            <w:pPr>
              <w:spacing w:after="0" w:line="164" w:lineRule="exact"/>
              <w:rPr>
                <w:sz w:val="20"/>
                <w:szCs w:val="20"/>
                <w:color w:val="auto"/>
              </w:rPr>
            </w:pPr>
            <w:r>
              <w:rPr>
                <w:rFonts w:ascii="Arial" w:cs="Arial" w:eastAsia="Arial" w:hAnsi="Arial"/>
                <w:sz w:val="16"/>
                <w:szCs w:val="16"/>
                <w:color w:val="auto"/>
              </w:rPr>
              <w:t>Operating income</w:t>
            </w:r>
          </w:p>
        </w:tc>
        <w:tc>
          <w:tcPr>
            <w:tcW w:w="1040" w:type="dxa"/>
            <w:vAlign w:val="bottom"/>
          </w:tcPr>
          <w:p>
            <w:pPr>
              <w:spacing w:after="0"/>
              <w:rPr>
                <w:sz w:val="14"/>
                <w:szCs w:val="14"/>
                <w:color w:val="auto"/>
              </w:rPr>
            </w:pPr>
          </w:p>
        </w:tc>
        <w:tc>
          <w:tcPr>
            <w:tcW w:w="640" w:type="dxa"/>
            <w:vAlign w:val="bottom"/>
          </w:tcPr>
          <w:p>
            <w:pPr>
              <w:jc w:val="right"/>
              <w:ind w:right="60"/>
              <w:spacing w:after="0" w:line="164" w:lineRule="exact"/>
              <w:rPr>
                <w:sz w:val="20"/>
                <w:szCs w:val="20"/>
                <w:color w:val="auto"/>
              </w:rPr>
            </w:pPr>
            <w:r>
              <w:rPr>
                <w:rFonts w:ascii="Arial" w:cs="Arial" w:eastAsia="Arial" w:hAnsi="Arial"/>
                <w:sz w:val="16"/>
                <w:szCs w:val="16"/>
                <w:color w:val="auto"/>
              </w:rPr>
              <w:t>486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60"/>
              <w:spacing w:after="0" w:line="164" w:lineRule="exact"/>
              <w:rPr>
                <w:sz w:val="20"/>
                <w:szCs w:val="20"/>
                <w:color w:val="auto"/>
              </w:rPr>
            </w:pPr>
            <w:r>
              <w:rPr>
                <w:rFonts w:ascii="Arial" w:cs="Arial" w:eastAsia="Arial" w:hAnsi="Arial"/>
                <w:sz w:val="16"/>
                <w:szCs w:val="16"/>
                <w:color w:val="auto"/>
              </w:rPr>
              <w:t>516</w:t>
            </w:r>
          </w:p>
        </w:tc>
        <w:tc>
          <w:tcPr>
            <w:tcW w:w="26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476</w:t>
            </w:r>
          </w:p>
        </w:tc>
      </w:tr>
      <w:tr>
        <w:trPr>
          <w:trHeight w:val="176"/>
        </w:trPr>
        <w:tc>
          <w:tcPr>
            <w:tcW w:w="6620" w:type="dxa"/>
            <w:vAlign w:val="bottom"/>
            <w:gridSpan w:val="2"/>
          </w:tcPr>
          <w:p>
            <w:pPr>
              <w:spacing w:after="0" w:line="176" w:lineRule="exact"/>
              <w:rPr>
                <w:sz w:val="20"/>
                <w:szCs w:val="20"/>
                <w:color w:val="auto"/>
              </w:rPr>
            </w:pPr>
            <w:r>
              <w:rPr>
                <w:rFonts w:ascii="Arial" w:cs="Arial" w:eastAsia="Arial" w:hAnsi="Arial"/>
                <w:sz w:val="16"/>
                <w:szCs w:val="16"/>
                <w:color w:val="auto"/>
              </w:rPr>
              <w:t>Other income, net</w:t>
            </w:r>
          </w:p>
        </w:tc>
        <w:tc>
          <w:tcPr>
            <w:tcW w:w="1040" w:type="dxa"/>
            <w:vAlign w:val="bottom"/>
          </w:tcPr>
          <w:p>
            <w:pPr>
              <w:spacing w:after="0"/>
              <w:rPr>
                <w:sz w:val="15"/>
                <w:szCs w:val="15"/>
                <w:color w:val="auto"/>
              </w:rPr>
            </w:pPr>
          </w:p>
        </w:tc>
        <w:tc>
          <w:tcPr>
            <w:tcW w:w="6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12</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176"/>
        </w:trPr>
        <w:tc>
          <w:tcPr>
            <w:tcW w:w="6620" w:type="dxa"/>
            <w:vAlign w:val="bottom"/>
            <w:gridSpan w:val="2"/>
          </w:tcPr>
          <w:p>
            <w:pPr>
              <w:spacing w:after="0" w:line="176" w:lineRule="exact"/>
              <w:rPr>
                <w:sz w:val="20"/>
                <w:szCs w:val="20"/>
                <w:color w:val="auto"/>
              </w:rPr>
            </w:pPr>
            <w:r>
              <w:rPr>
                <w:rFonts w:ascii="Arial" w:cs="Arial" w:eastAsia="Arial" w:hAnsi="Arial"/>
                <w:sz w:val="16"/>
                <w:szCs w:val="16"/>
                <w:color w:val="auto"/>
              </w:rPr>
              <w:t>Interest income</w:t>
            </w:r>
          </w:p>
        </w:tc>
        <w:tc>
          <w:tcPr>
            <w:tcW w:w="1040" w:type="dxa"/>
            <w:vAlign w:val="bottom"/>
          </w:tcPr>
          <w:p>
            <w:pPr>
              <w:spacing w:after="0"/>
              <w:rPr>
                <w:sz w:val="15"/>
                <w:szCs w:val="15"/>
                <w:color w:val="auto"/>
              </w:rPr>
            </w:pPr>
          </w:p>
        </w:tc>
        <w:tc>
          <w:tcPr>
            <w:tcW w:w="6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94"/>
        </w:trPr>
        <w:tc>
          <w:tcPr>
            <w:tcW w:w="662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164"/>
        </w:trPr>
        <w:tc>
          <w:tcPr>
            <w:tcW w:w="6620" w:type="dxa"/>
            <w:vAlign w:val="bottom"/>
            <w:gridSpan w:val="2"/>
          </w:tcPr>
          <w:p>
            <w:pPr>
              <w:spacing w:after="0" w:line="164" w:lineRule="exact"/>
              <w:rPr>
                <w:sz w:val="20"/>
                <w:szCs w:val="20"/>
                <w:color w:val="auto"/>
              </w:rPr>
            </w:pPr>
            <w:r>
              <w:rPr>
                <w:rFonts w:ascii="Arial" w:cs="Arial" w:eastAsia="Arial" w:hAnsi="Arial"/>
                <w:sz w:val="16"/>
                <w:szCs w:val="16"/>
                <w:color w:val="auto"/>
              </w:rPr>
              <w:t>Income before income taxes</w:t>
            </w:r>
          </w:p>
        </w:tc>
        <w:tc>
          <w:tcPr>
            <w:tcW w:w="1040" w:type="dxa"/>
            <w:vAlign w:val="bottom"/>
          </w:tcPr>
          <w:p>
            <w:pPr>
              <w:spacing w:after="0"/>
              <w:rPr>
                <w:sz w:val="14"/>
                <w:szCs w:val="14"/>
                <w:color w:val="auto"/>
              </w:rPr>
            </w:pPr>
          </w:p>
        </w:tc>
        <w:tc>
          <w:tcPr>
            <w:tcW w:w="640" w:type="dxa"/>
            <w:vAlign w:val="bottom"/>
          </w:tcPr>
          <w:p>
            <w:pPr>
              <w:jc w:val="right"/>
              <w:ind w:right="60"/>
              <w:spacing w:after="0" w:line="164" w:lineRule="exact"/>
              <w:rPr>
                <w:sz w:val="20"/>
                <w:szCs w:val="20"/>
                <w:color w:val="auto"/>
              </w:rPr>
            </w:pPr>
            <w:r>
              <w:rPr>
                <w:rFonts w:ascii="Arial" w:cs="Arial" w:eastAsia="Arial" w:hAnsi="Arial"/>
                <w:sz w:val="16"/>
                <w:szCs w:val="16"/>
                <w:color w:val="auto"/>
              </w:rPr>
              <w:t>431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60"/>
              <w:spacing w:after="0" w:line="164" w:lineRule="exact"/>
              <w:rPr>
                <w:sz w:val="20"/>
                <w:szCs w:val="20"/>
                <w:color w:val="auto"/>
              </w:rPr>
            </w:pPr>
            <w:r>
              <w:rPr>
                <w:rFonts w:ascii="Arial" w:cs="Arial" w:eastAsia="Arial" w:hAnsi="Arial"/>
                <w:sz w:val="16"/>
                <w:szCs w:val="16"/>
                <w:color w:val="auto"/>
              </w:rPr>
              <w:t>463</w:t>
            </w:r>
          </w:p>
        </w:tc>
        <w:tc>
          <w:tcPr>
            <w:tcW w:w="26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418</w:t>
            </w:r>
          </w:p>
        </w:tc>
      </w:tr>
      <w:tr>
        <w:trPr>
          <w:trHeight w:val="194"/>
        </w:trPr>
        <w:tc>
          <w:tcPr>
            <w:tcW w:w="66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(143)</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(176)</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164"/>
        </w:trPr>
        <w:tc>
          <w:tcPr>
            <w:tcW w:w="6620" w:type="dxa"/>
            <w:vAlign w:val="bottom"/>
            <w:gridSpan w:val="2"/>
          </w:tcPr>
          <w:p>
            <w:pPr>
              <w:spacing w:after="0" w:line="164" w:lineRule="exact"/>
              <w:rPr>
                <w:sz w:val="20"/>
                <w:szCs w:val="20"/>
                <w:color w:val="auto"/>
              </w:rPr>
            </w:pPr>
            <w:r>
              <w:rPr>
                <w:rFonts w:ascii="Arial" w:cs="Arial" w:eastAsia="Arial" w:hAnsi="Arial"/>
                <w:sz w:val="16"/>
                <w:szCs w:val="16"/>
                <w:color w:val="auto"/>
              </w:rPr>
              <w:t>Net income</w:t>
            </w:r>
          </w:p>
        </w:tc>
        <w:tc>
          <w:tcPr>
            <w:tcW w:w="1040" w:type="dxa"/>
            <w:vAlign w:val="bottom"/>
          </w:tcPr>
          <w:p>
            <w:pPr>
              <w:spacing w:after="0"/>
              <w:rPr>
                <w:sz w:val="14"/>
                <w:szCs w:val="14"/>
                <w:color w:val="auto"/>
              </w:rPr>
            </w:pPr>
          </w:p>
        </w:tc>
        <w:tc>
          <w:tcPr>
            <w:tcW w:w="640" w:type="dxa"/>
            <w:vAlign w:val="bottom"/>
          </w:tcPr>
          <w:p>
            <w:pPr>
              <w:jc w:val="right"/>
              <w:ind w:right="60"/>
              <w:spacing w:after="0" w:line="164" w:lineRule="exact"/>
              <w:rPr>
                <w:sz w:val="20"/>
                <w:szCs w:val="20"/>
                <w:color w:val="auto"/>
              </w:rPr>
            </w:pPr>
            <w:r>
              <w:rPr>
                <w:rFonts w:ascii="Arial" w:cs="Arial" w:eastAsia="Arial" w:hAnsi="Arial"/>
                <w:sz w:val="16"/>
                <w:szCs w:val="16"/>
                <w:color w:val="auto"/>
              </w:rPr>
              <w:t>288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60"/>
              <w:spacing w:after="0" w:line="164" w:lineRule="exact"/>
              <w:rPr>
                <w:sz w:val="20"/>
                <w:szCs w:val="20"/>
                <w:color w:val="auto"/>
              </w:rPr>
            </w:pPr>
            <w:r>
              <w:rPr>
                <w:rFonts w:ascii="Arial" w:cs="Arial" w:eastAsia="Arial" w:hAnsi="Arial"/>
                <w:sz w:val="16"/>
                <w:szCs w:val="16"/>
                <w:color w:val="auto"/>
              </w:rPr>
              <w:t>287</w:t>
            </w:r>
          </w:p>
        </w:tc>
        <w:tc>
          <w:tcPr>
            <w:tcW w:w="26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274</w:t>
            </w:r>
          </w:p>
        </w:tc>
      </w:tr>
      <w:tr>
        <w:trPr>
          <w:trHeight w:val="194"/>
        </w:trPr>
        <w:tc>
          <w:tcPr>
            <w:tcW w:w="6620" w:type="dxa"/>
            <w:vAlign w:val="bottom"/>
            <w:gridSpan w:val="2"/>
          </w:tcPr>
          <w:p>
            <w:pPr>
              <w:spacing w:after="0"/>
              <w:rPr>
                <w:sz w:val="20"/>
                <w:szCs w:val="20"/>
                <w:color w:val="auto"/>
              </w:rPr>
            </w:pPr>
            <w:r>
              <w:rPr>
                <w:rFonts w:ascii="Arial" w:cs="Arial" w:eastAsia="Arial" w:hAnsi="Arial"/>
                <w:sz w:val="16"/>
                <w:szCs w:val="16"/>
                <w:color w:val="auto"/>
              </w:rPr>
              <w:t>Preferred dividend requirements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6620" w:type="dxa"/>
            <w:vAlign w:val="bottom"/>
            <w:gridSpan w:val="2"/>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1040" w:type="dxa"/>
            <w:vAlign w:val="bottom"/>
          </w:tcPr>
          <w:p>
            <w:pPr>
              <w:jc w:val="right"/>
              <w:ind w:right="702"/>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287</w:t>
            </w:r>
          </w:p>
        </w:tc>
        <w:tc>
          <w:tcPr>
            <w:tcW w:w="32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286</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273</w:t>
            </w:r>
          </w:p>
        </w:tc>
      </w:tr>
      <w:tr>
        <w:trPr>
          <w:trHeight w:val="186"/>
        </w:trPr>
        <w:tc>
          <w:tcPr>
            <w:tcW w:w="20" w:type="dxa"/>
            <w:vAlign w:val="bottom"/>
          </w:tcPr>
          <w:p>
            <w:pPr>
              <w:spacing w:after="0"/>
              <w:rPr>
                <w:sz w:val="16"/>
                <w:szCs w:val="16"/>
                <w:color w:val="auto"/>
              </w:rPr>
            </w:pPr>
          </w:p>
        </w:tc>
        <w:tc>
          <w:tcPr>
            <w:tcW w:w="660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462"/>
        </w:trPr>
        <w:tc>
          <w:tcPr>
            <w:tcW w:w="20" w:type="dxa"/>
            <w:vAlign w:val="bottom"/>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660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SOUTHERN CALIFORNIA GAS COMPANY AND SUBSIDIARIES</w:t>
            </w:r>
          </w:p>
        </w:tc>
        <w:tc>
          <w:tcPr>
            <w:tcW w:w="1040" w:type="dxa"/>
            <w:vAlign w:val="bottom"/>
            <w:shd w:val="clear" w:color="auto" w:fill="C0C0C0"/>
          </w:tcPr>
          <w:p>
            <w:pPr>
              <w:spacing w:after="0"/>
              <w:rPr>
                <w:sz w:val="11"/>
                <w:szCs w:val="11"/>
                <w:color w:val="auto"/>
              </w:rPr>
            </w:pPr>
          </w:p>
        </w:tc>
        <w:tc>
          <w:tcPr>
            <w:tcW w:w="640" w:type="dxa"/>
            <w:vAlign w:val="bottom"/>
            <w:shd w:val="clear" w:color="auto" w:fill="C0C0C0"/>
          </w:tcPr>
          <w:p>
            <w:pPr>
              <w:spacing w:after="0"/>
              <w:rPr>
                <w:sz w:val="11"/>
                <w:szCs w:val="11"/>
                <w:color w:val="auto"/>
              </w:rPr>
            </w:pPr>
          </w:p>
        </w:tc>
        <w:tc>
          <w:tcPr>
            <w:tcW w:w="140" w:type="dxa"/>
            <w:vAlign w:val="bottom"/>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128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1260" w:type="dxa"/>
            <w:vAlign w:val="bottom"/>
            <w:shd w:val="clear" w:color="auto" w:fill="C0C0C0"/>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60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CONSOLIDATED BALANCE SHEETS</w:t>
            </w:r>
          </w:p>
        </w:tc>
        <w:tc>
          <w:tcPr>
            <w:tcW w:w="10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60" w:type="dxa"/>
            <w:vAlign w:val="bottom"/>
            <w:shd w:val="clear" w:color="auto" w:fill="C0C0C0"/>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66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040" w:type="dxa"/>
            <w:vAlign w:val="bottom"/>
            <w:shd w:val="clear" w:color="auto" w:fill="C0C0C0"/>
          </w:tcPr>
          <w:p>
            <w:pPr>
              <w:spacing w:after="0"/>
              <w:rPr>
                <w:sz w:val="14"/>
                <w:szCs w:val="14"/>
                <w:color w:val="auto"/>
              </w:rPr>
            </w:pPr>
          </w:p>
        </w:tc>
        <w:tc>
          <w:tcPr>
            <w:tcW w:w="64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260" w:type="dxa"/>
            <w:vAlign w:val="bottom"/>
            <w:shd w:val="clear" w:color="auto" w:fill="C0C0C0"/>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6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6600" w:type="dxa"/>
            <w:vAlign w:val="bottom"/>
          </w:tcPr>
          <w:p>
            <w:pPr>
              <w:spacing w:after="0" w:line="164" w:lineRule="exact"/>
              <w:rPr>
                <w:sz w:val="20"/>
                <w:szCs w:val="20"/>
                <w:color w:val="auto"/>
              </w:rPr>
            </w:pPr>
            <w:r>
              <w:rPr>
                <w:rFonts w:ascii="Arial" w:cs="Arial" w:eastAsia="Arial" w:hAnsi="Arial"/>
                <w:sz w:val="16"/>
                <w:szCs w:val="16"/>
                <w:color w:val="auto"/>
              </w:rPr>
              <w:t>ASSETS</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6"/>
        </w:trPr>
        <w:tc>
          <w:tcPr>
            <w:tcW w:w="6620" w:type="dxa"/>
            <w:vAlign w:val="bottom"/>
            <w:gridSpan w:val="2"/>
          </w:tcPr>
          <w:p>
            <w:pPr>
              <w:spacing w:after="0" w:line="176" w:lineRule="exact"/>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Cash and cash equivalents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26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417</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Accounts receivable – trade, net</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578</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534</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Accounts receivable – other, net</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Due from unconsolidated affiliates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Income taxes receivable</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Inventories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151</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r>
      <w:tr>
        <w:trPr>
          <w:trHeight w:val="194"/>
        </w:trPr>
        <w:tc>
          <w:tcPr>
            <w:tcW w:w="20" w:type="dxa"/>
            <w:vAlign w:val="bottom"/>
          </w:tcPr>
          <w:p>
            <w:pPr>
              <w:spacing w:after="0"/>
              <w:rPr>
                <w:sz w:val="16"/>
                <w:szCs w:val="16"/>
                <w:color w:val="auto"/>
              </w:rPr>
            </w:pPr>
          </w:p>
        </w:tc>
        <w:tc>
          <w:tcPr>
            <w:tcW w:w="6600" w:type="dxa"/>
            <w:vAlign w:val="bottom"/>
          </w:tcPr>
          <w:p>
            <w:pPr>
              <w:ind w:left="16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183"/>
        </w:trPr>
        <w:tc>
          <w:tcPr>
            <w:tcW w:w="20" w:type="dxa"/>
            <w:vAlign w:val="bottom"/>
          </w:tcPr>
          <w:p>
            <w:pPr>
              <w:spacing w:after="0"/>
              <w:rPr>
                <w:sz w:val="15"/>
                <w:szCs w:val="15"/>
                <w:color w:val="auto"/>
              </w:rPr>
            </w:pPr>
          </w:p>
        </w:tc>
        <w:tc>
          <w:tcPr>
            <w:tcW w:w="6600" w:type="dxa"/>
            <w:vAlign w:val="bottom"/>
          </w:tcPr>
          <w:p>
            <w:pPr>
              <w:ind w:left="340"/>
              <w:spacing w:after="0" w:line="176" w:lineRule="exact"/>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922</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1,247</w:t>
            </w:r>
          </w:p>
        </w:tc>
      </w:tr>
      <w:tr>
        <w:trPr>
          <w:trHeight w:val="340"/>
        </w:trPr>
        <w:tc>
          <w:tcPr>
            <w:tcW w:w="662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600" w:type="dxa"/>
            <w:vAlign w:val="bottom"/>
          </w:tcPr>
          <w:p>
            <w:pPr>
              <w:ind w:left="340"/>
              <w:spacing w:after="0" w:line="176" w:lineRule="exact"/>
              <w:rPr>
                <w:sz w:val="20"/>
                <w:szCs w:val="20"/>
                <w:color w:val="auto"/>
              </w:rPr>
            </w:pPr>
            <w:r>
              <w:rPr>
                <w:rFonts w:ascii="Arial" w:cs="Arial" w:eastAsia="Arial" w:hAnsi="Arial"/>
                <w:sz w:val="16"/>
                <w:szCs w:val="16"/>
                <w:color w:val="auto"/>
              </w:rPr>
              <w:t>benefit obligations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808</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r>
      <w:tr>
        <w:trPr>
          <w:trHeight w:val="176"/>
        </w:trPr>
        <w:tc>
          <w:tcPr>
            <w:tcW w:w="20" w:type="dxa"/>
            <w:vAlign w:val="bottom"/>
          </w:tcPr>
          <w:p>
            <w:pPr>
              <w:spacing w:after="0"/>
              <w:rPr>
                <w:sz w:val="15"/>
                <w:szCs w:val="15"/>
                <w:color w:val="auto"/>
              </w:rPr>
            </w:pPr>
          </w:p>
        </w:tc>
        <w:tc>
          <w:tcPr>
            <w:tcW w:w="6600" w:type="dxa"/>
            <w:vAlign w:val="bottom"/>
          </w:tcPr>
          <w:p>
            <w:pPr>
              <w:ind w:left="160"/>
              <w:spacing w:after="0" w:line="176" w:lineRule="exact"/>
              <w:rPr>
                <w:sz w:val="20"/>
                <w:szCs w:val="20"/>
                <w:color w:val="auto"/>
              </w:rPr>
            </w:pPr>
            <w:r>
              <w:rPr>
                <w:rFonts w:ascii="Arial" w:cs="Arial" w:eastAsia="Arial" w:hAnsi="Arial"/>
                <w:sz w:val="16"/>
                <w:szCs w:val="16"/>
                <w:color w:val="auto"/>
              </w:rPr>
              <w:t>Other regulatory assets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137</w:t>
            </w:r>
          </w:p>
        </w:tc>
        <w:tc>
          <w:tcPr>
            <w:tcW w:w="2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123</w:t>
            </w:r>
          </w:p>
        </w:tc>
      </w:tr>
      <w:tr>
        <w:trPr>
          <w:trHeight w:val="194"/>
        </w:trPr>
        <w:tc>
          <w:tcPr>
            <w:tcW w:w="20" w:type="dxa"/>
            <w:vAlign w:val="bottom"/>
          </w:tcPr>
          <w:p>
            <w:pPr>
              <w:spacing w:after="0"/>
              <w:rPr>
                <w:sz w:val="16"/>
                <w:szCs w:val="16"/>
                <w:color w:val="auto"/>
              </w:rPr>
            </w:pPr>
          </w:p>
        </w:tc>
        <w:tc>
          <w:tcPr>
            <w:tcW w:w="6600" w:type="dxa"/>
            <w:vAlign w:val="bottom"/>
          </w:tcPr>
          <w:p>
            <w:pPr>
              <w:ind w:left="160"/>
              <w:spacing w:after="0"/>
              <w:rPr>
                <w:sz w:val="20"/>
                <w:szCs w:val="20"/>
                <w:color w:val="auto"/>
              </w:rPr>
            </w:pPr>
            <w:r>
              <w:rPr>
                <w:rFonts w:ascii="Arial" w:cs="Arial" w:eastAsia="Arial" w:hAnsi="Arial"/>
                <w:sz w:val="16"/>
                <w:szCs w:val="16"/>
                <w:color w:val="auto"/>
              </w:rPr>
              <w:t>Sundry</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83"/>
        </w:trPr>
        <w:tc>
          <w:tcPr>
            <w:tcW w:w="20" w:type="dxa"/>
            <w:vAlign w:val="bottom"/>
          </w:tcPr>
          <w:p>
            <w:pPr>
              <w:spacing w:after="0"/>
              <w:rPr>
                <w:sz w:val="15"/>
                <w:szCs w:val="15"/>
                <w:color w:val="auto"/>
              </w:rPr>
            </w:pPr>
          </w:p>
        </w:tc>
        <w:tc>
          <w:tcPr>
            <w:tcW w:w="6600" w:type="dxa"/>
            <w:vAlign w:val="bottom"/>
          </w:tcPr>
          <w:p>
            <w:pPr>
              <w:ind w:left="340"/>
              <w:spacing w:after="0" w:line="176" w:lineRule="exact"/>
              <w:rPr>
                <w:sz w:val="20"/>
                <w:szCs w:val="20"/>
                <w:color w:val="auto"/>
              </w:rPr>
            </w:pPr>
            <w:r>
              <w:rPr>
                <w:rFonts w:ascii="Arial" w:cs="Arial" w:eastAsia="Arial" w:hAnsi="Arial"/>
                <w:sz w:val="16"/>
                <w:szCs w:val="16"/>
                <w:color w:val="auto"/>
              </w:rPr>
              <w:t>Total other assets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953</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717</w:t>
            </w:r>
          </w:p>
        </w:tc>
      </w:tr>
      <w:tr>
        <w:trPr>
          <w:trHeight w:val="340"/>
        </w:trPr>
        <w:tc>
          <w:tcPr>
            <w:tcW w:w="662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6600" w:type="dxa"/>
            <w:vAlign w:val="bottom"/>
          </w:tcPr>
          <w:p>
            <w:pPr>
              <w:ind w:left="160"/>
              <w:spacing w:after="0"/>
              <w:rPr>
                <w:sz w:val="20"/>
                <w:szCs w:val="20"/>
                <w:color w:val="auto"/>
              </w:rPr>
            </w:pPr>
            <w:r>
              <w:rPr>
                <w:rFonts w:ascii="Arial" w:cs="Arial" w:eastAsia="Arial" w:hAnsi="Arial"/>
                <w:sz w:val="16"/>
                <w:szCs w:val="16"/>
                <w:color w:val="auto"/>
              </w:rPr>
              <w:t>Property, plant and equipment</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10,565</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9,824</w:t>
            </w:r>
          </w:p>
        </w:tc>
      </w:tr>
    </w:tbl>
    <w:p>
      <w:pPr>
        <w:sectPr>
          <w:pgSz w:w="11900" w:h="16838" w:orient="portrait"/>
          <w:cols w:equalWidth="0" w:num="1">
            <w:col w:w="11420"/>
          </w:cols>
          <w:pgMar w:left="240" w:top="141" w:right="239" w:bottom="0" w:gutter="0" w:footer="0" w:header="0"/>
        </w:sectPr>
      </w:pPr>
    </w:p>
    <w:bookmarkStart w:id="198" w:name="page199"/>
    <w:bookmarkEnd w:id="198"/>
    <w:p>
      <w:pPr>
        <w:ind w:left="180"/>
        <w:spacing w:after="0"/>
        <w:rPr>
          <w:sz w:val="20"/>
          <w:szCs w:val="20"/>
          <w:color w:val="auto"/>
        </w:rPr>
      </w:pPr>
      <w:r>
        <w:rPr>
          <w:rFonts w:ascii="Arial" w:cs="Arial" w:eastAsia="Arial" w:hAnsi="Arial"/>
          <w:sz w:val="16"/>
          <w:szCs w:val="16"/>
          <w:color w:val="auto"/>
        </w:rPr>
        <w:t>Less accumulated depreciation and amortization</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Property, plant and equipment, net</w:t>
      </w: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960"/>
        <w:spacing w:after="0"/>
        <w:tabs>
          <w:tab w:leader="none" w:pos="2440" w:val="left"/>
        </w:tabs>
        <w:rPr>
          <w:sz w:val="20"/>
          <w:szCs w:val="20"/>
          <w:color w:val="auto"/>
        </w:rPr>
      </w:pPr>
      <w:r>
        <w:rPr>
          <w:rFonts w:ascii="Arial" w:cs="Arial" w:eastAsia="Arial" w:hAnsi="Arial"/>
          <w:sz w:val="16"/>
          <w:szCs w:val="16"/>
          <w:color w:val="auto"/>
        </w:rPr>
        <w:t>(3,965)</w:t>
      </w:r>
      <w:r>
        <w:rPr>
          <w:sz w:val="20"/>
          <w:szCs w:val="20"/>
          <w:color w:val="auto"/>
        </w:rPr>
        <w:tab/>
      </w:r>
      <w:r>
        <w:rPr>
          <w:rFonts w:ascii="Arial" w:cs="Arial" w:eastAsia="Arial" w:hAnsi="Arial"/>
          <w:sz w:val="16"/>
          <w:szCs w:val="16"/>
          <w:color w:val="auto"/>
        </w:rPr>
        <w:t>(3,802)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189547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ind w:left="1040"/>
        <w:spacing w:after="0"/>
        <w:tabs>
          <w:tab w:leader="none" w:pos="2500" w:val="left"/>
        </w:tabs>
        <w:rPr>
          <w:sz w:val="20"/>
          <w:szCs w:val="20"/>
          <w:color w:val="auto"/>
        </w:rPr>
      </w:pPr>
      <w:r>
        <w:rPr>
          <w:rFonts w:ascii="Arial" w:cs="Arial" w:eastAsia="Arial" w:hAnsi="Arial"/>
          <w:sz w:val="16"/>
          <w:szCs w:val="16"/>
          <w:color w:val="auto"/>
        </w:rPr>
        <w:t>6,600</w:t>
      </w:r>
      <w:r>
        <w:rPr>
          <w:sz w:val="20"/>
          <w:szCs w:val="20"/>
          <w:color w:val="auto"/>
        </w:rPr>
        <w:tab/>
      </w:r>
      <w:r>
        <w:rPr>
          <w:rFonts w:ascii="Arial" w:cs="Arial" w:eastAsia="Arial" w:hAnsi="Arial"/>
          <w:sz w:val="16"/>
          <w:szCs w:val="16"/>
          <w:color w:val="auto"/>
        </w:rPr>
        <w:t>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189547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spacing w:after="0"/>
        <w:tabs>
          <w:tab w:leader="none" w:pos="1020" w:val="left"/>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8,475 $</w:t>
      </w:r>
      <w:r>
        <w:rPr>
          <w:sz w:val="20"/>
          <w:szCs w:val="20"/>
          <w:color w:val="auto"/>
        </w:rPr>
        <w:tab/>
      </w:r>
      <w:r>
        <w:rPr>
          <w:rFonts w:ascii="Arial" w:cs="Arial" w:eastAsia="Arial" w:hAnsi="Arial"/>
          <w:sz w:val="16"/>
          <w:szCs w:val="16"/>
          <w:color w:val="auto"/>
        </w:rPr>
        <w:t>7,986</w:t>
      </w:r>
    </w:p>
    <w:p>
      <w:pPr>
        <w:spacing w:after="0" w:line="21" w:lineRule="exact"/>
        <w:rPr>
          <w:sz w:val="20"/>
          <w:szCs w:val="20"/>
          <w:color w:val="auto"/>
        </w:rPr>
      </w:pPr>
    </w:p>
    <w:p>
      <w:pPr>
        <w:sectPr>
          <w:pgSz w:w="11900" w:h="16838" w:orient="portrait"/>
          <w:cols w:equalWidth="0" w:num="2">
            <w:col w:w="7720" w:space="720"/>
            <w:col w:w="2980"/>
          </w:cols>
          <w:pgMar w:left="240" w:top="128" w:right="239" w:bottom="0" w:gutter="0" w:footer="0" w:header="0"/>
        </w:sect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3"/>
          </w:tcPr>
          <w:p>
            <w:pPr>
              <w:jc w:val="right"/>
              <w:ind w:right="199"/>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7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7520" w:type="dxa"/>
            <w:vAlign w:val="bottom"/>
          </w:tcPr>
          <w:p>
            <w:pPr>
              <w:spacing w:after="0" w:line="164" w:lineRule="exact"/>
              <w:rPr>
                <w:sz w:val="20"/>
                <w:szCs w:val="20"/>
                <w:color w:val="auto"/>
              </w:rPr>
            </w:pPr>
            <w:r>
              <w:rPr>
                <w:rFonts w:ascii="Arial" w:cs="Arial" w:eastAsia="Arial" w:hAnsi="Arial"/>
                <w:sz w:val="16"/>
                <w:szCs w:val="16"/>
                <w:color w:val="auto"/>
              </w:rPr>
              <w:t>LIABILITIES AND SHAREHOLDERS’ EQUITY</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7540" w:type="dxa"/>
            <w:vAlign w:val="bottom"/>
            <w:gridSpan w:val="2"/>
          </w:tcPr>
          <w:p>
            <w:pPr>
              <w:spacing w:after="0" w:line="176" w:lineRule="exact"/>
              <w:rPr>
                <w:sz w:val="20"/>
                <w:szCs w:val="20"/>
                <w:color w:val="auto"/>
              </w:rPr>
            </w:pPr>
            <w:r>
              <w:rPr>
                <w:rFonts w:ascii="Arial" w:cs="Arial" w:eastAsia="Arial" w:hAnsi="Arial"/>
                <w:sz w:val="16"/>
                <w:szCs w:val="16"/>
                <w:color w:val="auto"/>
              </w:rPr>
              <w:t>Current liabilities: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Accounts payable – trade</w:t>
            </w:r>
          </w:p>
        </w:tc>
        <w:tc>
          <w:tcPr>
            <w:tcW w:w="900" w:type="dxa"/>
            <w:vAlign w:val="bottom"/>
          </w:tcPr>
          <w:p>
            <w:pPr>
              <w:spacing w:after="0"/>
              <w:rPr>
                <w:sz w:val="15"/>
                <w:szCs w:val="15"/>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315</w:t>
            </w: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Accounts payable – other</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78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Due to unconsolidated affiliate</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Accrued compensation and benefits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98</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Regulatory balancing accounts, net</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180</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Current portion of long-term debt</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257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262</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Customer deposits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r>
      <w:tr>
        <w:trPr>
          <w:trHeight w:val="194"/>
        </w:trPr>
        <w:tc>
          <w:tcPr>
            <w:tcW w:w="20" w:type="dxa"/>
            <w:vAlign w:val="bottom"/>
          </w:tcPr>
          <w:p>
            <w:pPr>
              <w:spacing w:after="0"/>
              <w:rPr>
                <w:sz w:val="16"/>
                <w:szCs w:val="16"/>
                <w:color w:val="auto"/>
              </w:rPr>
            </w:pPr>
          </w:p>
        </w:tc>
        <w:tc>
          <w:tcPr>
            <w:tcW w:w="7520" w:type="dxa"/>
            <w:vAlign w:val="bottom"/>
          </w:tcPr>
          <w:p>
            <w:pPr>
              <w:ind w:left="160"/>
              <w:spacing w:after="0"/>
              <w:rPr>
                <w:sz w:val="20"/>
                <w:szCs w:val="20"/>
                <w:color w:val="auto"/>
              </w:rPr>
            </w:pPr>
            <w:r>
              <w:rPr>
                <w:rFonts w:ascii="Arial" w:cs="Arial" w:eastAsia="Arial" w:hAnsi="Arial"/>
                <w:sz w:val="16"/>
                <w:szCs w:val="16"/>
                <w:color w:val="auto"/>
              </w:rPr>
              <w:t>Other</w:t>
            </w:r>
          </w:p>
        </w:tc>
        <w:tc>
          <w:tcPr>
            <w:tcW w:w="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183"/>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Total current liabilities</w:t>
            </w:r>
          </w:p>
        </w:tc>
        <w:tc>
          <w:tcPr>
            <w:tcW w:w="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1,147</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1,210</w:t>
            </w:r>
          </w:p>
        </w:tc>
      </w:tr>
      <w:tr>
        <w:trPr>
          <w:trHeight w:val="183"/>
        </w:trPr>
        <w:tc>
          <w:tcPr>
            <w:tcW w:w="7540" w:type="dxa"/>
            <w:vAlign w:val="bottom"/>
            <w:gridSpan w:val="2"/>
          </w:tcPr>
          <w:p>
            <w:pPr>
              <w:spacing w:after="0" w:line="176" w:lineRule="exact"/>
              <w:rPr>
                <w:sz w:val="20"/>
                <w:szCs w:val="20"/>
                <w:color w:val="auto"/>
              </w:rPr>
            </w:pPr>
            <w:r>
              <w:rPr>
                <w:rFonts w:ascii="Arial" w:cs="Arial" w:eastAsia="Arial" w:hAnsi="Arial"/>
                <w:sz w:val="16"/>
                <w:szCs w:val="16"/>
                <w:color w:val="auto"/>
              </w:rPr>
              <w:t>Long-term debt</w:t>
            </w:r>
          </w:p>
        </w:tc>
        <w:tc>
          <w:tcPr>
            <w:tcW w:w="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1,064</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1,320</w:t>
            </w:r>
          </w:p>
        </w:tc>
      </w:tr>
      <w:tr>
        <w:trPr>
          <w:trHeight w:val="164"/>
        </w:trPr>
        <w:tc>
          <w:tcPr>
            <w:tcW w:w="7540" w:type="dxa"/>
            <w:vAlign w:val="bottom"/>
            <w:gridSpan w:val="2"/>
          </w:tcPr>
          <w:p>
            <w:pPr>
              <w:spacing w:after="0" w:line="164" w:lineRule="exact"/>
              <w:rPr>
                <w:sz w:val="20"/>
                <w:szCs w:val="20"/>
                <w:color w:val="auto"/>
              </w:rPr>
            </w:pPr>
            <w:r>
              <w:rPr>
                <w:rFonts w:ascii="Arial" w:cs="Arial" w:eastAsia="Arial" w:hAnsi="Arial"/>
                <w:sz w:val="16"/>
                <w:szCs w:val="16"/>
                <w:color w:val="auto"/>
              </w:rPr>
              <w:t>Deferred credits and other liabilities:</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Customer advances for construction</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110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133</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833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613</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576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418</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Deferred investment tax credits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1,075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1,208</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Asset retirement obligations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1,161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788</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Deferred taxes refundable in rates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r>
      <w:tr>
        <w:trPr>
          <w:trHeight w:val="194"/>
        </w:trPr>
        <w:tc>
          <w:tcPr>
            <w:tcW w:w="20" w:type="dxa"/>
            <w:vAlign w:val="bottom"/>
          </w:tcPr>
          <w:p>
            <w:pPr>
              <w:spacing w:after="0"/>
              <w:rPr>
                <w:sz w:val="16"/>
                <w:szCs w:val="16"/>
                <w:color w:val="auto"/>
              </w:rPr>
            </w:pPr>
          </w:p>
        </w:tc>
        <w:tc>
          <w:tcPr>
            <w:tcW w:w="7520" w:type="dxa"/>
            <w:vAlign w:val="bottom"/>
          </w:tcPr>
          <w:p>
            <w:pPr>
              <w:ind w:left="160"/>
              <w:spacing w:after="0"/>
              <w:rPr>
                <w:sz w:val="20"/>
                <w:szCs w:val="20"/>
                <w:color w:val="auto"/>
              </w:rPr>
            </w:pPr>
            <w:r>
              <w:rPr>
                <w:rFonts w:ascii="Arial" w:cs="Arial" w:eastAsia="Arial" w:hAnsi="Arial"/>
                <w:sz w:val="16"/>
                <w:szCs w:val="16"/>
                <w:color w:val="auto"/>
              </w:rPr>
              <w:t>Deferred credits and other</w:t>
            </w:r>
          </w:p>
        </w:tc>
        <w:tc>
          <w:tcPr>
            <w:tcW w:w="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183"/>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4,071</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3,501</w:t>
            </w:r>
          </w:p>
        </w:tc>
      </w:tr>
      <w:tr>
        <w:trPr>
          <w:trHeight w:val="359"/>
        </w:trPr>
        <w:tc>
          <w:tcPr>
            <w:tcW w:w="754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2"/>
        </w:trPr>
        <w:tc>
          <w:tcPr>
            <w:tcW w:w="754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Preferred stock</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Common stock (100 million shares authorized; 91 million shares outstanding;</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no par value)</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Retained earnings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1,326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1,089</w:t>
            </w:r>
          </w:p>
        </w:tc>
      </w:tr>
      <w:tr>
        <w:trPr>
          <w:trHeight w:val="194"/>
        </w:trPr>
        <w:tc>
          <w:tcPr>
            <w:tcW w:w="20" w:type="dxa"/>
            <w:vAlign w:val="bottom"/>
          </w:tcPr>
          <w:p>
            <w:pPr>
              <w:spacing w:after="0"/>
              <w:rPr>
                <w:sz w:val="16"/>
                <w:szCs w:val="16"/>
                <w:color w:val="auto"/>
              </w:rPr>
            </w:pPr>
          </w:p>
        </w:tc>
        <w:tc>
          <w:tcPr>
            <w:tcW w:w="752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83"/>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Total shareholders’ equity</w:t>
            </w:r>
          </w:p>
        </w:tc>
        <w:tc>
          <w:tcPr>
            <w:tcW w:w="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2,193</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1,955</w:t>
            </w:r>
          </w:p>
        </w:tc>
      </w:tr>
      <w:tr>
        <w:trPr>
          <w:trHeight w:val="183"/>
        </w:trPr>
        <w:tc>
          <w:tcPr>
            <w:tcW w:w="7540" w:type="dxa"/>
            <w:vAlign w:val="bottom"/>
            <w:gridSpan w:val="2"/>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900" w:type="dxa"/>
            <w:vAlign w:val="bottom"/>
          </w:tcPr>
          <w:p>
            <w:pPr>
              <w:spacing w:after="0"/>
              <w:rPr>
                <w:sz w:val="15"/>
                <w:szCs w:val="15"/>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8,475</w:t>
            </w: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7,986</w:t>
            </w:r>
          </w:p>
        </w:tc>
      </w:tr>
      <w:tr>
        <w:trPr>
          <w:trHeight w:val="186"/>
        </w:trPr>
        <w:tc>
          <w:tcPr>
            <w:tcW w:w="20" w:type="dxa"/>
            <w:vAlign w:val="bottom"/>
          </w:tcPr>
          <w:p>
            <w:pPr>
              <w:spacing w:after="0"/>
              <w:rPr>
                <w:sz w:val="16"/>
                <w:szCs w:val="16"/>
                <w:color w:val="auto"/>
              </w:rPr>
            </w:pPr>
          </w:p>
        </w:tc>
        <w:tc>
          <w:tcPr>
            <w:tcW w:w="75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9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462"/>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752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SOUTHERN CALIFORNIA GAS COMPANY AND SUBSIDIARIES</w:t>
            </w:r>
          </w:p>
        </w:tc>
        <w:tc>
          <w:tcPr>
            <w:tcW w:w="900" w:type="dxa"/>
            <w:vAlign w:val="bottom"/>
            <w:shd w:val="clear" w:color="auto" w:fill="C0C0C0"/>
          </w:tcPr>
          <w:p>
            <w:pPr>
              <w:spacing w:after="0"/>
              <w:rPr>
                <w:sz w:val="11"/>
                <w:szCs w:val="11"/>
                <w:color w:val="auto"/>
              </w:rPr>
            </w:pPr>
          </w:p>
        </w:tc>
        <w:tc>
          <w:tcPr>
            <w:tcW w:w="380" w:type="dxa"/>
            <w:vAlign w:val="bottom"/>
            <w:shd w:val="clear" w:color="auto" w:fill="C0C0C0"/>
          </w:tcPr>
          <w:p>
            <w:pPr>
              <w:spacing w:after="0"/>
              <w:rPr>
                <w:sz w:val="11"/>
                <w:szCs w:val="11"/>
                <w:color w:val="auto"/>
              </w:rPr>
            </w:pPr>
          </w:p>
        </w:tc>
        <w:tc>
          <w:tcPr>
            <w:tcW w:w="140" w:type="dxa"/>
            <w:vAlign w:val="bottom"/>
            <w:shd w:val="clear" w:color="auto" w:fill="C0C0C0"/>
          </w:tcPr>
          <w:p>
            <w:pPr>
              <w:spacing w:after="0"/>
              <w:rPr>
                <w:sz w:val="11"/>
                <w:szCs w:val="11"/>
                <w:color w:val="auto"/>
              </w:rPr>
            </w:pPr>
          </w:p>
        </w:tc>
        <w:tc>
          <w:tcPr>
            <w:tcW w:w="96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1220" w:type="dxa"/>
            <w:vAlign w:val="bottom"/>
            <w:shd w:val="clear" w:color="auto" w:fill="C0C0C0"/>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9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96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22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979"/>
              <w:spacing w:after="0"/>
              <w:rPr>
                <w:sz w:val="20"/>
                <w:szCs w:val="20"/>
                <w:color w:val="auto"/>
              </w:rPr>
            </w:pPr>
            <w:r>
              <w:rPr>
                <w:rFonts w:ascii="Arial" w:cs="Arial" w:eastAsia="Arial" w:hAnsi="Arial"/>
                <w:sz w:val="14"/>
                <w:szCs w:val="14"/>
                <w:color w:val="auto"/>
              </w:rPr>
              <w:t>Years ended December 31,</w:t>
            </w:r>
          </w:p>
        </w:tc>
      </w:tr>
      <w:tr>
        <w:trPr>
          <w:trHeight w:val="183"/>
        </w:trPr>
        <w:tc>
          <w:tcPr>
            <w:tcW w:w="20" w:type="dxa"/>
            <w:vAlign w:val="bottom"/>
          </w:tcPr>
          <w:p>
            <w:pPr>
              <w:spacing w:after="0"/>
              <w:rPr>
                <w:sz w:val="15"/>
                <w:szCs w:val="15"/>
                <w:color w:val="auto"/>
              </w:rPr>
            </w:pPr>
          </w:p>
        </w:tc>
        <w:tc>
          <w:tcPr>
            <w:tcW w:w="7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7520" w:type="dxa"/>
            <w:vAlign w:val="bottom"/>
          </w:tcPr>
          <w:p>
            <w:pPr>
              <w:spacing w:after="0" w:line="164" w:lineRule="exact"/>
              <w:rPr>
                <w:sz w:val="20"/>
                <w:szCs w:val="20"/>
                <w:color w:val="auto"/>
              </w:rPr>
            </w:pPr>
            <w:r>
              <w:rPr>
                <w:rFonts w:ascii="Arial" w:cs="Arial" w:eastAsia="Arial" w:hAnsi="Arial"/>
                <w:sz w:val="16"/>
                <w:szCs w:val="16"/>
                <w:color w:val="auto"/>
              </w:rPr>
              <w:t>CASH FLOWS FROM OPERATING ACTIVITIES</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Net income</w:t>
            </w:r>
          </w:p>
        </w:tc>
        <w:tc>
          <w:tcPr>
            <w:tcW w:w="900" w:type="dxa"/>
            <w:vAlign w:val="bottom"/>
          </w:tcPr>
          <w:p>
            <w:pPr>
              <w:jc w:val="right"/>
              <w:ind w:right="722"/>
              <w:spacing w:after="0" w:line="176" w:lineRule="exact"/>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288</w:t>
            </w:r>
          </w:p>
        </w:tc>
        <w:tc>
          <w:tcPr>
            <w:tcW w:w="14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274</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Adjustments to reconcile net income to net cash provided by</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operating activities: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520"/>
              <w:spacing w:after="0" w:line="176" w:lineRule="exact"/>
              <w:rPr>
                <w:sz w:val="20"/>
                <w:szCs w:val="20"/>
                <w:color w:val="auto"/>
              </w:rPr>
            </w:pPr>
            <w:r>
              <w:rPr>
                <w:rFonts w:ascii="Arial" w:cs="Arial" w:eastAsia="Arial" w:hAnsi="Arial"/>
                <w:sz w:val="16"/>
                <w:szCs w:val="16"/>
                <w:color w:val="auto"/>
              </w:rPr>
              <w:t>Depreciation</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331</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309</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293</w:t>
            </w:r>
          </w:p>
        </w:tc>
      </w:tr>
      <w:tr>
        <w:trPr>
          <w:trHeight w:val="176"/>
        </w:trPr>
        <w:tc>
          <w:tcPr>
            <w:tcW w:w="20" w:type="dxa"/>
            <w:vAlign w:val="bottom"/>
          </w:tcPr>
          <w:p>
            <w:pPr>
              <w:spacing w:after="0"/>
              <w:rPr>
                <w:sz w:val="15"/>
                <w:szCs w:val="15"/>
                <w:color w:val="auto"/>
              </w:rPr>
            </w:pPr>
          </w:p>
        </w:tc>
        <w:tc>
          <w:tcPr>
            <w:tcW w:w="7520" w:type="dxa"/>
            <w:vAlign w:val="bottom"/>
          </w:tcPr>
          <w:p>
            <w:pPr>
              <w:ind w:left="52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130</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107</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r>
      <w:tr>
        <w:trPr>
          <w:trHeight w:val="176"/>
        </w:trPr>
        <w:tc>
          <w:tcPr>
            <w:tcW w:w="20" w:type="dxa"/>
            <w:vAlign w:val="bottom"/>
          </w:tcPr>
          <w:p>
            <w:pPr>
              <w:spacing w:after="0"/>
              <w:rPr>
                <w:sz w:val="15"/>
                <w:szCs w:val="15"/>
                <w:color w:val="auto"/>
              </w:rPr>
            </w:pPr>
          </w:p>
        </w:tc>
        <w:tc>
          <w:tcPr>
            <w:tcW w:w="7520" w:type="dxa"/>
            <w:vAlign w:val="bottom"/>
          </w:tcPr>
          <w:p>
            <w:pPr>
              <w:ind w:left="520"/>
              <w:spacing w:after="0" w:line="176" w:lineRule="exact"/>
              <w:rPr>
                <w:sz w:val="20"/>
                <w:szCs w:val="20"/>
                <w:color w:val="auto"/>
              </w:rPr>
            </w:pPr>
            <w:r>
              <w:rPr>
                <w:rFonts w:ascii="Arial" w:cs="Arial" w:eastAsia="Arial" w:hAnsi="Arial"/>
                <w:sz w:val="16"/>
                <w:szCs w:val="16"/>
                <w:color w:val="auto"/>
              </w:rPr>
              <w:t>Other</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Changes in other assets</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Changes in other liabilities</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Changes in working capital components: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Accounts receivable</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(57)</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18</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Inventories</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Other current assets</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Accounts payable</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52</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Income taxes</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Due to/from affiliates, net</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Regulatory balancing accounts</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(56)</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20" w:type="dxa"/>
            <w:vAlign w:val="bottom"/>
          </w:tcPr>
          <w:p>
            <w:pPr>
              <w:spacing w:after="0"/>
              <w:rPr>
                <w:sz w:val="15"/>
                <w:szCs w:val="15"/>
                <w:color w:val="auto"/>
              </w:rPr>
            </w:pPr>
          </w:p>
        </w:tc>
        <w:tc>
          <w:tcPr>
            <w:tcW w:w="7520" w:type="dxa"/>
            <w:vAlign w:val="bottom"/>
          </w:tcPr>
          <w:p>
            <w:pPr>
              <w:ind w:left="340"/>
              <w:spacing w:after="0" w:line="176" w:lineRule="exact"/>
              <w:rPr>
                <w:sz w:val="20"/>
                <w:szCs w:val="20"/>
                <w:color w:val="auto"/>
              </w:rPr>
            </w:pPr>
            <w:r>
              <w:rPr>
                <w:rFonts w:ascii="Arial" w:cs="Arial" w:eastAsia="Arial" w:hAnsi="Arial"/>
                <w:sz w:val="16"/>
                <w:szCs w:val="16"/>
                <w:color w:val="auto"/>
              </w:rPr>
              <w:t>Customer deposits</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(13)</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r>
      <w:tr>
        <w:trPr>
          <w:trHeight w:val="194"/>
        </w:trPr>
        <w:tc>
          <w:tcPr>
            <w:tcW w:w="20" w:type="dxa"/>
            <w:vAlign w:val="bottom"/>
          </w:tcPr>
          <w:p>
            <w:pPr>
              <w:spacing w:after="0"/>
              <w:rPr>
                <w:sz w:val="16"/>
                <w:szCs w:val="16"/>
                <w:color w:val="auto"/>
              </w:rPr>
            </w:pPr>
          </w:p>
        </w:tc>
        <w:tc>
          <w:tcPr>
            <w:tcW w:w="752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183"/>
        </w:trPr>
        <w:tc>
          <w:tcPr>
            <w:tcW w:w="20" w:type="dxa"/>
            <w:vAlign w:val="bottom"/>
          </w:tcPr>
          <w:p>
            <w:pPr>
              <w:spacing w:after="0"/>
              <w:rPr>
                <w:sz w:val="15"/>
                <w:szCs w:val="15"/>
                <w:color w:val="auto"/>
              </w:rPr>
            </w:pPr>
          </w:p>
        </w:tc>
        <w:tc>
          <w:tcPr>
            <w:tcW w:w="7520" w:type="dxa"/>
            <w:vAlign w:val="bottom"/>
          </w:tcPr>
          <w:p>
            <w:pPr>
              <w:ind w:left="52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554</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736</w:t>
            </w: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440</w:t>
            </w:r>
          </w:p>
        </w:tc>
      </w:tr>
      <w:tr>
        <w:trPr>
          <w:trHeight w:val="340"/>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w w:val="96"/>
              </w:rPr>
              <w:t>(683)</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(503)</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(480)</w:t>
            </w:r>
          </w:p>
        </w:tc>
      </w:tr>
      <w:tr>
        <w:trPr>
          <w:trHeight w:val="194"/>
        </w:trPr>
        <w:tc>
          <w:tcPr>
            <w:tcW w:w="20" w:type="dxa"/>
            <w:vAlign w:val="bottom"/>
          </w:tcPr>
          <w:p>
            <w:pPr>
              <w:spacing w:after="0"/>
              <w:rPr>
                <w:sz w:val="16"/>
                <w:szCs w:val="16"/>
                <w:color w:val="auto"/>
              </w:rPr>
            </w:pPr>
          </w:p>
        </w:tc>
        <w:tc>
          <w:tcPr>
            <w:tcW w:w="7520" w:type="dxa"/>
            <w:vAlign w:val="bottom"/>
          </w:tcPr>
          <w:p>
            <w:pPr>
              <w:ind w:left="160"/>
              <w:spacing w:after="0"/>
              <w:rPr>
                <w:sz w:val="20"/>
                <w:szCs w:val="20"/>
                <w:color w:val="auto"/>
              </w:rPr>
            </w:pPr>
            <w:r>
              <w:rPr>
                <w:rFonts w:ascii="Arial" w:cs="Arial" w:eastAsia="Arial" w:hAnsi="Arial"/>
                <w:sz w:val="16"/>
                <w:szCs w:val="16"/>
                <w:color w:val="auto"/>
              </w:rPr>
              <w:t>Decrease (increase) in loans to affiliates, net</w:t>
            </w: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83"/>
        </w:trPr>
        <w:tc>
          <w:tcPr>
            <w:tcW w:w="20" w:type="dxa"/>
            <w:vAlign w:val="bottom"/>
          </w:tcPr>
          <w:p>
            <w:pPr>
              <w:spacing w:after="0"/>
              <w:rPr>
                <w:sz w:val="15"/>
                <w:szCs w:val="15"/>
                <w:color w:val="auto"/>
              </w:rPr>
            </w:pPr>
          </w:p>
        </w:tc>
        <w:tc>
          <w:tcPr>
            <w:tcW w:w="7520" w:type="dxa"/>
            <w:vAlign w:val="bottom"/>
          </w:tcPr>
          <w:p>
            <w:pPr>
              <w:ind w:left="520"/>
              <w:spacing w:after="0" w:line="176" w:lineRule="exact"/>
              <w:rPr>
                <w:sz w:val="20"/>
                <w:szCs w:val="20"/>
                <w:color w:val="auto"/>
              </w:rPr>
            </w:pPr>
            <w:r>
              <w:rPr>
                <w:rFonts w:ascii="Arial" w:cs="Arial" w:eastAsia="Arial" w:hAnsi="Arial"/>
                <w:sz w:val="16"/>
                <w:szCs w:val="16"/>
                <w:color w:val="auto"/>
              </w:rPr>
              <w:t>Net cash used in investing activities</w:t>
            </w: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6"/>
              </w:rPr>
              <w:t>(634)</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(566)</w:t>
            </w: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(496)</w:t>
            </w:r>
          </w:p>
        </w:tc>
      </w:tr>
      <w:tr>
        <w:trPr>
          <w:trHeight w:val="340"/>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Common dividends paid</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(100)</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Preferred dividends paid</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Issuance of long-term debt</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299</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7520" w:type="dxa"/>
            <w:vAlign w:val="bottom"/>
          </w:tcPr>
          <w:p>
            <w:pPr>
              <w:ind w:left="160"/>
              <w:spacing w:after="0" w:line="176" w:lineRule="exact"/>
              <w:rPr>
                <w:sz w:val="20"/>
                <w:szCs w:val="20"/>
                <w:color w:val="auto"/>
              </w:rPr>
            </w:pPr>
            <w:r>
              <w:rPr>
                <w:rFonts w:ascii="Arial" w:cs="Arial" w:eastAsia="Arial" w:hAnsi="Arial"/>
                <w:sz w:val="16"/>
                <w:szCs w:val="16"/>
                <w:color w:val="auto"/>
              </w:rPr>
              <w:t>Payment of long-term debt</w:t>
            </w:r>
          </w:p>
        </w:tc>
        <w:tc>
          <w:tcPr>
            <w:tcW w:w="9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w w:val="96"/>
              </w:rPr>
              <w:t>(250)</w:t>
            </w:r>
          </w:p>
        </w:tc>
        <w:tc>
          <w:tcPr>
            <w:tcW w:w="14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r>
      <w:tr>
        <w:trPr>
          <w:trHeight w:val="194"/>
        </w:trPr>
        <w:tc>
          <w:tcPr>
            <w:tcW w:w="20" w:type="dxa"/>
            <w:vAlign w:val="bottom"/>
          </w:tcPr>
          <w:p>
            <w:pPr>
              <w:spacing w:after="0"/>
              <w:rPr>
                <w:sz w:val="16"/>
                <w:szCs w:val="16"/>
                <w:color w:val="auto"/>
              </w:rPr>
            </w:pPr>
          </w:p>
        </w:tc>
        <w:tc>
          <w:tcPr>
            <w:tcW w:w="7520" w:type="dxa"/>
            <w:vAlign w:val="bottom"/>
          </w:tcPr>
          <w:p>
            <w:pPr>
              <w:ind w:left="520"/>
              <w:spacing w:after="0"/>
              <w:rPr>
                <w:sz w:val="20"/>
                <w:szCs w:val="20"/>
                <w:color w:val="auto"/>
              </w:rPr>
            </w:pPr>
            <w:r>
              <w:rPr>
                <w:rFonts w:ascii="Arial" w:cs="Arial" w:eastAsia="Arial" w:hAnsi="Arial"/>
                <w:sz w:val="16"/>
                <w:szCs w:val="16"/>
                <w:color w:val="auto"/>
              </w:rPr>
              <w:t>Net cash (used in) provided by financing activities</w:t>
            </w: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(301)</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198</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340"/>
        </w:trPr>
        <w:tc>
          <w:tcPr>
            <w:tcW w:w="7540" w:type="dxa"/>
            <w:vAlign w:val="bottom"/>
            <w:gridSpan w:val="2"/>
          </w:tcPr>
          <w:p>
            <w:pPr>
              <w:spacing w:after="0"/>
              <w:rPr>
                <w:sz w:val="20"/>
                <w:szCs w:val="20"/>
                <w:color w:val="auto"/>
              </w:rPr>
            </w:pPr>
            <w:r>
              <w:rPr>
                <w:rFonts w:ascii="Arial" w:cs="Arial" w:eastAsia="Arial" w:hAnsi="Arial"/>
                <w:sz w:val="16"/>
                <w:szCs w:val="16"/>
                <w:color w:val="auto"/>
              </w:rPr>
              <w:t>(Decrease) increase in cash and cash equivalents</w:t>
            </w:r>
          </w:p>
        </w:tc>
        <w:tc>
          <w:tcPr>
            <w:tcW w:w="9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(381)</w:t>
            </w: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368</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194"/>
        </w:trPr>
        <w:tc>
          <w:tcPr>
            <w:tcW w:w="7540" w:type="dxa"/>
            <w:vAlign w:val="bottom"/>
            <w:gridSpan w:val="2"/>
          </w:tcPr>
          <w:p>
            <w:pPr>
              <w:spacing w:after="0"/>
              <w:rPr>
                <w:sz w:val="20"/>
                <w:szCs w:val="20"/>
                <w:color w:val="auto"/>
              </w:rPr>
            </w:pPr>
            <w:r>
              <w:rPr>
                <w:rFonts w:ascii="Arial" w:cs="Arial" w:eastAsia="Arial" w:hAnsi="Arial"/>
                <w:sz w:val="16"/>
                <w:szCs w:val="16"/>
                <w:color w:val="auto"/>
              </w:rPr>
              <w:t>Cash and cash equivalents, January 1</w:t>
            </w: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183"/>
        </w:trPr>
        <w:tc>
          <w:tcPr>
            <w:tcW w:w="7540" w:type="dxa"/>
            <w:vAlign w:val="bottom"/>
            <w:gridSpan w:val="2"/>
          </w:tcPr>
          <w:p>
            <w:pPr>
              <w:spacing w:after="0" w:line="176" w:lineRule="exact"/>
              <w:rPr>
                <w:sz w:val="20"/>
                <w:szCs w:val="20"/>
                <w:color w:val="auto"/>
              </w:rPr>
            </w:pPr>
            <w:r>
              <w:rPr>
                <w:rFonts w:ascii="Arial" w:cs="Arial" w:eastAsia="Arial" w:hAnsi="Arial"/>
                <w:sz w:val="16"/>
                <w:szCs w:val="16"/>
                <w:color w:val="auto"/>
              </w:rPr>
              <w:t>Cash and cash equivalents, December 31</w:t>
            </w:r>
          </w:p>
        </w:tc>
        <w:tc>
          <w:tcPr>
            <w:tcW w:w="900" w:type="dxa"/>
            <w:vAlign w:val="bottom"/>
            <w:tcBorders>
              <w:bottom w:val="single" w:sz="8" w:color="auto"/>
            </w:tcBorders>
          </w:tcPr>
          <w:p>
            <w:pPr>
              <w:jc w:val="right"/>
              <w:ind w:right="722"/>
              <w:spacing w:after="0" w:line="176"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417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49</w:t>
            </w:r>
          </w:p>
        </w:tc>
      </w:tr>
    </w:tbl>
    <w:p>
      <w:pPr>
        <w:sectPr>
          <w:pgSz w:w="11900" w:h="16838" w:orient="portrait"/>
          <w:cols w:equalWidth="0" w:num="1">
            <w:col w:w="11420"/>
          </w:cols>
          <w:pgMar w:left="240" w:top="128" w:right="239" w:bottom="0" w:gutter="0" w:footer="0" w:header="0"/>
          <w:type w:val="continuous"/>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gridSpan w:val="3"/>
          </w:tcPr>
          <w:p>
            <w:pPr>
              <w:spacing w:after="0"/>
              <w:rPr>
                <w:sz w:val="20"/>
                <w:szCs w:val="20"/>
                <w:color w:val="auto"/>
              </w:rPr>
            </w:pPr>
            <w:r>
              <w:rPr>
                <w:rFonts w:ascii="Arial" w:cs="Arial" w:eastAsia="Arial" w:hAnsi="Arial"/>
                <w:sz w:val="16"/>
                <w:szCs w:val="16"/>
                <w:color w:val="auto"/>
              </w:rPr>
              <w:t>SUPPLEMENTAL DISCLOSURE OF CASH FLOW INFORMATION</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ind w:left="16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ind w:left="60"/>
              <w:spacing w:after="0" w:line="176" w:lineRule="exact"/>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65</w:t>
            </w:r>
          </w:p>
        </w:tc>
        <w:tc>
          <w:tcPr>
            <w:tcW w:w="880" w:type="dxa"/>
            <w:vAlign w:val="bottom"/>
          </w:tcPr>
          <w:p>
            <w:pPr>
              <w:jc w:val="right"/>
              <w:ind w:right="683"/>
              <w:spacing w:after="0" w:line="176" w:lineRule="exact"/>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54</w:t>
            </w:r>
          </w:p>
        </w:tc>
        <w:tc>
          <w:tcPr>
            <w:tcW w:w="1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Income tax payments, net of refunds</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8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92"/>
        </w:trPr>
        <w:tc>
          <w:tcPr>
            <w:tcW w:w="4540" w:type="dxa"/>
            <w:vAlign w:val="bottom"/>
            <w:gridSpan w:val="2"/>
          </w:tcPr>
          <w:p>
            <w:pPr>
              <w:spacing w:after="0"/>
              <w:rPr>
                <w:sz w:val="20"/>
                <w:szCs w:val="20"/>
                <w:color w:val="auto"/>
              </w:rPr>
            </w:pPr>
            <w:r>
              <w:rPr>
                <w:rFonts w:ascii="Arial" w:cs="Arial" w:eastAsia="Arial" w:hAnsi="Arial"/>
                <w:sz w:val="16"/>
                <w:szCs w:val="16"/>
                <w:color w:val="auto"/>
              </w:rPr>
              <w:t>SUPPLEMENTAL DISCLOSURE OF NONCASH ACTIVITIES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Accrued capital expenditures</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88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40" w:type="dxa"/>
            <w:vAlign w:val="bottom"/>
            <w:gridSpan w:val="2"/>
          </w:tcPr>
          <w:p>
            <w:pPr>
              <w:ind w:left="160"/>
              <w:spacing w:after="0"/>
              <w:rPr>
                <w:sz w:val="20"/>
                <w:szCs w:val="20"/>
                <w:color w:val="auto"/>
              </w:rPr>
            </w:pPr>
            <w:r>
              <w:rPr>
                <w:rFonts w:ascii="Arial" w:cs="Arial" w:eastAsia="Arial" w:hAnsi="Arial"/>
                <w:sz w:val="16"/>
                <w:szCs w:val="16"/>
                <w:color w:val="auto"/>
              </w:rPr>
              <w:t>Increase in capital lease obligations for investments in property, plant and</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equipment</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40" w:type="dxa"/>
            <w:vAlign w:val="bottom"/>
            <w:gridSpan w:val="2"/>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SOUTHERN CALIFORNIA GAS COMPANY AND SUBSIDIARIES</w:t>
            </w:r>
          </w:p>
        </w:tc>
        <w:tc>
          <w:tcPr>
            <w:tcW w:w="360" w:type="dxa"/>
            <w:vAlign w:val="bottom"/>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080" w:type="dxa"/>
            <w:vAlign w:val="bottom"/>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06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88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14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122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20" w:type="dxa"/>
            <w:vAlign w:val="bottom"/>
            <w:gridSpan w:val="7"/>
            <w:shd w:val="clear" w:color="auto" w:fill="C0C0C0"/>
          </w:tcPr>
          <w:p>
            <w:pPr>
              <w:spacing w:after="0"/>
              <w:rPr>
                <w:sz w:val="20"/>
                <w:szCs w:val="20"/>
                <w:color w:val="auto"/>
              </w:rPr>
            </w:pPr>
            <w:r>
              <w:rPr>
                <w:rFonts w:ascii="Arial" w:cs="Arial" w:eastAsia="Arial" w:hAnsi="Arial"/>
                <w:sz w:val="16"/>
                <w:szCs w:val="16"/>
                <w:b w:val="1"/>
                <w:bCs w:val="1"/>
                <w:color w:val="auto"/>
              </w:rPr>
              <w:t>CONSOLIDATED STATEMENTS OF COMPREHENSIVE INCOME AND CHANGES IN SHAREHOLDERS’ EQUITY</w:t>
            </w:r>
          </w:p>
        </w:tc>
        <w:tc>
          <w:tcPr>
            <w:tcW w:w="20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02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08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06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88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2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4"/>
                <w:szCs w:val="14"/>
                <w:color w:val="auto"/>
              </w:rPr>
              <w:t>Years ended December 31, 2011, 2010 and 2009</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center"/>
              <w:ind w:right="16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Preferred</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color w:val="auto"/>
              </w:rPr>
              <w:t>Common</w:t>
            </w:r>
          </w:p>
        </w:tc>
        <w:tc>
          <w:tcPr>
            <w:tcW w:w="24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4"/>
                <w:szCs w:val="14"/>
                <w:color w:val="auto"/>
              </w:rPr>
              <w:t>Retained</w:t>
            </w: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5"/>
                <w:szCs w:val="15"/>
                <w:color w:val="auto"/>
              </w:rPr>
            </w:pPr>
          </w:p>
        </w:tc>
        <w:tc>
          <w:tcPr>
            <w:tcW w:w="1220" w:type="dxa"/>
            <w:vAlign w:val="bottom"/>
          </w:tcPr>
          <w:p>
            <w:pPr>
              <w:jc w:val="center"/>
              <w:ind w:right="187"/>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Stock</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Stock</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Earnings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Income (Loss)</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54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2008</w:t>
            </w:r>
          </w:p>
        </w:tc>
        <w:tc>
          <w:tcPr>
            <w:tcW w:w="1020" w:type="dxa"/>
            <w:vAlign w:val="bottom"/>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22</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line="142" w:lineRule="exact"/>
              <w:rPr>
                <w:sz w:val="20"/>
                <w:szCs w:val="20"/>
                <w:color w:val="auto"/>
              </w:rPr>
            </w:pPr>
            <w:r>
              <w:rPr>
                <w:rFonts w:ascii="Arial" w:cs="Arial" w:eastAsia="Arial" w:hAnsi="Arial"/>
                <w:sz w:val="14"/>
                <w:szCs w:val="14"/>
                <w:color w:val="auto"/>
              </w:rPr>
              <w:t>866</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7"/>
              <w:spacing w:after="0" w:line="142" w:lineRule="exact"/>
              <w:rPr>
                <w:sz w:val="20"/>
                <w:szCs w:val="20"/>
                <w:color w:val="auto"/>
              </w:rPr>
            </w:pPr>
            <w:r>
              <w:rPr>
                <w:rFonts w:ascii="Arial" w:cs="Arial" w:eastAsia="Arial" w:hAnsi="Arial"/>
                <w:sz w:val="14"/>
                <w:szCs w:val="14"/>
                <w:color w:val="auto"/>
              </w:rPr>
              <w:t>630</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4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(28)</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1,490</w:t>
            </w: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274</w:t>
            </w: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172"/>
        </w:trPr>
        <w:tc>
          <w:tcPr>
            <w:tcW w:w="4540" w:type="dxa"/>
            <w:vAlign w:val="bottom"/>
            <w:gridSpan w:val="2"/>
          </w:tcPr>
          <w:p>
            <w:pPr>
              <w:spacing w:after="0"/>
              <w:rPr>
                <w:sz w:val="20"/>
                <w:szCs w:val="20"/>
                <w:color w:val="auto"/>
              </w:rPr>
            </w:pPr>
            <w:r>
              <w:rPr>
                <w:rFonts w:ascii="Arial" w:cs="Arial" w:eastAsia="Arial" w:hAnsi="Arial"/>
                <w:sz w:val="14"/>
                <w:szCs w:val="14"/>
                <w:color w:val="auto"/>
              </w:rPr>
              <w:t>Comprehensive income adjustments:</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tcPr>
          <w:p>
            <w:pPr>
              <w:ind w:left="140"/>
              <w:spacing w:after="0" w:line="127" w:lineRule="exact"/>
              <w:rPr>
                <w:sz w:val="20"/>
                <w:szCs w:val="20"/>
                <w:color w:val="auto"/>
              </w:rPr>
            </w:pPr>
            <w:r>
              <w:rPr>
                <w:rFonts w:ascii="Arial" w:cs="Arial" w:eastAsia="Arial" w:hAnsi="Arial"/>
                <w:sz w:val="14"/>
                <w:szCs w:val="14"/>
                <w:color w:val="auto"/>
              </w:rPr>
              <w:t>Financial instruments</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Comprehensive income</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277</w:t>
            </w:r>
          </w:p>
        </w:tc>
        <w:tc>
          <w:tcPr>
            <w:tcW w:w="0" w:type="dxa"/>
            <w:vAlign w:val="bottom"/>
          </w:tcPr>
          <w:p>
            <w:pPr>
              <w:spacing w:after="0"/>
              <w:rPr>
                <w:sz w:val="1"/>
                <w:szCs w:val="1"/>
                <w:color w:val="auto"/>
              </w:rPr>
            </w:pPr>
          </w:p>
        </w:tc>
      </w:tr>
      <w:tr>
        <w:trPr>
          <w:trHeight w:val="291"/>
        </w:trPr>
        <w:tc>
          <w:tcPr>
            <w:tcW w:w="4540" w:type="dxa"/>
            <w:vAlign w:val="bottom"/>
            <w:gridSpan w:val="2"/>
          </w:tcPr>
          <w:p>
            <w:pPr>
              <w:spacing w:after="0"/>
              <w:rPr>
                <w:sz w:val="20"/>
                <w:szCs w:val="20"/>
                <w:color w:val="auto"/>
              </w:rPr>
            </w:pPr>
            <w:r>
              <w:rPr>
                <w:rFonts w:ascii="Arial" w:cs="Arial" w:eastAsia="Arial" w:hAnsi="Arial"/>
                <w:sz w:val="14"/>
                <w:szCs w:val="14"/>
                <w:color w:val="auto"/>
              </w:rPr>
              <w:t>Preferred stock dividends declared</w:t>
            </w: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9"/>
        </w:trPr>
        <w:tc>
          <w:tcPr>
            <w:tcW w:w="454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2009</w:t>
            </w:r>
          </w:p>
        </w:tc>
        <w:tc>
          <w:tcPr>
            <w:tcW w:w="1020" w:type="dxa"/>
            <w:vAlign w:val="bottom"/>
          </w:tcPr>
          <w:p>
            <w:pPr>
              <w:spacing w:after="0"/>
              <w:rPr>
                <w:sz w:val="14"/>
                <w:szCs w:val="14"/>
                <w:color w:val="auto"/>
              </w:rPr>
            </w:pPr>
          </w:p>
        </w:tc>
        <w:tc>
          <w:tcPr>
            <w:tcW w:w="3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4"/>
                <w:szCs w:val="14"/>
                <w:color w:val="auto"/>
              </w:rPr>
            </w:pPr>
          </w:p>
        </w:tc>
        <w:tc>
          <w:tcPr>
            <w:tcW w:w="1080" w:type="dxa"/>
            <w:vAlign w:val="bottom"/>
          </w:tcPr>
          <w:p>
            <w:pPr>
              <w:jc w:val="right"/>
              <w:ind w:right="48"/>
              <w:spacing w:after="0" w:line="142" w:lineRule="exact"/>
              <w:rPr>
                <w:sz w:val="20"/>
                <w:szCs w:val="20"/>
                <w:color w:val="auto"/>
              </w:rPr>
            </w:pPr>
            <w:r>
              <w:rPr>
                <w:rFonts w:ascii="Arial" w:cs="Arial" w:eastAsia="Arial" w:hAnsi="Arial"/>
                <w:sz w:val="14"/>
                <w:szCs w:val="14"/>
                <w:color w:val="auto"/>
              </w:rPr>
              <w:t>866</w:t>
            </w:r>
          </w:p>
        </w:tc>
        <w:tc>
          <w:tcPr>
            <w:tcW w:w="240" w:type="dxa"/>
            <w:vAlign w:val="bottom"/>
          </w:tcPr>
          <w:p>
            <w:pPr>
              <w:spacing w:after="0"/>
              <w:rPr>
                <w:sz w:val="14"/>
                <w:szCs w:val="14"/>
                <w:color w:val="auto"/>
              </w:rPr>
            </w:pPr>
          </w:p>
        </w:tc>
        <w:tc>
          <w:tcPr>
            <w:tcW w:w="1060" w:type="dxa"/>
            <w:vAlign w:val="bottom"/>
          </w:tcPr>
          <w:p>
            <w:pPr>
              <w:jc w:val="right"/>
              <w:ind w:right="27"/>
              <w:spacing w:after="0" w:line="142" w:lineRule="exact"/>
              <w:rPr>
                <w:sz w:val="20"/>
                <w:szCs w:val="20"/>
                <w:color w:val="auto"/>
              </w:rPr>
            </w:pPr>
            <w:r>
              <w:rPr>
                <w:rFonts w:ascii="Arial" w:cs="Arial" w:eastAsia="Arial" w:hAnsi="Arial"/>
                <w:sz w:val="14"/>
                <w:szCs w:val="14"/>
                <w:color w:val="auto"/>
              </w:rPr>
              <w:t>903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(25)</w:t>
            </w:r>
          </w:p>
        </w:tc>
        <w:tc>
          <w:tcPr>
            <w:tcW w:w="120" w:type="dxa"/>
            <w:vAlign w:val="bottom"/>
          </w:tcPr>
          <w:p>
            <w:pPr>
              <w:spacing w:after="0"/>
              <w:rPr>
                <w:sz w:val="14"/>
                <w:szCs w:val="14"/>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1,766</w:t>
            </w: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287</w:t>
            </w: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172"/>
        </w:trPr>
        <w:tc>
          <w:tcPr>
            <w:tcW w:w="4540" w:type="dxa"/>
            <w:vAlign w:val="bottom"/>
            <w:gridSpan w:val="2"/>
          </w:tcPr>
          <w:p>
            <w:pPr>
              <w:spacing w:after="0"/>
              <w:rPr>
                <w:sz w:val="20"/>
                <w:szCs w:val="20"/>
                <w:color w:val="auto"/>
              </w:rPr>
            </w:pPr>
            <w:r>
              <w:rPr>
                <w:rFonts w:ascii="Arial" w:cs="Arial" w:eastAsia="Arial" w:hAnsi="Arial"/>
                <w:sz w:val="14"/>
                <w:szCs w:val="14"/>
                <w:color w:val="auto"/>
              </w:rPr>
              <w:t>Comprehensive income adjustments:</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tcPr>
          <w:p>
            <w:pPr>
              <w:ind w:left="140"/>
              <w:spacing w:after="0" w:line="127" w:lineRule="exact"/>
              <w:rPr>
                <w:sz w:val="20"/>
                <w:szCs w:val="20"/>
                <w:color w:val="auto"/>
              </w:rPr>
            </w:pPr>
            <w:r>
              <w:rPr>
                <w:rFonts w:ascii="Arial" w:cs="Arial" w:eastAsia="Arial" w:hAnsi="Arial"/>
                <w:sz w:val="14"/>
                <w:szCs w:val="14"/>
                <w:color w:val="auto"/>
              </w:rPr>
              <w:t>Financial instruments</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Comprehensive income</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297"/>
        </w:trPr>
        <w:tc>
          <w:tcPr>
            <w:tcW w:w="4540" w:type="dxa"/>
            <w:vAlign w:val="bottom"/>
            <w:gridSpan w:val="2"/>
          </w:tcPr>
          <w:p>
            <w:pPr>
              <w:spacing w:after="0"/>
              <w:rPr>
                <w:sz w:val="20"/>
                <w:szCs w:val="20"/>
                <w:color w:val="auto"/>
              </w:rPr>
            </w:pPr>
            <w:r>
              <w:rPr>
                <w:rFonts w:ascii="Arial" w:cs="Arial" w:eastAsia="Arial" w:hAnsi="Arial"/>
                <w:sz w:val="14"/>
                <w:szCs w:val="14"/>
                <w:color w:val="auto"/>
              </w:rPr>
              <w:t>Preferred stock dividends declared</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Common stock dividends declared</w:t>
            </w: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69"/>
        </w:trPr>
        <w:tc>
          <w:tcPr>
            <w:tcW w:w="454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2010</w:t>
            </w:r>
          </w:p>
        </w:tc>
        <w:tc>
          <w:tcPr>
            <w:tcW w:w="1020" w:type="dxa"/>
            <w:vAlign w:val="bottom"/>
          </w:tcPr>
          <w:p>
            <w:pPr>
              <w:spacing w:after="0"/>
              <w:rPr>
                <w:sz w:val="14"/>
                <w:szCs w:val="14"/>
                <w:color w:val="auto"/>
              </w:rPr>
            </w:pPr>
          </w:p>
        </w:tc>
        <w:tc>
          <w:tcPr>
            <w:tcW w:w="3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4"/>
                <w:szCs w:val="14"/>
                <w:color w:val="auto"/>
              </w:rPr>
            </w:pPr>
          </w:p>
        </w:tc>
        <w:tc>
          <w:tcPr>
            <w:tcW w:w="1080" w:type="dxa"/>
            <w:vAlign w:val="bottom"/>
          </w:tcPr>
          <w:p>
            <w:pPr>
              <w:jc w:val="right"/>
              <w:ind w:right="48"/>
              <w:spacing w:after="0" w:line="142" w:lineRule="exact"/>
              <w:rPr>
                <w:sz w:val="20"/>
                <w:szCs w:val="20"/>
                <w:color w:val="auto"/>
              </w:rPr>
            </w:pPr>
            <w:r>
              <w:rPr>
                <w:rFonts w:ascii="Arial" w:cs="Arial" w:eastAsia="Arial" w:hAnsi="Arial"/>
                <w:sz w:val="14"/>
                <w:szCs w:val="14"/>
                <w:color w:val="auto"/>
              </w:rPr>
              <w:t>866</w:t>
            </w:r>
          </w:p>
        </w:tc>
        <w:tc>
          <w:tcPr>
            <w:tcW w:w="240" w:type="dxa"/>
            <w:vAlign w:val="bottom"/>
          </w:tcPr>
          <w:p>
            <w:pPr>
              <w:spacing w:after="0"/>
              <w:rPr>
                <w:sz w:val="14"/>
                <w:szCs w:val="14"/>
                <w:color w:val="auto"/>
              </w:rPr>
            </w:pPr>
          </w:p>
        </w:tc>
        <w:tc>
          <w:tcPr>
            <w:tcW w:w="1060" w:type="dxa"/>
            <w:vAlign w:val="bottom"/>
          </w:tcPr>
          <w:p>
            <w:pPr>
              <w:jc w:val="right"/>
              <w:ind w:right="27"/>
              <w:spacing w:after="0" w:line="142" w:lineRule="exact"/>
              <w:rPr>
                <w:sz w:val="20"/>
                <w:szCs w:val="20"/>
                <w:color w:val="auto"/>
              </w:rPr>
            </w:pPr>
            <w:r>
              <w:rPr>
                <w:rFonts w:ascii="Arial" w:cs="Arial" w:eastAsia="Arial" w:hAnsi="Arial"/>
                <w:sz w:val="14"/>
                <w:szCs w:val="14"/>
                <w:color w:val="auto"/>
              </w:rPr>
              <w:t>1,089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(22)</w:t>
            </w:r>
          </w:p>
        </w:tc>
        <w:tc>
          <w:tcPr>
            <w:tcW w:w="120" w:type="dxa"/>
            <w:vAlign w:val="bottom"/>
          </w:tcPr>
          <w:p>
            <w:pPr>
              <w:spacing w:after="0"/>
              <w:rPr>
                <w:sz w:val="14"/>
                <w:szCs w:val="14"/>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288</w:t>
            </w: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288</w:t>
            </w: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Comprehensive income adjustments:</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140"/>
              <w:spacing w:after="0" w:line="144" w:lineRule="exact"/>
              <w:rPr>
                <w:sz w:val="20"/>
                <w:szCs w:val="20"/>
                <w:color w:val="auto"/>
              </w:rPr>
            </w:pPr>
            <w:r>
              <w:rPr>
                <w:rFonts w:ascii="Arial" w:cs="Arial" w:eastAsia="Arial" w:hAnsi="Arial"/>
                <w:sz w:val="14"/>
                <w:szCs w:val="14"/>
                <w:color w:val="auto"/>
              </w:rPr>
              <w:t>Pension and other postretirement benefits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gridSpan w:val="2"/>
          </w:tcPr>
          <w:p>
            <w:pPr>
              <w:jc w:val="right"/>
              <w:ind w:right="140"/>
              <w:spacing w:after="0" w:line="144"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20" w:type="dxa"/>
            <w:vAlign w:val="bottom"/>
          </w:tcPr>
          <w:p>
            <w:pPr>
              <w:ind w:left="140"/>
              <w:spacing w:after="0" w:line="155" w:lineRule="exact"/>
              <w:rPr>
                <w:sz w:val="20"/>
                <w:szCs w:val="20"/>
                <w:color w:val="auto"/>
              </w:rPr>
            </w:pPr>
            <w:r>
              <w:rPr>
                <w:rFonts w:ascii="Arial" w:cs="Arial" w:eastAsia="Arial" w:hAnsi="Arial"/>
                <w:sz w:val="14"/>
                <w:szCs w:val="14"/>
                <w:color w:val="auto"/>
              </w:rPr>
              <w:t>Financial instruments</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69"/>
        </w:trPr>
        <w:tc>
          <w:tcPr>
            <w:tcW w:w="4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Comprehensive income</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0" w:type="dxa"/>
            <w:vAlign w:val="bottom"/>
          </w:tcPr>
          <w:p>
            <w:pPr>
              <w:spacing w:after="0"/>
              <w:rPr>
                <w:sz w:val="1"/>
                <w:szCs w:val="1"/>
                <w:color w:val="auto"/>
              </w:rPr>
            </w:pPr>
          </w:p>
        </w:tc>
      </w:tr>
      <w:tr>
        <w:trPr>
          <w:trHeight w:val="297"/>
        </w:trPr>
        <w:tc>
          <w:tcPr>
            <w:tcW w:w="4540" w:type="dxa"/>
            <w:vAlign w:val="bottom"/>
            <w:gridSpan w:val="2"/>
          </w:tcPr>
          <w:p>
            <w:pPr>
              <w:spacing w:after="0"/>
              <w:rPr>
                <w:sz w:val="20"/>
                <w:szCs w:val="20"/>
                <w:color w:val="auto"/>
              </w:rPr>
            </w:pPr>
            <w:r>
              <w:rPr>
                <w:rFonts w:ascii="Arial" w:cs="Arial" w:eastAsia="Arial" w:hAnsi="Arial"/>
                <w:sz w:val="14"/>
                <w:szCs w:val="14"/>
                <w:color w:val="auto"/>
              </w:rPr>
              <w:t>Preferred stock dividends declared</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Common stock dividends declared</w:t>
            </w: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Balance at December 31, 2011</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1,326</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6"/>
              </w:rPr>
              <w:t>(21)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ectPr>
          <w:pgSz w:w="11900" w:h="16838" w:orient="portrait"/>
          <w:cols w:equalWidth="0" w:num="1">
            <w:col w:w="11420"/>
          </w:cols>
          <w:pgMar w:left="240" w:top="120" w:right="239" w:bottom="1440" w:gutter="0" w:footer="0" w:header="0"/>
        </w:sectPr>
      </w:pPr>
    </w:p>
    <w:bookmarkStart w:id="200" w:name="page201"/>
    <w:bookmarkEnd w:id="200"/>
    <w:p>
      <w:pPr>
        <w:spacing w:after="0"/>
        <w:rPr>
          <w:sz w:val="20"/>
          <w:szCs w:val="20"/>
          <w:color w:val="auto"/>
        </w:rPr>
      </w:pPr>
      <w:r>
        <w:rPr>
          <w:rFonts w:ascii="Arial" w:cs="Arial" w:eastAsia="Arial" w:hAnsi="Arial"/>
          <w:sz w:val="23"/>
          <w:szCs w:val="23"/>
          <w:color w:val="auto"/>
        </w:rPr>
        <w:t>SEMPRA ENERGY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NOTE 1. SIGNIFICANT ACCOUNTING POLICIES AND OTHER FINANCIAL DATA</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Sempra Energy’s Consolidated Financial Statements include the accounts of Sempra Energy, a California-based Fortune 500 holding company, and its consolidated subsidiaries and a variable interest entity (VIE). Sempra Energy’s principal subsidiaries are</w:t>
      </w:r>
    </w:p>
    <w:p>
      <w:pPr>
        <w:spacing w:after="0" w:line="170" w:lineRule="exact"/>
        <w:rPr>
          <w:sz w:val="20"/>
          <w:szCs w:val="20"/>
          <w:color w:val="auto"/>
        </w:rPr>
      </w:pPr>
    </w:p>
    <w:p>
      <w:pPr>
        <w:ind w:left="340" w:hanging="188"/>
        <w:spacing w:after="0"/>
        <w:tabs>
          <w:tab w:leader="none" w:pos="34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San Diego Gas &amp; Electric Company (SDG&amp;E) and Southern California Gas Company (SoCalGas); and</w:t>
      </w:r>
    </w:p>
    <w:p>
      <w:pPr>
        <w:spacing w:after="0" w:line="252" w:lineRule="exact"/>
        <w:rPr>
          <w:rFonts w:ascii="Arial" w:cs="Arial" w:eastAsia="Arial" w:hAnsi="Arial"/>
          <w:sz w:val="18"/>
          <w:szCs w:val="18"/>
          <w:b w:val="1"/>
          <w:bCs w:val="1"/>
          <w:color w:val="auto"/>
        </w:rPr>
      </w:pPr>
    </w:p>
    <w:p>
      <w:pPr>
        <w:ind w:left="340" w:hanging="188"/>
        <w:spacing w:after="0" w:line="308" w:lineRule="auto"/>
        <w:tabs>
          <w:tab w:leader="none" w:pos="340"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Sempra Global, the holding company for our energy-related businesses, which are Sempra Generation, Sempra Pipelines &amp; Storage, Sempra LNG and, prior to 2011, Sempra Commodities. Sempra Pipelines &amp; Storage also owns utilities in the U.S., Mexico, and South America.</w:t>
      </w:r>
    </w:p>
    <w:p>
      <w:pPr>
        <w:spacing w:after="0" w:line="1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refer to SDG&amp;E and SoCalGas collectively as the Sempra Utilities, which do not include the utilities in our Sempra Pipelines &amp; Storage business unit. All references in these Notes to “Sempra Generation,” “Sempra Pipelines &amp; Storage,” and “Sempra LNG,” are to the respective principal business units of Sempra Global and are not intended to refer to any legal entity with the same or similar name.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subsidiaries in Notes 3 and 4.</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SDG&amp;E’s Consolidated Financial Statements include its accounts and the accounts of a VIE of which SDG&amp;E is the primary beneficiary, as we discuss below under “Variable Interest Entities.” SDG&amp;E’s common stock is wholly owned by Enova Corporation, which is a wholly owned subsidiary of Sempra Energy.</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SoCalGas’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evaluated events and transactions that occurred after December 31, 2011 through the date the financial statements were issued, and in the opinion of management, the accompanying statements reflect all adjustments necessary for a fair presentation.</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we discuss in Note 3, in April 2011, Sempra Pipelines &amp; Storage acquired two electric distribution utilities in South America. Sempra Pipelines &amp; Storage also owns Mobile Gas Service Corporation (Mobile Gas) in southwest Alabama and Ecogas Mexico, S de RL de CV (Ecogas) in Northern Mexico, both natural gas distribution utilities. In prior years, we provided separate revenue and cost of revenue information on our consolidated statements of operations for the Sempra Utilities only, as the amounts for Mobile Gas and Ecogas were immaterial. Due to the addition of the South American utilities, we are now providing separate revenue and cost of revenue information on the Consolidated Statements of Operations on a combined basis for all of our utilities. Accordingly, amounts in the prior periods have been reclassified to conform with the current year presentation.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 in the Preparation of the Financial Statements</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prepare our financial statements in conformity with accounting principles generally accepted in the United States of America (GAAP). This requires us to make estimates and assumptions that affect the amounts reported in the financial statements and accompanying notes, including the disclosure of contingent assets and liabilities at the date of the financial statements. Although we believe the estimates and assumptions are reasonable, actual amounts ultimately may differ significantly from those estimates.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Effects of Regulation</w:t>
      </w:r>
    </w:p>
    <w:p>
      <w:pPr>
        <w:sectPr>
          <w:pgSz w:w="11900" w:h="16838" w:orient="portrait"/>
          <w:cols w:equalWidth="0" w:num="1">
            <w:col w:w="11420"/>
          </w:cols>
          <w:pgMar w:left="240" w:top="536" w:right="239" w:bottom="0" w:gutter="0" w:footer="0" w:header="0"/>
        </w:sectPr>
      </w:pPr>
    </w:p>
    <w:bookmarkStart w:id="201" w:name="page202"/>
    <w:bookmarkEnd w:id="201"/>
    <w:p>
      <w:pPr>
        <w:ind w:right="200"/>
        <w:spacing w:after="0" w:line="308" w:lineRule="auto"/>
        <w:rPr>
          <w:sz w:val="20"/>
          <w:szCs w:val="20"/>
          <w:color w:val="auto"/>
        </w:rPr>
      </w:pPr>
      <w:r>
        <w:rPr>
          <w:rFonts w:ascii="Arial" w:cs="Arial" w:eastAsia="Arial" w:hAnsi="Arial"/>
          <w:sz w:val="17"/>
          <w:szCs w:val="17"/>
          <w:color w:val="auto"/>
        </w:rPr>
        <w:t>The accounting policies of our regulated utility subsidiaries in California, SDG&amp;E and SoCalGas, conform with GAAP for regulated enterprises and reflect the policies of the California Public Utilities Commission (CPUC) and the Federal Energy Regulatory Commission (FERC).</w:t>
      </w:r>
    </w:p>
    <w:p>
      <w:pPr>
        <w:spacing w:after="0" w:line="14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Sempra Utilities prepare their financial statements in accordance with GAAP provisions governing regulated operations. Under these provisions, a regulated utility records a regulatory asset if it is probable that, through the ratemaking process, the utility will recover that asset from customers. To the extent that recovery is no longer probable, the related regulatory assets are written off. Regulatory liabilities represent amounts collected from customers in advance of the actual expenditure by the utility. If the actual expenditures are less than amounts previously collected from ratepayers, the excess would be refunded to customers, generally by reducing future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subsidiaries of Sempra Pipelines &amp; Storage also apply GAAP for regulated utilities to their operations:</w:t>
      </w:r>
    </w:p>
    <w:p>
      <w:pPr>
        <w:spacing w:after="0" w:line="225" w:lineRule="exact"/>
        <w:rPr>
          <w:sz w:val="20"/>
          <w:szCs w:val="20"/>
          <w:color w:val="auto"/>
        </w:rPr>
      </w:pPr>
    </w:p>
    <w:p>
      <w:pPr>
        <w:ind w:left="340" w:hanging="188"/>
        <w:spacing w:after="0"/>
        <w:tabs>
          <w:tab w:leader="none" w:pos="3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Mobile Gas</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Ecogas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provide information concerning regulatory assets and liabilities below in “Regulatory Balancing Accounts” and “Regulatory Assets and Liabilities.”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Balancing Accounts</w:t>
      </w: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summarizes our regulatory balancing accounts at December 31. The net payables (payables net of receivables) will be returned to customers by reducing future rates.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REGULATORY BALANCING ACCOUNTS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Sempra Energy</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
              <w:spacing w:after="0" w:line="157" w:lineRule="exact"/>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9"/>
              <w:spacing w:after="0" w:line="157" w:lineRule="exact"/>
              <w:rPr>
                <w:sz w:val="20"/>
                <w:szCs w:val="20"/>
                <w:color w:val="auto"/>
              </w:rPr>
            </w:pPr>
            <w:r>
              <w:rPr>
                <w:rFonts w:ascii="Arial" w:cs="Arial" w:eastAsia="Arial" w:hAnsi="Arial"/>
                <w:sz w:val="14"/>
                <w:szCs w:val="14"/>
                <w:color w:val="auto"/>
              </w:rPr>
              <w:t>SDG&amp;E</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580"/>
              <w:spacing w:after="0" w:line="157" w:lineRule="exact"/>
              <w:rPr>
                <w:sz w:val="20"/>
                <w:szCs w:val="20"/>
                <w:color w:val="auto"/>
              </w:rPr>
            </w:pPr>
            <w:r>
              <w:rPr>
                <w:rFonts w:ascii="Arial" w:cs="Arial" w:eastAsia="Arial" w:hAnsi="Arial"/>
                <w:sz w:val="14"/>
                <w:szCs w:val="14"/>
                <w:color w:val="auto"/>
              </w:rPr>
              <w:t>SoCalGas</w:t>
            </w:r>
          </w:p>
        </w:tc>
        <w:tc>
          <w:tcPr>
            <w:tcW w:w="8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ind w:right="943"/>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3060" w:type="dxa"/>
            <w:vAlign w:val="bottom"/>
          </w:tcPr>
          <w:p>
            <w:pPr>
              <w:spacing w:after="0" w:line="164" w:lineRule="exact"/>
              <w:rPr>
                <w:sz w:val="20"/>
                <w:szCs w:val="20"/>
                <w:color w:val="auto"/>
              </w:rPr>
            </w:pPr>
            <w:r>
              <w:rPr>
                <w:rFonts w:ascii="Arial" w:cs="Arial" w:eastAsia="Arial" w:hAnsi="Arial"/>
                <w:sz w:val="16"/>
                <w:szCs w:val="16"/>
                <w:color w:val="auto"/>
              </w:rPr>
              <w:t>Overcollected</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03"/>
              <w:spacing w:after="0" w:line="164" w:lineRule="exact"/>
              <w:rPr>
                <w:sz w:val="20"/>
                <w:szCs w:val="20"/>
                <w:color w:val="auto"/>
              </w:rPr>
            </w:pPr>
            <w:r>
              <w:rPr>
                <w:rFonts w:ascii="Arial" w:cs="Arial" w:eastAsia="Arial" w:hAnsi="Arial"/>
                <w:sz w:val="16"/>
                <w:szCs w:val="16"/>
                <w:color w:val="auto"/>
              </w:rPr>
              <w:t>709</w:t>
            </w:r>
          </w:p>
        </w:tc>
        <w:tc>
          <w:tcPr>
            <w:tcW w:w="22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900" w:type="dxa"/>
            <w:vAlign w:val="bottom"/>
          </w:tcPr>
          <w:p>
            <w:pPr>
              <w:jc w:val="center"/>
              <w:ind w:left="461"/>
              <w:spacing w:after="0" w:line="164" w:lineRule="exact"/>
              <w:rPr>
                <w:sz w:val="20"/>
                <w:szCs w:val="20"/>
                <w:color w:val="auto"/>
              </w:rPr>
            </w:pPr>
            <w:r>
              <w:rPr>
                <w:rFonts w:ascii="Arial" w:cs="Arial" w:eastAsia="Arial" w:hAnsi="Arial"/>
                <w:sz w:val="16"/>
                <w:szCs w:val="16"/>
                <w:color w:val="auto"/>
              </w:rPr>
              <w:t>733</w:t>
            </w:r>
          </w:p>
        </w:tc>
        <w:tc>
          <w:tcPr>
            <w:tcW w:w="360" w:type="dxa"/>
            <w:vAlign w:val="bottom"/>
          </w:tcPr>
          <w:p>
            <w:pPr>
              <w:jc w:val="right"/>
              <w:ind w:right="22"/>
              <w:spacing w:after="0" w:line="164"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3"/>
              <w:spacing w:after="0" w:line="164" w:lineRule="exact"/>
              <w:rPr>
                <w:sz w:val="20"/>
                <w:szCs w:val="20"/>
                <w:color w:val="auto"/>
              </w:rPr>
            </w:pPr>
            <w:r>
              <w:rPr>
                <w:rFonts w:ascii="Arial" w:cs="Arial" w:eastAsia="Arial" w:hAnsi="Arial"/>
                <w:sz w:val="16"/>
                <w:szCs w:val="16"/>
                <w:color w:val="auto"/>
              </w:rPr>
              <w:t>419</w:t>
            </w:r>
          </w:p>
        </w:tc>
        <w:tc>
          <w:tcPr>
            <w:tcW w:w="28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4" w:lineRule="exact"/>
              <w:rPr>
                <w:sz w:val="20"/>
                <w:szCs w:val="20"/>
                <w:color w:val="auto"/>
              </w:rPr>
            </w:pPr>
            <w:r>
              <w:rPr>
                <w:rFonts w:ascii="Arial" w:cs="Arial" w:eastAsia="Arial" w:hAnsi="Arial"/>
                <w:sz w:val="16"/>
                <w:szCs w:val="16"/>
                <w:color w:val="auto"/>
              </w:rPr>
              <w:t>443</w:t>
            </w: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000" w:type="dxa"/>
            <w:vAlign w:val="bottom"/>
          </w:tcPr>
          <w:p>
            <w:pPr>
              <w:ind w:left="580"/>
              <w:spacing w:after="0" w:line="164" w:lineRule="exact"/>
              <w:rPr>
                <w:sz w:val="20"/>
                <w:szCs w:val="20"/>
                <w:color w:val="auto"/>
              </w:rPr>
            </w:pPr>
            <w:r>
              <w:rPr>
                <w:rFonts w:ascii="Arial" w:cs="Arial" w:eastAsia="Arial" w:hAnsi="Arial"/>
                <w:sz w:val="16"/>
                <w:szCs w:val="16"/>
                <w:color w:val="auto"/>
              </w:rPr>
              <w:t>290</w:t>
            </w:r>
          </w:p>
        </w:tc>
        <w:tc>
          <w:tcPr>
            <w:tcW w:w="300" w:type="dxa"/>
            <w:vAlign w:val="bottom"/>
          </w:tcPr>
          <w:p>
            <w:pPr>
              <w:jc w:val="right"/>
              <w:ind w:right="39"/>
              <w:spacing w:after="0" w:line="164" w:lineRule="exact"/>
              <w:rPr>
                <w:sz w:val="20"/>
                <w:szCs w:val="20"/>
                <w:color w:val="auto"/>
              </w:rPr>
            </w:pPr>
            <w:r>
              <w:rPr>
                <w:rFonts w:ascii="Arial" w:cs="Arial" w:eastAsia="Arial" w:hAnsi="Arial"/>
                <w:sz w:val="16"/>
                <w:szCs w:val="16"/>
                <w:color w:val="auto"/>
              </w:rPr>
              <w:t>$</w:t>
            </w:r>
          </w:p>
        </w:tc>
        <w:tc>
          <w:tcPr>
            <w:tcW w:w="860" w:type="dxa"/>
            <w:vAlign w:val="bottom"/>
          </w:tcPr>
          <w:p>
            <w:pPr>
              <w:jc w:val="center"/>
              <w:ind w:left="421"/>
              <w:spacing w:after="0" w:line="164" w:lineRule="exact"/>
              <w:rPr>
                <w:sz w:val="20"/>
                <w:szCs w:val="20"/>
                <w:color w:val="auto"/>
              </w:rPr>
            </w:pPr>
            <w:r>
              <w:rPr>
                <w:rFonts w:ascii="Arial" w:cs="Arial" w:eastAsia="Arial" w:hAnsi="Arial"/>
                <w:sz w:val="16"/>
                <w:szCs w:val="16"/>
                <w:color w:val="auto"/>
              </w:rPr>
              <w:t>290</w:t>
            </w:r>
          </w:p>
        </w:tc>
      </w:tr>
      <w:tr>
        <w:trPr>
          <w:trHeight w:val="194"/>
        </w:trPr>
        <w:tc>
          <w:tcPr>
            <w:tcW w:w="3080" w:type="dxa"/>
            <w:vAlign w:val="bottom"/>
            <w:gridSpan w:val="2"/>
          </w:tcPr>
          <w:p>
            <w:pPr>
              <w:spacing w:after="0"/>
              <w:rPr>
                <w:sz w:val="20"/>
                <w:szCs w:val="20"/>
                <w:color w:val="auto"/>
              </w:rPr>
            </w:pPr>
            <w:r>
              <w:rPr>
                <w:rFonts w:ascii="Arial" w:cs="Arial" w:eastAsia="Arial" w:hAnsi="Arial"/>
                <w:sz w:val="16"/>
                <w:szCs w:val="16"/>
                <w:color w:val="auto"/>
              </w:rPr>
              <w:t>Undercollected</w:t>
            </w:r>
          </w:p>
        </w:tc>
        <w:tc>
          <w:tcPr>
            <w:tcW w:w="1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(642)</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441"/>
              <w:spacing w:after="0"/>
              <w:rPr>
                <w:sz w:val="20"/>
                <w:szCs w:val="20"/>
                <w:color w:val="auto"/>
              </w:rPr>
            </w:pPr>
            <w:r>
              <w:rPr>
                <w:rFonts w:ascii="Arial" w:cs="Arial" w:eastAsia="Arial" w:hAnsi="Arial"/>
                <w:sz w:val="16"/>
                <w:szCs w:val="16"/>
                <w:color w:val="auto"/>
              </w:rPr>
              <w:t>(492)</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(457)</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(185)</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01"/>
              <w:spacing w:after="0"/>
              <w:rPr>
                <w:sz w:val="20"/>
                <w:szCs w:val="20"/>
                <w:color w:val="auto"/>
              </w:rPr>
            </w:pPr>
            <w:r>
              <w:rPr>
                <w:rFonts w:ascii="Arial" w:cs="Arial" w:eastAsia="Arial" w:hAnsi="Arial"/>
                <w:sz w:val="16"/>
                <w:szCs w:val="16"/>
                <w:color w:val="auto"/>
              </w:rPr>
              <w:t>(110)</w:t>
            </w:r>
          </w:p>
        </w:tc>
      </w:tr>
      <w:tr>
        <w:trPr>
          <w:trHeight w:val="195"/>
        </w:trPr>
        <w:tc>
          <w:tcPr>
            <w:tcW w:w="3080" w:type="dxa"/>
            <w:vAlign w:val="bottom"/>
            <w:gridSpan w:val="2"/>
          </w:tcPr>
          <w:p>
            <w:pPr>
              <w:spacing w:after="0"/>
              <w:rPr>
                <w:sz w:val="20"/>
                <w:szCs w:val="20"/>
                <w:color w:val="auto"/>
              </w:rPr>
            </w:pPr>
            <w:r>
              <w:rPr>
                <w:rFonts w:ascii="Arial" w:cs="Arial" w:eastAsia="Arial" w:hAnsi="Arial"/>
                <w:sz w:val="16"/>
                <w:szCs w:val="16"/>
                <w:color w:val="auto"/>
              </w:rPr>
              <w:t>Net payable (receivable)(1)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3"/>
              <w:spacing w:after="0"/>
              <w:rPr>
                <w:sz w:val="20"/>
                <w:szCs w:val="20"/>
                <w:color w:val="auto"/>
              </w:rPr>
            </w:pPr>
            <w:r>
              <w:rPr>
                <w:rFonts w:ascii="Arial" w:cs="Arial" w:eastAsia="Arial" w:hAnsi="Arial"/>
                <w:sz w:val="16"/>
                <w:szCs w:val="16"/>
                <w:color w:val="auto"/>
              </w:rPr>
              <w:t>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center"/>
              <w:ind w:left="461"/>
              <w:spacing w:after="0"/>
              <w:rPr>
                <w:sz w:val="20"/>
                <w:szCs w:val="20"/>
                <w:color w:val="auto"/>
              </w:rPr>
            </w:pPr>
            <w:r>
              <w:rPr>
                <w:rFonts w:ascii="Arial" w:cs="Arial" w:eastAsia="Arial" w:hAnsi="Arial"/>
                <w:sz w:val="16"/>
                <w:szCs w:val="16"/>
                <w:color w:val="auto"/>
              </w:rPr>
              <w:t>241</w:t>
            </w: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580"/>
              <w:spacing w:after="0"/>
              <w:rPr>
                <w:sz w:val="20"/>
                <w:szCs w:val="20"/>
                <w:color w:val="auto"/>
              </w:rPr>
            </w:pPr>
            <w:r>
              <w:rPr>
                <w:rFonts w:ascii="Arial" w:cs="Arial" w:eastAsia="Arial" w:hAnsi="Arial"/>
                <w:sz w:val="16"/>
                <w:szCs w:val="16"/>
                <w:color w:val="auto"/>
              </w:rPr>
              <w:t>105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421"/>
              <w:spacing w:after="0"/>
              <w:rPr>
                <w:sz w:val="20"/>
                <w:szCs w:val="20"/>
                <w:color w:val="auto"/>
              </w:rPr>
            </w:pPr>
            <w:r>
              <w:rPr>
                <w:rFonts w:ascii="Arial" w:cs="Arial" w:eastAsia="Arial" w:hAnsi="Arial"/>
                <w:sz w:val="16"/>
                <w:szCs w:val="16"/>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right="3940" w:hanging="175"/>
        <w:spacing w:after="0" w:line="277" w:lineRule="auto"/>
        <w:rPr>
          <w:sz w:val="20"/>
          <w:szCs w:val="20"/>
          <w:color w:val="auto"/>
        </w:rPr>
      </w:pPr>
      <w:r>
        <w:rPr>
          <w:rFonts w:ascii="Arial" w:cs="Arial" w:eastAsia="Arial" w:hAnsi="Arial"/>
          <w:sz w:val="14"/>
          <w:szCs w:val="14"/>
          <w:i w:val="1"/>
          <w:iCs w:val="1"/>
          <w:color w:val="auto"/>
        </w:rPr>
        <w:t>(1)At December 31, 2011, the net receivable at SDG&amp;E and the net payable at SoCalGas are shown separately on Sempra Energy’s Consolidated Balance Sheet.</w:t>
      </w:r>
    </w:p>
    <w:p>
      <w:pPr>
        <w:spacing w:after="0" w:line="2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Over- and undercollected regulatory balancing accounts reflect the difference between customer billings and recorded or CPUC-authorized costs, primarily commodity costs. Amounts in the balancing accounts are recoverable or refundable in future rates, subject to CPUC approval. Balancing account treatment eliminates the impact on earnings from variances in the covered costs from authorized amounts. Absent balancing account treatment, variations in the cost of fuel supply and certain operating and maintenance costs from amounts approved by the CPUC would increase volatility in utility earnings.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regulatory matters in Notes 14 and 15.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Assets and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show the details of regulatory assets and liabilities in the following table, and discuss each of them separately below.</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ASSETS (LIABILITIES)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9"/>
              <w:spacing w:after="0" w:line="157"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826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980" w:type="dxa"/>
            <w:vAlign w:val="bottom"/>
          </w:tcPr>
          <w:p>
            <w:pPr>
              <w:jc w:val="right"/>
              <w:ind w:right="802"/>
              <w:spacing w:after="0" w:line="176"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258</w:t>
            </w:r>
          </w:p>
        </w:tc>
        <w:tc>
          <w:tcPr>
            <w:tcW w:w="360" w:type="dxa"/>
            <w:vAlign w:val="bottom"/>
          </w:tcPr>
          <w:p>
            <w:pPr>
              <w:jc w:val="right"/>
              <w:ind w:right="17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299</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Costs related to wildfire litigation</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594</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364</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Deferred taxes recoverable in rates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570</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502</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Pension and other postretirement benefit obligations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Removal obligations(1)</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(1,462)</w:t>
            </w:r>
          </w:p>
        </w:tc>
        <w:tc>
          <w:tcPr>
            <w:tcW w:w="360" w:type="dxa"/>
            <w:vAlign w:val="bottom"/>
          </w:tcPr>
          <w:p>
            <w:pPr>
              <w:spacing w:after="0"/>
              <w:rPr>
                <w:sz w:val="15"/>
                <w:szCs w:val="15"/>
                <w:color w:val="auto"/>
              </w:rPr>
            </w:pPr>
          </w:p>
        </w:tc>
        <w:tc>
          <w:tcPr>
            <w:tcW w:w="12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(1,409)</w:t>
            </w: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Unamortized loss on reacquired debt, net</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Environmental costs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Legacy meters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91</w:t>
            </w:r>
          </w:p>
        </w:tc>
        <w:tc>
          <w:tcPr>
            <w:tcW w:w="360" w:type="dxa"/>
            <w:vAlign w:val="bottom"/>
          </w:tcPr>
          <w:p>
            <w:pPr>
              <w:spacing w:after="0"/>
              <w:rPr>
                <w:sz w:val="15"/>
                <w:szCs w:val="15"/>
                <w:color w:val="auto"/>
              </w:rPr>
            </w:pPr>
          </w:p>
        </w:tc>
        <w:tc>
          <w:tcPr>
            <w:tcW w:w="124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4"/>
        </w:trPr>
        <w:tc>
          <w:tcPr>
            <w:tcW w:w="8280" w:type="dxa"/>
            <w:vAlign w:val="bottom"/>
            <w:gridSpan w:val="2"/>
          </w:tcPr>
          <w:p>
            <w:pPr>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8260" w:type="dxa"/>
            <w:vAlign w:val="bottom"/>
          </w:tcPr>
          <w:p>
            <w:pPr>
              <w:ind w:left="160"/>
              <w:spacing w:after="0" w:line="176" w:lineRule="exact"/>
              <w:rPr>
                <w:sz w:val="20"/>
                <w:szCs w:val="20"/>
                <w:color w:val="auto"/>
              </w:rPr>
            </w:pPr>
            <w:r>
              <w:rPr>
                <w:rFonts w:ascii="Arial" w:cs="Arial" w:eastAsia="Arial" w:hAnsi="Arial"/>
                <w:sz w:val="16"/>
                <w:szCs w:val="16"/>
                <w:color w:val="auto"/>
              </w:rPr>
              <w:t>Total SDG&amp;E</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440</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113</w:t>
            </w:r>
          </w:p>
        </w:tc>
        <w:tc>
          <w:tcPr>
            <w:tcW w:w="20" w:type="dxa"/>
            <w:vAlign w:val="bottom"/>
          </w:tcPr>
          <w:p>
            <w:pPr>
              <w:spacing w:after="0"/>
              <w:rPr>
                <w:sz w:val="15"/>
                <w:szCs w:val="15"/>
                <w:color w:val="auto"/>
              </w:rPr>
            </w:pPr>
          </w:p>
        </w:tc>
      </w:tr>
      <w:tr>
        <w:trPr>
          <w:trHeight w:val="191"/>
        </w:trPr>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Pension and other postretirement benefit obligations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808</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Employee benefit costs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Removal obligations(1)</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(1,075)</w:t>
            </w:r>
          </w:p>
        </w:tc>
        <w:tc>
          <w:tcPr>
            <w:tcW w:w="360" w:type="dxa"/>
            <w:vAlign w:val="bottom"/>
          </w:tcPr>
          <w:p>
            <w:pPr>
              <w:spacing w:after="0"/>
              <w:rPr>
                <w:sz w:val="15"/>
                <w:szCs w:val="15"/>
                <w:color w:val="auto"/>
              </w:rPr>
            </w:pPr>
          </w:p>
        </w:tc>
        <w:tc>
          <w:tcPr>
            <w:tcW w:w="12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(1,208)</w:t>
            </w: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Deferred taxes refundable in rates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360" w:type="dxa"/>
            <w:vAlign w:val="bottom"/>
          </w:tcPr>
          <w:p>
            <w:pPr>
              <w:spacing w:after="0"/>
              <w:rPr>
                <w:sz w:val="15"/>
                <w:szCs w:val="15"/>
                <w:color w:val="auto"/>
              </w:rPr>
            </w:pPr>
          </w:p>
        </w:tc>
        <w:tc>
          <w:tcPr>
            <w:tcW w:w="12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(138)</w:t>
            </w: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Unamortized loss on reacquired debt, net</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Environmental costs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20" w:type="dxa"/>
            <w:vAlign w:val="bottom"/>
          </w:tcPr>
          <w:p>
            <w:pPr>
              <w:spacing w:after="0"/>
              <w:rPr>
                <w:sz w:val="15"/>
                <w:szCs w:val="15"/>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Workers’ compensation</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20" w:type="dxa"/>
            <w:vAlign w:val="bottom"/>
          </w:tcPr>
          <w:p>
            <w:pPr>
              <w:spacing w:after="0"/>
              <w:rPr>
                <w:sz w:val="15"/>
                <w:szCs w:val="15"/>
                <w:color w:val="auto"/>
              </w:rPr>
            </w:pPr>
          </w:p>
        </w:tc>
      </w:tr>
      <w:tr>
        <w:trPr>
          <w:trHeight w:val="194"/>
        </w:trPr>
        <w:tc>
          <w:tcPr>
            <w:tcW w:w="8280" w:type="dxa"/>
            <w:vAlign w:val="bottom"/>
            <w:gridSpan w:val="2"/>
          </w:tcPr>
          <w:p>
            <w:pPr>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183"/>
        </w:trPr>
        <w:tc>
          <w:tcPr>
            <w:tcW w:w="20" w:type="dxa"/>
            <w:vAlign w:val="bottom"/>
          </w:tcPr>
          <w:p>
            <w:pPr>
              <w:spacing w:after="0"/>
              <w:rPr>
                <w:sz w:val="15"/>
                <w:szCs w:val="15"/>
                <w:color w:val="auto"/>
              </w:rPr>
            </w:pPr>
          </w:p>
        </w:tc>
        <w:tc>
          <w:tcPr>
            <w:tcW w:w="8260" w:type="dxa"/>
            <w:vAlign w:val="bottom"/>
          </w:tcPr>
          <w:p>
            <w:pPr>
              <w:ind w:left="160"/>
              <w:spacing w:after="0" w:line="176" w:lineRule="exact"/>
              <w:rPr>
                <w:sz w:val="20"/>
                <w:szCs w:val="20"/>
                <w:color w:val="auto"/>
              </w:rPr>
            </w:pPr>
            <w:r>
              <w:rPr>
                <w:rFonts w:ascii="Arial" w:cs="Arial" w:eastAsia="Arial" w:hAnsi="Arial"/>
                <w:sz w:val="16"/>
                <w:szCs w:val="16"/>
                <w:color w:val="auto"/>
              </w:rPr>
              <w:t>Total SoCalGas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(208)</w:t>
            </w:r>
          </w:p>
        </w:tc>
        <w:tc>
          <w:tcPr>
            <w:tcW w:w="360" w:type="dxa"/>
            <w:vAlign w:val="bottom"/>
          </w:tcPr>
          <w:p>
            <w:pPr>
              <w:spacing w:after="0"/>
              <w:rPr>
                <w:sz w:val="15"/>
                <w:szCs w:val="15"/>
                <w:color w:val="auto"/>
              </w:rPr>
            </w:pPr>
          </w:p>
        </w:tc>
        <w:tc>
          <w:tcPr>
            <w:tcW w:w="12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(625)</w:t>
            </w:r>
          </w:p>
        </w:tc>
      </w:tr>
      <w:tr>
        <w:trPr>
          <w:trHeight w:val="164"/>
        </w:trPr>
        <w:tc>
          <w:tcPr>
            <w:tcW w:w="828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Other Sempra Energy</w:t>
            </w: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Mobile Gas</w:t>
            </w:r>
          </w:p>
        </w:tc>
        <w:tc>
          <w:tcPr>
            <w:tcW w:w="9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360" w:type="dxa"/>
            <w:vAlign w:val="bottom"/>
          </w:tcPr>
          <w:p>
            <w:pPr>
              <w:spacing w:after="0"/>
              <w:rPr>
                <w:sz w:val="15"/>
                <w:szCs w:val="15"/>
                <w:color w:val="auto"/>
              </w:rPr>
            </w:pPr>
          </w:p>
        </w:tc>
        <w:tc>
          <w:tcPr>
            <w:tcW w:w="12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(16)</w:t>
            </w:r>
          </w:p>
        </w:tc>
      </w:tr>
      <w:tr>
        <w:trPr>
          <w:trHeight w:val="194"/>
        </w:trPr>
        <w:tc>
          <w:tcPr>
            <w:tcW w:w="8280" w:type="dxa"/>
            <w:vAlign w:val="bottom"/>
            <w:gridSpan w:val="2"/>
          </w:tcPr>
          <w:p>
            <w:pPr>
              <w:spacing w:after="0"/>
              <w:rPr>
                <w:sz w:val="20"/>
                <w:szCs w:val="20"/>
                <w:color w:val="auto"/>
              </w:rPr>
            </w:pPr>
            <w:r>
              <w:rPr>
                <w:rFonts w:ascii="Arial" w:cs="Arial" w:eastAsia="Arial" w:hAnsi="Arial"/>
                <w:sz w:val="16"/>
                <w:szCs w:val="16"/>
                <w:color w:val="auto"/>
              </w:rPr>
              <w:t>Ecogas</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8260" w:type="dxa"/>
            <w:vAlign w:val="bottom"/>
          </w:tcPr>
          <w:p>
            <w:pPr>
              <w:ind w:left="160"/>
              <w:spacing w:after="0" w:line="176" w:lineRule="exact"/>
              <w:rPr>
                <w:sz w:val="20"/>
                <w:szCs w:val="20"/>
                <w:color w:val="auto"/>
              </w:rPr>
            </w:pPr>
            <w:r>
              <w:rPr>
                <w:rFonts w:ascii="Arial" w:cs="Arial" w:eastAsia="Arial" w:hAnsi="Arial"/>
                <w:sz w:val="16"/>
                <w:szCs w:val="16"/>
                <w:color w:val="auto"/>
              </w:rPr>
              <w:t>Total Other Sempra Energy</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tcPr>
          <w:p>
            <w:pPr>
              <w:spacing w:after="0"/>
              <w:rPr>
                <w:sz w:val="15"/>
                <w:szCs w:val="15"/>
                <w:color w:val="auto"/>
              </w:rPr>
            </w:pPr>
          </w:p>
        </w:tc>
      </w:tr>
      <w:tr>
        <w:trPr>
          <w:trHeight w:val="195"/>
        </w:trPr>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Total Sempra Energy Consolidated</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230</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hanging="552"/>
        <w:spacing w:after="0"/>
        <w:tabs>
          <w:tab w:leader="none" w:pos="560" w:val="left"/>
        </w:tabs>
        <w:numPr>
          <w:ilvl w:val="0"/>
          <w:numId w:val="290"/>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obligations discussed below in “Asset Retirement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REGULATORY ASSETS (LIABILITIES) AS PRESENTED ON THE CONSOLIDATED BALANCE SHEETS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ind w:left="4860"/>
        <w:spacing w:after="0"/>
        <w:tabs>
          <w:tab w:leader="none" w:pos="9200" w:val="left"/>
        </w:tabs>
        <w:rPr>
          <w:sz w:val="20"/>
          <w:szCs w:val="20"/>
          <w:color w:val="auto"/>
        </w:rPr>
      </w:pPr>
      <w:r>
        <w:rPr>
          <w:rFonts w:ascii="Arial" w:cs="Arial" w:eastAsia="Arial" w:hAnsi="Arial"/>
          <w:sz w:val="14"/>
          <w:szCs w:val="14"/>
          <w:color w:val="auto"/>
        </w:rPr>
        <w:t>2011</w:t>
      </w:r>
      <w:r>
        <w:rPr>
          <w:sz w:val="20"/>
          <w:szCs w:val="20"/>
          <w:color w:val="auto"/>
        </w:rPr>
        <w:tab/>
      </w:r>
      <w:r>
        <w:rPr>
          <w:rFonts w:ascii="Arial" w:cs="Arial" w:eastAsia="Arial" w:hAnsi="Arial"/>
          <w:sz w:val="14"/>
          <w:szCs w:val="14"/>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-1905</wp:posOffset>
            </wp:positionV>
            <wp:extent cx="53168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16855" cy="171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62"/>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center"/>
              <w:ind w:right="462"/>
              <w:spacing w:after="0"/>
              <w:rPr>
                <w:sz w:val="20"/>
                <w:szCs w:val="20"/>
                <w:color w:val="auto"/>
              </w:rPr>
            </w:pPr>
            <w:r>
              <w:rPr>
                <w:rFonts w:ascii="Arial" w:cs="Arial" w:eastAsia="Arial" w:hAnsi="Arial"/>
                <w:sz w:val="14"/>
                <w:szCs w:val="14"/>
                <w:color w:val="auto"/>
              </w:rPr>
              <w:t>Sempra</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center"/>
              <w:ind w:right="462"/>
              <w:spacing w:after="0"/>
              <w:rPr>
                <w:sz w:val="20"/>
                <w:szCs w:val="20"/>
                <w:color w:val="auto"/>
              </w:rPr>
            </w:pPr>
            <w:r>
              <w:rPr>
                <w:rFonts w:ascii="Arial" w:cs="Arial" w:eastAsia="Arial" w:hAnsi="Arial"/>
                <w:sz w:val="14"/>
                <w:szCs w:val="14"/>
                <w:color w:val="auto"/>
              </w:rPr>
              <w:t>Energy</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SDG&amp;E</w:t>
            </w:r>
          </w:p>
        </w:tc>
        <w:tc>
          <w:tcPr>
            <w:tcW w:w="15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color w:val="auto"/>
              </w:rPr>
              <w:t>SoCalGas</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SDG&amp;E</w:t>
            </w:r>
          </w:p>
        </w:tc>
        <w:tc>
          <w:tcPr>
            <w:tcW w:w="12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color w:val="auto"/>
              </w:rPr>
              <w:t>SoCalGas</w:t>
            </w:r>
          </w:p>
        </w:tc>
      </w:tr>
      <w:tr>
        <w:trPr>
          <w:trHeight w:val="164"/>
        </w:trPr>
        <w:tc>
          <w:tcPr>
            <w:tcW w:w="20" w:type="dxa"/>
            <w:vAlign w:val="bottom"/>
          </w:tcPr>
          <w:p>
            <w:pPr>
              <w:spacing w:after="0"/>
              <w:rPr>
                <w:sz w:val="14"/>
                <w:szCs w:val="14"/>
                <w:color w:val="auto"/>
              </w:rPr>
            </w:pPr>
          </w:p>
        </w:tc>
        <w:tc>
          <w:tcPr>
            <w:tcW w:w="3020" w:type="dxa"/>
            <w:vAlign w:val="bottom"/>
          </w:tcPr>
          <w:p>
            <w:pPr>
              <w:spacing w:after="0" w:line="164" w:lineRule="exact"/>
              <w:rPr>
                <w:sz w:val="20"/>
                <w:szCs w:val="20"/>
                <w:color w:val="auto"/>
              </w:rPr>
            </w:pPr>
            <w:r>
              <w:rPr>
                <w:rFonts w:ascii="Arial" w:cs="Arial" w:eastAsia="Arial" w:hAnsi="Arial"/>
                <w:sz w:val="16"/>
                <w:szCs w:val="16"/>
                <w:color w:val="auto"/>
              </w:rPr>
              <w:t>Current regulatory assets</w:t>
            </w:r>
          </w:p>
        </w:tc>
        <w:tc>
          <w:tcPr>
            <w:tcW w:w="380" w:type="dxa"/>
            <w:vAlign w:val="bottom"/>
          </w:tcPr>
          <w:p>
            <w:pPr>
              <w:ind w:left="260"/>
              <w:spacing w:after="0" w:line="164"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line="164" w:lineRule="exact"/>
              <w:rPr>
                <w:sz w:val="20"/>
                <w:szCs w:val="20"/>
                <w:color w:val="auto"/>
              </w:rPr>
            </w:pPr>
            <w:r>
              <w:rPr>
                <w:rFonts w:ascii="Arial" w:cs="Arial" w:eastAsia="Arial" w:hAnsi="Arial"/>
                <w:sz w:val="16"/>
                <w:szCs w:val="16"/>
                <w:color w:val="auto"/>
              </w:rPr>
              <w:t>89</w:t>
            </w:r>
          </w:p>
        </w:tc>
        <w:tc>
          <w:tcPr>
            <w:tcW w:w="2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78</w:t>
            </w:r>
          </w:p>
        </w:tc>
        <w:tc>
          <w:tcPr>
            <w:tcW w:w="460" w:type="dxa"/>
            <w:vAlign w:val="bottom"/>
          </w:tcPr>
          <w:p>
            <w:pPr>
              <w:jc w:val="right"/>
              <w:ind w:right="162"/>
              <w:spacing w:after="0" w:line="164"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line="164" w:lineRule="exact"/>
              <w:rPr>
                <w:sz w:val="20"/>
                <w:szCs w:val="20"/>
                <w:color w:val="auto"/>
              </w:rPr>
            </w:pPr>
            <w:r>
              <w:rPr>
                <w:rFonts w:ascii="Arial" w:cs="Arial" w:eastAsia="Arial" w:hAnsi="Arial"/>
                <w:sz w:val="16"/>
                <w:szCs w:val="16"/>
                <w:color w:val="auto"/>
              </w:rPr>
              <w:t>9</w:t>
            </w:r>
          </w:p>
        </w:tc>
        <w:tc>
          <w:tcPr>
            <w:tcW w:w="4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line="164" w:lineRule="exact"/>
              <w:rPr>
                <w:sz w:val="20"/>
                <w:szCs w:val="20"/>
                <w:color w:val="auto"/>
              </w:rPr>
            </w:pPr>
            <w:r>
              <w:rPr>
                <w:rFonts w:ascii="Arial" w:cs="Arial" w:eastAsia="Arial" w:hAnsi="Arial"/>
                <w:sz w:val="16"/>
                <w:szCs w:val="16"/>
                <w:color w:val="auto"/>
              </w:rPr>
              <w:t>90</w:t>
            </w:r>
          </w:p>
        </w:tc>
        <w:tc>
          <w:tcPr>
            <w:tcW w:w="24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71</w:t>
            </w:r>
          </w:p>
        </w:tc>
        <w:tc>
          <w:tcPr>
            <w:tcW w:w="460" w:type="dxa"/>
            <w:vAlign w:val="bottom"/>
          </w:tcPr>
          <w:p>
            <w:pPr>
              <w:jc w:val="right"/>
              <w:ind w:right="162"/>
              <w:spacing w:after="0" w:line="164"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64" w:lineRule="exact"/>
              <w:rPr>
                <w:sz w:val="20"/>
                <w:szCs w:val="20"/>
                <w:color w:val="auto"/>
              </w:rPr>
            </w:pPr>
            <w:r>
              <w:rPr>
                <w:rFonts w:ascii="Arial" w:cs="Arial" w:eastAsia="Arial" w:hAnsi="Arial"/>
                <w:sz w:val="16"/>
                <w:szCs w:val="16"/>
                <w:color w:val="auto"/>
              </w:rPr>
              <w:t>12</w:t>
            </w:r>
          </w:p>
        </w:tc>
      </w:tr>
      <w:tr>
        <w:trPr>
          <w:trHeight w:val="176"/>
        </w:trPr>
        <w:tc>
          <w:tcPr>
            <w:tcW w:w="3040" w:type="dxa"/>
            <w:vAlign w:val="bottom"/>
            <w:gridSpan w:val="2"/>
          </w:tcPr>
          <w:p>
            <w:pPr>
              <w:spacing w:after="0" w:line="176" w:lineRule="exact"/>
              <w:rPr>
                <w:sz w:val="20"/>
                <w:szCs w:val="20"/>
                <w:color w:val="auto"/>
              </w:rPr>
            </w:pPr>
            <w:r>
              <w:rPr>
                <w:rFonts w:ascii="Arial" w:cs="Arial" w:eastAsia="Arial" w:hAnsi="Arial"/>
                <w:sz w:val="16"/>
                <w:szCs w:val="16"/>
                <w:color w:val="auto"/>
              </w:rPr>
              <w:t>Noncurrent regulatory assets</w:t>
            </w:r>
          </w:p>
        </w:tc>
        <w:tc>
          <w:tcPr>
            <w:tcW w:w="380" w:type="dxa"/>
            <w:vAlign w:val="bottom"/>
          </w:tcPr>
          <w:p>
            <w:pPr>
              <w:spacing w:after="0"/>
              <w:rPr>
                <w:sz w:val="15"/>
                <w:szCs w:val="15"/>
                <w:color w:val="auto"/>
              </w:rPr>
            </w:pPr>
          </w:p>
        </w:tc>
        <w:tc>
          <w:tcPr>
            <w:tcW w:w="1080" w:type="dxa"/>
            <w:vAlign w:val="bottom"/>
          </w:tcPr>
          <w:p>
            <w:pPr>
              <w:jc w:val="right"/>
              <w:ind w:right="102"/>
              <w:spacing w:after="0" w:line="176" w:lineRule="exact"/>
              <w:rPr>
                <w:sz w:val="20"/>
                <w:szCs w:val="20"/>
                <w:color w:val="auto"/>
              </w:rPr>
            </w:pPr>
            <w:r>
              <w:rPr>
                <w:rFonts w:ascii="Arial" w:cs="Arial" w:eastAsia="Arial" w:hAnsi="Arial"/>
                <w:sz w:val="16"/>
                <w:szCs w:val="16"/>
                <w:color w:val="auto"/>
              </w:rPr>
              <w:t>2,780</w:t>
            </w:r>
          </w:p>
        </w:tc>
        <w:tc>
          <w:tcPr>
            <w:tcW w:w="260" w:type="dxa"/>
            <w:vAlign w:val="bottom"/>
          </w:tcPr>
          <w:p>
            <w:pPr>
              <w:spacing w:after="0"/>
              <w:rPr>
                <w:sz w:val="15"/>
                <w:szCs w:val="15"/>
                <w:color w:val="auto"/>
              </w:rPr>
            </w:pPr>
          </w:p>
        </w:tc>
        <w:tc>
          <w:tcPr>
            <w:tcW w:w="10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1,824</w:t>
            </w:r>
          </w:p>
        </w:tc>
        <w:tc>
          <w:tcPr>
            <w:tcW w:w="460" w:type="dxa"/>
            <w:vAlign w:val="bottom"/>
          </w:tcPr>
          <w:p>
            <w:pPr>
              <w:spacing w:after="0"/>
              <w:rPr>
                <w:sz w:val="15"/>
                <w:szCs w:val="15"/>
                <w:color w:val="auto"/>
              </w:rPr>
            </w:pPr>
          </w:p>
        </w:tc>
        <w:tc>
          <w:tcPr>
            <w:tcW w:w="104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945</w:t>
            </w:r>
          </w:p>
        </w:tc>
        <w:tc>
          <w:tcPr>
            <w:tcW w:w="460" w:type="dxa"/>
            <w:vAlign w:val="bottom"/>
          </w:tcPr>
          <w:p>
            <w:pPr>
              <w:spacing w:after="0"/>
              <w:rPr>
                <w:sz w:val="15"/>
                <w:szCs w:val="15"/>
                <w:color w:val="auto"/>
              </w:rPr>
            </w:pPr>
          </w:p>
        </w:tc>
        <w:tc>
          <w:tcPr>
            <w:tcW w:w="1080" w:type="dxa"/>
            <w:vAlign w:val="bottom"/>
          </w:tcPr>
          <w:p>
            <w:pPr>
              <w:jc w:val="right"/>
              <w:ind w:right="102"/>
              <w:spacing w:after="0" w:line="176" w:lineRule="exact"/>
              <w:rPr>
                <w:sz w:val="20"/>
                <w:szCs w:val="20"/>
                <w:color w:val="auto"/>
              </w:rPr>
            </w:pPr>
            <w:r>
              <w:rPr>
                <w:rFonts w:ascii="Arial" w:cs="Arial" w:eastAsia="Arial" w:hAnsi="Arial"/>
                <w:sz w:val="16"/>
                <w:szCs w:val="16"/>
                <w:color w:val="auto"/>
              </w:rPr>
              <w:t>2,167</w:t>
            </w:r>
          </w:p>
        </w:tc>
        <w:tc>
          <w:tcPr>
            <w:tcW w:w="240" w:type="dxa"/>
            <w:vAlign w:val="bottom"/>
          </w:tcPr>
          <w:p>
            <w:pPr>
              <w:spacing w:after="0"/>
              <w:rPr>
                <w:sz w:val="15"/>
                <w:szCs w:val="15"/>
                <w:color w:val="auto"/>
              </w:rPr>
            </w:pPr>
          </w:p>
        </w:tc>
        <w:tc>
          <w:tcPr>
            <w:tcW w:w="11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1,451</w:t>
            </w:r>
          </w:p>
        </w:tc>
        <w:tc>
          <w:tcPr>
            <w:tcW w:w="4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709</w:t>
            </w:r>
          </w:p>
        </w:tc>
      </w:tr>
      <w:tr>
        <w:trPr>
          <w:trHeight w:val="176"/>
        </w:trPr>
        <w:tc>
          <w:tcPr>
            <w:tcW w:w="3040" w:type="dxa"/>
            <w:vAlign w:val="bottom"/>
            <w:gridSpan w:val="2"/>
          </w:tcPr>
          <w:p>
            <w:pPr>
              <w:spacing w:after="0" w:line="176" w:lineRule="exact"/>
              <w:rPr>
                <w:sz w:val="20"/>
                <w:szCs w:val="20"/>
                <w:color w:val="auto"/>
              </w:rPr>
            </w:pPr>
            <w:r>
              <w:rPr>
                <w:rFonts w:ascii="Arial" w:cs="Arial" w:eastAsia="Arial" w:hAnsi="Arial"/>
                <w:sz w:val="16"/>
                <w:szCs w:val="16"/>
                <w:color w:val="auto"/>
              </w:rPr>
              <w:t>Current regulatory liabilities(1)</w:t>
            </w:r>
          </w:p>
        </w:tc>
        <w:tc>
          <w:tcPr>
            <w:tcW w:w="380" w:type="dxa"/>
            <w:vAlign w:val="bottom"/>
          </w:tcPr>
          <w:p>
            <w:pPr>
              <w:spacing w:after="0"/>
              <w:rPr>
                <w:sz w:val="15"/>
                <w:szCs w:val="15"/>
                <w:color w:val="auto"/>
              </w:rPr>
            </w:pPr>
          </w:p>
        </w:tc>
        <w:tc>
          <w:tcPr>
            <w:tcW w:w="108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w:t>
            </w:r>
          </w:p>
        </w:tc>
        <w:tc>
          <w:tcPr>
            <w:tcW w:w="260" w:type="dxa"/>
            <w:vAlign w:val="bottom"/>
          </w:tcPr>
          <w:p>
            <w:pPr>
              <w:spacing w:after="0"/>
              <w:rPr>
                <w:sz w:val="15"/>
                <w:szCs w:val="15"/>
                <w:color w:val="auto"/>
              </w:rPr>
            </w:pPr>
          </w:p>
        </w:tc>
        <w:tc>
          <w:tcPr>
            <w:tcW w:w="10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104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1080" w:type="dxa"/>
            <w:vAlign w:val="bottom"/>
          </w:tcPr>
          <w:p>
            <w:pPr>
              <w:jc w:val="right"/>
              <w:ind w:right="62"/>
              <w:spacing w:after="0" w:line="176" w:lineRule="exact"/>
              <w:rPr>
                <w:sz w:val="20"/>
                <w:szCs w:val="20"/>
                <w:color w:val="auto"/>
              </w:rPr>
            </w:pPr>
            <w:r>
              <w:rPr>
                <w:rFonts w:ascii="Arial" w:cs="Arial" w:eastAsia="Arial" w:hAnsi="Arial"/>
                <w:sz w:val="16"/>
                <w:szCs w:val="16"/>
                <w:color w:val="auto"/>
              </w:rPr>
              <w:t>(8)</w:t>
            </w:r>
          </w:p>
        </w:tc>
        <w:tc>
          <w:tcPr>
            <w:tcW w:w="240" w:type="dxa"/>
            <w:vAlign w:val="bottom"/>
          </w:tcPr>
          <w:p>
            <w:pPr>
              <w:spacing w:after="0"/>
              <w:rPr>
                <w:sz w:val="15"/>
                <w:szCs w:val="15"/>
                <w:color w:val="auto"/>
              </w:rPr>
            </w:pPr>
          </w:p>
        </w:tc>
        <w:tc>
          <w:tcPr>
            <w:tcW w:w="11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3040" w:type="dxa"/>
            <w:vAlign w:val="bottom"/>
            <w:gridSpan w:val="2"/>
          </w:tcPr>
          <w:p>
            <w:pPr>
              <w:spacing w:after="0"/>
              <w:rPr>
                <w:sz w:val="20"/>
                <w:szCs w:val="20"/>
                <w:color w:val="auto"/>
              </w:rPr>
            </w:pPr>
            <w:r>
              <w:rPr>
                <w:rFonts w:ascii="Arial" w:cs="Arial" w:eastAsia="Arial" w:hAnsi="Arial"/>
                <w:sz w:val="16"/>
                <w:szCs w:val="16"/>
                <w:color w:val="auto"/>
              </w:rPr>
              <w:t>Noncurrent regulatory liabilities</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(2,638)</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(1,462)</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(1,162)</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(2,768)</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(1,409)</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r>
      <w:tr>
        <w:trPr>
          <w:trHeight w:val="195"/>
        </w:trPr>
        <w:tc>
          <w:tcPr>
            <w:tcW w:w="3040" w:type="dxa"/>
            <w:vAlign w:val="bottom"/>
            <w:gridSpan w:val="2"/>
          </w:tcPr>
          <w:p>
            <w:pPr>
              <w:spacing w:after="0"/>
              <w:rPr>
                <w:sz w:val="20"/>
                <w:szCs w:val="20"/>
                <w:color w:val="auto"/>
              </w:rPr>
            </w:pPr>
            <w:r>
              <w:rPr>
                <w:rFonts w:ascii="Arial" w:cs="Arial" w:eastAsia="Arial" w:hAnsi="Arial"/>
                <w:sz w:val="16"/>
                <w:szCs w:val="16"/>
                <w:color w:val="auto"/>
              </w:rPr>
              <w:t>Total</w:t>
            </w:r>
          </w:p>
        </w:tc>
        <w:tc>
          <w:tcPr>
            <w:tcW w:w="380" w:type="dxa"/>
            <w:vAlign w:val="bottom"/>
          </w:tcPr>
          <w:p>
            <w:pPr>
              <w:ind w:left="2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230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440</w:t>
            </w:r>
          </w:p>
        </w:tc>
        <w:tc>
          <w:tcPr>
            <w:tcW w:w="4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(208)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(519)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113</w:t>
            </w:r>
          </w:p>
        </w:tc>
        <w:tc>
          <w:tcPr>
            <w:tcW w:w="4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80" w:hanging="472"/>
        <w:spacing w:after="0"/>
        <w:tabs>
          <w:tab w:leader="none" w:pos="480" w:val="left"/>
        </w:tabs>
        <w:numPr>
          <w:ilvl w:val="0"/>
          <w:numId w:val="291"/>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Current Liabilities.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the tables above:</w:t>
      </w:r>
    </w:p>
    <w:p>
      <w:pPr>
        <w:spacing w:after="0" w:line="225" w:lineRule="exact"/>
        <w:rPr>
          <w:sz w:val="20"/>
          <w:szCs w:val="20"/>
          <w:color w:val="auto"/>
        </w:rPr>
      </w:pPr>
    </w:p>
    <w:p>
      <w:pPr>
        <w:jc w:val="both"/>
        <w:ind w:left="340" w:hanging="188"/>
        <w:spacing w:after="0" w:line="256" w:lineRule="auto"/>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Regulatory assets arising from fixed-price contracts and other derivatives are offset by corresponding liabilities arising from purchased power and natural gas commodity and transportation contracts. The regulatory asset is increased/decreased based on changes in the fair market value of the contracts. It is also reduced as payments are made for commodities and services under these contracts.</w:t>
      </w:r>
    </w:p>
    <w:p>
      <w:pPr>
        <w:jc w:val="both"/>
        <w:ind w:left="340" w:hanging="188"/>
        <w:spacing w:after="0" w:line="250" w:lineRule="auto"/>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Deferred taxes recoverable/refundable in rates are based on current regulatory ratemaking and income tax laws. SDG&amp;E and SoCalGas expect to recover/refund net regulatory assets/liabilities related to deferred income taxes over the lives of the assets that give rise to the accumulated deferred income tax liabilities/assets.</w:t>
      </w:r>
    </w:p>
    <w:p>
      <w:pPr>
        <w:spacing w:after="0" w:line="1" w:lineRule="exact"/>
        <w:rPr>
          <w:rFonts w:ascii="Arial" w:cs="Arial" w:eastAsia="Arial" w:hAnsi="Arial"/>
          <w:sz w:val="18"/>
          <w:szCs w:val="18"/>
          <w:color w:val="auto"/>
        </w:rPr>
      </w:pPr>
    </w:p>
    <w:p>
      <w:pPr>
        <w:ind w:left="340" w:hanging="188"/>
        <w:spacing w:after="0" w:line="250" w:lineRule="auto"/>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Regulatory assets related to unamortized losses on reacquired debt are recovered over the remaining original amortization periods of the losses on reacquired debt. These periods range from 9 months to 16 years for SDG&amp;E and from 2 years to 15 years for SoCalGas.</w:t>
      </w:r>
    </w:p>
    <w:p>
      <w:pPr>
        <w:ind w:left="340" w:hanging="188"/>
        <w:spacing w:after="0" w:line="281" w:lineRule="auto"/>
        <w:tabs>
          <w:tab w:leader="none" w:pos="3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Regulatory assets related to environmental costs represent the portion of our environmental liability recognized at the end of the period in excess of the amount that has been recovered through rates charged to customers. We expect this amount to be recovered in future rates as expenditures are made.</w:t>
      </w:r>
    </w:p>
    <w:p>
      <w:pPr>
        <w:spacing w:after="0" w:line="1" w:lineRule="exact"/>
        <w:rPr>
          <w:rFonts w:ascii="Arial" w:cs="Arial" w:eastAsia="Arial" w:hAnsi="Arial"/>
          <w:sz w:val="16"/>
          <w:szCs w:val="16"/>
          <w:color w:val="auto"/>
        </w:rPr>
      </w:pPr>
    </w:p>
    <w:p>
      <w:pPr>
        <w:ind w:left="340" w:right="20" w:hanging="188"/>
        <w:spacing w:after="0" w:line="250" w:lineRule="auto"/>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Regulatory assets related to pension and other postretirement benefit obligations are offset by corresponding liabilities and are being recovered in rates as the plans are funded.</w:t>
      </w:r>
    </w:p>
    <w:p>
      <w:pPr>
        <w:ind w:left="340" w:hanging="188"/>
        <w:spacing w:after="0" w:line="250" w:lineRule="auto"/>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Regulatory assets arising from costs related to wildfire litigation are costs in excess of liability insurance coverage and amounts recovered, and to be recovered, from other potentially responsible parties, as we discuss in Note 15 under “SDG&amp;E—2007 Wildfire Litigation.”</w:t>
      </w:r>
    </w:p>
    <w:p>
      <w:pPr>
        <w:ind w:left="340" w:hanging="188"/>
        <w:spacing w:after="0" w:line="261" w:lineRule="auto"/>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regulatory asset related to the legacy meters removed from service and replaced under the Smart Meter Program is their undepreciated value. SDG&amp;E expects to recover this asset over a remaining life of 28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substantially all of these assets, the cash has not yet been expended and the assets are offset by liabilities that do not incur a carrying cost.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apply recurring fair value measurements to certain assets and liabilities, primarily nuclear decommissioning and benefit plan trust assets and other miscellaneous derivatives. “Fair value” is defined as the price that would be received to sell an asset or paid to transfer a liability in an orderly transaction between market participants at the measurement date (exit price).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 Also, we consider an issuer’s credit standing when measuring its liabilities at fair value.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establish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are available in active markets for identical assets or liabilities as of the reporting date. Active markets are those in which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occur in sufficient frequency and volume to provide pricing information on an ongoing basis. Our Level 1 financial instruments primarily consist of listed equities, U.S. government treasury securities and exchange-traded derivatives.</w:t>
      </w:r>
    </w:p>
    <w:p>
      <w:pPr>
        <w:spacing w:after="0" w:line="18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Pricing inputs are other than quoted prices in active markets included in Level 1, which are either directly or indirectly observable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date. Level 2 includes those financial instruments that are valued using models or other valuation methodologies. These models are primarily industry-standard models that consider various assumptions, including:</w:t>
      </w:r>
    </w:p>
    <w:p>
      <w:pPr>
        <w:spacing w:after="0" w:line="181" w:lineRule="exact"/>
        <w:rPr>
          <w:sz w:val="20"/>
          <w:szCs w:val="20"/>
          <w:color w:val="auto"/>
        </w:rPr>
      </w:pPr>
    </w:p>
    <w:p>
      <w:pPr>
        <w:ind w:left="340" w:hanging="188"/>
        <w:spacing w:after="0"/>
        <w:tabs>
          <w:tab w:leader="none" w:pos="3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quoted forward prices for commodities</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time value</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current market and contractual prices for the underlying instruments</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volatility factors</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other relevant economic measures</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Substantially all of these assumptions are observable in the marketplace throughout the full term of the instrument, can be derived from observable data or are supported by observable levels at which transactions are executed in the marketplace. Our financial instruments in this category include the Nuclear Decommissioning Trusts’ investments at SDG&amp;E and non-exchange-traded derivatives such as interest rate instruments and over-the-counter (OTC) forwards and options.</w:t>
      </w:r>
    </w:p>
    <w:p>
      <w:pPr>
        <w:spacing w:after="0" w:line="18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Pricing inputs include significant inputs that are generally less observable from objective sources. These inputs may be used with internally</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methodologies that result in management’s best estimate of fair value from the perspective of a market participant.</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highly liquid investments with maturities of three months or less at the date of purchase.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ectPr>
          <w:pgSz w:w="11900" w:h="16838" w:orient="portrait"/>
          <w:cols w:equalWidth="0" w:num="1">
            <w:col w:w="11420"/>
          </w:cols>
          <w:pgMar w:left="240" w:top="145" w:right="239" w:bottom="175" w:gutter="0" w:footer="0" w:header="0"/>
        </w:sectPr>
      </w:pPr>
    </w:p>
    <w:bookmarkStart w:id="203" w:name="page204"/>
    <w:bookmarkEnd w:id="203"/>
    <w:p>
      <w:pPr>
        <w:spacing w:after="0" w:line="3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Restricted cash at Sempra Energy, including amounts at SDG&amp;E discussed below, was $46 million and $158 million at December 31, 2011 and 2010, respectively. At December 31, 2010, it included long-term funds held in trust for construction financing of certain natural gas storage facilities of Sempra Pipelines &amp; Storage of $27 million.</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held $3 million and $15 million, respectively, at December 31, 2011 and 2010 of cash collateral received as security for guarantees issued by Sempra Energy related to businesses sold by RBS Sempra Commodities. We discuss RBS Sempra Commodities in Note 4 and our related guarantees in Note 5.</w:t>
      </w:r>
    </w:p>
    <w:p>
      <w:pPr>
        <w:spacing w:after="0" w:line="12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SDG&amp;E had restricted cash at December 31, 2011 of $14 million related to the purchase of a power plant on January 1, 2012. SDG&amp;E had $110 million of restricted cash at December 31, 2010 representing funds received from a wildfire litigation settlement that we describe in Note 15. These funds were restricted to use for 2007 wildfire litigation expenditures. In addition, restricted cash at SDG&amp;E of $29 million and $6 million at December 31, 2011 and 2010, respectively, are funds held by a trustee for Otay Mesa VIE (see “Variable Interest Entities—Otay Mesa VIE” below) to pay certain operating costs.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ALLOWANCES</w:t>
      </w:r>
    </w:p>
    <w:p>
      <w:pPr>
        <w:spacing w:after="0" w:line="2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record allowances for the collection of trade and other accounts and notes receivable which include allowances for doubtful customer accounts and for other receivables. We show the changes in these allowances in the table below:</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COLLECTION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52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Allowances for collection of receivables at January 1</w:t>
            </w:r>
          </w:p>
        </w:tc>
        <w:tc>
          <w:tcPr>
            <w:tcW w:w="1140" w:type="dxa"/>
            <w:vAlign w:val="bottom"/>
          </w:tcPr>
          <w:p>
            <w:pPr>
              <w:jc w:val="right"/>
              <w:ind w:right="780"/>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29</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27</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Provisions for uncollectible accounts</w:t>
            </w:r>
          </w:p>
        </w:tc>
        <w:tc>
          <w:tcPr>
            <w:tcW w:w="1140" w:type="dxa"/>
            <w:vAlign w:val="bottom"/>
          </w:tcPr>
          <w:p>
            <w:pPr>
              <w:spacing w:after="0"/>
              <w:rPr>
                <w:sz w:val="15"/>
                <w:szCs w:val="15"/>
                <w:color w:val="auto"/>
              </w:rPr>
            </w:pPr>
          </w:p>
        </w:tc>
        <w:tc>
          <w:tcPr>
            <w:tcW w:w="5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20</w:t>
            </w:r>
          </w:p>
        </w:tc>
        <w:tc>
          <w:tcPr>
            <w:tcW w:w="360" w:type="dxa"/>
            <w:vAlign w:val="bottom"/>
          </w:tcPr>
          <w:p>
            <w:pPr>
              <w:spacing w:after="0"/>
              <w:rPr>
                <w:sz w:val="15"/>
                <w:szCs w:val="15"/>
                <w:color w:val="auto"/>
              </w:rPr>
            </w:pP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22</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Write-offs of uncollectible accounts</w:t>
            </w:r>
          </w:p>
        </w:tc>
        <w:tc>
          <w:tcPr>
            <w:tcW w:w="1140" w:type="dxa"/>
            <w:vAlign w:val="bottom"/>
          </w:tcPr>
          <w:p>
            <w:pPr>
              <w:spacing w:after="0"/>
              <w:rPr>
                <w:sz w:val="15"/>
                <w:szCs w:val="15"/>
                <w:color w:val="auto"/>
              </w:rPr>
            </w:pPr>
          </w:p>
        </w:tc>
        <w:tc>
          <w:tcPr>
            <w:tcW w:w="5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(20)</w:t>
            </w:r>
          </w:p>
        </w:tc>
        <w:tc>
          <w:tcPr>
            <w:tcW w:w="360" w:type="dxa"/>
            <w:vAlign w:val="bottom"/>
          </w:tcPr>
          <w:p>
            <w:pPr>
              <w:spacing w:after="0"/>
              <w:rPr>
                <w:sz w:val="15"/>
                <w:szCs w:val="15"/>
                <w:color w:val="auto"/>
              </w:rPr>
            </w:pPr>
          </w:p>
        </w:tc>
        <w:tc>
          <w:tcPr>
            <w:tcW w:w="13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(20)</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r>
      <w:tr>
        <w:trPr>
          <w:trHeight w:val="194"/>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Allowances for collection of receivables at December 31</w:t>
            </w:r>
          </w:p>
        </w:tc>
        <w:tc>
          <w:tcPr>
            <w:tcW w:w="11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164"/>
        </w:trPr>
        <w:tc>
          <w:tcPr>
            <w:tcW w:w="654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Allowances for collection of receivables at January 1</w:t>
            </w:r>
          </w:p>
        </w:tc>
        <w:tc>
          <w:tcPr>
            <w:tcW w:w="1140" w:type="dxa"/>
            <w:vAlign w:val="bottom"/>
          </w:tcPr>
          <w:p>
            <w:pPr>
              <w:jc w:val="right"/>
              <w:ind w:right="780"/>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5</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4</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Provisions for uncollectible accounts</w:t>
            </w:r>
          </w:p>
        </w:tc>
        <w:tc>
          <w:tcPr>
            <w:tcW w:w="1140" w:type="dxa"/>
            <w:vAlign w:val="bottom"/>
          </w:tcPr>
          <w:p>
            <w:pPr>
              <w:spacing w:after="0"/>
              <w:rPr>
                <w:sz w:val="15"/>
                <w:szCs w:val="15"/>
                <w:color w:val="auto"/>
              </w:rPr>
            </w:pPr>
          </w:p>
        </w:tc>
        <w:tc>
          <w:tcPr>
            <w:tcW w:w="5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8</w:t>
            </w:r>
          </w:p>
        </w:tc>
        <w:tc>
          <w:tcPr>
            <w:tcW w:w="360" w:type="dxa"/>
            <w:vAlign w:val="bottom"/>
          </w:tcPr>
          <w:p>
            <w:pPr>
              <w:spacing w:after="0"/>
              <w:rPr>
                <w:sz w:val="15"/>
                <w:szCs w:val="15"/>
                <w:color w:val="auto"/>
              </w:rPr>
            </w:pP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7</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194"/>
        </w:trPr>
        <w:tc>
          <w:tcPr>
            <w:tcW w:w="6540" w:type="dxa"/>
            <w:vAlign w:val="bottom"/>
            <w:gridSpan w:val="2"/>
          </w:tcPr>
          <w:p>
            <w:pPr>
              <w:spacing w:after="0"/>
              <w:rPr>
                <w:sz w:val="20"/>
                <w:szCs w:val="20"/>
                <w:color w:val="auto"/>
              </w:rPr>
            </w:pPr>
            <w:r>
              <w:rPr>
                <w:rFonts w:ascii="Arial" w:cs="Arial" w:eastAsia="Arial" w:hAnsi="Arial"/>
                <w:sz w:val="16"/>
                <w:szCs w:val="16"/>
                <w:color w:val="auto"/>
              </w:rPr>
              <w:t>Write-offs of uncollectible accounts</w:t>
            </w:r>
          </w:p>
        </w:tc>
        <w:tc>
          <w:tcPr>
            <w:tcW w:w="1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Allowances for collection of receivables at December 31</w:t>
            </w:r>
          </w:p>
        </w:tc>
        <w:tc>
          <w:tcPr>
            <w:tcW w:w="1140" w:type="dxa"/>
            <w:vAlign w:val="bottom"/>
          </w:tcPr>
          <w:p>
            <w:pPr>
              <w:jc w:val="right"/>
              <w:ind w:right="780"/>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6</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5</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64"/>
        </w:trPr>
        <w:tc>
          <w:tcPr>
            <w:tcW w:w="20" w:type="dxa"/>
            <w:vAlign w:val="bottom"/>
          </w:tcPr>
          <w:p>
            <w:pPr>
              <w:spacing w:after="0"/>
              <w:rPr>
                <w:sz w:val="14"/>
                <w:szCs w:val="14"/>
                <w:color w:val="auto"/>
              </w:rPr>
            </w:pPr>
          </w:p>
        </w:tc>
        <w:tc>
          <w:tcPr>
            <w:tcW w:w="65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Allowances for collection of receivables at January 1</w:t>
            </w:r>
          </w:p>
        </w:tc>
        <w:tc>
          <w:tcPr>
            <w:tcW w:w="1140" w:type="dxa"/>
            <w:vAlign w:val="bottom"/>
          </w:tcPr>
          <w:p>
            <w:pPr>
              <w:jc w:val="right"/>
              <w:ind w:right="780"/>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14</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16</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Provisions for uncollectible accounts</w:t>
            </w:r>
          </w:p>
        </w:tc>
        <w:tc>
          <w:tcPr>
            <w:tcW w:w="1140" w:type="dxa"/>
            <w:vAlign w:val="bottom"/>
          </w:tcPr>
          <w:p>
            <w:pPr>
              <w:spacing w:after="0"/>
              <w:rPr>
                <w:sz w:val="15"/>
                <w:szCs w:val="15"/>
                <w:color w:val="auto"/>
              </w:rPr>
            </w:pPr>
          </w:p>
        </w:tc>
        <w:tc>
          <w:tcPr>
            <w:tcW w:w="5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8</w:t>
            </w:r>
          </w:p>
        </w:tc>
        <w:tc>
          <w:tcPr>
            <w:tcW w:w="360" w:type="dxa"/>
            <w:vAlign w:val="bottom"/>
          </w:tcPr>
          <w:p>
            <w:pPr>
              <w:spacing w:after="0"/>
              <w:rPr>
                <w:sz w:val="15"/>
                <w:szCs w:val="15"/>
                <w:color w:val="auto"/>
              </w:rPr>
            </w:pP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8</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r>
      <w:tr>
        <w:trPr>
          <w:trHeight w:val="194"/>
        </w:trPr>
        <w:tc>
          <w:tcPr>
            <w:tcW w:w="6540" w:type="dxa"/>
            <w:vAlign w:val="bottom"/>
            <w:gridSpan w:val="2"/>
          </w:tcPr>
          <w:p>
            <w:pPr>
              <w:spacing w:after="0"/>
              <w:rPr>
                <w:sz w:val="20"/>
                <w:szCs w:val="20"/>
                <w:color w:val="auto"/>
              </w:rPr>
            </w:pPr>
            <w:r>
              <w:rPr>
                <w:rFonts w:ascii="Arial" w:cs="Arial" w:eastAsia="Arial" w:hAnsi="Arial"/>
                <w:sz w:val="16"/>
                <w:szCs w:val="16"/>
                <w:color w:val="auto"/>
              </w:rPr>
              <w:t>Write-offs of uncollectible accounts</w:t>
            </w:r>
          </w:p>
        </w:tc>
        <w:tc>
          <w:tcPr>
            <w:tcW w:w="1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Allowances for collection of receivables at December 31</w:t>
            </w:r>
          </w:p>
        </w:tc>
        <w:tc>
          <w:tcPr>
            <w:tcW w:w="1140" w:type="dxa"/>
            <w:vAlign w:val="bottom"/>
          </w:tcPr>
          <w:p>
            <w:pPr>
              <w:jc w:val="right"/>
              <w:ind w:right="780"/>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12</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14</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r>
      <w:tr>
        <w:trPr>
          <w:trHeight w:val="27"/>
        </w:trPr>
        <w:tc>
          <w:tcPr>
            <w:tcW w:w="20" w:type="dxa"/>
            <w:vAlign w:val="bottom"/>
          </w:tcPr>
          <w:p>
            <w:pPr>
              <w:spacing w:after="0"/>
              <w:rPr>
                <w:sz w:val="2"/>
                <w:szCs w:val="2"/>
                <w:color w:val="auto"/>
              </w:rPr>
            </w:pPr>
          </w:p>
        </w:tc>
        <w:tc>
          <w:tcPr>
            <w:tcW w:w="65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3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Sempra Utilities value natural gas inventory by the last-in first-out (LIFO) method. As inventories are sold, differences between the LIFO valuation and the estimated replacement cost are reflected in customer rates. Materials and supplies at the Sempra Utilities are generally valued at the lower of average cost or market.</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December 31, 2011 and 2010, Sempra Pipelines &amp; Storage had $47 million and $35 million, respectively, of natural gas inventory recorded at lower of average cost or market and had $37 million and $2 million, respectively, of material and supplies valued at lower of average cost or market. At December 31, 2011 and 2010, Sempra LNG had $14 million and $26 million, respectively, of liquefied natural gas (LNG) inventory (categorized as natural gas below) valued by the first-in first-out method. At December 31, 2011 and 2010, Sempra Generation had $15 million and $18 million, respectively, of material and supplies valued at average cost or market.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2"/>
          </w:tcPr>
          <w:p>
            <w:pPr>
              <w:jc w:val="center"/>
              <w:ind w:right="302"/>
              <w:spacing w:after="0"/>
              <w:rPr>
                <w:sz w:val="20"/>
                <w:szCs w:val="20"/>
                <w:color w:val="auto"/>
              </w:rPr>
            </w:pPr>
            <w:r>
              <w:rPr>
                <w:rFonts w:ascii="Arial" w:cs="Arial" w:eastAsia="Arial" w:hAnsi="Arial"/>
                <w:sz w:val="14"/>
                <w:szCs w:val="14"/>
                <w:color w:val="auto"/>
              </w:rPr>
              <w:t>Sempra Energy</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02"/>
              <w:spacing w:after="0" w:line="157" w:lineRule="exact"/>
              <w:rPr>
                <w:sz w:val="20"/>
                <w:szCs w:val="20"/>
                <w:color w:val="auto"/>
              </w:rPr>
            </w:pPr>
            <w:r>
              <w:rPr>
                <w:rFonts w:ascii="Arial" w:cs="Arial" w:eastAsia="Arial" w:hAnsi="Arial"/>
                <w:sz w:val="14"/>
                <w:szCs w:val="14"/>
                <w:color w:val="auto"/>
              </w:rPr>
              <w:t>Consolidated</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642"/>
              <w:spacing w:after="0" w:line="157" w:lineRule="exact"/>
              <w:rPr>
                <w:sz w:val="20"/>
                <w:szCs w:val="20"/>
                <w:color w:val="auto"/>
              </w:rPr>
            </w:pPr>
            <w:r>
              <w:rPr>
                <w:rFonts w:ascii="Arial" w:cs="Arial" w:eastAsia="Arial" w:hAnsi="Arial"/>
                <w:sz w:val="14"/>
                <w:szCs w:val="14"/>
                <w:color w:val="auto"/>
              </w:rPr>
              <w:t>SDG&amp;E</w:t>
            </w: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SoCalGas</w:t>
            </w:r>
          </w:p>
        </w:tc>
        <w:tc>
          <w:tcPr>
            <w:tcW w:w="9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2011</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2440" w:type="dxa"/>
            <w:vAlign w:val="bottom"/>
          </w:tcPr>
          <w:p>
            <w:pPr>
              <w:spacing w:after="0" w:line="164" w:lineRule="exact"/>
              <w:rPr>
                <w:sz w:val="20"/>
                <w:szCs w:val="20"/>
                <w:color w:val="auto"/>
              </w:rPr>
            </w:pPr>
            <w:r>
              <w:rPr>
                <w:rFonts w:ascii="Arial" w:cs="Arial" w:eastAsia="Arial" w:hAnsi="Arial"/>
                <w:sz w:val="16"/>
                <w:szCs w:val="16"/>
                <w:color w:val="auto"/>
              </w:rPr>
              <w:t>Natural gas</w:t>
            </w:r>
          </w:p>
        </w:tc>
        <w:tc>
          <w:tcPr>
            <w:tcW w:w="1680" w:type="dxa"/>
            <w:vAlign w:val="bottom"/>
            <w:gridSpan w:val="2"/>
          </w:tcPr>
          <w:p>
            <w:pPr>
              <w:jc w:val="right"/>
              <w:ind w:right="659"/>
              <w:spacing w:after="0" w:line="164"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195</w:t>
            </w:r>
          </w:p>
        </w:tc>
        <w:tc>
          <w:tcPr>
            <w:tcW w:w="920" w:type="dxa"/>
            <w:vAlign w:val="bottom"/>
          </w:tcPr>
          <w:p>
            <w:pPr>
              <w:jc w:val="right"/>
              <w:ind w:right="742"/>
              <w:spacing w:after="0" w:line="164"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152</w:t>
            </w:r>
          </w:p>
        </w:tc>
        <w:tc>
          <w:tcPr>
            <w:tcW w:w="360" w:type="dxa"/>
            <w:vAlign w:val="bottom"/>
          </w:tcPr>
          <w:p>
            <w:pPr>
              <w:jc w:val="right"/>
              <w:ind w:right="159"/>
              <w:spacing w:after="0" w:line="164"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6</w:t>
            </w:r>
          </w:p>
        </w:tc>
        <w:tc>
          <w:tcPr>
            <w:tcW w:w="1000" w:type="dxa"/>
            <w:vAlign w:val="bottom"/>
          </w:tcPr>
          <w:p>
            <w:pPr>
              <w:jc w:val="right"/>
              <w:ind w:right="802"/>
              <w:spacing w:after="0" w:line="164"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c>
          <w:tcPr>
            <w:tcW w:w="360" w:type="dxa"/>
            <w:vAlign w:val="bottom"/>
          </w:tcPr>
          <w:p>
            <w:pPr>
              <w:jc w:val="right"/>
              <w:ind w:right="179"/>
              <w:spacing w:after="0" w:line="164"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128</w:t>
            </w:r>
          </w:p>
        </w:tc>
        <w:tc>
          <w:tcPr>
            <w:tcW w:w="44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86</w:t>
            </w:r>
          </w:p>
        </w:tc>
      </w:tr>
      <w:tr>
        <w:trPr>
          <w:trHeight w:val="194"/>
        </w:trPr>
        <w:tc>
          <w:tcPr>
            <w:tcW w:w="2460" w:type="dxa"/>
            <w:vAlign w:val="bottom"/>
            <w:gridSpan w:val="2"/>
          </w:tcPr>
          <w:p>
            <w:pPr>
              <w:spacing w:after="0"/>
              <w:rPr>
                <w:sz w:val="20"/>
                <w:szCs w:val="20"/>
                <w:color w:val="auto"/>
              </w:rPr>
            </w:pPr>
            <w:r>
              <w:rPr>
                <w:rFonts w:ascii="Arial" w:cs="Arial" w:eastAsia="Arial" w:hAnsi="Arial"/>
                <w:sz w:val="16"/>
                <w:szCs w:val="16"/>
                <w:color w:val="auto"/>
              </w:rPr>
              <w:t>Materials and supplies</w:t>
            </w:r>
          </w:p>
        </w:tc>
        <w:tc>
          <w:tcPr>
            <w:tcW w:w="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76"/>
        </w:trPr>
        <w:tc>
          <w:tcPr>
            <w:tcW w:w="246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860" w:type="dxa"/>
            <w:vAlign w:val="bottom"/>
          </w:tcPr>
          <w:p>
            <w:pPr>
              <w:spacing w:after="0"/>
              <w:rPr>
                <w:sz w:val="15"/>
                <w:szCs w:val="15"/>
                <w:color w:val="auto"/>
              </w:rPr>
            </w:pPr>
          </w:p>
        </w:tc>
        <w:tc>
          <w:tcPr>
            <w:tcW w:w="820" w:type="dxa"/>
            <w:vAlign w:val="bottom"/>
          </w:tcPr>
          <w:p>
            <w:pPr>
              <w:jc w:val="right"/>
              <w:ind w:right="559"/>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346</w:t>
            </w:r>
          </w:p>
        </w:tc>
        <w:tc>
          <w:tcPr>
            <w:tcW w:w="920" w:type="dxa"/>
            <w:vAlign w:val="bottom"/>
          </w:tcPr>
          <w:p>
            <w:pPr>
              <w:jc w:val="right"/>
              <w:ind w:right="642"/>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258</w:t>
            </w:r>
          </w:p>
        </w:tc>
        <w:tc>
          <w:tcPr>
            <w:tcW w:w="36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1000" w:type="dxa"/>
            <w:vAlign w:val="bottom"/>
          </w:tcPr>
          <w:p>
            <w:pPr>
              <w:jc w:val="right"/>
              <w:ind w:right="702"/>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71</w:t>
            </w:r>
          </w:p>
        </w:tc>
        <w:tc>
          <w:tcPr>
            <w:tcW w:w="36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151</w:t>
            </w:r>
          </w:p>
        </w:tc>
        <w:tc>
          <w:tcPr>
            <w:tcW w:w="4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r>
      <w:tr>
        <w:trPr>
          <w:trHeight w:val="27"/>
        </w:trPr>
        <w:tc>
          <w:tcPr>
            <w:tcW w:w="20" w:type="dxa"/>
            <w:vAlign w:val="bottom"/>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tax expense includes current and deferred income taxes from operations during the year. We record deferred income taxes for temporary differences between the book and the tax bases of assets and liabilities. Investment tax credits from prior years are amortized to income by the Sempra Utilities over the estimated service lives of the properties as required by the CPUC, and represent regulatory liabilities. At Sempra Global and Parent, investment tax credits and production tax credits are recognized in income as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Sempra Utilities and Mobile Gas recognize</w:t>
      </w:r>
    </w:p>
    <w:p>
      <w:pPr>
        <w:spacing w:after="0" w:line="225" w:lineRule="exact"/>
        <w:rPr>
          <w:sz w:val="20"/>
          <w:szCs w:val="20"/>
          <w:color w:val="auto"/>
        </w:rPr>
      </w:pPr>
    </w:p>
    <w:p>
      <w:pPr>
        <w:ind w:left="340" w:hanging="188"/>
        <w:spacing w:after="0"/>
        <w:tabs>
          <w:tab w:leader="none" w:pos="3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regulatory assets to offset deferred tax liabilities if it is probable that the amounts will be recovered from customers; and</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regulatory liabilities to offset deferred tax assets if it is probable that the amounts will be returned to customers.</w:t>
      </w:r>
    </w:p>
    <w:p>
      <w:pPr>
        <w:spacing w:after="0" w:line="23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Other than local country withholding tax on current Peruvian earnings, we currently do not record deferred income taxes for basis differences between financial statement and income tax investment amounts in non-U.S. subsidiaries because their cumulative undistributed earnings are indefinitely reinvested.</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respective authorities. The term “more likely than not” means a likelihood of more than 50 percent. Otherwise, we may not recognize any of the potential tax benefit associated with the position. We recognize a benefit for a tax position that meets the “more likely than not” criterion at the largest amount of tax benefit that is greater than 50 percent likely of being realized upon its effective resolution.</w:t>
      </w:r>
    </w:p>
    <w:p>
      <w:pPr>
        <w:sectPr>
          <w:pgSz w:w="11900" w:h="16871" w:orient="portrait"/>
          <w:cols w:equalWidth="0" w:num="1">
            <w:col w:w="11420"/>
          </w:cols>
          <w:pgMar w:left="240" w:top="125" w:right="239" w:bottom="0" w:gutter="0" w:footer="0" w:header="0"/>
        </w:sectPr>
      </w:pPr>
    </w:p>
    <w:bookmarkStart w:id="204" w:name="page205"/>
    <w:bookmarkEnd w:id="204"/>
    <w:p>
      <w:pPr>
        <w:ind w:right="500"/>
        <w:spacing w:after="0" w:line="342" w:lineRule="auto"/>
        <w:rPr>
          <w:sz w:val="20"/>
          <w:szCs w:val="20"/>
          <w:color w:val="auto"/>
        </w:rPr>
      </w:pPr>
      <w:r>
        <w:rPr>
          <w:rFonts w:ascii="Arial" w:cs="Arial" w:eastAsia="Arial" w:hAnsi="Arial"/>
          <w:sz w:val="16"/>
          <w:szCs w:val="16"/>
          <w:color w:val="auto"/>
        </w:rPr>
        <w:t>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income taxes in Note 7.</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Property, plant and equipment primarily represents the buildings, equipment and other facilities used by the Sempra Utilities to provide natural gas and electric utility services, and by Sempra Generation, Sempra Pipelines &amp; Storage and Sempra LNG. It also reflects projects included in construction work in progress at these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plant costs include</w:t>
      </w:r>
    </w:p>
    <w:p>
      <w:pPr>
        <w:spacing w:after="0" w:line="225" w:lineRule="exact"/>
        <w:rPr>
          <w:sz w:val="20"/>
          <w:szCs w:val="20"/>
          <w:color w:val="auto"/>
        </w:rPr>
      </w:pPr>
    </w:p>
    <w:p>
      <w:pPr>
        <w:ind w:left="340" w:hanging="188"/>
        <w:spacing w:after="0"/>
        <w:tabs>
          <w:tab w:leader="none" w:pos="3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labor</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materials and contract services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expenditures for replacement parts incurred during a major maintenance outage of a generating plant</w:t>
      </w:r>
    </w:p>
    <w:p>
      <w:pPr>
        <w:spacing w:after="0" w:line="252" w:lineRule="exact"/>
        <w:rPr>
          <w:sz w:val="20"/>
          <w:szCs w:val="20"/>
          <w:color w:val="auto"/>
        </w:rPr>
      </w:pPr>
    </w:p>
    <w:p>
      <w:pPr>
        <w:ind w:right="1300"/>
        <w:spacing w:after="0" w:line="277" w:lineRule="auto"/>
        <w:rPr>
          <w:sz w:val="20"/>
          <w:szCs w:val="20"/>
          <w:color w:val="auto"/>
        </w:rPr>
      </w:pPr>
      <w:r>
        <w:rPr>
          <w:rFonts w:ascii="Arial" w:cs="Arial" w:eastAsia="Arial" w:hAnsi="Arial"/>
          <w:sz w:val="18"/>
          <w:szCs w:val="18"/>
          <w:color w:val="auto"/>
        </w:rPr>
        <w:t>In addition, the cost of our utility plant includes an allowance for funds used during construction (AFUDC). We discuss AFUDC below. The cost of non-utility plant includes capitalized interest.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Maintenance costs are expensed as incurred. The cost of most retired depreciable utility plant minus salvage value is charged to accumulated depreciation.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 BY MAJOR FUNCTIONAL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tcPr>
          <w:p>
            <w:pPr>
              <w:jc w:val="center"/>
              <w:ind w:right="242"/>
              <w:spacing w:after="0"/>
              <w:rPr>
                <w:sz w:val="20"/>
                <w:szCs w:val="20"/>
                <w:color w:val="auto"/>
              </w:rPr>
            </w:pPr>
            <w:r>
              <w:rPr>
                <w:rFonts w:ascii="Arial" w:cs="Arial" w:eastAsia="Arial" w:hAnsi="Arial"/>
                <w:sz w:val="14"/>
                <w:szCs w:val="14"/>
                <w:color w:val="auto"/>
              </w:rPr>
              <w:t>Property, Plant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ind w:right="161"/>
              <w:spacing w:after="0"/>
              <w:rPr>
                <w:sz w:val="20"/>
                <w:szCs w:val="20"/>
                <w:color w:val="auto"/>
              </w:rPr>
            </w:pPr>
            <w:r>
              <w:rPr>
                <w:rFonts w:ascii="Arial" w:cs="Arial" w:eastAsia="Arial" w:hAnsi="Arial"/>
                <w:sz w:val="14"/>
                <w:szCs w:val="14"/>
                <w:color w:val="auto"/>
              </w:rPr>
              <w:t>Depreciation rates for</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tcPr>
          <w:p>
            <w:pPr>
              <w:jc w:val="center"/>
              <w:ind w:right="222"/>
              <w:spacing w:after="0"/>
              <w:rPr>
                <w:sz w:val="20"/>
                <w:szCs w:val="20"/>
                <w:color w:val="auto"/>
              </w:rPr>
            </w:pPr>
            <w:r>
              <w:rPr>
                <w:rFonts w:ascii="Arial" w:cs="Arial" w:eastAsia="Arial" w:hAnsi="Arial"/>
                <w:sz w:val="14"/>
                <w:szCs w:val="14"/>
                <w:color w:val="auto"/>
              </w:rPr>
              <w:t>and Equipment at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ind w:right="161"/>
              <w:spacing w:after="0"/>
              <w:rPr>
                <w:sz w:val="20"/>
                <w:szCs w:val="20"/>
                <w:color w:val="auto"/>
              </w:rPr>
            </w:pPr>
            <w:r>
              <w:rPr>
                <w:rFonts w:ascii="Arial" w:cs="Arial" w:eastAsia="Arial" w:hAnsi="Arial"/>
                <w:sz w:val="14"/>
                <w:szCs w:val="14"/>
                <w:color w:val="auto"/>
              </w:rPr>
              <w:t>years ended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tcPr>
          <w:p>
            <w:pPr>
              <w:jc w:val="center"/>
              <w:ind w:right="222"/>
              <w:spacing w:after="0" w:line="137" w:lineRule="exact"/>
              <w:rPr>
                <w:sz w:val="20"/>
                <w:szCs w:val="20"/>
                <w:color w:val="auto"/>
              </w:rPr>
            </w:pPr>
            <w:r>
              <w:rPr>
                <w:rFonts w:ascii="Arial" w:cs="Arial" w:eastAsia="Arial" w:hAnsi="Arial"/>
                <w:sz w:val="14"/>
                <w:szCs w:val="14"/>
                <w:color w:val="auto"/>
              </w:rPr>
              <w:t>December 31,</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61"/>
              <w:spacing w:after="0" w:line="137" w:lineRule="exact"/>
              <w:rPr>
                <w:sz w:val="20"/>
                <w:szCs w:val="20"/>
                <w:color w:val="auto"/>
              </w:rPr>
            </w:pPr>
            <w:r>
              <w:rPr>
                <w:rFonts w:ascii="Arial" w:cs="Arial" w:eastAsia="Arial" w:hAnsi="Arial"/>
                <w:sz w:val="14"/>
                <w:szCs w:val="14"/>
                <w:color w:val="auto"/>
              </w:rPr>
              <w:t>December 31,</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2010</w:t>
            </w: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Natural gas operations</w:t>
            </w:r>
          </w:p>
        </w:tc>
        <w:tc>
          <w:tcPr>
            <w:tcW w:w="860" w:type="dxa"/>
            <w:vAlign w:val="bottom"/>
          </w:tcPr>
          <w:p>
            <w:pPr>
              <w:jc w:val="right"/>
              <w:ind w:right="542"/>
              <w:spacing w:after="0" w:line="176"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1,349</w:t>
            </w:r>
          </w:p>
        </w:tc>
        <w:tc>
          <w:tcPr>
            <w:tcW w:w="840" w:type="dxa"/>
            <w:vAlign w:val="bottom"/>
          </w:tcPr>
          <w:p>
            <w:pPr>
              <w:jc w:val="right"/>
              <w:ind w:right="562"/>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1,280</w:t>
            </w: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3.15</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98"/>
              </w:rPr>
              <w:t>%</w:t>
            </w:r>
          </w:p>
        </w:tc>
        <w:tc>
          <w:tcPr>
            <w:tcW w:w="1660" w:type="dxa"/>
            <w:vAlign w:val="bottom"/>
          </w:tcPr>
          <w:p>
            <w:pPr>
              <w:ind w:left="600"/>
              <w:spacing w:after="0" w:line="176" w:lineRule="exact"/>
              <w:rPr>
                <w:sz w:val="20"/>
                <w:szCs w:val="20"/>
                <w:color w:val="auto"/>
              </w:rPr>
            </w:pPr>
            <w:r>
              <w:rPr>
                <w:rFonts w:ascii="Arial" w:cs="Arial" w:eastAsia="Arial" w:hAnsi="Arial"/>
                <w:sz w:val="16"/>
                <w:szCs w:val="16"/>
                <w:color w:val="auto"/>
              </w:rPr>
              <w:t>3.00  %</w:t>
            </w: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2.84</w:t>
            </w: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Electric distribution</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4,894</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4,700</w:t>
            </w: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4.13</w:t>
            </w:r>
          </w:p>
        </w:tc>
        <w:tc>
          <w:tcPr>
            <w:tcW w:w="180" w:type="dxa"/>
            <w:vAlign w:val="bottom"/>
          </w:tcPr>
          <w:p>
            <w:pPr>
              <w:spacing w:after="0"/>
              <w:rPr>
                <w:sz w:val="15"/>
                <w:szCs w:val="15"/>
                <w:color w:val="auto"/>
              </w:rPr>
            </w:pPr>
          </w:p>
        </w:tc>
        <w:tc>
          <w:tcPr>
            <w:tcW w:w="1660" w:type="dxa"/>
            <w:vAlign w:val="bottom"/>
          </w:tcPr>
          <w:p>
            <w:pPr>
              <w:ind w:left="600"/>
              <w:spacing w:after="0" w:line="176" w:lineRule="exact"/>
              <w:rPr>
                <w:sz w:val="20"/>
                <w:szCs w:val="20"/>
                <w:color w:val="auto"/>
              </w:rPr>
            </w:pPr>
            <w:r>
              <w:rPr>
                <w:rFonts w:ascii="Arial" w:cs="Arial" w:eastAsia="Arial" w:hAnsi="Arial"/>
                <w:sz w:val="16"/>
                <w:szCs w:val="16"/>
                <w:color w:val="auto"/>
              </w:rPr>
              <w:t>4.06</w:t>
            </w: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3.97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Electric transmission</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1,938</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1,795</w:t>
            </w: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2.74</w:t>
            </w:r>
          </w:p>
        </w:tc>
        <w:tc>
          <w:tcPr>
            <w:tcW w:w="180" w:type="dxa"/>
            <w:vAlign w:val="bottom"/>
          </w:tcPr>
          <w:p>
            <w:pPr>
              <w:spacing w:after="0"/>
              <w:rPr>
                <w:sz w:val="15"/>
                <w:szCs w:val="15"/>
                <w:color w:val="auto"/>
              </w:rPr>
            </w:pPr>
          </w:p>
        </w:tc>
        <w:tc>
          <w:tcPr>
            <w:tcW w:w="1660" w:type="dxa"/>
            <w:vAlign w:val="bottom"/>
          </w:tcPr>
          <w:p>
            <w:pPr>
              <w:ind w:left="600"/>
              <w:spacing w:after="0" w:line="176" w:lineRule="exact"/>
              <w:rPr>
                <w:sz w:val="20"/>
                <w:szCs w:val="20"/>
                <w:color w:val="auto"/>
              </w:rPr>
            </w:pPr>
            <w:r>
              <w:rPr>
                <w:rFonts w:ascii="Arial" w:cs="Arial" w:eastAsia="Arial" w:hAnsi="Arial"/>
                <w:sz w:val="16"/>
                <w:szCs w:val="16"/>
                <w:color w:val="auto"/>
              </w:rPr>
              <w:t>2.70</w:t>
            </w: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2.67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generation(1)</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2,166</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1,737</w:t>
            </w: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4.92</w:t>
            </w:r>
          </w:p>
        </w:tc>
        <w:tc>
          <w:tcPr>
            <w:tcW w:w="180" w:type="dxa"/>
            <w:vAlign w:val="bottom"/>
          </w:tcPr>
          <w:p>
            <w:pPr>
              <w:spacing w:after="0"/>
              <w:rPr>
                <w:sz w:val="15"/>
                <w:szCs w:val="15"/>
                <w:color w:val="auto"/>
              </w:rPr>
            </w:pPr>
          </w:p>
        </w:tc>
        <w:tc>
          <w:tcPr>
            <w:tcW w:w="1660" w:type="dxa"/>
            <w:vAlign w:val="bottom"/>
          </w:tcPr>
          <w:p>
            <w:pPr>
              <w:ind w:left="600"/>
              <w:spacing w:after="0" w:line="176" w:lineRule="exact"/>
              <w:rPr>
                <w:sz w:val="20"/>
                <w:szCs w:val="20"/>
                <w:color w:val="auto"/>
              </w:rPr>
            </w:pPr>
            <w:r>
              <w:rPr>
                <w:rFonts w:ascii="Arial" w:cs="Arial" w:eastAsia="Arial" w:hAnsi="Arial"/>
                <w:sz w:val="16"/>
                <w:szCs w:val="16"/>
                <w:color w:val="auto"/>
              </w:rPr>
              <w:t>4.30</w:t>
            </w: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3.84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Other electric(2)</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604</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666</w:t>
            </w: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8.26</w:t>
            </w:r>
          </w:p>
        </w:tc>
        <w:tc>
          <w:tcPr>
            <w:tcW w:w="180" w:type="dxa"/>
            <w:vAlign w:val="bottom"/>
          </w:tcPr>
          <w:p>
            <w:pPr>
              <w:spacing w:after="0"/>
              <w:rPr>
                <w:sz w:val="15"/>
                <w:szCs w:val="15"/>
                <w:color w:val="auto"/>
              </w:rPr>
            </w:pPr>
          </w:p>
        </w:tc>
        <w:tc>
          <w:tcPr>
            <w:tcW w:w="1660" w:type="dxa"/>
            <w:vAlign w:val="bottom"/>
          </w:tcPr>
          <w:p>
            <w:pPr>
              <w:ind w:left="600"/>
              <w:spacing w:after="0" w:line="176" w:lineRule="exact"/>
              <w:rPr>
                <w:sz w:val="20"/>
                <w:szCs w:val="20"/>
                <w:color w:val="auto"/>
              </w:rPr>
            </w:pPr>
            <w:r>
              <w:rPr>
                <w:rFonts w:ascii="Arial" w:cs="Arial" w:eastAsia="Arial" w:hAnsi="Arial"/>
                <w:sz w:val="16"/>
                <w:szCs w:val="16"/>
                <w:color w:val="auto"/>
              </w:rPr>
              <w:t>8.19</w:t>
            </w: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8.50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6"/>
                <w:szCs w:val="16"/>
                <w:color w:val="auto"/>
              </w:rPr>
              <w:t>Construction work in progress</w:t>
            </w:r>
          </w:p>
        </w:tc>
        <w:tc>
          <w:tcPr>
            <w:tcW w:w="8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2,052</w:t>
            </w: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6"/>
                <w:szCs w:val="16"/>
                <w:color w:val="auto"/>
              </w:rPr>
            </w:pPr>
          </w:p>
        </w:tc>
        <w:tc>
          <w:tcPr>
            <w:tcW w:w="1660" w:type="dxa"/>
            <w:vAlign w:val="bottom"/>
          </w:tcPr>
          <w:p>
            <w:pPr>
              <w:ind w:left="740"/>
              <w:spacing w:after="0"/>
              <w:rPr>
                <w:sz w:val="20"/>
                <w:szCs w:val="20"/>
                <w:color w:val="auto"/>
              </w:rPr>
            </w:pPr>
            <w:r>
              <w:rPr>
                <w:rFonts w:ascii="Arial" w:cs="Arial" w:eastAsia="Arial" w:hAnsi="Arial"/>
                <w:sz w:val="16"/>
                <w:szCs w:val="16"/>
                <w:color w:val="auto"/>
              </w:rPr>
              <w:t>NA</w:t>
            </w:r>
          </w:p>
        </w:tc>
        <w:tc>
          <w:tcPr>
            <w:tcW w:w="660" w:type="dxa"/>
            <w:vAlign w:val="bottom"/>
          </w:tcPr>
          <w:p>
            <w:pPr>
              <w:jc w:val="right"/>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ind w:left="340"/>
              <w:spacing w:after="0" w:line="176" w:lineRule="exact"/>
              <w:rPr>
                <w:sz w:val="20"/>
                <w:szCs w:val="20"/>
                <w:color w:val="auto"/>
              </w:rPr>
            </w:pPr>
            <w:r>
              <w:rPr>
                <w:rFonts w:ascii="Arial" w:cs="Arial" w:eastAsia="Arial" w:hAnsi="Arial"/>
                <w:sz w:val="16"/>
                <w:szCs w:val="16"/>
                <w:color w:val="auto"/>
              </w:rPr>
              <w:t>Total SDG&amp;E</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13,003</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11,247</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Natural gas operations(3)</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10,055</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9,376</w:t>
            </w: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3.62</w:t>
            </w:r>
          </w:p>
        </w:tc>
        <w:tc>
          <w:tcPr>
            <w:tcW w:w="180" w:type="dxa"/>
            <w:vAlign w:val="bottom"/>
          </w:tcPr>
          <w:p>
            <w:pPr>
              <w:spacing w:after="0"/>
              <w:rPr>
                <w:sz w:val="15"/>
                <w:szCs w:val="15"/>
                <w:color w:val="auto"/>
              </w:rPr>
            </w:pPr>
          </w:p>
        </w:tc>
        <w:tc>
          <w:tcPr>
            <w:tcW w:w="1660" w:type="dxa"/>
            <w:vAlign w:val="bottom"/>
          </w:tcPr>
          <w:p>
            <w:pPr>
              <w:ind w:left="600"/>
              <w:spacing w:after="0" w:line="176" w:lineRule="exact"/>
              <w:rPr>
                <w:sz w:val="20"/>
                <w:szCs w:val="20"/>
                <w:color w:val="auto"/>
              </w:rPr>
            </w:pPr>
            <w:r>
              <w:rPr>
                <w:rFonts w:ascii="Arial" w:cs="Arial" w:eastAsia="Arial" w:hAnsi="Arial"/>
                <w:sz w:val="16"/>
                <w:szCs w:val="16"/>
                <w:color w:val="auto"/>
              </w:rPr>
              <w:t>3.54</w:t>
            </w: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3.50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Other non-utility</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129</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126</w:t>
            </w: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1.62</w:t>
            </w:r>
          </w:p>
        </w:tc>
        <w:tc>
          <w:tcPr>
            <w:tcW w:w="180" w:type="dxa"/>
            <w:vAlign w:val="bottom"/>
          </w:tcPr>
          <w:p>
            <w:pPr>
              <w:spacing w:after="0"/>
              <w:rPr>
                <w:sz w:val="15"/>
                <w:szCs w:val="15"/>
                <w:color w:val="auto"/>
              </w:rPr>
            </w:pPr>
          </w:p>
        </w:tc>
        <w:tc>
          <w:tcPr>
            <w:tcW w:w="1660" w:type="dxa"/>
            <w:vAlign w:val="bottom"/>
          </w:tcPr>
          <w:p>
            <w:pPr>
              <w:ind w:left="600"/>
              <w:spacing w:after="0" w:line="176" w:lineRule="exact"/>
              <w:rPr>
                <w:sz w:val="20"/>
                <w:szCs w:val="20"/>
                <w:color w:val="auto"/>
              </w:rPr>
            </w:pPr>
            <w:r>
              <w:rPr>
                <w:rFonts w:ascii="Arial" w:cs="Arial" w:eastAsia="Arial" w:hAnsi="Arial"/>
                <w:sz w:val="16"/>
                <w:szCs w:val="16"/>
                <w:color w:val="auto"/>
              </w:rPr>
              <w:t>1.74</w:t>
            </w: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1.41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6"/>
                <w:szCs w:val="16"/>
                <w:color w:val="auto"/>
              </w:rPr>
              <w:t>Construction work in progress</w:t>
            </w:r>
          </w:p>
        </w:tc>
        <w:tc>
          <w:tcPr>
            <w:tcW w:w="8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381</w:t>
            </w: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6"/>
                <w:szCs w:val="16"/>
                <w:color w:val="auto"/>
              </w:rPr>
            </w:pPr>
          </w:p>
        </w:tc>
        <w:tc>
          <w:tcPr>
            <w:tcW w:w="1660" w:type="dxa"/>
            <w:vAlign w:val="bottom"/>
          </w:tcPr>
          <w:p>
            <w:pPr>
              <w:ind w:left="740"/>
              <w:spacing w:after="0"/>
              <w:rPr>
                <w:sz w:val="20"/>
                <w:szCs w:val="20"/>
                <w:color w:val="auto"/>
              </w:rPr>
            </w:pPr>
            <w:r>
              <w:rPr>
                <w:rFonts w:ascii="Arial" w:cs="Arial" w:eastAsia="Arial" w:hAnsi="Arial"/>
                <w:sz w:val="16"/>
                <w:szCs w:val="16"/>
                <w:color w:val="auto"/>
              </w:rPr>
              <w:t>NA</w:t>
            </w:r>
          </w:p>
        </w:tc>
        <w:tc>
          <w:tcPr>
            <w:tcW w:w="660" w:type="dxa"/>
            <w:vAlign w:val="bottom"/>
          </w:tcPr>
          <w:p>
            <w:pPr>
              <w:jc w:val="right"/>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ind w:left="340"/>
              <w:spacing w:after="0" w:line="176" w:lineRule="exact"/>
              <w:rPr>
                <w:sz w:val="20"/>
                <w:szCs w:val="20"/>
                <w:color w:val="auto"/>
              </w:rPr>
            </w:pPr>
            <w:r>
              <w:rPr>
                <w:rFonts w:ascii="Arial" w:cs="Arial" w:eastAsia="Arial" w:hAnsi="Arial"/>
                <w:sz w:val="16"/>
                <w:szCs w:val="16"/>
                <w:color w:val="auto"/>
              </w:rPr>
              <w:t>Total SoCalGas</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10,565</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9,824</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Sempra Global and parent(4):</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Estimated Useful Lives</w:t>
            </w: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80" w:type="dxa"/>
            <w:vAlign w:val="bottom"/>
          </w:tcPr>
          <w:p>
            <w:pPr>
              <w:ind w:left="160"/>
              <w:spacing w:after="0" w:line="164" w:lineRule="exact"/>
              <w:rPr>
                <w:sz w:val="20"/>
                <w:szCs w:val="20"/>
                <w:color w:val="auto"/>
              </w:rPr>
            </w:pPr>
            <w:r>
              <w:rPr>
                <w:rFonts w:ascii="Arial" w:cs="Arial" w:eastAsia="Arial" w:hAnsi="Arial"/>
                <w:sz w:val="16"/>
                <w:szCs w:val="16"/>
                <w:color w:val="auto"/>
              </w:rPr>
              <w:t>Land and land rights</w:t>
            </w:r>
          </w:p>
        </w:tc>
        <w:tc>
          <w:tcPr>
            <w:tcW w:w="860" w:type="dxa"/>
            <w:vAlign w:val="bottom"/>
          </w:tcPr>
          <w:p>
            <w:pPr>
              <w:spacing w:after="0"/>
              <w:rPr>
                <w:sz w:val="14"/>
                <w:szCs w:val="14"/>
                <w:color w:val="auto"/>
              </w:rPr>
            </w:pPr>
          </w:p>
        </w:tc>
        <w:tc>
          <w:tcPr>
            <w:tcW w:w="620" w:type="dxa"/>
            <w:vAlign w:val="bottom"/>
          </w:tcPr>
          <w:p>
            <w:pPr>
              <w:jc w:val="right"/>
              <w:ind w:right="20"/>
              <w:spacing w:after="0" w:line="164" w:lineRule="exact"/>
              <w:rPr>
                <w:sz w:val="20"/>
                <w:szCs w:val="20"/>
                <w:color w:val="auto"/>
              </w:rPr>
            </w:pPr>
            <w:r>
              <w:rPr>
                <w:rFonts w:ascii="Arial" w:cs="Arial" w:eastAsia="Arial" w:hAnsi="Arial"/>
                <w:sz w:val="16"/>
                <w:szCs w:val="16"/>
                <w:color w:val="auto"/>
              </w:rPr>
              <w:t>292</w:t>
            </w:r>
          </w:p>
        </w:tc>
        <w:tc>
          <w:tcPr>
            <w:tcW w:w="8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Arial" w:cs="Arial" w:eastAsia="Arial" w:hAnsi="Arial"/>
                <w:sz w:val="16"/>
                <w:szCs w:val="16"/>
                <w:color w:val="auto"/>
              </w:rPr>
              <w:t>194</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ind w:right="161"/>
              <w:spacing w:after="0" w:line="164" w:lineRule="exact"/>
              <w:rPr>
                <w:sz w:val="20"/>
                <w:szCs w:val="20"/>
                <w:color w:val="auto"/>
              </w:rPr>
            </w:pPr>
            <w:r>
              <w:rPr>
                <w:rFonts w:ascii="Arial" w:cs="Arial" w:eastAsia="Arial" w:hAnsi="Arial"/>
                <w:sz w:val="16"/>
                <w:szCs w:val="16"/>
                <w:color w:val="auto"/>
              </w:rPr>
              <w:t>25 to 50 years(5)</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Machinery and equipment: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340"/>
              <w:spacing w:after="0" w:line="176" w:lineRule="exact"/>
              <w:rPr>
                <w:sz w:val="20"/>
                <w:szCs w:val="20"/>
                <w:color w:val="auto"/>
              </w:rPr>
            </w:pPr>
            <w:r>
              <w:rPr>
                <w:rFonts w:ascii="Arial" w:cs="Arial" w:eastAsia="Arial" w:hAnsi="Arial"/>
                <w:sz w:val="16"/>
                <w:szCs w:val="16"/>
                <w:color w:val="auto"/>
              </w:rPr>
              <w:t>Utility electric distribution operations</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1,267</w:t>
            </w:r>
          </w:p>
        </w:tc>
        <w:tc>
          <w:tcPr>
            <w:tcW w:w="840" w:type="dxa"/>
            <w:vAlign w:val="bottom"/>
          </w:tcPr>
          <w:p>
            <w:pPr>
              <w:spacing w:after="0"/>
              <w:rPr>
                <w:sz w:val="15"/>
                <w:szCs w:val="15"/>
                <w:color w:val="auto"/>
              </w:rPr>
            </w:pPr>
          </w:p>
        </w:tc>
        <w:tc>
          <w:tcPr>
            <w:tcW w:w="800" w:type="dxa"/>
            <w:vAlign w:val="bottom"/>
            <w:gridSpan w:val="2"/>
          </w:tcPr>
          <w:p>
            <w:pPr>
              <w:jc w:val="right"/>
              <w:ind w:right="280"/>
              <w:spacing w:after="0" w:line="176"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161"/>
              <w:spacing w:after="0" w:line="176" w:lineRule="exact"/>
              <w:rPr>
                <w:sz w:val="20"/>
                <w:szCs w:val="20"/>
                <w:color w:val="auto"/>
              </w:rPr>
            </w:pPr>
            <w:r>
              <w:rPr>
                <w:rFonts w:ascii="Arial" w:cs="Arial" w:eastAsia="Arial" w:hAnsi="Arial"/>
                <w:sz w:val="16"/>
                <w:szCs w:val="16"/>
                <w:color w:val="auto"/>
              </w:rPr>
              <w:t>10 to 50 years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340"/>
              <w:spacing w:after="0" w:line="176" w:lineRule="exact"/>
              <w:rPr>
                <w:sz w:val="20"/>
                <w:szCs w:val="20"/>
                <w:color w:val="auto"/>
              </w:rPr>
            </w:pPr>
            <w:r>
              <w:rPr>
                <w:rFonts w:ascii="Arial" w:cs="Arial" w:eastAsia="Arial" w:hAnsi="Arial"/>
                <w:sz w:val="16"/>
                <w:szCs w:val="16"/>
                <w:color w:val="auto"/>
              </w:rPr>
              <w:t>Generating plants</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1,389</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1,668</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161"/>
              <w:spacing w:after="0" w:line="176" w:lineRule="exact"/>
              <w:rPr>
                <w:sz w:val="20"/>
                <w:szCs w:val="20"/>
                <w:color w:val="auto"/>
              </w:rPr>
            </w:pPr>
            <w:r>
              <w:rPr>
                <w:rFonts w:ascii="Arial" w:cs="Arial" w:eastAsia="Arial" w:hAnsi="Arial"/>
                <w:sz w:val="16"/>
                <w:szCs w:val="16"/>
                <w:color w:val="auto"/>
              </w:rPr>
              <w:t>4 to 35 years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340"/>
              <w:spacing w:after="0" w:line="176" w:lineRule="exact"/>
              <w:rPr>
                <w:sz w:val="20"/>
                <w:szCs w:val="20"/>
                <w:color w:val="auto"/>
              </w:rPr>
            </w:pPr>
            <w:r>
              <w:rPr>
                <w:rFonts w:ascii="Arial" w:cs="Arial" w:eastAsia="Arial" w:hAnsi="Arial"/>
                <w:sz w:val="16"/>
                <w:szCs w:val="16"/>
                <w:color w:val="auto"/>
              </w:rPr>
              <w:t>LNG terminals</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2,059</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2,049</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161"/>
              <w:spacing w:after="0" w:line="176" w:lineRule="exact"/>
              <w:rPr>
                <w:sz w:val="20"/>
                <w:szCs w:val="20"/>
                <w:color w:val="auto"/>
              </w:rPr>
            </w:pPr>
            <w:r>
              <w:rPr>
                <w:rFonts w:ascii="Arial" w:cs="Arial" w:eastAsia="Arial" w:hAnsi="Arial"/>
                <w:sz w:val="16"/>
                <w:szCs w:val="16"/>
                <w:color w:val="auto"/>
              </w:rPr>
              <w:t>3 to 50 years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340"/>
              <w:spacing w:after="0" w:line="176" w:lineRule="exact"/>
              <w:rPr>
                <w:sz w:val="20"/>
                <w:szCs w:val="20"/>
                <w:color w:val="auto"/>
              </w:rPr>
            </w:pPr>
            <w:r>
              <w:rPr>
                <w:rFonts w:ascii="Arial" w:cs="Arial" w:eastAsia="Arial" w:hAnsi="Arial"/>
                <w:sz w:val="16"/>
                <w:szCs w:val="16"/>
                <w:color w:val="auto"/>
              </w:rPr>
              <w:t>Pipelines and storage</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1,510</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1,375</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161"/>
              <w:spacing w:after="0" w:line="176" w:lineRule="exact"/>
              <w:rPr>
                <w:sz w:val="20"/>
                <w:szCs w:val="20"/>
                <w:color w:val="auto"/>
              </w:rPr>
            </w:pPr>
            <w:r>
              <w:rPr>
                <w:rFonts w:ascii="Arial" w:cs="Arial" w:eastAsia="Arial" w:hAnsi="Arial"/>
                <w:sz w:val="16"/>
                <w:szCs w:val="16"/>
                <w:color w:val="auto"/>
              </w:rPr>
              <w:t>10 to 50 years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340"/>
              <w:spacing w:after="0" w:line="176" w:lineRule="exact"/>
              <w:rPr>
                <w:sz w:val="20"/>
                <w:szCs w:val="20"/>
                <w:color w:val="auto"/>
              </w:rPr>
            </w:pPr>
            <w:r>
              <w:rPr>
                <w:rFonts w:ascii="Arial" w:cs="Arial" w:eastAsia="Arial" w:hAnsi="Arial"/>
                <w:sz w:val="16"/>
                <w:szCs w:val="16"/>
                <w:color w:val="auto"/>
              </w:rPr>
              <w:t>Other</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168</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97</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161"/>
              <w:spacing w:after="0" w:line="176" w:lineRule="exact"/>
              <w:rPr>
                <w:sz w:val="20"/>
                <w:szCs w:val="20"/>
                <w:color w:val="auto"/>
              </w:rPr>
            </w:pPr>
            <w:r>
              <w:rPr>
                <w:rFonts w:ascii="Arial" w:cs="Arial" w:eastAsia="Arial" w:hAnsi="Arial"/>
                <w:sz w:val="16"/>
                <w:szCs w:val="16"/>
                <w:color w:val="auto"/>
              </w:rPr>
              <w:t>2 to 50 years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ind w:left="160"/>
              <w:spacing w:after="0" w:line="176" w:lineRule="exact"/>
              <w:rPr>
                <w:sz w:val="20"/>
                <w:szCs w:val="20"/>
                <w:color w:val="auto"/>
              </w:rPr>
            </w:pPr>
            <w:r>
              <w:rPr>
                <w:rFonts w:ascii="Arial" w:cs="Arial" w:eastAsia="Arial" w:hAnsi="Arial"/>
                <w:sz w:val="16"/>
                <w:szCs w:val="16"/>
                <w:color w:val="auto"/>
              </w:rPr>
              <w:t>Construction work in progress</w:t>
            </w:r>
          </w:p>
        </w:tc>
        <w:tc>
          <w:tcPr>
            <w:tcW w:w="860" w:type="dxa"/>
            <w:vAlign w:val="bottom"/>
          </w:tcPr>
          <w:p>
            <w:pPr>
              <w:spacing w:after="0"/>
              <w:rPr>
                <w:sz w:val="15"/>
                <w:szCs w:val="15"/>
                <w:color w:val="auto"/>
              </w:rPr>
            </w:pPr>
          </w:p>
        </w:tc>
        <w:tc>
          <w:tcPr>
            <w:tcW w:w="6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849</w:t>
            </w: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428</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360"/>
              <w:spacing w:after="0" w:line="176" w:lineRule="exact"/>
              <w:rPr>
                <w:sz w:val="20"/>
                <w:szCs w:val="20"/>
                <w:color w:val="auto"/>
              </w:rPr>
            </w:pPr>
            <w:r>
              <w:rPr>
                <w:rFonts w:ascii="Arial" w:cs="Arial" w:eastAsia="Arial" w:hAnsi="Arial"/>
                <w:sz w:val="16"/>
                <w:szCs w:val="16"/>
                <w:color w:val="auto"/>
              </w:rPr>
              <w:t>N/A</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w:t>
            </w: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161"/>
              <w:spacing w:after="0"/>
              <w:rPr>
                <w:sz w:val="20"/>
                <w:szCs w:val="20"/>
                <w:color w:val="auto"/>
              </w:rPr>
            </w:pPr>
            <w:r>
              <w:rPr>
                <w:rFonts w:ascii="Arial" w:cs="Arial" w:eastAsia="Arial" w:hAnsi="Arial"/>
                <w:sz w:val="16"/>
                <w:szCs w:val="16"/>
                <w:color w:val="auto"/>
              </w:rPr>
              <w:t>3 to 50 years</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Total Sempra Energy Consolidated</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7,735</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6,016</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vMerge w:val="continue"/>
          </w:tcPr>
          <w:p>
            <w:pPr>
              <w:spacing w:after="0"/>
              <w:rPr>
                <w:sz w:val="16"/>
                <w:szCs w:val="16"/>
                <w:color w:val="auto"/>
              </w:rPr>
            </w:pPr>
          </w:p>
        </w:tc>
        <w:tc>
          <w:tcPr>
            <w:tcW w:w="8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31,303</w:t>
            </w:r>
          </w:p>
        </w:tc>
        <w:tc>
          <w:tcPr>
            <w:tcW w:w="84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27,087</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20" w:hanging="512"/>
        <w:spacing w:after="0"/>
        <w:tabs>
          <w:tab w:leader="none" w:pos="520" w:val="left"/>
        </w:tabs>
        <w:numPr>
          <w:ilvl w:val="0"/>
          <w:numId w:val="29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capital lease assets of $183 million and $182 million at December 31, 2011 and 2010, respectively.</w:t>
      </w:r>
    </w:p>
    <w:p>
      <w:pPr>
        <w:spacing w:after="0" w:line="13" w:lineRule="exact"/>
        <w:rPr>
          <w:rFonts w:ascii="Arial" w:cs="Arial" w:eastAsia="Arial" w:hAnsi="Arial"/>
          <w:sz w:val="14"/>
          <w:szCs w:val="14"/>
          <w:i w:val="1"/>
          <w:iCs w:val="1"/>
          <w:color w:val="auto"/>
        </w:rPr>
      </w:pPr>
    </w:p>
    <w:p>
      <w:pPr>
        <w:ind w:left="520" w:hanging="512"/>
        <w:spacing w:after="0"/>
        <w:tabs>
          <w:tab w:leader="none" w:pos="520" w:val="left"/>
        </w:tabs>
        <w:numPr>
          <w:ilvl w:val="0"/>
          <w:numId w:val="29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capital lease assets of $26 million at both December 31, 2011 and 2010.</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29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capital lease assets of $33 million at both December 31, 2011 and 2010.</w:t>
      </w:r>
    </w:p>
    <w:p>
      <w:pPr>
        <w:spacing w:after="0" w:line="1" w:lineRule="exact"/>
        <w:rPr>
          <w:rFonts w:ascii="Arial" w:cs="Arial" w:eastAsia="Arial" w:hAnsi="Arial"/>
          <w:sz w:val="14"/>
          <w:szCs w:val="14"/>
          <w:i w:val="1"/>
          <w:iCs w:val="1"/>
          <w:color w:val="auto"/>
        </w:rPr>
      </w:pPr>
    </w:p>
    <w:p>
      <w:pPr>
        <w:jc w:val="both"/>
        <w:ind w:left="520" w:right="40" w:hanging="512"/>
        <w:spacing w:after="0" w:line="241" w:lineRule="auto"/>
        <w:tabs>
          <w:tab w:leader="none" w:pos="520" w:val="left"/>
        </w:tabs>
        <w:numPr>
          <w:ilvl w:val="0"/>
          <w:numId w:val="296"/>
        </w:numPr>
        <w:rPr>
          <w:rFonts w:ascii="Arial" w:cs="Arial" w:eastAsia="Arial" w:hAnsi="Arial"/>
          <w:sz w:val="14"/>
          <w:szCs w:val="14"/>
          <w:i w:val="1"/>
          <w:iCs w:val="1"/>
          <w:color w:val="auto"/>
        </w:rPr>
      </w:pPr>
      <w:r>
        <w:rPr>
          <w:rFonts w:ascii="Arial" w:cs="Arial" w:eastAsia="Arial" w:hAnsi="Arial"/>
          <w:sz w:val="14"/>
          <w:szCs w:val="14"/>
          <w:i w:val="1"/>
          <w:iCs w:val="1"/>
          <w:color w:val="auto"/>
        </w:rPr>
        <w:t>December 31, 2011 balances include $163 million and $126 million of utility plant, primarily pipelines and other distribution assets, at Mobile Gas and Ecogas, respectively. December 31, 2010 balances include $156 million and $137 million of utility plant, primarily pipelines and other distribution assets, at Mobile Gas and Ecogas, respectively.</w:t>
      </w:r>
    </w:p>
    <w:p>
      <w:pPr>
        <w:ind w:left="520" w:hanging="512"/>
        <w:spacing w:after="0"/>
        <w:tabs>
          <w:tab w:leader="none" w:pos="520" w:val="left"/>
        </w:tabs>
        <w:numPr>
          <w:ilvl w:val="0"/>
          <w:numId w:val="296"/>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useful lives are for land rights.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Depreciation expense is based on the straight-line method over the useful lives of the assets or, for the Sempra Utilities, a shorter period prescribed by the CPUC. Depreciation expense is computed using the straight-line method over the asset’s estimated original composite useful life, the CPUC-prescribed period or the remaining term of the site leases, whichever is shortest.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depreciation and decommissioning amounts on our Consolidated Balance Sheets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DEPRECIATION AND DECOMMISSIONING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December 31,</w:t>
            </w:r>
          </w:p>
        </w:tc>
        <w:tc>
          <w:tcPr>
            <w:tcW w:w="10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8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826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8260" w:type="dxa"/>
            <w:vAlign w:val="bottom"/>
          </w:tcPr>
          <w:p>
            <w:pPr>
              <w:ind w:left="160"/>
              <w:spacing w:after="0" w:line="176" w:lineRule="exact"/>
              <w:rPr>
                <w:sz w:val="20"/>
                <w:szCs w:val="20"/>
                <w:color w:val="auto"/>
              </w:rPr>
            </w:pPr>
            <w:r>
              <w:rPr>
                <w:rFonts w:ascii="Arial" w:cs="Arial" w:eastAsia="Arial" w:hAnsi="Arial"/>
                <w:sz w:val="16"/>
                <w:szCs w:val="16"/>
                <w:color w:val="auto"/>
              </w:rPr>
              <w:t>Accumulated depreciation and decommissioning of utility plant in service:</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8260" w:type="dxa"/>
            <w:vAlign w:val="bottom"/>
          </w:tcPr>
          <w:p>
            <w:pPr>
              <w:ind w:left="340"/>
              <w:spacing w:after="0" w:line="176" w:lineRule="exact"/>
              <w:rPr>
                <w:sz w:val="20"/>
                <w:szCs w:val="20"/>
                <w:color w:val="auto"/>
              </w:rPr>
            </w:pPr>
            <w:r>
              <w:rPr>
                <w:rFonts w:ascii="Arial" w:cs="Arial" w:eastAsia="Arial" w:hAnsi="Arial"/>
                <w:sz w:val="16"/>
                <w:szCs w:val="16"/>
                <w:color w:val="auto"/>
              </w:rPr>
              <w:t>Electric(1)</w:t>
            </w:r>
          </w:p>
        </w:tc>
        <w:tc>
          <w:tcPr>
            <w:tcW w:w="1020" w:type="dxa"/>
            <w:vAlign w:val="bottom"/>
          </w:tcPr>
          <w:p>
            <w:pPr>
              <w:jc w:val="right"/>
              <w:ind w:right="843"/>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2,387</w:t>
            </w:r>
          </w:p>
        </w:tc>
        <w:tc>
          <w:tcPr>
            <w:tcW w:w="560" w:type="dxa"/>
            <w:vAlign w:val="bottom"/>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2,152</w:t>
            </w:r>
          </w:p>
        </w:tc>
      </w:tr>
      <w:tr>
        <w:trPr>
          <w:trHeight w:val="194"/>
        </w:trPr>
        <w:tc>
          <w:tcPr>
            <w:tcW w:w="20" w:type="dxa"/>
            <w:vAlign w:val="bottom"/>
          </w:tcPr>
          <w:p>
            <w:pPr>
              <w:spacing w:after="0"/>
              <w:rPr>
                <w:sz w:val="16"/>
                <w:szCs w:val="16"/>
                <w:color w:val="auto"/>
              </w:rPr>
            </w:pPr>
          </w:p>
        </w:tc>
        <w:tc>
          <w:tcPr>
            <w:tcW w:w="8260" w:type="dxa"/>
            <w:vAlign w:val="bottom"/>
          </w:tcPr>
          <w:p>
            <w:pPr>
              <w:ind w:left="340"/>
              <w:spacing w:after="0"/>
              <w:rPr>
                <w:sz w:val="20"/>
                <w:szCs w:val="20"/>
                <w:color w:val="auto"/>
              </w:rPr>
            </w:pPr>
            <w:r>
              <w:rPr>
                <w:rFonts w:ascii="Arial" w:cs="Arial" w:eastAsia="Arial" w:hAnsi="Arial"/>
                <w:sz w:val="16"/>
                <w:szCs w:val="16"/>
                <w:color w:val="auto"/>
              </w:rPr>
              <w:t>Natural gas</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r>
      <w:tr>
        <w:trPr>
          <w:trHeight w:val="183"/>
        </w:trPr>
        <w:tc>
          <w:tcPr>
            <w:tcW w:w="20" w:type="dxa"/>
            <w:vAlign w:val="bottom"/>
          </w:tcPr>
          <w:p>
            <w:pPr>
              <w:spacing w:after="0"/>
              <w:rPr>
                <w:sz w:val="15"/>
                <w:szCs w:val="15"/>
                <w:color w:val="auto"/>
              </w:rPr>
            </w:pPr>
          </w:p>
        </w:tc>
        <w:tc>
          <w:tcPr>
            <w:tcW w:w="8260" w:type="dxa"/>
            <w:vAlign w:val="bottom"/>
          </w:tcPr>
          <w:p>
            <w:pPr>
              <w:ind w:left="520"/>
              <w:spacing w:after="0" w:line="176" w:lineRule="exact"/>
              <w:rPr>
                <w:sz w:val="20"/>
                <w:szCs w:val="20"/>
                <w:color w:val="auto"/>
              </w:rPr>
            </w:pPr>
            <w:r>
              <w:rPr>
                <w:rFonts w:ascii="Arial" w:cs="Arial" w:eastAsia="Arial" w:hAnsi="Arial"/>
                <w:sz w:val="16"/>
                <w:szCs w:val="16"/>
                <w:color w:val="auto"/>
              </w:rPr>
              <w:t>Total SDG&amp;E</w:t>
            </w: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2,963</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2,694</w:t>
            </w:r>
          </w:p>
        </w:tc>
      </w:tr>
      <w:tr>
        <w:trPr>
          <w:trHeight w:val="188"/>
        </w:trPr>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ectPr>
          <w:pgSz w:w="11900" w:h="16838" w:orient="portrait"/>
          <w:cols w:equalWidth="0" w:num="1">
            <w:col w:w="11420"/>
          </w:cols>
          <w:pgMar w:left="240" w:top="341" w:right="239" w:bottom="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ind w:left="180"/>
              <w:spacing w:after="0"/>
              <w:rPr>
                <w:sz w:val="20"/>
                <w:szCs w:val="20"/>
                <w:color w:val="auto"/>
              </w:rPr>
            </w:pPr>
            <w:r>
              <w:rPr>
                <w:rFonts w:ascii="Arial" w:cs="Arial" w:eastAsia="Arial" w:hAnsi="Arial"/>
                <w:sz w:val="16"/>
                <w:szCs w:val="16"/>
                <w:color w:val="auto"/>
              </w:rPr>
              <w:t>Accumulated depreciation of natural gas utility plant in service(2)</w:t>
            </w: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3,863</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3,702</w:t>
            </w:r>
          </w:p>
        </w:tc>
        <w:tc>
          <w:tcPr>
            <w:tcW w:w="0" w:type="dxa"/>
            <w:vAlign w:val="bottom"/>
          </w:tcPr>
          <w:p>
            <w:pPr>
              <w:spacing w:after="0"/>
              <w:rPr>
                <w:sz w:val="1"/>
                <w:szCs w:val="1"/>
                <w:color w:val="auto"/>
              </w:rPr>
            </w:pPr>
          </w:p>
        </w:tc>
      </w:tr>
      <w:tr>
        <w:trPr>
          <w:trHeight w:val="194"/>
        </w:trPr>
        <w:tc>
          <w:tcPr>
            <w:tcW w:w="8280" w:type="dxa"/>
            <w:vAlign w:val="bottom"/>
          </w:tcPr>
          <w:p>
            <w:pPr>
              <w:ind w:left="180"/>
              <w:spacing w:after="0"/>
              <w:rPr>
                <w:sz w:val="20"/>
                <w:szCs w:val="20"/>
                <w:color w:val="auto"/>
              </w:rPr>
            </w:pPr>
            <w:r>
              <w:rPr>
                <w:rFonts w:ascii="Arial" w:cs="Arial" w:eastAsia="Arial" w:hAnsi="Arial"/>
                <w:sz w:val="16"/>
                <w:szCs w:val="16"/>
                <w:color w:val="auto"/>
              </w:rPr>
              <w:t>Accumulated depreciation – other non-utility</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3"/>
        </w:trPr>
        <w:tc>
          <w:tcPr>
            <w:tcW w:w="8280" w:type="dxa"/>
            <w:vAlign w:val="bottom"/>
          </w:tcPr>
          <w:p>
            <w:pPr>
              <w:ind w:left="540"/>
              <w:spacing w:after="0" w:line="176" w:lineRule="exact"/>
              <w:rPr>
                <w:sz w:val="20"/>
                <w:szCs w:val="20"/>
                <w:color w:val="auto"/>
              </w:rPr>
            </w:pPr>
            <w:r>
              <w:rPr>
                <w:rFonts w:ascii="Arial" w:cs="Arial" w:eastAsia="Arial" w:hAnsi="Arial"/>
                <w:sz w:val="16"/>
                <w:szCs w:val="16"/>
                <w:color w:val="auto"/>
              </w:rPr>
              <w:t>Total SoCalGas</w:t>
            </w: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3,965</w:t>
            </w: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r>
        <w:trPr>
          <w:trHeight w:val="164"/>
        </w:trPr>
        <w:tc>
          <w:tcPr>
            <w:tcW w:w="8280" w:type="dxa"/>
            <w:vAlign w:val="bottom"/>
          </w:tcPr>
          <w:p>
            <w:pPr>
              <w:spacing w:after="0" w:line="164" w:lineRule="exact"/>
              <w:rPr>
                <w:sz w:val="20"/>
                <w:szCs w:val="20"/>
                <w:color w:val="auto"/>
              </w:rPr>
            </w:pPr>
            <w:r>
              <w:rPr>
                <w:rFonts w:ascii="Arial" w:cs="Arial" w:eastAsia="Arial" w:hAnsi="Arial"/>
                <w:sz w:val="16"/>
                <w:szCs w:val="16"/>
                <w:b w:val="1"/>
                <w:bCs w:val="1"/>
                <w:color w:val="auto"/>
              </w:rPr>
              <w:t>Sempra Global and parent:</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180"/>
              <w:spacing w:after="0" w:line="176" w:lineRule="exact"/>
              <w:rPr>
                <w:sz w:val="20"/>
                <w:szCs w:val="20"/>
                <w:color w:val="auto"/>
              </w:rPr>
            </w:pPr>
            <w:r>
              <w:rPr>
                <w:rFonts w:ascii="Arial" w:cs="Arial" w:eastAsia="Arial" w:hAnsi="Arial"/>
                <w:sz w:val="16"/>
                <w:szCs w:val="16"/>
                <w:color w:val="auto"/>
              </w:rPr>
              <w:t>Accumulated depreciation – other non-utility(3)</w:t>
            </w:r>
          </w:p>
        </w:tc>
        <w:tc>
          <w:tcPr>
            <w:tcW w:w="6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759</w:t>
            </w:r>
          </w:p>
        </w:tc>
        <w:tc>
          <w:tcPr>
            <w:tcW w:w="6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4"/>
        </w:trPr>
        <w:tc>
          <w:tcPr>
            <w:tcW w:w="8280" w:type="dxa"/>
            <w:vAlign w:val="bottom"/>
          </w:tcPr>
          <w:p>
            <w:pPr>
              <w:ind w:left="180"/>
              <w:spacing w:after="0"/>
              <w:rPr>
                <w:sz w:val="20"/>
                <w:szCs w:val="20"/>
                <w:color w:val="auto"/>
              </w:rPr>
            </w:pPr>
            <w:r>
              <w:rPr>
                <w:rFonts w:ascii="Arial" w:cs="Arial" w:eastAsia="Arial" w:hAnsi="Arial"/>
                <w:sz w:val="16"/>
                <w:szCs w:val="16"/>
                <w:color w:val="auto"/>
              </w:rPr>
              <w:t>Accumulated depreciation of utility electric distribution operations</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280" w:type="dxa"/>
            <w:vAlign w:val="bottom"/>
            <w:vMerge w:val="restart"/>
          </w:tcPr>
          <w:p>
            <w:pPr>
              <w:spacing w:after="0"/>
              <w:rPr>
                <w:sz w:val="20"/>
                <w:szCs w:val="20"/>
                <w:color w:val="auto"/>
              </w:rPr>
            </w:pPr>
            <w:r>
              <w:rPr>
                <w:rFonts w:ascii="Arial" w:cs="Arial" w:eastAsia="Arial" w:hAnsi="Arial"/>
                <w:sz w:val="16"/>
                <w:szCs w:val="16"/>
                <w:b w:val="1"/>
                <w:bCs w:val="1"/>
                <w:color w:val="auto"/>
              </w:rPr>
              <w:t>Total Sempra Energy Consolidated</w:t>
            </w: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803</w:t>
            </w: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7,731</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hanging="552"/>
        <w:spacing w:after="0"/>
        <w:tabs>
          <w:tab w:leader="none" w:pos="560" w:val="left"/>
        </w:tabs>
        <w:numPr>
          <w:ilvl w:val="0"/>
          <w:numId w:val="29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accumulated depreciation for assets under capital lease of $16 million and $7 million at December 31, 2011 and 2010, respectively.</w:t>
      </w:r>
    </w:p>
    <w:p>
      <w:pPr>
        <w:spacing w:after="0" w:line="13" w:lineRule="exact"/>
        <w:rPr>
          <w:rFonts w:ascii="Arial" w:cs="Arial" w:eastAsia="Arial" w:hAnsi="Arial"/>
          <w:sz w:val="14"/>
          <w:szCs w:val="14"/>
          <w:i w:val="1"/>
          <w:iCs w:val="1"/>
          <w:color w:val="auto"/>
        </w:rPr>
      </w:pPr>
    </w:p>
    <w:p>
      <w:pPr>
        <w:ind w:left="560" w:hanging="552"/>
        <w:spacing w:after="0"/>
        <w:tabs>
          <w:tab w:leader="none" w:pos="560" w:val="left"/>
        </w:tabs>
        <w:numPr>
          <w:ilvl w:val="0"/>
          <w:numId w:val="29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accumulated depreciation for assets under capital lease of $22 million and $14 million at December 31, 2011 and 2010, respectively.</w:t>
      </w:r>
    </w:p>
    <w:p>
      <w:pPr>
        <w:spacing w:after="0" w:line="1" w:lineRule="exact"/>
        <w:rPr>
          <w:rFonts w:ascii="Arial" w:cs="Arial" w:eastAsia="Arial" w:hAnsi="Arial"/>
          <w:sz w:val="14"/>
          <w:szCs w:val="14"/>
          <w:i w:val="1"/>
          <w:iCs w:val="1"/>
          <w:color w:val="auto"/>
        </w:rPr>
      </w:pPr>
    </w:p>
    <w:p>
      <w:pPr>
        <w:ind w:left="560" w:right="80" w:hanging="552"/>
        <w:spacing w:after="0" w:line="258" w:lineRule="auto"/>
        <w:tabs>
          <w:tab w:leader="none" w:pos="560" w:val="left"/>
        </w:tabs>
        <w:numPr>
          <w:ilvl w:val="0"/>
          <w:numId w:val="297"/>
        </w:numPr>
        <w:rPr>
          <w:rFonts w:ascii="Arial" w:cs="Arial" w:eastAsia="Arial" w:hAnsi="Arial"/>
          <w:sz w:val="14"/>
          <w:szCs w:val="14"/>
          <w:i w:val="1"/>
          <w:iCs w:val="1"/>
          <w:color w:val="auto"/>
        </w:rPr>
      </w:pPr>
      <w:r>
        <w:rPr>
          <w:rFonts w:ascii="Arial" w:cs="Arial" w:eastAsia="Arial" w:hAnsi="Arial"/>
          <w:sz w:val="14"/>
          <w:szCs w:val="14"/>
          <w:i w:val="1"/>
          <w:iCs w:val="1"/>
          <w:color w:val="auto"/>
        </w:rPr>
        <w:t>December 31, 2011 balances include $15 million and $28 million of accumulated depreciation for utility plant at Mobile Gas and Ecogas, respectively. December 31, 2010 balances include $9 million and $29 million of accumulated depreciation for utility plant at Mobile Gas and Ecogas, respectively.</w:t>
      </w:r>
    </w:p>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Sempra Utilities finance their construction projects with borrowed funds and equity funds. The CPUC and the FERC allow the recovery of the cost of these funds by the capitalization of AFUDC, calculated using rates authorized by the CPUC and the FERC, as a cost component of property, plant and equipment. The Sempra Utilities earn a return on the allowance after the utility property is placed in service and recover the AFUDC from their customers over the expected useful lives of the assets.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Sempra Global businesses capitalize interest costs incurred to finance capital projects. The Sempra Utilities also capitalize certain interest costs.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3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438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3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2820" w:type="dxa"/>
            <w:vAlign w:val="bottom"/>
            <w:gridSpan w:val="2"/>
          </w:tcPr>
          <w:p>
            <w:pPr>
              <w:jc w:val="right"/>
              <w:ind w:right="1124"/>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4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4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r>
      <w:tr>
        <w:trPr>
          <w:trHeight w:val="176"/>
        </w:trPr>
        <w:tc>
          <w:tcPr>
            <w:tcW w:w="20" w:type="dxa"/>
            <w:vAlign w:val="bottom"/>
          </w:tcPr>
          <w:p>
            <w:pPr>
              <w:spacing w:after="0"/>
              <w:rPr>
                <w:sz w:val="15"/>
                <w:szCs w:val="15"/>
                <w:color w:val="auto"/>
              </w:rPr>
            </w:pPr>
          </w:p>
        </w:tc>
        <w:tc>
          <w:tcPr>
            <w:tcW w:w="43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equity</w:t>
            </w:r>
          </w:p>
        </w:tc>
        <w:tc>
          <w:tcPr>
            <w:tcW w:w="1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c>
          <w:tcPr>
            <w:tcW w:w="44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57</w:t>
            </w:r>
          </w:p>
        </w:tc>
        <w:tc>
          <w:tcPr>
            <w:tcW w:w="44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39</w:t>
            </w:r>
          </w:p>
        </w:tc>
      </w:tr>
      <w:tr>
        <w:trPr>
          <w:trHeight w:val="194"/>
        </w:trPr>
        <w:tc>
          <w:tcPr>
            <w:tcW w:w="20" w:type="dxa"/>
            <w:vAlign w:val="bottom"/>
          </w:tcPr>
          <w:p>
            <w:pPr>
              <w:spacing w:after="0"/>
              <w:rPr>
                <w:sz w:val="16"/>
                <w:szCs w:val="16"/>
                <w:color w:val="auto"/>
              </w:rPr>
            </w:pPr>
          </w:p>
        </w:tc>
        <w:tc>
          <w:tcPr>
            <w:tcW w:w="4380" w:type="dxa"/>
            <w:vAlign w:val="bottom"/>
          </w:tcPr>
          <w:p>
            <w:pPr>
              <w:ind w:left="160"/>
              <w:spacing w:after="0"/>
              <w:rPr>
                <w:sz w:val="20"/>
                <w:szCs w:val="20"/>
                <w:color w:val="auto"/>
              </w:rPr>
            </w:pPr>
            <w:r>
              <w:rPr>
                <w:rFonts w:ascii="Arial" w:cs="Arial" w:eastAsia="Arial" w:hAnsi="Arial"/>
                <w:sz w:val="16"/>
                <w:szCs w:val="16"/>
                <w:color w:val="auto"/>
              </w:rPr>
              <w:t>Other capitalized financing costs</w:t>
            </w:r>
          </w:p>
        </w:tc>
        <w:tc>
          <w:tcPr>
            <w:tcW w:w="15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183"/>
        </w:trPr>
        <w:tc>
          <w:tcPr>
            <w:tcW w:w="20" w:type="dxa"/>
            <w:vAlign w:val="bottom"/>
          </w:tcPr>
          <w:p>
            <w:pPr>
              <w:spacing w:after="0"/>
              <w:rPr>
                <w:sz w:val="15"/>
                <w:szCs w:val="15"/>
                <w:color w:val="auto"/>
              </w:rPr>
            </w:pPr>
          </w:p>
        </w:tc>
        <w:tc>
          <w:tcPr>
            <w:tcW w:w="438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Sempra Energy Consolidated</w:t>
            </w:r>
          </w:p>
        </w:tc>
        <w:tc>
          <w:tcPr>
            <w:tcW w:w="1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165</w:t>
            </w:r>
          </w:p>
        </w:tc>
        <w:tc>
          <w:tcPr>
            <w:tcW w:w="44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114</w:t>
            </w:r>
          </w:p>
        </w:tc>
        <w:tc>
          <w:tcPr>
            <w:tcW w:w="4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127</w:t>
            </w:r>
          </w:p>
        </w:tc>
      </w:tr>
      <w:tr>
        <w:trPr>
          <w:trHeight w:val="164"/>
        </w:trPr>
        <w:tc>
          <w:tcPr>
            <w:tcW w:w="20" w:type="dxa"/>
            <w:vAlign w:val="bottom"/>
          </w:tcPr>
          <w:p>
            <w:pPr>
              <w:spacing w:after="0"/>
              <w:rPr>
                <w:sz w:val="14"/>
                <w:szCs w:val="14"/>
                <w:color w:val="auto"/>
              </w:rPr>
            </w:pPr>
          </w:p>
        </w:tc>
        <w:tc>
          <w:tcPr>
            <w:tcW w:w="43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3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2820" w:type="dxa"/>
            <w:vAlign w:val="bottom"/>
            <w:gridSpan w:val="2"/>
          </w:tcPr>
          <w:p>
            <w:pPr>
              <w:jc w:val="right"/>
              <w:ind w:right="1124"/>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4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4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20" w:type="dxa"/>
            <w:vAlign w:val="bottom"/>
          </w:tcPr>
          <w:p>
            <w:pPr>
              <w:spacing w:after="0"/>
              <w:rPr>
                <w:sz w:val="15"/>
                <w:szCs w:val="15"/>
                <w:color w:val="auto"/>
              </w:rPr>
            </w:pPr>
          </w:p>
        </w:tc>
        <w:tc>
          <w:tcPr>
            <w:tcW w:w="43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equity</w:t>
            </w:r>
          </w:p>
        </w:tc>
        <w:tc>
          <w:tcPr>
            <w:tcW w:w="1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80</w:t>
            </w:r>
          </w:p>
        </w:tc>
        <w:tc>
          <w:tcPr>
            <w:tcW w:w="44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44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r>
      <w:tr>
        <w:trPr>
          <w:trHeight w:val="194"/>
        </w:trPr>
        <w:tc>
          <w:tcPr>
            <w:tcW w:w="20" w:type="dxa"/>
            <w:vAlign w:val="bottom"/>
          </w:tcPr>
          <w:p>
            <w:pPr>
              <w:spacing w:after="0"/>
              <w:rPr>
                <w:sz w:val="16"/>
                <w:szCs w:val="16"/>
                <w:color w:val="auto"/>
              </w:rPr>
            </w:pPr>
          </w:p>
        </w:tc>
        <w:tc>
          <w:tcPr>
            <w:tcW w:w="4380" w:type="dxa"/>
            <w:vAlign w:val="bottom"/>
          </w:tcPr>
          <w:p>
            <w:pPr>
              <w:ind w:left="160"/>
              <w:spacing w:after="0"/>
              <w:rPr>
                <w:sz w:val="20"/>
                <w:szCs w:val="20"/>
                <w:color w:val="auto"/>
              </w:rPr>
            </w:pPr>
            <w:r>
              <w:rPr>
                <w:rFonts w:ascii="Arial" w:cs="Arial" w:eastAsia="Arial" w:hAnsi="Arial"/>
                <w:sz w:val="16"/>
                <w:szCs w:val="16"/>
                <w:color w:val="auto"/>
              </w:rPr>
              <w:t>Other capitalized financing costs</w:t>
            </w:r>
          </w:p>
        </w:tc>
        <w:tc>
          <w:tcPr>
            <w:tcW w:w="15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3"/>
        </w:trPr>
        <w:tc>
          <w:tcPr>
            <w:tcW w:w="20" w:type="dxa"/>
            <w:vAlign w:val="bottom"/>
          </w:tcPr>
          <w:p>
            <w:pPr>
              <w:spacing w:after="0"/>
              <w:rPr>
                <w:sz w:val="15"/>
                <w:szCs w:val="15"/>
                <w:color w:val="auto"/>
              </w:rPr>
            </w:pPr>
          </w:p>
        </w:tc>
        <w:tc>
          <w:tcPr>
            <w:tcW w:w="438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SDG&amp;E</w:t>
            </w:r>
          </w:p>
        </w:tc>
        <w:tc>
          <w:tcPr>
            <w:tcW w:w="1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113</w:t>
            </w:r>
          </w:p>
        </w:tc>
        <w:tc>
          <w:tcPr>
            <w:tcW w:w="44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61</w:t>
            </w:r>
          </w:p>
        </w:tc>
        <w:tc>
          <w:tcPr>
            <w:tcW w:w="4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43</w:t>
            </w:r>
          </w:p>
        </w:tc>
      </w:tr>
      <w:tr>
        <w:trPr>
          <w:trHeight w:val="164"/>
        </w:trPr>
        <w:tc>
          <w:tcPr>
            <w:tcW w:w="20" w:type="dxa"/>
            <w:vAlign w:val="bottom"/>
          </w:tcPr>
          <w:p>
            <w:pPr>
              <w:spacing w:after="0"/>
              <w:rPr>
                <w:sz w:val="14"/>
                <w:szCs w:val="14"/>
                <w:color w:val="auto"/>
              </w:rPr>
            </w:pPr>
          </w:p>
        </w:tc>
        <w:tc>
          <w:tcPr>
            <w:tcW w:w="43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3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2820" w:type="dxa"/>
            <w:vAlign w:val="bottom"/>
            <w:gridSpan w:val="2"/>
          </w:tcPr>
          <w:p>
            <w:pPr>
              <w:jc w:val="right"/>
              <w:ind w:right="1124"/>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4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4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20" w:type="dxa"/>
            <w:vAlign w:val="bottom"/>
          </w:tcPr>
          <w:p>
            <w:pPr>
              <w:spacing w:after="0"/>
              <w:rPr>
                <w:sz w:val="15"/>
                <w:szCs w:val="15"/>
                <w:color w:val="auto"/>
              </w:rPr>
            </w:pPr>
          </w:p>
        </w:tc>
        <w:tc>
          <w:tcPr>
            <w:tcW w:w="43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equity</w:t>
            </w:r>
          </w:p>
        </w:tc>
        <w:tc>
          <w:tcPr>
            <w:tcW w:w="1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44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44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94"/>
        </w:trPr>
        <w:tc>
          <w:tcPr>
            <w:tcW w:w="20" w:type="dxa"/>
            <w:vAlign w:val="bottom"/>
          </w:tcPr>
          <w:p>
            <w:pPr>
              <w:spacing w:after="0"/>
              <w:rPr>
                <w:sz w:val="16"/>
                <w:szCs w:val="16"/>
                <w:color w:val="auto"/>
              </w:rPr>
            </w:pPr>
          </w:p>
        </w:tc>
        <w:tc>
          <w:tcPr>
            <w:tcW w:w="4380" w:type="dxa"/>
            <w:vAlign w:val="bottom"/>
          </w:tcPr>
          <w:p>
            <w:pPr>
              <w:ind w:left="160"/>
              <w:spacing w:after="0"/>
              <w:rPr>
                <w:sz w:val="20"/>
                <w:szCs w:val="20"/>
                <w:color w:val="auto"/>
              </w:rPr>
            </w:pPr>
            <w:r>
              <w:rPr>
                <w:rFonts w:ascii="Arial" w:cs="Arial" w:eastAsia="Arial" w:hAnsi="Arial"/>
                <w:sz w:val="16"/>
                <w:szCs w:val="16"/>
                <w:color w:val="auto"/>
              </w:rPr>
              <w:t>Other capitalized financing costs</w:t>
            </w:r>
          </w:p>
        </w:tc>
        <w:tc>
          <w:tcPr>
            <w:tcW w:w="15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438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SoCalGas</w:t>
            </w:r>
          </w:p>
        </w:tc>
        <w:tc>
          <w:tcPr>
            <w:tcW w:w="1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44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w:t>
            </w:r>
          </w:p>
        </w:tc>
        <w:tc>
          <w:tcPr>
            <w:tcW w:w="4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2010, we held gas and steam turbine assets for sale of $40 million which were recorded in Other Current Assets on the Sempra Energy Consolidated Balance Sheet. In December 2011, management decided to hold these assets for future use in potential development projects at Sempra Generation. Accordingly, we have reclassified them from assets held for sale to construction work in progress. The assets held for sale had no effect on results of operations for any of the periods presented.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is the excess of the purchase price over the fair value of the identifiable net assets of acquired companies. Goodwill is not amortized but is tested annually on October 1 for impairment. Impairment of goodwill occurs when the carrying amount (book value) of goodwill exceeds its implied fair value. If the carrying value of the reporting unit, including goodwill, exceeds its fair value, and the book value of goodwill is greater than its fair value on the test date, we record a goodwill impairment loss.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Sempra Pipelines &amp; Storage recorded goodwill of $975 million in April 2011 in connection with the acquisition of AEI’s interests in Chilquinta Energía S.A. (Chilquinta Energía) in Chile, Luz del Sur S.A.A. (Luz del Sur) in Peru, and their subsidiaries and $18 million in April 2010 in connection with the acquisition of the Mexican pipeline and natural gas infrastructure assets of El Paso Corporation, which we discuss in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Goodwill on the Sempra Energy Consolidated Balance Sheets is recorded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Sempra</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Pipelines &amp;</w:t>
            </w:r>
          </w:p>
        </w:tc>
        <w:tc>
          <w:tcPr>
            <w:tcW w:w="300" w:type="dxa"/>
            <w:vAlign w:val="bottom"/>
          </w:tcPr>
          <w:p>
            <w:pPr>
              <w:spacing w:after="0"/>
              <w:rPr>
                <w:sz w:val="17"/>
                <w:szCs w:val="17"/>
                <w:color w:val="auto"/>
              </w:rPr>
            </w:pPr>
          </w:p>
        </w:tc>
        <w:tc>
          <w:tcPr>
            <w:tcW w:w="1000" w:type="dxa"/>
            <w:vAlign w:val="bottom"/>
          </w:tcPr>
          <w:p>
            <w:pPr>
              <w:jc w:val="right"/>
              <w:ind w:right="161"/>
              <w:spacing w:after="0"/>
              <w:rPr>
                <w:sz w:val="20"/>
                <w:szCs w:val="20"/>
                <w:color w:val="auto"/>
              </w:rPr>
            </w:pPr>
            <w:r>
              <w:rPr>
                <w:rFonts w:ascii="Arial" w:cs="Arial" w:eastAsia="Arial" w:hAnsi="Arial"/>
                <w:sz w:val="14"/>
                <w:szCs w:val="14"/>
                <w:color w:val="auto"/>
              </w:rPr>
              <w:t>Parent</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Storage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and Other</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6440" w:type="dxa"/>
            <w:vAlign w:val="bottom"/>
            <w:gridSpan w:val="2"/>
          </w:tcPr>
          <w:p>
            <w:pPr>
              <w:spacing w:after="0" w:line="164" w:lineRule="exact"/>
              <w:rPr>
                <w:sz w:val="20"/>
                <w:szCs w:val="20"/>
                <w:color w:val="auto"/>
              </w:rPr>
            </w:pPr>
            <w:r>
              <w:rPr>
                <w:rFonts w:ascii="Arial" w:cs="Arial" w:eastAsia="Arial" w:hAnsi="Arial"/>
                <w:sz w:val="16"/>
                <w:szCs w:val="16"/>
                <w:color w:val="auto"/>
              </w:rPr>
              <w:t>Balance as of December 31, 2009</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62</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6</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68</w:t>
            </w:r>
          </w:p>
        </w:tc>
      </w:tr>
      <w:tr>
        <w:trPr>
          <w:trHeight w:val="194"/>
        </w:trPr>
        <w:tc>
          <w:tcPr>
            <w:tcW w:w="6460" w:type="dxa"/>
            <w:vAlign w:val="bottom"/>
            <w:gridSpan w:val="3"/>
          </w:tcPr>
          <w:p>
            <w:pPr>
              <w:spacing w:after="0"/>
              <w:rPr>
                <w:sz w:val="20"/>
                <w:szCs w:val="20"/>
                <w:color w:val="auto"/>
              </w:rPr>
            </w:pPr>
            <w:r>
              <w:rPr>
                <w:rFonts w:ascii="Arial" w:cs="Arial" w:eastAsia="Arial" w:hAnsi="Arial"/>
                <w:sz w:val="16"/>
                <w:szCs w:val="16"/>
                <w:color w:val="auto"/>
              </w:rPr>
              <w:t>Acquisition of Mexican pipeline and natural gas infrastructure assets and other</w:t>
            </w:r>
          </w:p>
        </w:tc>
        <w:tc>
          <w:tcPr>
            <w:tcW w:w="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64"/>
        </w:trPr>
        <w:tc>
          <w:tcPr>
            <w:tcW w:w="6460" w:type="dxa"/>
            <w:vAlign w:val="bottom"/>
            <w:gridSpan w:val="3"/>
          </w:tcPr>
          <w:p>
            <w:pPr>
              <w:spacing w:after="0" w:line="164" w:lineRule="exact"/>
              <w:rPr>
                <w:sz w:val="20"/>
                <w:szCs w:val="20"/>
                <w:color w:val="auto"/>
              </w:rPr>
            </w:pPr>
            <w:r>
              <w:rPr>
                <w:rFonts w:ascii="Arial" w:cs="Arial" w:eastAsia="Arial" w:hAnsi="Arial"/>
                <w:sz w:val="16"/>
                <w:szCs w:val="16"/>
                <w:color w:val="auto"/>
              </w:rPr>
              <w:t>Balance as of December 31, 2010</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81</w:t>
            </w:r>
          </w:p>
        </w:tc>
        <w:tc>
          <w:tcPr>
            <w:tcW w:w="30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6</w:t>
            </w:r>
          </w:p>
        </w:tc>
        <w:tc>
          <w:tcPr>
            <w:tcW w:w="42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87</w:t>
            </w:r>
          </w:p>
        </w:tc>
      </w:tr>
      <w:tr>
        <w:trPr>
          <w:trHeight w:val="176"/>
        </w:trPr>
        <w:tc>
          <w:tcPr>
            <w:tcW w:w="6460" w:type="dxa"/>
            <w:vAlign w:val="bottom"/>
            <w:gridSpan w:val="3"/>
          </w:tcPr>
          <w:p>
            <w:pPr>
              <w:spacing w:after="0" w:line="176" w:lineRule="exact"/>
              <w:rPr>
                <w:sz w:val="20"/>
                <w:szCs w:val="20"/>
                <w:color w:val="auto"/>
              </w:rPr>
            </w:pPr>
            <w:r>
              <w:rPr>
                <w:rFonts w:ascii="Arial" w:cs="Arial" w:eastAsia="Arial" w:hAnsi="Arial"/>
                <w:sz w:val="16"/>
                <w:szCs w:val="16"/>
                <w:color w:val="auto"/>
              </w:rPr>
              <w:t>Acquisition of Chilquinta Energía and Luz del Sur</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975</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975</w:t>
            </w:r>
          </w:p>
        </w:tc>
      </w:tr>
      <w:tr>
        <w:trPr>
          <w:trHeight w:val="194"/>
        </w:trPr>
        <w:tc>
          <w:tcPr>
            <w:tcW w:w="6460" w:type="dxa"/>
            <w:vAlign w:val="bottom"/>
            <w:gridSpan w:val="3"/>
          </w:tcPr>
          <w:p>
            <w:pPr>
              <w:spacing w:after="0"/>
              <w:rPr>
                <w:sz w:val="20"/>
                <w:szCs w:val="20"/>
                <w:color w:val="auto"/>
              </w:rPr>
            </w:pPr>
            <w:r>
              <w:rPr>
                <w:rFonts w:ascii="Arial" w:cs="Arial" w:eastAsia="Arial" w:hAnsi="Arial"/>
                <w:sz w:val="16"/>
                <w:szCs w:val="16"/>
                <w:color w:val="auto"/>
              </w:rPr>
              <w:t>Foreign currency translation(1)</w:t>
            </w:r>
          </w:p>
        </w:tc>
        <w:tc>
          <w:tcPr>
            <w:tcW w:w="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183"/>
        </w:trPr>
        <w:tc>
          <w:tcPr>
            <w:tcW w:w="6460" w:type="dxa"/>
            <w:vAlign w:val="bottom"/>
            <w:gridSpan w:val="3"/>
          </w:tcPr>
          <w:p>
            <w:pPr>
              <w:spacing w:after="0" w:line="176" w:lineRule="exact"/>
              <w:rPr>
                <w:sz w:val="20"/>
                <w:szCs w:val="20"/>
                <w:color w:val="auto"/>
              </w:rPr>
            </w:pPr>
            <w:r>
              <w:rPr>
                <w:rFonts w:ascii="Arial" w:cs="Arial" w:eastAsia="Arial" w:hAnsi="Arial"/>
                <w:sz w:val="16"/>
                <w:szCs w:val="16"/>
                <w:color w:val="auto"/>
              </w:rPr>
              <w:t>Balance at December 31, 2011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1,030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1,036</w:t>
            </w:r>
          </w:p>
        </w:tc>
      </w:tr>
      <w:tr>
        <w:trPr>
          <w:trHeight w:val="186"/>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(1)</w:t>
            </w:r>
          </w:p>
        </w:tc>
        <w:tc>
          <w:tcPr>
            <w:tcW w:w="6120" w:type="dxa"/>
            <w:vAlign w:val="bottom"/>
            <w:tcBorders>
              <w:top w:val="single" w:sz="8" w:color="auto"/>
            </w:tcBorders>
          </w:tcPr>
          <w:p>
            <w:pPr>
              <w:ind w:left="140"/>
              <w:spacing w:after="0"/>
              <w:rPr>
                <w:sz w:val="20"/>
                <w:szCs w:val="20"/>
                <w:color w:val="auto"/>
              </w:rPr>
            </w:pPr>
            <w:r>
              <w:rPr>
                <w:rFonts w:ascii="Arial" w:cs="Arial" w:eastAsia="Arial" w:hAnsi="Arial"/>
                <w:sz w:val="14"/>
                <w:szCs w:val="14"/>
                <w:i w:val="1"/>
                <w:iCs w:val="1"/>
                <w:color w:val="auto"/>
              </w:rPr>
              <w:t>We record the offset of this fluctuation to other comprehensive income.</w:t>
            </w: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bl>
    <w:p>
      <w:pPr>
        <w:spacing w:after="0" w:line="200" w:lineRule="exact"/>
        <w:rPr>
          <w:sz w:val="20"/>
          <w:szCs w:val="20"/>
          <w:color w:val="auto"/>
        </w:rPr>
      </w:pPr>
    </w:p>
    <w:p>
      <w:pPr>
        <w:spacing w:after="0" w:line="2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provide additional information concerning goodwill related to our equity method investments and the impairment of investments in unconsolidated subsidiaries in Note 4.</w:t>
      </w:r>
    </w:p>
    <w:p>
      <w:pPr>
        <w:sectPr>
          <w:pgSz w:w="11900" w:h="16838" w:orient="portrait"/>
          <w:cols w:equalWidth="0" w:num="1">
            <w:col w:w="11420"/>
          </w:cols>
          <w:pgMar w:left="240" w:top="120" w:right="239" w:bottom="4" w:gutter="0" w:footer="0" w:header="0"/>
        </w:sectPr>
      </w:pPr>
    </w:p>
    <w:bookmarkStart w:id="206" w:name="page207"/>
    <w:bookmarkEnd w:id="206"/>
    <w:p>
      <w:pPr>
        <w:spacing w:after="0"/>
        <w:rPr>
          <w:sz w:val="20"/>
          <w:szCs w:val="20"/>
          <w:color w:val="auto"/>
        </w:rPr>
      </w:pPr>
      <w:r>
        <w:rPr>
          <w:rFonts w:ascii="Arial" w:cs="Arial" w:eastAsia="Arial" w:hAnsi="Arial"/>
          <w:sz w:val="20"/>
          <w:szCs w:val="20"/>
          <w:b w:val="1"/>
          <w:bCs w:val="1"/>
          <w:i w:val="1"/>
          <w:iCs w:val="1"/>
          <w:color w:val="auto"/>
        </w:rPr>
        <w:t>Other Intangible Assets</w:t>
      </w:r>
    </w:p>
    <w:p>
      <w:pPr>
        <w:spacing w:after="0" w:line="20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Sempra Pipelines &amp; Storage recorded $460 million of intangible assets in connection with the acquisition of EnergySouth, Inc. in 2008. These intangible assets represent storage and development rights related to the natural gas storage facilities of Bay Gas Storage, LLC (Bay Gas) and Mississippi Hub, LLC (Mississippi Hub) and were recorded at estimated fair value as of the date of the acquisition using discounted cash flows analysis. Our important assumptions in determining fair value include estimated future cash flows, the estimated useful life of the intangible assets and our use of appropriate discount rates. We are amortizing these intangible assets over their estimated useful lives as shown in the table below.</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on the Sempra Energy Consolidated Balance Sheets are as follows: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8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150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1520" w:type="dxa"/>
            <w:vAlign w:val="bottom"/>
            <w:shd w:val="clear" w:color="auto" w:fill="C0C0C0"/>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580" w:type="dxa"/>
            <w:vAlign w:val="bottom"/>
          </w:tcPr>
          <w:p>
            <w:pPr>
              <w:jc w:val="center"/>
              <w:ind w:left="263"/>
              <w:spacing w:after="0"/>
              <w:rPr>
                <w:sz w:val="20"/>
                <w:szCs w:val="20"/>
                <w:color w:val="auto"/>
              </w:rPr>
            </w:pPr>
            <w:r>
              <w:rPr>
                <w:rFonts w:ascii="Arial" w:cs="Arial" w:eastAsia="Arial" w:hAnsi="Arial"/>
                <w:sz w:val="14"/>
                <w:szCs w:val="14"/>
                <w:color w:val="auto"/>
              </w:rPr>
              <w:t>Amortization period</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61"/>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6"/>
                <w:szCs w:val="16"/>
                <w:color w:val="auto"/>
              </w:rPr>
            </w:pPr>
          </w:p>
        </w:tc>
        <w:tc>
          <w:tcPr>
            <w:tcW w:w="1520" w:type="dxa"/>
            <w:vAlign w:val="bottom"/>
          </w:tcPr>
          <w:p>
            <w:pPr>
              <w:jc w:val="right"/>
              <w:ind w:right="361"/>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48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color w:val="auto"/>
              </w:rPr>
              <w:t>(years)</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4880" w:type="dxa"/>
            <w:vAlign w:val="bottom"/>
          </w:tcPr>
          <w:p>
            <w:pPr>
              <w:spacing w:after="0" w:line="164" w:lineRule="exact"/>
              <w:rPr>
                <w:sz w:val="20"/>
                <w:szCs w:val="20"/>
                <w:color w:val="auto"/>
              </w:rPr>
            </w:pPr>
            <w:r>
              <w:rPr>
                <w:rFonts w:ascii="Arial" w:cs="Arial" w:eastAsia="Arial" w:hAnsi="Arial"/>
                <w:sz w:val="16"/>
                <w:szCs w:val="16"/>
                <w:color w:val="auto"/>
              </w:rPr>
              <w:t>Storage rights</w:t>
            </w:r>
          </w:p>
        </w:tc>
        <w:tc>
          <w:tcPr>
            <w:tcW w:w="2580" w:type="dxa"/>
            <w:vAlign w:val="bottom"/>
          </w:tcPr>
          <w:p>
            <w:pPr>
              <w:jc w:val="center"/>
              <w:ind w:left="243"/>
              <w:spacing w:after="0" w:line="164" w:lineRule="exact"/>
              <w:rPr>
                <w:sz w:val="20"/>
                <w:szCs w:val="20"/>
                <w:color w:val="auto"/>
              </w:rPr>
            </w:pPr>
            <w:r>
              <w:rPr>
                <w:rFonts w:ascii="Arial" w:cs="Arial" w:eastAsia="Arial" w:hAnsi="Arial"/>
                <w:sz w:val="16"/>
                <w:szCs w:val="16"/>
                <w:color w:val="auto"/>
              </w:rPr>
              <w:t>46</w:t>
            </w:r>
          </w:p>
        </w:tc>
        <w:tc>
          <w:tcPr>
            <w:tcW w:w="640" w:type="dxa"/>
            <w:vAlign w:val="bottom"/>
            <w:gridSpan w:val="2"/>
          </w:tcPr>
          <w:p>
            <w:pPr>
              <w:jc w:val="right"/>
              <w:ind w:right="180"/>
              <w:spacing w:after="0" w:line="164"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64" w:lineRule="exact"/>
              <w:rPr>
                <w:sz w:val="20"/>
                <w:szCs w:val="20"/>
                <w:color w:val="auto"/>
              </w:rPr>
            </w:pPr>
            <w:r>
              <w:rPr>
                <w:rFonts w:ascii="Arial" w:cs="Arial" w:eastAsia="Arial" w:hAnsi="Arial"/>
                <w:sz w:val="16"/>
                <w:szCs w:val="16"/>
                <w:color w:val="auto"/>
              </w:rPr>
              <w:t>138</w:t>
            </w:r>
          </w:p>
        </w:tc>
        <w:tc>
          <w:tcPr>
            <w:tcW w:w="280" w:type="dxa"/>
            <w:vAlign w:val="bottom"/>
          </w:tcPr>
          <w:p>
            <w:pPr>
              <w:spacing w:after="0" w:line="164"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64" w:lineRule="exact"/>
              <w:rPr>
                <w:sz w:val="20"/>
                <w:szCs w:val="20"/>
                <w:color w:val="auto"/>
              </w:rPr>
            </w:pPr>
            <w:r>
              <w:rPr>
                <w:rFonts w:ascii="Arial" w:cs="Arial" w:eastAsia="Arial" w:hAnsi="Arial"/>
                <w:sz w:val="16"/>
                <w:szCs w:val="16"/>
                <w:color w:val="auto"/>
              </w:rPr>
              <w:t>138</w:t>
            </w:r>
          </w:p>
        </w:tc>
      </w:tr>
      <w:tr>
        <w:trPr>
          <w:trHeight w:val="176"/>
        </w:trPr>
        <w:tc>
          <w:tcPr>
            <w:tcW w:w="4900" w:type="dxa"/>
            <w:vAlign w:val="bottom"/>
            <w:gridSpan w:val="2"/>
          </w:tcPr>
          <w:p>
            <w:pPr>
              <w:spacing w:after="0" w:line="176" w:lineRule="exact"/>
              <w:rPr>
                <w:sz w:val="20"/>
                <w:szCs w:val="20"/>
                <w:color w:val="auto"/>
              </w:rPr>
            </w:pPr>
            <w:r>
              <w:rPr>
                <w:rFonts w:ascii="Arial" w:cs="Arial" w:eastAsia="Arial" w:hAnsi="Arial"/>
                <w:sz w:val="16"/>
                <w:szCs w:val="16"/>
                <w:color w:val="auto"/>
              </w:rPr>
              <w:t>Development rights</w:t>
            </w:r>
          </w:p>
        </w:tc>
        <w:tc>
          <w:tcPr>
            <w:tcW w:w="2580" w:type="dxa"/>
            <w:vAlign w:val="bottom"/>
          </w:tcPr>
          <w:p>
            <w:pPr>
              <w:jc w:val="center"/>
              <w:ind w:left="243"/>
              <w:spacing w:after="0" w:line="176" w:lineRule="exact"/>
              <w:rPr>
                <w:sz w:val="20"/>
                <w:szCs w:val="20"/>
                <w:color w:val="auto"/>
              </w:rPr>
            </w:pPr>
            <w:r>
              <w:rPr>
                <w:rFonts w:ascii="Arial" w:cs="Arial" w:eastAsia="Arial" w:hAnsi="Arial"/>
                <w:sz w:val="16"/>
                <w:szCs w:val="16"/>
                <w:color w:val="auto"/>
              </w:rPr>
              <w:t>50</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322</w:t>
            </w:r>
          </w:p>
        </w:tc>
        <w:tc>
          <w:tcPr>
            <w:tcW w:w="28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322</w:t>
            </w:r>
          </w:p>
        </w:tc>
      </w:tr>
      <w:tr>
        <w:trPr>
          <w:trHeight w:val="194"/>
        </w:trPr>
        <w:tc>
          <w:tcPr>
            <w:tcW w:w="4900" w:type="dxa"/>
            <w:vAlign w:val="bottom"/>
            <w:gridSpan w:val="2"/>
          </w:tcPr>
          <w:p>
            <w:pPr>
              <w:spacing w:after="0"/>
              <w:rPr>
                <w:sz w:val="20"/>
                <w:szCs w:val="20"/>
                <w:color w:val="auto"/>
              </w:rPr>
            </w:pPr>
            <w:r>
              <w:rPr>
                <w:rFonts w:ascii="Arial" w:cs="Arial" w:eastAsia="Arial" w:hAnsi="Arial"/>
                <w:sz w:val="16"/>
                <w:szCs w:val="16"/>
                <w:color w:val="auto"/>
              </w:rPr>
              <w:t>Other</w:t>
            </w:r>
          </w:p>
        </w:tc>
        <w:tc>
          <w:tcPr>
            <w:tcW w:w="2580" w:type="dxa"/>
            <w:vAlign w:val="bottom"/>
          </w:tcPr>
          <w:p>
            <w:pPr>
              <w:jc w:val="center"/>
              <w:ind w:left="283"/>
              <w:spacing w:after="0"/>
              <w:rPr>
                <w:sz w:val="20"/>
                <w:szCs w:val="20"/>
                <w:color w:val="auto"/>
              </w:rPr>
            </w:pPr>
            <w:r>
              <w:rPr>
                <w:rFonts w:ascii="Arial" w:cs="Arial" w:eastAsia="Arial" w:hAnsi="Arial"/>
                <w:sz w:val="16"/>
                <w:szCs w:val="16"/>
                <w:color w:val="auto"/>
              </w:rPr>
              <w:t>11 years to indefinite</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481</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476</w:t>
            </w:r>
          </w:p>
        </w:tc>
      </w:tr>
      <w:tr>
        <w:trPr>
          <w:trHeight w:val="164"/>
        </w:trPr>
        <w:tc>
          <w:tcPr>
            <w:tcW w:w="4900" w:type="dxa"/>
            <w:vAlign w:val="bottom"/>
            <w:gridSpan w:val="2"/>
          </w:tcPr>
          <w:p>
            <w:pPr>
              <w:spacing w:after="0" w:line="164" w:lineRule="exact"/>
              <w:rPr>
                <w:sz w:val="20"/>
                <w:szCs w:val="20"/>
                <w:color w:val="auto"/>
              </w:rPr>
            </w:pPr>
            <w:r>
              <w:rPr>
                <w:rFonts w:ascii="Arial" w:cs="Arial" w:eastAsia="Arial" w:hAnsi="Arial"/>
                <w:sz w:val="16"/>
                <w:szCs w:val="16"/>
                <w:color w:val="auto"/>
              </w:rPr>
              <w:t>Less accumulated amortization:</w:t>
            </w:r>
          </w:p>
        </w:tc>
        <w:tc>
          <w:tcPr>
            <w:tcW w:w="2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6"/>
        </w:trPr>
        <w:tc>
          <w:tcPr>
            <w:tcW w:w="4900" w:type="dxa"/>
            <w:vAlign w:val="bottom"/>
            <w:gridSpan w:val="2"/>
          </w:tcPr>
          <w:p>
            <w:pPr>
              <w:spacing w:after="0" w:line="176" w:lineRule="exact"/>
              <w:rPr>
                <w:sz w:val="20"/>
                <w:szCs w:val="20"/>
                <w:color w:val="auto"/>
              </w:rPr>
            </w:pPr>
            <w:r>
              <w:rPr>
                <w:rFonts w:ascii="Arial" w:cs="Arial" w:eastAsia="Arial" w:hAnsi="Arial"/>
                <w:sz w:val="16"/>
                <w:szCs w:val="16"/>
                <w:color w:val="auto"/>
              </w:rPr>
              <w:t>Storage rights</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28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r>
      <w:tr>
        <w:trPr>
          <w:trHeight w:val="176"/>
        </w:trPr>
        <w:tc>
          <w:tcPr>
            <w:tcW w:w="4900" w:type="dxa"/>
            <w:vAlign w:val="bottom"/>
            <w:gridSpan w:val="2"/>
          </w:tcPr>
          <w:p>
            <w:pPr>
              <w:spacing w:after="0" w:line="176" w:lineRule="exact"/>
              <w:rPr>
                <w:sz w:val="20"/>
                <w:szCs w:val="20"/>
                <w:color w:val="auto"/>
              </w:rPr>
            </w:pPr>
            <w:r>
              <w:rPr>
                <w:rFonts w:ascii="Arial" w:cs="Arial" w:eastAsia="Arial" w:hAnsi="Arial"/>
                <w:sz w:val="16"/>
                <w:szCs w:val="16"/>
                <w:color w:val="auto"/>
              </w:rPr>
              <w:t>Development rights</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8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194"/>
        </w:trPr>
        <w:tc>
          <w:tcPr>
            <w:tcW w:w="4900" w:type="dxa"/>
            <w:vAlign w:val="bottom"/>
            <w:gridSpan w:val="2"/>
          </w:tcPr>
          <w:p>
            <w:pPr>
              <w:spacing w:after="0"/>
              <w:rPr>
                <w:sz w:val="20"/>
                <w:szCs w:val="20"/>
                <w:color w:val="auto"/>
              </w:rPr>
            </w:pPr>
            <w:r>
              <w:rPr>
                <w:rFonts w:ascii="Arial" w:cs="Arial" w:eastAsia="Arial" w:hAnsi="Arial"/>
                <w:sz w:val="16"/>
                <w:szCs w:val="16"/>
                <w:color w:val="auto"/>
              </w:rPr>
              <w:t>Other</w:t>
            </w:r>
          </w:p>
        </w:tc>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448</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7"/>
        </w:trPr>
        <w:tc>
          <w:tcPr>
            <w:tcW w:w="20" w:type="dxa"/>
            <w:vAlign w:val="bottom"/>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Amortization expense related to the above intangible assets was $10 million in each of 2011, 2010 and 2009. We estimate the amortization expense for the next five years to be $10 million per year.</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3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periodically evaluate whether events or circumstances have occurred that may affect the recoverability or the estimated useful lives of long-lived assets, the definition of which includes intangible assets subject to amortization, but does not include unconsolidated subsidiaries. Impairment of long-lived assets occurs when the estimated future undiscounted cash flows are less than the carrying amount of the assets. If that comparison indicates that the assets’ carrying value may not be recoverable, the impairment is measured based on the difference between the carrying amount and the fair value of the assets. This evaluation is performed at the lowest level for which separately identifiable cash flows exist.</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second quarter of 2009, we recorded a $132 million pretax write-off related to certain assets at one of Sempra Pipelines &amp; Storage’s natural gas storage projects. This amount is recorded as Write-off of Long-Lived Assets on our Consolidated Statement of Operations for the year ended December 31, 2009. Sempra Pipelines &amp; Storage owns 75 percent of Liberty Gas Storage, LLC (Liberty), the partnership that owns the project. Our partner’s 25-percent share of the pretax charge is $33 million, which is included in (Earnings) Losses Attributable to Noncontrolling Interests on our Consolidated Statement of Operations for the year ended December 31, 2009. The impact to our net income and to our earnings is $97 million and $64 million, respectively, for the year ended December 31, 2009. In September 2009, the members of the partnership unanimously voted to proceed with the abandonment of the assets that were written off. The abandonment work began in late 2010 and was completed in early 2011.</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70" w:lineRule="exact"/>
        <w:rPr>
          <w:sz w:val="20"/>
          <w:szCs w:val="20"/>
          <w:color w:val="auto"/>
        </w:rPr>
      </w:pPr>
    </w:p>
    <w:p>
      <w:pPr>
        <w:ind w:left="340" w:hanging="188"/>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obligation to absorb losses or right to receive benefits that could be significant to the VIE.</w:t>
      </w:r>
    </w:p>
    <w:p>
      <w:pPr>
        <w:spacing w:after="0" w:line="200" w:lineRule="exact"/>
        <w:rPr>
          <w:sz w:val="20"/>
          <w:szCs w:val="20"/>
          <w:color w:val="auto"/>
        </w:rPr>
      </w:pPr>
    </w:p>
    <w:p>
      <w:pPr>
        <w:spacing w:after="0" w:line="268" w:lineRule="exact"/>
        <w:rPr>
          <w:sz w:val="20"/>
          <w:szCs w:val="20"/>
          <w:color w:val="auto"/>
        </w:rPr>
      </w:pPr>
    </w:p>
    <w:p>
      <w:pPr>
        <w:ind w:right="700"/>
        <w:spacing w:after="0" w:line="288" w:lineRule="auto"/>
        <w:rPr>
          <w:sz w:val="20"/>
          <w:szCs w:val="20"/>
          <w:color w:val="auto"/>
        </w:rPr>
      </w:pPr>
      <w:r>
        <w:rPr>
          <w:rFonts w:ascii="Arial" w:cs="Arial" w:eastAsia="Arial" w:hAnsi="Arial"/>
          <w:sz w:val="16"/>
          <w:szCs w:val="16"/>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impacts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Sempra Energy and SDG&amp;E consolidate the entity that owns the facility as a VIE, as we discuss below.</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Otay Mesa VIE</w:t>
      </w:r>
    </w:p>
    <w:p>
      <w:pPr>
        <w:sectPr>
          <w:pgSz w:w="11900" w:h="16838" w:orient="portrait"/>
          <w:cols w:equalWidth="0" w:num="1">
            <w:col w:w="11420"/>
          </w:cols>
          <w:pgMar w:left="240" w:top="122" w:right="239" w:bottom="120" w:gutter="0" w:footer="0" w:header="0"/>
        </w:sectPr>
      </w:pPr>
    </w:p>
    <w:bookmarkStart w:id="207" w:name="page208"/>
    <w:bookmarkEnd w:id="207"/>
    <w:p>
      <w:pPr>
        <w:spacing w:after="0" w:line="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SDG&amp;E has a 10-year agreement to purchase power generated at the Otay Mesa Energy Center (OMEC), a 605-megawatt (MW) generating facility that began commercial operations in October 2009.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Sempra Energy and SDG&amp;E have consolidated Otay Mesa VIE since the second quarter of 2007. Otay Mesa VIE’s equity of $102 million at December 31, 2011 and $113 million at December 31, 2010 is included on the Consolidated Balance Sheets in Other Noncontrolling Interests for Sempra Energy and in Noncontrolling Interest for SDG&amp;E.</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OMEC LLC has a loan outstanding of $355 million at December 31, 2011,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10.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as of December 31, 2011.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SDG&amp;E is not exposed to losses or gains as a result of these other VIEs, because all such variability would be recovered in rates.</w:t>
      </w:r>
    </w:p>
    <w:p>
      <w:pPr>
        <w:spacing w:after="0" w:line="1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Sempra Energy’s other business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requirements of GAAP concerning the consolidation of VIEs.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Consolidated Financial Statements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tables below correspond to SDG&amp;E’s Consolidated Balance Sheets and Consolidated Statements of Operations.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39"/>
              <w:spacing w:after="0" w:line="159" w:lineRule="exact"/>
              <w:rPr>
                <w:sz w:val="20"/>
                <w:szCs w:val="20"/>
                <w:color w:val="auto"/>
              </w:rPr>
            </w:pPr>
            <w:r>
              <w:rPr>
                <w:rFonts w:ascii="Arial" w:cs="Arial" w:eastAsia="Arial" w:hAnsi="Arial"/>
                <w:sz w:val="14"/>
                <w:szCs w:val="14"/>
                <w:color w:val="auto"/>
              </w:rPr>
              <w:t>December 31,</w:t>
            </w: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40"/>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360" w:type="dxa"/>
            <w:vAlign w:val="bottom"/>
          </w:tcPr>
          <w:p>
            <w:pPr>
              <w:spacing w:after="0" w:line="164" w:lineRule="exact"/>
              <w:rPr>
                <w:sz w:val="20"/>
                <w:szCs w:val="20"/>
                <w:color w:val="auto"/>
              </w:rPr>
            </w:pPr>
            <w:r>
              <w:rPr>
                <w:rFonts w:ascii="Arial" w:cs="Arial" w:eastAsia="Arial" w:hAnsi="Arial"/>
                <w:sz w:val="16"/>
                <w:szCs w:val="16"/>
                <w:color w:val="auto"/>
              </w:rPr>
              <w:t>Cash and cash equivalents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80"/>
              <w:spacing w:after="0" w:line="164" w:lineRule="exact"/>
              <w:rPr>
                <w:sz w:val="20"/>
                <w:szCs w:val="20"/>
                <w:color w:val="auto"/>
              </w:rPr>
            </w:pPr>
            <w:r>
              <w:rPr>
                <w:rFonts w:ascii="Arial" w:cs="Arial" w:eastAsia="Arial" w:hAnsi="Arial"/>
                <w:sz w:val="16"/>
                <w:szCs w:val="16"/>
                <w:color w:val="auto"/>
              </w:rPr>
              <w:t>12</w:t>
            </w:r>
          </w:p>
        </w:tc>
        <w:tc>
          <w:tcPr>
            <w:tcW w:w="36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10</w:t>
            </w:r>
          </w:p>
        </w:tc>
        <w:tc>
          <w:tcPr>
            <w:tcW w:w="20" w:type="dxa"/>
            <w:vAlign w:val="bottom"/>
          </w:tcPr>
          <w:p>
            <w:pPr>
              <w:spacing w:after="0"/>
              <w:rPr>
                <w:sz w:val="14"/>
                <w:szCs w:val="14"/>
                <w:color w:val="auto"/>
              </w:rPr>
            </w:pP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Restricted cash</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5"/>
                <w:szCs w:val="15"/>
                <w:color w:val="auto"/>
              </w:rPr>
            </w:pP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Accounts receivable - trade</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14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Accounts receivable - other</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w:t>
            </w: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Inventories</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r>
      <w:tr>
        <w:trPr>
          <w:trHeight w:val="194"/>
        </w:trPr>
        <w:tc>
          <w:tcPr>
            <w:tcW w:w="6380" w:type="dxa"/>
            <w:vAlign w:val="bottom"/>
            <w:gridSpan w:val="2"/>
          </w:tcPr>
          <w:p>
            <w:pPr>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6360" w:type="dxa"/>
            <w:vAlign w:val="bottom"/>
          </w:tcPr>
          <w:p>
            <w:pPr>
              <w:ind w:left="160"/>
              <w:spacing w:after="0" w:line="164" w:lineRule="exact"/>
              <w:rPr>
                <w:sz w:val="20"/>
                <w:szCs w:val="20"/>
                <w:color w:val="auto"/>
              </w:rPr>
            </w:pPr>
            <w:r>
              <w:rPr>
                <w:rFonts w:ascii="Arial" w:cs="Arial" w:eastAsia="Arial" w:hAnsi="Arial"/>
                <w:sz w:val="16"/>
                <w:szCs w:val="16"/>
                <w:color w:val="auto"/>
              </w:rPr>
              <w:t>Total current assets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180"/>
              <w:spacing w:after="0" w:line="164" w:lineRule="exact"/>
              <w:rPr>
                <w:sz w:val="20"/>
                <w:szCs w:val="20"/>
                <w:color w:val="auto"/>
              </w:rPr>
            </w:pPr>
            <w:r>
              <w:rPr>
                <w:rFonts w:ascii="Arial" w:cs="Arial" w:eastAsia="Arial" w:hAnsi="Arial"/>
                <w:sz w:val="16"/>
                <w:szCs w:val="16"/>
                <w:color w:val="auto"/>
              </w:rPr>
              <w:t>29</w:t>
            </w:r>
          </w:p>
        </w:tc>
        <w:tc>
          <w:tcPr>
            <w:tcW w:w="36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18</w:t>
            </w:r>
          </w:p>
        </w:tc>
        <w:tc>
          <w:tcPr>
            <w:tcW w:w="20" w:type="dxa"/>
            <w:vAlign w:val="bottom"/>
          </w:tcPr>
          <w:p>
            <w:pPr>
              <w:spacing w:after="0"/>
              <w:rPr>
                <w:sz w:val="14"/>
                <w:szCs w:val="14"/>
                <w:color w:val="auto"/>
              </w:rPr>
            </w:pP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Restricted cash</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22</w:t>
            </w:r>
          </w:p>
        </w:tc>
        <w:tc>
          <w:tcPr>
            <w:tcW w:w="360" w:type="dxa"/>
            <w:vAlign w:val="bottom"/>
          </w:tcPr>
          <w:p>
            <w:pPr>
              <w:spacing w:after="0"/>
              <w:rPr>
                <w:sz w:val="15"/>
                <w:szCs w:val="15"/>
                <w:color w:val="auto"/>
              </w:rPr>
            </w:pPr>
          </w:p>
        </w:tc>
        <w:tc>
          <w:tcPr>
            <w:tcW w:w="114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Sundry</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6</w:t>
            </w:r>
          </w:p>
        </w:tc>
        <w:tc>
          <w:tcPr>
            <w:tcW w:w="3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5"/>
                <w:szCs w:val="15"/>
                <w:color w:val="auto"/>
              </w:rPr>
            </w:pPr>
          </w:p>
        </w:tc>
      </w:tr>
      <w:tr>
        <w:trPr>
          <w:trHeight w:val="194"/>
        </w:trPr>
        <w:tc>
          <w:tcPr>
            <w:tcW w:w="638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494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360" w:type="dxa"/>
            <w:vAlign w:val="bottom"/>
          </w:tcPr>
          <w:p>
            <w:pPr>
              <w:ind w:left="160"/>
              <w:spacing w:after="0" w:line="176" w:lineRule="exact"/>
              <w:rPr>
                <w:sz w:val="20"/>
                <w:szCs w:val="20"/>
                <w:color w:val="auto"/>
              </w:rPr>
            </w:pPr>
            <w:r>
              <w:rPr>
                <w:rFonts w:ascii="Arial" w:cs="Arial" w:eastAsia="Arial" w:hAnsi="Arial"/>
                <w:sz w:val="16"/>
                <w:szCs w:val="16"/>
                <w:color w:val="auto"/>
              </w:rPr>
              <w:t>Total assets</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80"/>
              <w:spacing w:after="0" w:line="176" w:lineRule="exact"/>
              <w:rPr>
                <w:sz w:val="20"/>
                <w:szCs w:val="20"/>
                <w:color w:val="auto"/>
              </w:rPr>
            </w:pPr>
            <w:r>
              <w:rPr>
                <w:rFonts w:ascii="Arial" w:cs="Arial" w:eastAsia="Arial" w:hAnsi="Arial"/>
                <w:sz w:val="16"/>
                <w:szCs w:val="16"/>
                <w:color w:val="auto"/>
              </w:rPr>
              <w:t>551</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540</w:t>
            </w:r>
          </w:p>
        </w:tc>
        <w:tc>
          <w:tcPr>
            <w:tcW w:w="20" w:type="dxa"/>
            <w:vAlign w:val="bottom"/>
          </w:tcPr>
          <w:p>
            <w:pPr>
              <w:spacing w:after="0"/>
              <w:rPr>
                <w:sz w:val="15"/>
                <w:szCs w:val="15"/>
                <w:color w:val="auto"/>
              </w:rPr>
            </w:pPr>
          </w:p>
        </w:tc>
      </w:tr>
      <w:tr>
        <w:trPr>
          <w:trHeight w:val="367"/>
        </w:trPr>
        <w:tc>
          <w:tcPr>
            <w:tcW w:w="6380" w:type="dxa"/>
            <w:vAlign w:val="bottom"/>
            <w:gridSpan w:val="2"/>
          </w:tcPr>
          <w:p>
            <w:pPr>
              <w:spacing w:after="0"/>
              <w:rPr>
                <w:sz w:val="20"/>
                <w:szCs w:val="20"/>
                <w:color w:val="auto"/>
              </w:rPr>
            </w:pPr>
            <w:r>
              <w:rPr>
                <w:rFonts w:ascii="Arial" w:cs="Arial" w:eastAsia="Arial" w:hAnsi="Arial"/>
                <w:sz w:val="16"/>
                <w:szCs w:val="16"/>
                <w:color w:val="auto"/>
              </w:rPr>
              <w:t>Current portion of long-term debt</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4"/>
                <w:szCs w:val="24"/>
                <w:color w:val="auto"/>
              </w:rPr>
            </w:pP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16</w:t>
            </w:r>
          </w:p>
        </w:tc>
        <w:tc>
          <w:tcPr>
            <w:tcW w:w="3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0" w:type="dxa"/>
            <w:vAlign w:val="bottom"/>
          </w:tcPr>
          <w:p>
            <w:pPr>
              <w:spacing w:after="0"/>
              <w:rPr>
                <w:sz w:val="15"/>
                <w:szCs w:val="15"/>
                <w:color w:val="auto"/>
              </w:rPr>
            </w:pPr>
          </w:p>
        </w:tc>
      </w:tr>
      <w:tr>
        <w:trPr>
          <w:trHeight w:val="194"/>
        </w:trPr>
        <w:tc>
          <w:tcPr>
            <w:tcW w:w="6380" w:type="dxa"/>
            <w:vAlign w:val="bottom"/>
            <w:gridSpan w:val="2"/>
          </w:tcPr>
          <w:p>
            <w:pPr>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6360" w:type="dxa"/>
            <w:vAlign w:val="bottom"/>
          </w:tcPr>
          <w:p>
            <w:pPr>
              <w:ind w:left="160"/>
              <w:spacing w:after="0" w:line="164" w:lineRule="exact"/>
              <w:rPr>
                <w:sz w:val="20"/>
                <w:szCs w:val="20"/>
                <w:color w:val="auto"/>
              </w:rPr>
            </w:pPr>
            <w:r>
              <w:rPr>
                <w:rFonts w:ascii="Arial" w:cs="Arial" w:eastAsia="Arial" w:hAnsi="Arial"/>
                <w:sz w:val="16"/>
                <w:szCs w:val="16"/>
                <w:color w:val="auto"/>
              </w:rPr>
              <w:t>Total current liabilities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180"/>
              <w:spacing w:after="0" w:line="164" w:lineRule="exact"/>
              <w:rPr>
                <w:sz w:val="20"/>
                <w:szCs w:val="20"/>
                <w:color w:val="auto"/>
              </w:rPr>
            </w:pPr>
            <w:r>
              <w:rPr>
                <w:rFonts w:ascii="Arial" w:cs="Arial" w:eastAsia="Arial" w:hAnsi="Arial"/>
                <w:sz w:val="16"/>
                <w:szCs w:val="16"/>
                <w:color w:val="auto"/>
              </w:rPr>
              <w:t>35</w:t>
            </w:r>
          </w:p>
        </w:tc>
        <w:tc>
          <w:tcPr>
            <w:tcW w:w="36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28</w:t>
            </w:r>
          </w:p>
        </w:tc>
        <w:tc>
          <w:tcPr>
            <w:tcW w:w="20" w:type="dxa"/>
            <w:vAlign w:val="bottom"/>
          </w:tcPr>
          <w:p>
            <w:pPr>
              <w:spacing w:after="0"/>
              <w:rPr>
                <w:sz w:val="14"/>
                <w:szCs w:val="14"/>
                <w:color w:val="auto"/>
              </w:rPr>
            </w:pP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Long-term debt</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345</w:t>
            </w:r>
          </w:p>
        </w:tc>
        <w:tc>
          <w:tcPr>
            <w:tcW w:w="3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355</w:t>
            </w:r>
          </w:p>
        </w:tc>
        <w:tc>
          <w:tcPr>
            <w:tcW w:w="20" w:type="dxa"/>
            <w:vAlign w:val="bottom"/>
          </w:tcPr>
          <w:p>
            <w:pPr>
              <w:spacing w:after="0"/>
              <w:rPr>
                <w:sz w:val="15"/>
                <w:szCs w:val="15"/>
                <w:color w:val="auto"/>
              </w:rPr>
            </w:pPr>
          </w:p>
        </w:tc>
      </w:tr>
      <w:tr>
        <w:trPr>
          <w:trHeight w:val="176"/>
        </w:trPr>
        <w:tc>
          <w:tcPr>
            <w:tcW w:w="6380" w:type="dxa"/>
            <w:vAlign w:val="bottom"/>
            <w:gridSpan w:val="2"/>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65</w:t>
            </w:r>
          </w:p>
        </w:tc>
        <w:tc>
          <w:tcPr>
            <w:tcW w:w="3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20" w:type="dxa"/>
            <w:vAlign w:val="bottom"/>
          </w:tcPr>
          <w:p>
            <w:pPr>
              <w:spacing w:after="0"/>
              <w:rPr>
                <w:sz w:val="15"/>
                <w:szCs w:val="15"/>
                <w:color w:val="auto"/>
              </w:rPr>
            </w:pPr>
          </w:p>
        </w:tc>
      </w:tr>
      <w:tr>
        <w:trPr>
          <w:trHeight w:val="195"/>
        </w:trPr>
        <w:tc>
          <w:tcPr>
            <w:tcW w:w="6380" w:type="dxa"/>
            <w:vAlign w:val="bottom"/>
            <w:gridSpan w:val="2"/>
          </w:tcPr>
          <w:p>
            <w:pPr>
              <w:spacing w:after="0"/>
              <w:rPr>
                <w:sz w:val="20"/>
                <w:szCs w:val="20"/>
                <w:color w:val="auto"/>
              </w:rPr>
            </w:pPr>
            <w:r>
              <w:rPr>
                <w:rFonts w:ascii="Arial" w:cs="Arial" w:eastAsia="Arial" w:hAnsi="Arial"/>
                <w:sz w:val="16"/>
                <w:szCs w:val="16"/>
                <w:color w:val="auto"/>
              </w:rPr>
              <w:t>Deferred credits and other</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r>
      <w:tr>
        <w:trPr>
          <w:trHeight w:val="202"/>
        </w:trPr>
        <w:tc>
          <w:tcPr>
            <w:tcW w:w="6380" w:type="dxa"/>
            <w:vAlign w:val="bottom"/>
            <w:gridSpan w:val="2"/>
          </w:tcPr>
          <w:p>
            <w:pPr>
              <w:spacing w:after="0"/>
              <w:rPr>
                <w:sz w:val="20"/>
                <w:szCs w:val="20"/>
                <w:color w:val="auto"/>
              </w:rPr>
            </w:pPr>
            <w:r>
              <w:rPr>
                <w:rFonts w:ascii="Arial" w:cs="Arial" w:eastAsia="Arial" w:hAnsi="Arial"/>
                <w:sz w:val="16"/>
                <w:szCs w:val="16"/>
                <w:color w:val="auto"/>
              </w:rPr>
              <w:t>Other noncontrolling interest</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102</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636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 liabilities and equity</w:t>
            </w:r>
          </w:p>
        </w:tc>
        <w:tc>
          <w:tcPr>
            <w:tcW w:w="1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80"/>
              <w:spacing w:after="0" w:line="176" w:lineRule="exact"/>
              <w:rPr>
                <w:sz w:val="20"/>
                <w:szCs w:val="20"/>
                <w:color w:val="auto"/>
              </w:rPr>
            </w:pPr>
            <w:r>
              <w:rPr>
                <w:rFonts w:ascii="Arial" w:cs="Arial" w:eastAsia="Arial" w:hAnsi="Arial"/>
                <w:sz w:val="16"/>
                <w:szCs w:val="16"/>
                <w:color w:val="auto"/>
              </w:rPr>
              <w:t>551</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540</w:t>
            </w:r>
          </w:p>
        </w:tc>
        <w:tc>
          <w:tcPr>
            <w:tcW w:w="20" w:type="dxa"/>
            <w:vAlign w:val="bottom"/>
          </w:tcPr>
          <w:p>
            <w:pPr>
              <w:spacing w:after="0"/>
              <w:rPr>
                <w:sz w:val="15"/>
                <w:szCs w:val="15"/>
                <w:color w:val="auto"/>
              </w:rPr>
            </w:pPr>
          </w:p>
        </w:tc>
      </w:tr>
      <w:tr>
        <w:trPr>
          <w:trHeight w:val="345"/>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Years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40"/>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r>
      <w:tr>
        <w:trPr>
          <w:trHeight w:val="367"/>
        </w:trPr>
        <w:tc>
          <w:tcPr>
            <w:tcW w:w="638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360" w:type="dxa"/>
            <w:vAlign w:val="bottom"/>
          </w:tcPr>
          <w:p>
            <w:pPr>
              <w:ind w:left="160"/>
              <w:spacing w:after="0" w:line="176" w:lineRule="exact"/>
              <w:rPr>
                <w:sz w:val="20"/>
                <w:szCs w:val="20"/>
                <w:color w:val="auto"/>
              </w:rPr>
            </w:pPr>
            <w:r>
              <w:rPr>
                <w:rFonts w:ascii="Arial" w:cs="Arial" w:eastAsia="Arial" w:hAnsi="Arial"/>
                <w:sz w:val="16"/>
                <w:szCs w:val="16"/>
                <w:color w:val="auto"/>
              </w:rPr>
              <w:t>Electric</w:t>
            </w:r>
          </w:p>
        </w:tc>
        <w:tc>
          <w:tcPr>
            <w:tcW w:w="1180" w:type="dxa"/>
            <w:vAlign w:val="bottom"/>
          </w:tcPr>
          <w:p>
            <w:pPr>
              <w:jc w:val="right"/>
              <w:ind w:right="663"/>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w:t>
            </w:r>
          </w:p>
        </w:tc>
      </w:tr>
      <w:tr>
        <w:trPr>
          <w:trHeight w:val="194"/>
        </w:trPr>
        <w:tc>
          <w:tcPr>
            <w:tcW w:w="20" w:type="dxa"/>
            <w:vAlign w:val="bottom"/>
          </w:tcPr>
          <w:p>
            <w:pPr>
              <w:spacing w:after="0"/>
              <w:rPr>
                <w:sz w:val="16"/>
                <w:szCs w:val="16"/>
                <w:color w:val="auto"/>
              </w:rPr>
            </w:pPr>
          </w:p>
        </w:tc>
        <w:tc>
          <w:tcPr>
            <w:tcW w:w="6360" w:type="dxa"/>
            <w:vAlign w:val="bottom"/>
          </w:tcPr>
          <w:p>
            <w:pPr>
              <w:ind w:left="160"/>
              <w:spacing w:after="0"/>
              <w:rPr>
                <w:sz w:val="20"/>
                <w:szCs w:val="20"/>
                <w:color w:val="auto"/>
              </w:rPr>
            </w:pPr>
            <w:r>
              <w:rPr>
                <w:rFonts w:ascii="Arial" w:cs="Arial" w:eastAsia="Arial" w:hAnsi="Arial"/>
                <w:sz w:val="16"/>
                <w:szCs w:val="16"/>
                <w:color w:val="auto"/>
              </w:rPr>
              <w:t>Natural gas</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6360" w:type="dxa"/>
            <w:vAlign w:val="bottom"/>
          </w:tcPr>
          <w:p>
            <w:pPr>
              <w:ind w:left="340"/>
              <w:spacing w:after="0" w:line="176" w:lineRule="exact"/>
              <w:rPr>
                <w:sz w:val="20"/>
                <w:szCs w:val="20"/>
                <w:color w:val="auto"/>
              </w:rPr>
            </w:pPr>
            <w:r>
              <w:rPr>
                <w:rFonts w:ascii="Arial" w:cs="Arial" w:eastAsia="Arial" w:hAnsi="Arial"/>
                <w:sz w:val="16"/>
                <w:szCs w:val="16"/>
                <w:color w:val="auto"/>
              </w:rPr>
              <w:t>Total operating revenues</w:t>
            </w:r>
          </w:p>
        </w:tc>
        <w:tc>
          <w:tcPr>
            <w:tcW w:w="11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(4)</w:t>
            </w: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r>
      <w:tr>
        <w:trPr>
          <w:trHeight w:val="164"/>
        </w:trPr>
        <w:tc>
          <w:tcPr>
            <w:tcW w:w="6380" w:type="dxa"/>
            <w:vAlign w:val="bottom"/>
            <w:gridSpan w:val="2"/>
          </w:tcPr>
          <w:p>
            <w:pPr>
              <w:spacing w:after="0" w:line="164" w:lineRule="exact"/>
              <w:rPr>
                <w:sz w:val="20"/>
                <w:szCs w:val="20"/>
                <w:color w:val="auto"/>
              </w:rPr>
            </w:pPr>
            <w:r>
              <w:rPr>
                <w:rFonts w:ascii="Arial" w:cs="Arial" w:eastAsia="Arial" w:hAnsi="Arial"/>
                <w:sz w:val="16"/>
                <w:szCs w:val="16"/>
                <w:color w:val="auto"/>
              </w:rPr>
              <w:t>Operating expenses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360" w:type="dxa"/>
            <w:vAlign w:val="bottom"/>
          </w:tcPr>
          <w:p>
            <w:pPr>
              <w:ind w:left="16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11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(72)</w:t>
            </w:r>
          </w:p>
        </w:tc>
        <w:tc>
          <w:tcPr>
            <w:tcW w:w="560" w:type="dxa"/>
            <w:vAlign w:val="bottom"/>
          </w:tcPr>
          <w:p>
            <w:pPr>
              <w:spacing w:after="0"/>
              <w:rPr>
                <w:sz w:val="15"/>
                <w:szCs w:val="15"/>
                <w:color w:val="auto"/>
              </w:rPr>
            </w:pPr>
          </w:p>
        </w:tc>
        <w:tc>
          <w:tcPr>
            <w:tcW w:w="13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(82)</w:t>
            </w:r>
          </w:p>
        </w:tc>
        <w:tc>
          <w:tcPr>
            <w:tcW w:w="360" w:type="dxa"/>
            <w:vAlign w:val="bottom"/>
          </w:tcPr>
          <w:p>
            <w:pPr>
              <w:spacing w:after="0"/>
              <w:rPr>
                <w:sz w:val="15"/>
                <w:szCs w:val="15"/>
                <w:color w:val="auto"/>
              </w:rPr>
            </w:pP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(13)</w:t>
            </w:r>
          </w:p>
        </w:tc>
      </w:tr>
      <w:tr>
        <w:trPr>
          <w:trHeight w:val="176"/>
        </w:trPr>
        <w:tc>
          <w:tcPr>
            <w:tcW w:w="20" w:type="dxa"/>
            <w:vAlign w:val="bottom"/>
          </w:tcPr>
          <w:p>
            <w:pPr>
              <w:spacing w:after="0"/>
              <w:rPr>
                <w:sz w:val="15"/>
                <w:szCs w:val="15"/>
                <w:color w:val="auto"/>
              </w:rPr>
            </w:pPr>
          </w:p>
        </w:tc>
        <w:tc>
          <w:tcPr>
            <w:tcW w:w="6360" w:type="dxa"/>
            <w:vAlign w:val="bottom"/>
          </w:tcPr>
          <w:p>
            <w:pPr>
              <w:ind w:left="160"/>
              <w:spacing w:after="0" w:line="176" w:lineRule="exact"/>
              <w:rPr>
                <w:sz w:val="20"/>
                <w:szCs w:val="20"/>
                <w:color w:val="auto"/>
              </w:rPr>
            </w:pPr>
            <w:r>
              <w:rPr>
                <w:rFonts w:ascii="Arial" w:cs="Arial" w:eastAsia="Arial" w:hAnsi="Arial"/>
                <w:sz w:val="16"/>
                <w:szCs w:val="16"/>
                <w:color w:val="auto"/>
              </w:rPr>
              <w:t>Operation and maintenance</w:t>
            </w:r>
          </w:p>
        </w:tc>
        <w:tc>
          <w:tcPr>
            <w:tcW w:w="11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560" w:type="dxa"/>
            <w:vAlign w:val="bottom"/>
          </w:tcPr>
          <w:p>
            <w:pPr>
              <w:spacing w:after="0"/>
              <w:rPr>
                <w:sz w:val="15"/>
                <w:szCs w:val="15"/>
                <w:color w:val="auto"/>
              </w:rPr>
            </w:pPr>
          </w:p>
        </w:tc>
        <w:tc>
          <w:tcPr>
            <w:tcW w:w="134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20</w:t>
            </w:r>
          </w:p>
        </w:tc>
        <w:tc>
          <w:tcPr>
            <w:tcW w:w="3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63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26</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360" w:type="dxa"/>
            <w:vAlign w:val="bottom"/>
          </w:tcPr>
          <w:p>
            <w:pPr>
              <w:ind w:left="340"/>
              <w:spacing w:after="0" w:line="176" w:lineRule="exact"/>
              <w:rPr>
                <w:sz w:val="20"/>
                <w:szCs w:val="20"/>
                <w:color w:val="auto"/>
              </w:rPr>
            </w:pPr>
            <w:r>
              <w:rPr>
                <w:rFonts w:ascii="Arial" w:cs="Arial" w:eastAsia="Arial" w:hAnsi="Arial"/>
                <w:sz w:val="16"/>
                <w:szCs w:val="16"/>
                <w:color w:val="auto"/>
              </w:rPr>
              <w:t>Total operating expenses</w:t>
            </w:r>
          </w:p>
        </w:tc>
        <w:tc>
          <w:tcPr>
            <w:tcW w:w="1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w:t>
            </w: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r>
      <w:tr>
        <w:trPr>
          <w:trHeight w:val="164"/>
        </w:trPr>
        <w:tc>
          <w:tcPr>
            <w:tcW w:w="6380" w:type="dxa"/>
            <w:vAlign w:val="bottom"/>
            <w:gridSpan w:val="2"/>
          </w:tcPr>
          <w:p>
            <w:pPr>
              <w:spacing w:after="0" w:line="164" w:lineRule="exact"/>
              <w:rPr>
                <w:sz w:val="20"/>
                <w:szCs w:val="20"/>
                <w:color w:val="auto"/>
              </w:rPr>
            </w:pPr>
            <w:r>
              <w:rPr>
                <w:rFonts w:ascii="Arial" w:cs="Arial" w:eastAsia="Arial" w:hAnsi="Arial"/>
                <w:sz w:val="16"/>
                <w:szCs w:val="16"/>
                <w:color w:val="auto"/>
              </w:rPr>
              <w:t>Operating income (loss)</w:t>
            </w:r>
          </w:p>
        </w:tc>
        <w:tc>
          <w:tcPr>
            <w:tcW w:w="1180" w:type="dxa"/>
            <w:vAlign w:val="bottom"/>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6"/>
                <w:szCs w:val="16"/>
                <w:color w:val="auto"/>
              </w:rPr>
              <w:t>31</w:t>
            </w:r>
          </w:p>
        </w:tc>
        <w:tc>
          <w:tcPr>
            <w:tcW w:w="560" w:type="dxa"/>
            <w:vAlign w:val="bottom"/>
          </w:tcPr>
          <w:p>
            <w:pPr>
              <w:spacing w:after="0"/>
              <w:rPr>
                <w:sz w:val="14"/>
                <w:szCs w:val="14"/>
                <w:color w:val="auto"/>
              </w:rPr>
            </w:pPr>
          </w:p>
        </w:tc>
        <w:tc>
          <w:tcPr>
            <w:tcW w:w="1340" w:type="dxa"/>
            <w:vAlign w:val="bottom"/>
          </w:tcPr>
          <w:p>
            <w:pPr>
              <w:jc w:val="right"/>
              <w:ind w:right="180"/>
              <w:spacing w:after="0" w:line="164" w:lineRule="exact"/>
              <w:rPr>
                <w:sz w:val="20"/>
                <w:szCs w:val="20"/>
                <w:color w:val="auto"/>
              </w:rPr>
            </w:pPr>
            <w:r>
              <w:rPr>
                <w:rFonts w:ascii="Arial" w:cs="Arial" w:eastAsia="Arial" w:hAnsi="Arial"/>
                <w:sz w:val="16"/>
                <w:szCs w:val="16"/>
                <w:color w:val="auto"/>
              </w:rPr>
              <w:t>32</w:t>
            </w:r>
          </w:p>
        </w:tc>
        <w:tc>
          <w:tcPr>
            <w:tcW w:w="36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r>
      <w:tr>
        <w:trPr>
          <w:trHeight w:val="195"/>
        </w:trPr>
        <w:tc>
          <w:tcPr>
            <w:tcW w:w="6380" w:type="dxa"/>
            <w:vAlign w:val="bottom"/>
            <w:gridSpan w:val="2"/>
          </w:tcPr>
          <w:p>
            <w:pPr>
              <w:spacing w:after="0"/>
              <w:rPr>
                <w:sz w:val="20"/>
                <w:szCs w:val="20"/>
                <w:color w:val="auto"/>
              </w:rPr>
            </w:pPr>
            <w:r>
              <w:rPr>
                <w:rFonts w:ascii="Arial" w:cs="Arial" w:eastAsia="Arial" w:hAnsi="Arial"/>
                <w:sz w:val="16"/>
                <w:szCs w:val="16"/>
                <w:color w:val="auto"/>
              </w:rPr>
              <w:t>Other (expense) income, net</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6"/>
                <w:szCs w:val="16"/>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r>
    </w:tbl>
    <w:p>
      <w:pPr>
        <w:sectPr>
          <w:pgSz w:w="11900" w:h="16905" w:orient="portrait"/>
          <w:cols w:equalWidth="0" w:num="1">
            <w:col w:w="11420"/>
          </w:cols>
          <w:pgMar w:left="240" w:top="126" w:right="239" w:bottom="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20"/>
                <w:szCs w:val="20"/>
                <w:color w:val="auto"/>
              </w:rPr>
            </w:pPr>
            <w:r>
              <w:rPr>
                <w:rFonts w:ascii="Arial" w:cs="Arial" w:eastAsia="Arial" w:hAnsi="Arial"/>
                <w:sz w:val="16"/>
                <w:szCs w:val="16"/>
                <w:color w:val="auto"/>
              </w:rPr>
              <w:t>Interest expense</w:t>
            </w:r>
          </w:p>
        </w:tc>
        <w:tc>
          <w:tcPr>
            <w:tcW w:w="9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760" w:type="dxa"/>
            <w:vAlign w:val="bottom"/>
          </w:tcPr>
          <w:p>
            <w:pPr>
              <w:spacing w:after="0"/>
              <w:rPr>
                <w:sz w:val="16"/>
                <w:szCs w:val="16"/>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7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164"/>
        </w:trPr>
        <w:tc>
          <w:tcPr>
            <w:tcW w:w="6380" w:type="dxa"/>
            <w:vAlign w:val="bottom"/>
          </w:tcPr>
          <w:p>
            <w:pPr>
              <w:spacing w:after="0" w:line="164" w:lineRule="exact"/>
              <w:rPr>
                <w:sz w:val="20"/>
                <w:szCs w:val="20"/>
                <w:color w:val="auto"/>
              </w:rPr>
            </w:pPr>
            <w:r>
              <w:rPr>
                <w:rFonts w:ascii="Arial" w:cs="Arial" w:eastAsia="Arial" w:hAnsi="Arial"/>
                <w:sz w:val="16"/>
                <w:szCs w:val="16"/>
                <w:color w:val="auto"/>
              </w:rPr>
              <w:t>Income (loss) before income taxes/Net income (loss)</w:t>
            </w:r>
          </w:p>
        </w:tc>
        <w:tc>
          <w:tcPr>
            <w:tcW w:w="9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39"/>
              <w:spacing w:after="0" w:line="164" w:lineRule="exact"/>
              <w:rPr>
                <w:sz w:val="20"/>
                <w:szCs w:val="20"/>
                <w:color w:val="auto"/>
              </w:rPr>
            </w:pPr>
            <w:r>
              <w:rPr>
                <w:rFonts w:ascii="Arial" w:cs="Arial" w:eastAsia="Arial" w:hAnsi="Arial"/>
                <w:sz w:val="16"/>
                <w:szCs w:val="16"/>
                <w:color w:val="auto"/>
              </w:rPr>
              <w:t>19</w:t>
            </w:r>
          </w:p>
        </w:tc>
        <w:tc>
          <w:tcPr>
            <w:tcW w:w="7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99"/>
              <w:spacing w:after="0" w:line="164" w:lineRule="exact"/>
              <w:rPr>
                <w:sz w:val="20"/>
                <w:szCs w:val="20"/>
                <w:color w:val="auto"/>
              </w:rPr>
            </w:pPr>
            <w:r>
              <w:rPr>
                <w:rFonts w:ascii="Arial" w:cs="Arial" w:eastAsia="Arial" w:hAnsi="Arial"/>
                <w:sz w:val="16"/>
                <w:szCs w:val="16"/>
                <w:color w:val="auto"/>
              </w:rPr>
              <w:t>(16)</w:t>
            </w:r>
          </w:p>
        </w:tc>
        <w:tc>
          <w:tcPr>
            <w:tcW w:w="7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24</w:t>
            </w:r>
          </w:p>
        </w:tc>
        <w:tc>
          <w:tcPr>
            <w:tcW w:w="20" w:type="dxa"/>
            <w:vAlign w:val="bottom"/>
          </w:tcPr>
          <w:p>
            <w:pPr>
              <w:spacing w:after="0"/>
              <w:rPr>
                <w:sz w:val="14"/>
                <w:szCs w:val="14"/>
                <w:color w:val="auto"/>
              </w:rPr>
            </w:pPr>
          </w:p>
        </w:tc>
      </w:tr>
      <w:tr>
        <w:trPr>
          <w:trHeight w:val="194"/>
        </w:trPr>
        <w:tc>
          <w:tcPr>
            <w:tcW w:w="638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9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760" w:type="dxa"/>
            <w:vAlign w:val="bottom"/>
          </w:tcPr>
          <w:p>
            <w:pPr>
              <w:spacing w:after="0"/>
              <w:rPr>
                <w:sz w:val="16"/>
                <w:szCs w:val="16"/>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16</w:t>
            </w:r>
          </w:p>
        </w:tc>
        <w:tc>
          <w:tcPr>
            <w:tcW w:w="7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183"/>
        </w:trPr>
        <w:tc>
          <w:tcPr>
            <w:tcW w:w="638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Earnings</w:t>
            </w:r>
          </w:p>
        </w:tc>
        <w:tc>
          <w:tcPr>
            <w:tcW w:w="920" w:type="dxa"/>
            <w:vAlign w:val="bottom"/>
            <w:tcBorders>
              <w:top w:val="single" w:sz="8" w:color="auto"/>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3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 tangible long-lived assets, we record asset retirement obligations for the present value of liabilities of future costs expected to be incurred when assets are retired from service, if the retirement process is legally required and if a reasonable estimate of fair value can be made. We also record a liability if a legal obligation to perform an asset retirement exists and can be reasonably estimated, but performance is conditional upon a future event. We record the estimated retirement cost over the life of the related asset by depreciating the present value of the obligation (measured at the time of the asset’s acquisition) and accreting the discount until the liability is settled. Rate-regulated entities record regulatory assets or liabilities as a result of the timing difference between the recognition of costs in accordance with GAAP and costs recovered through the rate-making process. We have recorded a regulatory liability to show that the Sempra Utilities have collected funds from customers more quickly and for larger amounts than we would accrete the retirement liability and depreciate the asset in accordance with GAAP.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asset retirement obligations related to various assets including: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SDG&amp;E and SoCalGas</w:t>
      </w:r>
    </w:p>
    <w:p>
      <w:pPr>
        <w:spacing w:after="0" w:line="225" w:lineRule="exact"/>
        <w:rPr>
          <w:sz w:val="20"/>
          <w:szCs w:val="20"/>
          <w:color w:val="auto"/>
        </w:rPr>
      </w:pPr>
    </w:p>
    <w:p>
      <w:pPr>
        <w:ind w:left="200" w:hanging="183"/>
        <w:spacing w:after="0"/>
        <w:tabs>
          <w:tab w:leader="none" w:pos="2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fuel and storage tanks</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natural gas distribution system</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hazardous waste storage facilities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asbestos-containing construction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SDG&amp;E</w:t>
      </w:r>
    </w:p>
    <w:p>
      <w:pPr>
        <w:spacing w:after="0" w:line="225" w:lineRule="exact"/>
        <w:rPr>
          <w:sz w:val="20"/>
          <w:szCs w:val="20"/>
          <w:color w:val="auto"/>
        </w:rPr>
      </w:pPr>
    </w:p>
    <w:p>
      <w:pPr>
        <w:ind w:left="200" w:hanging="183"/>
        <w:spacing w:after="0"/>
        <w:tabs>
          <w:tab w:leader="none" w:pos="2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decommissioning of nuclear power facilities</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electric distribution and transmission systems</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site restoration of a former power plant</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power generation plant (natural 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SoCalGas</w:t>
      </w:r>
    </w:p>
    <w:p>
      <w:pPr>
        <w:spacing w:after="0" w:line="225" w:lineRule="exact"/>
        <w:rPr>
          <w:sz w:val="20"/>
          <w:szCs w:val="20"/>
          <w:color w:val="auto"/>
        </w:rPr>
      </w:pPr>
    </w:p>
    <w:p>
      <w:pPr>
        <w:ind w:left="200" w:hanging="183"/>
        <w:spacing w:after="0"/>
        <w:tabs>
          <w:tab w:leader="none" w:pos="2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natural gas transmission pipelines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underground natural gas storage facilities and wells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Global</w:t>
      </w:r>
    </w:p>
    <w:p>
      <w:pPr>
        <w:spacing w:after="0" w:line="225" w:lineRule="exact"/>
        <w:rPr>
          <w:sz w:val="20"/>
          <w:szCs w:val="20"/>
          <w:color w:val="auto"/>
        </w:rPr>
      </w:pPr>
    </w:p>
    <w:p>
      <w:pPr>
        <w:ind w:left="200" w:hanging="183"/>
        <w:spacing w:after="0"/>
        <w:tabs>
          <w:tab w:leader="none" w:pos="2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certain power generation plants (natural gas and solar)</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natural gas distribution and transportation systems</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LNG terminal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asset retirement obligations are as follows: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0" w:type="dxa"/>
            <w:vAlign w:val="bottom"/>
            <w:gridSpan w:val="3"/>
          </w:tcPr>
          <w:p>
            <w:pPr>
              <w:jc w:val="right"/>
              <w:ind w:right="202"/>
              <w:spacing w:after="0"/>
              <w:rPr>
                <w:sz w:val="20"/>
                <w:szCs w:val="20"/>
                <w:color w:val="auto"/>
              </w:rPr>
            </w:pPr>
            <w:r>
              <w:rPr>
                <w:rFonts w:ascii="Arial" w:cs="Arial" w:eastAsia="Arial" w:hAnsi="Arial"/>
                <w:sz w:val="14"/>
                <w:szCs w:val="14"/>
                <w:color w:val="auto"/>
              </w:rPr>
              <w:t>Sempra Energy</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82"/>
              <w:spacing w:after="0" w:line="157" w:lineRule="exact"/>
              <w:rPr>
                <w:sz w:val="20"/>
                <w:szCs w:val="20"/>
                <w:color w:val="auto"/>
              </w:rPr>
            </w:pPr>
            <w:r>
              <w:rPr>
                <w:rFonts w:ascii="Arial" w:cs="Arial" w:eastAsia="Arial" w:hAnsi="Arial"/>
                <w:sz w:val="14"/>
                <w:szCs w:val="14"/>
                <w:color w:val="auto"/>
              </w:rPr>
              <w:t>Consolidated</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9"/>
              <w:spacing w:after="0" w:line="157" w:lineRule="exact"/>
              <w:rPr>
                <w:sz w:val="20"/>
                <w:szCs w:val="20"/>
                <w:color w:val="auto"/>
              </w:rPr>
            </w:pPr>
            <w:r>
              <w:rPr>
                <w:rFonts w:ascii="Arial" w:cs="Arial" w:eastAsia="Arial" w:hAnsi="Arial"/>
                <w:sz w:val="14"/>
                <w:szCs w:val="14"/>
                <w:color w:val="auto"/>
              </w:rPr>
              <w:t>SDG&amp;E</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SoCalGas</w:t>
            </w:r>
          </w:p>
        </w:tc>
        <w:tc>
          <w:tcPr>
            <w:tcW w:w="8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2820" w:type="dxa"/>
            <w:vAlign w:val="bottom"/>
          </w:tcPr>
          <w:p>
            <w:pPr>
              <w:spacing w:after="0" w:line="164" w:lineRule="exact"/>
              <w:rPr>
                <w:sz w:val="20"/>
                <w:szCs w:val="20"/>
                <w:color w:val="auto"/>
              </w:rPr>
            </w:pPr>
            <w:r>
              <w:rPr>
                <w:rFonts w:ascii="Arial" w:cs="Arial" w:eastAsia="Arial" w:hAnsi="Arial"/>
                <w:sz w:val="16"/>
                <w:szCs w:val="16"/>
                <w:color w:val="auto"/>
              </w:rPr>
              <w:t>Balance as of January 1(1)</w:t>
            </w:r>
          </w:p>
        </w:tc>
        <w:tc>
          <w:tcPr>
            <w:tcW w:w="1400" w:type="dxa"/>
            <w:vAlign w:val="bottom"/>
            <w:gridSpan w:val="2"/>
          </w:tcPr>
          <w:p>
            <w:pPr>
              <w:jc w:val="right"/>
              <w:ind w:right="606"/>
              <w:spacing w:after="0" w:line="164"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4" w:lineRule="exact"/>
              <w:rPr>
                <w:sz w:val="20"/>
                <w:szCs w:val="20"/>
                <w:color w:val="auto"/>
              </w:rPr>
            </w:pPr>
            <w:r>
              <w:rPr>
                <w:rFonts w:ascii="Arial" w:cs="Arial" w:eastAsia="Arial" w:hAnsi="Arial"/>
                <w:sz w:val="16"/>
                <w:szCs w:val="16"/>
                <w:color w:val="auto"/>
                <w:w w:val="99"/>
              </w:rPr>
              <w:t>1,468</w:t>
            </w:r>
          </w:p>
        </w:tc>
        <w:tc>
          <w:tcPr>
            <w:tcW w:w="780" w:type="dxa"/>
            <w:vAlign w:val="bottom"/>
          </w:tcPr>
          <w:p>
            <w:pPr>
              <w:jc w:val="right"/>
              <w:ind w:right="602"/>
              <w:spacing w:after="0" w:line="164"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64" w:lineRule="exact"/>
              <w:rPr>
                <w:sz w:val="20"/>
                <w:szCs w:val="20"/>
                <w:color w:val="auto"/>
              </w:rPr>
            </w:pPr>
            <w:r>
              <w:rPr>
                <w:rFonts w:ascii="Arial" w:cs="Arial" w:eastAsia="Arial" w:hAnsi="Arial"/>
                <w:sz w:val="16"/>
                <w:szCs w:val="16"/>
                <w:color w:val="auto"/>
                <w:w w:val="99"/>
              </w:rPr>
              <w:t>1,313</w:t>
            </w:r>
          </w:p>
        </w:tc>
        <w:tc>
          <w:tcPr>
            <w:tcW w:w="500" w:type="dxa"/>
            <w:vAlign w:val="bottom"/>
            <w:gridSpan w:val="2"/>
          </w:tcPr>
          <w:p>
            <w:pPr>
              <w:jc w:val="right"/>
              <w:ind w:right="180"/>
              <w:spacing w:after="0" w:line="164"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4" w:lineRule="exact"/>
              <w:rPr>
                <w:sz w:val="20"/>
                <w:szCs w:val="20"/>
                <w:color w:val="auto"/>
              </w:rPr>
            </w:pPr>
            <w:r>
              <w:rPr>
                <w:rFonts w:ascii="Arial" w:cs="Arial" w:eastAsia="Arial" w:hAnsi="Arial"/>
                <w:sz w:val="16"/>
                <w:szCs w:val="16"/>
                <w:color w:val="auto"/>
              </w:rPr>
              <w:t>623</w:t>
            </w:r>
          </w:p>
        </w:tc>
        <w:tc>
          <w:tcPr>
            <w:tcW w:w="38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4" w:lineRule="exact"/>
              <w:rPr>
                <w:sz w:val="20"/>
                <w:szCs w:val="20"/>
                <w:color w:val="auto"/>
              </w:rPr>
            </w:pPr>
            <w:r>
              <w:rPr>
                <w:rFonts w:ascii="Arial" w:cs="Arial" w:eastAsia="Arial" w:hAnsi="Arial"/>
                <w:sz w:val="16"/>
                <w:szCs w:val="16"/>
                <w:color w:val="auto"/>
              </w:rPr>
              <w:t>590</w:t>
            </w:r>
          </w:p>
        </w:tc>
        <w:tc>
          <w:tcPr>
            <w:tcW w:w="220" w:type="dxa"/>
            <w:vAlign w:val="bottom"/>
          </w:tcPr>
          <w:p>
            <w:pPr>
              <w:spacing w:after="0"/>
              <w:rPr>
                <w:sz w:val="14"/>
                <w:szCs w:val="14"/>
                <w:color w:val="auto"/>
              </w:rPr>
            </w:pPr>
          </w:p>
        </w:tc>
        <w:tc>
          <w:tcPr>
            <w:tcW w:w="280" w:type="dxa"/>
            <w:vAlign w:val="bottom"/>
          </w:tcPr>
          <w:p>
            <w:pPr>
              <w:jc w:val="right"/>
              <w:ind w:right="99"/>
              <w:spacing w:after="0" w:line="164"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803</w:t>
            </w:r>
          </w:p>
        </w:tc>
        <w:tc>
          <w:tcPr>
            <w:tcW w:w="420" w:type="dxa"/>
            <w:vAlign w:val="bottom"/>
          </w:tcPr>
          <w:p>
            <w:pPr>
              <w:jc w:val="right"/>
              <w:ind w:right="219"/>
              <w:spacing w:after="0" w:line="164"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4" w:lineRule="exact"/>
              <w:rPr>
                <w:sz w:val="20"/>
                <w:szCs w:val="20"/>
                <w:color w:val="auto"/>
              </w:rPr>
            </w:pPr>
            <w:r>
              <w:rPr>
                <w:rFonts w:ascii="Arial" w:cs="Arial" w:eastAsia="Arial" w:hAnsi="Arial"/>
                <w:sz w:val="16"/>
                <w:szCs w:val="16"/>
                <w:color w:val="auto"/>
              </w:rPr>
              <w:t>676</w:t>
            </w:r>
          </w:p>
        </w:tc>
      </w:tr>
      <w:tr>
        <w:trPr>
          <w:trHeight w:val="176"/>
        </w:trPr>
        <w:tc>
          <w:tcPr>
            <w:tcW w:w="2840" w:type="dxa"/>
            <w:vAlign w:val="bottom"/>
            <w:gridSpan w:val="2"/>
          </w:tcPr>
          <w:p>
            <w:pPr>
              <w:spacing w:after="0" w:line="176" w:lineRule="exact"/>
              <w:rPr>
                <w:sz w:val="20"/>
                <w:szCs w:val="20"/>
                <w:color w:val="auto"/>
              </w:rPr>
            </w:pPr>
            <w:r>
              <w:rPr>
                <w:rFonts w:ascii="Arial" w:cs="Arial" w:eastAsia="Arial" w:hAnsi="Arial"/>
                <w:sz w:val="16"/>
                <w:szCs w:val="16"/>
                <w:color w:val="auto"/>
              </w:rPr>
              <w:t>Accretion expense</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78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77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3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4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r>
      <w:tr>
        <w:trPr>
          <w:trHeight w:val="176"/>
        </w:trPr>
        <w:tc>
          <w:tcPr>
            <w:tcW w:w="2840" w:type="dxa"/>
            <w:vAlign w:val="bottom"/>
            <w:gridSpan w:val="2"/>
          </w:tcPr>
          <w:p>
            <w:pPr>
              <w:spacing w:after="0" w:line="176" w:lineRule="exact"/>
              <w:rPr>
                <w:sz w:val="20"/>
                <w:szCs w:val="20"/>
                <w:color w:val="auto"/>
              </w:rPr>
            </w:pPr>
            <w:r>
              <w:rPr>
                <w:rFonts w:ascii="Arial" w:cs="Arial" w:eastAsia="Arial" w:hAnsi="Arial"/>
                <w:sz w:val="16"/>
                <w:szCs w:val="16"/>
                <w:color w:val="auto"/>
              </w:rPr>
              <w:t>Liabilities incurred</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78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380" w:type="dxa"/>
            <w:vAlign w:val="bottom"/>
          </w:tcPr>
          <w:p>
            <w:pPr>
              <w:spacing w:after="0"/>
              <w:rPr>
                <w:sz w:val="15"/>
                <w:szCs w:val="15"/>
                <w:color w:val="auto"/>
              </w:rPr>
            </w:pPr>
          </w:p>
        </w:tc>
        <w:tc>
          <w:tcPr>
            <w:tcW w:w="1120" w:type="dxa"/>
            <w:vAlign w:val="bottom"/>
            <w:gridSpan w:val="2"/>
          </w:tcPr>
          <w:p>
            <w:pPr>
              <w:jc w:val="right"/>
              <w:ind w:right="280"/>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840" w:type="dxa"/>
            <w:vAlign w:val="bottom"/>
            <w:gridSpan w:val="2"/>
          </w:tcPr>
          <w:p>
            <w:pPr>
              <w:spacing w:after="0" w:line="176" w:lineRule="exact"/>
              <w:rPr>
                <w:sz w:val="20"/>
                <w:szCs w:val="20"/>
                <w:color w:val="auto"/>
              </w:rPr>
            </w:pPr>
            <w:r>
              <w:rPr>
                <w:rFonts w:ascii="Arial" w:cs="Arial" w:eastAsia="Arial" w:hAnsi="Arial"/>
                <w:sz w:val="16"/>
                <w:szCs w:val="16"/>
                <w:color w:val="auto"/>
              </w:rPr>
              <w:t>Payments</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78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120" w:type="dxa"/>
            <w:vAlign w:val="bottom"/>
            <w:gridSpan w:val="2"/>
          </w:tcPr>
          <w:p>
            <w:pPr>
              <w:jc w:val="right"/>
              <w:ind w:right="280"/>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2840" w:type="dxa"/>
            <w:vAlign w:val="bottom"/>
            <w:gridSpan w:val="2"/>
          </w:tcPr>
          <w:p>
            <w:pPr>
              <w:spacing w:after="0"/>
              <w:rPr>
                <w:sz w:val="20"/>
                <w:szCs w:val="20"/>
                <w:color w:val="auto"/>
              </w:rPr>
            </w:pPr>
            <w:r>
              <w:rPr>
                <w:rFonts w:ascii="Arial" w:cs="Arial" w:eastAsia="Arial" w:hAnsi="Arial"/>
                <w:sz w:val="16"/>
                <w:szCs w:val="16"/>
                <w:color w:val="auto"/>
              </w:rPr>
              <w:t>Revisions(2,3)</w:t>
            </w:r>
          </w:p>
        </w:tc>
        <w:tc>
          <w:tcPr>
            <w:tcW w:w="6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195"/>
        </w:trPr>
        <w:tc>
          <w:tcPr>
            <w:tcW w:w="2840" w:type="dxa"/>
            <w:vAlign w:val="bottom"/>
            <w:gridSpan w:val="2"/>
          </w:tcPr>
          <w:p>
            <w:pPr>
              <w:spacing w:after="0"/>
              <w:rPr>
                <w:sz w:val="20"/>
                <w:szCs w:val="20"/>
                <w:color w:val="auto"/>
              </w:rPr>
            </w:pPr>
            <w:r>
              <w:rPr>
                <w:rFonts w:ascii="Arial" w:cs="Arial" w:eastAsia="Arial" w:hAnsi="Arial"/>
                <w:sz w:val="16"/>
                <w:szCs w:val="16"/>
                <w:color w:val="auto"/>
              </w:rPr>
              <w:t>Balance as of December 31(1)</w:t>
            </w:r>
          </w:p>
        </w:tc>
        <w:tc>
          <w:tcPr>
            <w:tcW w:w="640" w:type="dxa"/>
            <w:vAlign w:val="bottom"/>
          </w:tcPr>
          <w:p>
            <w:pPr>
              <w:spacing w:after="0"/>
              <w:rPr>
                <w:sz w:val="16"/>
                <w:szCs w:val="16"/>
                <w:color w:val="auto"/>
              </w:rPr>
            </w:pP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1,925</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1,468</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623</w:t>
            </w:r>
          </w:p>
        </w:tc>
        <w:tc>
          <w:tcPr>
            <w:tcW w:w="220" w:type="dxa"/>
            <w:vAlign w:val="bottom"/>
          </w:tcPr>
          <w:p>
            <w:pPr>
              <w:spacing w:after="0"/>
              <w:rPr>
                <w:sz w:val="16"/>
                <w:szCs w:val="16"/>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1,175</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303"/>
        </w:numPr>
        <w:rPr>
          <w:rFonts w:ascii="Arial" w:cs="Arial" w:eastAsia="Arial" w:hAnsi="Arial"/>
          <w:sz w:val="14"/>
          <w:szCs w:val="14"/>
          <w:i w:val="1"/>
          <w:iCs w:val="1"/>
          <w:color w:val="auto"/>
        </w:rPr>
      </w:pPr>
      <w:r>
        <w:rPr>
          <w:rFonts w:ascii="Arial" w:cs="Arial" w:eastAsia="Arial" w:hAnsi="Arial"/>
          <w:sz w:val="14"/>
          <w:szCs w:val="14"/>
          <w:i w:val="1"/>
          <w:iCs w:val="1"/>
          <w:color w:val="auto"/>
        </w:rPr>
        <w:t>The current portions of the obligations are included in Other Current Liabilities on the Consolidated Balance Sheets.</w:t>
      </w:r>
    </w:p>
    <w:p>
      <w:pPr>
        <w:spacing w:after="0" w:line="13" w:lineRule="exact"/>
        <w:rPr>
          <w:rFonts w:ascii="Arial" w:cs="Arial" w:eastAsia="Arial" w:hAnsi="Arial"/>
          <w:sz w:val="14"/>
          <w:szCs w:val="14"/>
          <w:i w:val="1"/>
          <w:iCs w:val="1"/>
          <w:color w:val="auto"/>
        </w:rPr>
      </w:pPr>
    </w:p>
    <w:p>
      <w:pPr>
        <w:ind w:left="500" w:right="40" w:hanging="492"/>
        <w:spacing w:after="0" w:line="241" w:lineRule="auto"/>
        <w:tabs>
          <w:tab w:leader="none" w:pos="500" w:val="left"/>
        </w:tabs>
        <w:numPr>
          <w:ilvl w:val="0"/>
          <w:numId w:val="303"/>
        </w:numPr>
        <w:rPr>
          <w:rFonts w:ascii="Arial" w:cs="Arial" w:eastAsia="Arial" w:hAnsi="Arial"/>
          <w:sz w:val="14"/>
          <w:szCs w:val="14"/>
          <w:i w:val="1"/>
          <w:iCs w:val="1"/>
          <w:color w:val="auto"/>
        </w:rPr>
      </w:pPr>
      <w:r>
        <w:rPr>
          <w:rFonts w:ascii="Arial" w:cs="Arial" w:eastAsia="Arial" w:hAnsi="Arial"/>
          <w:sz w:val="14"/>
          <w:szCs w:val="14"/>
          <w:i w:val="1"/>
          <w:iCs w:val="1"/>
          <w:color w:val="auto"/>
        </w:rPr>
        <w:t>The increase in obligations at SDG&amp;E and SoCalGas for revisions in 2011 resulted from changes in assets in service and a decrease in the discount rate from 5.13 percent in 2010 to 4.00 percent in 2011, based on the risk-free rate plus an estimated credit spread.</w:t>
      </w:r>
    </w:p>
    <w:p>
      <w:pPr>
        <w:ind w:left="500" w:right="180" w:hanging="492"/>
        <w:spacing w:after="0" w:line="258" w:lineRule="auto"/>
        <w:tabs>
          <w:tab w:leader="none" w:pos="500" w:val="left"/>
        </w:tabs>
        <w:numPr>
          <w:ilvl w:val="0"/>
          <w:numId w:val="303"/>
        </w:numPr>
        <w:rPr>
          <w:rFonts w:ascii="Arial" w:cs="Arial" w:eastAsia="Arial" w:hAnsi="Arial"/>
          <w:sz w:val="14"/>
          <w:szCs w:val="14"/>
          <w:i w:val="1"/>
          <w:iCs w:val="1"/>
          <w:color w:val="auto"/>
        </w:rPr>
      </w:pPr>
      <w:r>
        <w:rPr>
          <w:rFonts w:ascii="Arial" w:cs="Arial" w:eastAsia="Arial" w:hAnsi="Arial"/>
          <w:sz w:val="14"/>
          <w:szCs w:val="14"/>
          <w:i w:val="1"/>
          <w:iCs w:val="1"/>
          <w:color w:val="auto"/>
        </w:rPr>
        <w:t>The increase in obligations at SoCalGas for revisions in 2010 resulted from changes in assets in service and a decrease in the discount rate from 5.54 percent in 2009 to 5.13 percent in 2010, based on the risk-free rate plus an estimated credit spread.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accrue losses for the estimated impacts of various conditions, situations or circumstances involving uncertain outcomes. For loss contingencies, we accrue the loss if an event has occurred on or before the balance sheet date and:</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information available through the date we file our financial statements indicates it is probable that a loss has been incurred, given the likelihood of</w:t>
      </w:r>
    </w:p>
    <w:p>
      <w:pPr>
        <w:sectPr>
          <w:pgSz w:w="11900" w:h="16838" w:orient="portrait"/>
          <w:cols w:equalWidth="0" w:num="1">
            <w:col w:w="11420"/>
          </w:cols>
          <w:pgMar w:left="240" w:top="128" w:right="239" w:bottom="0" w:gutter="0" w:footer="0" w:header="0"/>
        </w:sectPr>
      </w:pPr>
    </w:p>
    <w:bookmarkStart w:id="209" w:name="page210"/>
    <w:bookmarkEnd w:id="209"/>
    <w:p>
      <w:pPr>
        <w:ind w:left="340"/>
        <w:spacing w:after="0"/>
        <w:rPr>
          <w:sz w:val="20"/>
          <w:szCs w:val="20"/>
          <w:color w:val="auto"/>
        </w:rPr>
      </w:pPr>
      <w:r>
        <w:rPr>
          <w:rFonts w:ascii="Arial" w:cs="Arial" w:eastAsia="Arial" w:hAnsi="Arial"/>
          <w:sz w:val="18"/>
          <w:szCs w:val="18"/>
          <w:color w:val="auto"/>
        </w:rPr>
        <w:t>uncertain future events; and</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the amounts of the loss can be reasonably estimated.</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do not accrue contingencies that might result in gains. We continuously assess contingencies for litigation claims, environmental remediation and other events.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FEES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Legal fees that are associated with a past event for which a liability has been recorded are accrued when it is probable that fees also will be incurred.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Comprehensive income includes all changes in the equity of a business enterprise (except those resulting from investments by owners and distributions to owners), including:</w:t>
      </w:r>
    </w:p>
    <w:p>
      <w:pPr>
        <w:spacing w:after="0" w:line="170" w:lineRule="exact"/>
        <w:rPr>
          <w:sz w:val="20"/>
          <w:szCs w:val="20"/>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foreign-currency translation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changes in unamortized net actuarial gain or loss and prior service cost related to pension and other postretirement benefits plans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unrealized gains or losses on available-for-sale securities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certain hedging activities</w:t>
      </w:r>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Consolidated Statements of Comprehensive Income and Changes in Shareholders’ Equity show the changes in the components of other comprehensive income (OCI), including the amounts attributable to noncontrolling interests. The components of Accumulated Other Comprehensive Income (Loss) (AOCI), shown net of income taxes on the Consolidated Balance Sheets, and the related income tax balances at December 31, 2011 and 2010 are as follows:</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OTHER COMPREHENSIVE INCOME (LOSS)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ASSOCIATED INCOME TAX EXPENSE (BENEFIT)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380" w:type="dxa"/>
            <w:vAlign w:val="bottom"/>
            <w:gridSpan w:val="3"/>
            <w:vMerge w:val="restart"/>
          </w:tcPr>
          <w:p>
            <w:pPr>
              <w:jc w:val="center"/>
              <w:ind w:left="401"/>
              <w:spacing w:after="0"/>
              <w:rPr>
                <w:sz w:val="20"/>
                <w:szCs w:val="20"/>
                <w:color w:val="auto"/>
              </w:rPr>
            </w:pPr>
            <w:r>
              <w:rPr>
                <w:rFonts w:ascii="Arial" w:cs="Arial" w:eastAsia="Arial" w:hAnsi="Arial"/>
                <w:sz w:val="14"/>
                <w:szCs w:val="14"/>
                <w:color w:val="auto"/>
              </w:rPr>
              <w:t>Accumulated Other</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color w:val="auto"/>
              </w:rPr>
              <w:t>Comprehensive</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Income Tax</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color w:val="auto"/>
              </w:rPr>
              <w:t>Income (Loss)</w:t>
            </w:r>
          </w:p>
        </w:tc>
        <w:tc>
          <w:tcPr>
            <w:tcW w:w="660" w:type="dxa"/>
            <w:vAlign w:val="bottom"/>
          </w:tcPr>
          <w:p>
            <w:pPr>
              <w:spacing w:after="0"/>
              <w:rPr>
                <w:sz w:val="14"/>
                <w:szCs w:val="14"/>
                <w:color w:val="auto"/>
              </w:rPr>
            </w:pPr>
          </w:p>
        </w:tc>
        <w:tc>
          <w:tcPr>
            <w:tcW w:w="2180" w:type="dxa"/>
            <w:vAlign w:val="bottom"/>
            <w:gridSpan w:val="3"/>
          </w:tcPr>
          <w:p>
            <w:pPr>
              <w:jc w:val="right"/>
              <w:ind w:right="320"/>
              <w:spacing w:after="0"/>
              <w:rPr>
                <w:sz w:val="20"/>
                <w:szCs w:val="20"/>
                <w:color w:val="auto"/>
              </w:rPr>
            </w:pPr>
            <w:r>
              <w:rPr>
                <w:rFonts w:ascii="Arial" w:cs="Arial" w:eastAsia="Arial" w:hAnsi="Arial"/>
                <w:sz w:val="14"/>
                <w:szCs w:val="14"/>
                <w:color w:val="auto"/>
              </w:rPr>
              <w:t>Expense (Benefit)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2010</w:t>
            </w: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2011</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8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Foreign currency translation loss</w:t>
            </w:r>
          </w:p>
        </w:tc>
        <w:tc>
          <w:tcPr>
            <w:tcW w:w="900" w:type="dxa"/>
            <w:vAlign w:val="bottom"/>
          </w:tcPr>
          <w:p>
            <w:pPr>
              <w:jc w:val="right"/>
              <w:ind w:right="401"/>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(359)</w:t>
            </w:r>
          </w:p>
        </w:tc>
        <w:tc>
          <w:tcPr>
            <w:tcW w:w="780" w:type="dxa"/>
            <w:vAlign w:val="bottom"/>
          </w:tcPr>
          <w:p>
            <w:pPr>
              <w:jc w:val="right"/>
              <w:ind w:right="440"/>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(229)</w:t>
            </w:r>
          </w:p>
        </w:tc>
        <w:tc>
          <w:tcPr>
            <w:tcW w:w="760" w:type="dxa"/>
            <w:vAlign w:val="bottom"/>
          </w:tcPr>
          <w:p>
            <w:pPr>
              <w:jc w:val="right"/>
              <w:ind w:right="421"/>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(3)</w:t>
            </w:r>
          </w:p>
        </w:tc>
        <w:tc>
          <w:tcPr>
            <w:tcW w:w="580" w:type="dxa"/>
            <w:vAlign w:val="bottom"/>
          </w:tcPr>
          <w:p>
            <w:pPr>
              <w:jc w:val="right"/>
              <w:ind w:right="400"/>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Financial instruments</w:t>
            </w:r>
          </w:p>
        </w:tc>
        <w:tc>
          <w:tcPr>
            <w:tcW w:w="900" w:type="dxa"/>
            <w:vAlign w:val="bottom"/>
          </w:tcPr>
          <w:p>
            <w:pPr>
              <w:spacing w:after="0"/>
              <w:rPr>
                <w:sz w:val="15"/>
                <w:szCs w:val="15"/>
                <w:color w:val="auto"/>
              </w:rPr>
            </w:pPr>
          </w:p>
        </w:tc>
        <w:tc>
          <w:tcPr>
            <w:tcW w:w="7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(31)</w:t>
            </w:r>
          </w:p>
        </w:tc>
        <w:tc>
          <w:tcPr>
            <w:tcW w:w="78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(15)</w:t>
            </w:r>
          </w:p>
        </w:tc>
        <w:tc>
          <w:tcPr>
            <w:tcW w:w="760" w:type="dxa"/>
            <w:vAlign w:val="bottom"/>
          </w:tcPr>
          <w:p>
            <w:pPr>
              <w:spacing w:after="0"/>
              <w:rPr>
                <w:sz w:val="15"/>
                <w:szCs w:val="15"/>
                <w:color w:val="auto"/>
              </w:rPr>
            </w:pPr>
          </w:p>
        </w:tc>
        <w:tc>
          <w:tcPr>
            <w:tcW w:w="8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(22)</w:t>
            </w:r>
          </w:p>
        </w:tc>
        <w:tc>
          <w:tcPr>
            <w:tcW w:w="580" w:type="dxa"/>
            <w:vAlign w:val="bottom"/>
          </w:tcPr>
          <w:p>
            <w:pPr>
              <w:spacing w:after="0"/>
              <w:rPr>
                <w:sz w:val="15"/>
                <w:szCs w:val="15"/>
                <w:color w:val="auto"/>
              </w:rPr>
            </w:pPr>
          </w:p>
        </w:tc>
        <w:tc>
          <w:tcPr>
            <w:tcW w:w="4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Unrealized gains on available-for-sale securities</w:t>
            </w:r>
          </w:p>
        </w:tc>
        <w:tc>
          <w:tcPr>
            <w:tcW w:w="900" w:type="dxa"/>
            <w:vAlign w:val="bottom"/>
          </w:tcPr>
          <w:p>
            <w:pPr>
              <w:spacing w:after="0"/>
              <w:rPr>
                <w:sz w:val="15"/>
                <w:szCs w:val="15"/>
                <w:color w:val="auto"/>
              </w:rPr>
            </w:pPr>
          </w:p>
        </w:tc>
        <w:tc>
          <w:tcPr>
            <w:tcW w:w="7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spacing w:after="0"/>
              <w:rPr>
                <w:sz w:val="15"/>
                <w:szCs w:val="15"/>
                <w:color w:val="auto"/>
              </w:rPr>
            </w:pPr>
          </w:p>
        </w:tc>
        <w:tc>
          <w:tcPr>
            <w:tcW w:w="6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w:t>
            </w:r>
          </w:p>
        </w:tc>
        <w:tc>
          <w:tcPr>
            <w:tcW w:w="760" w:type="dxa"/>
            <w:vAlign w:val="bottom"/>
          </w:tcPr>
          <w:p>
            <w:pPr>
              <w:spacing w:after="0"/>
              <w:rPr>
                <w:sz w:val="15"/>
                <w:szCs w:val="15"/>
                <w:color w:val="auto"/>
              </w:rPr>
            </w:pPr>
          </w:p>
        </w:tc>
        <w:tc>
          <w:tcPr>
            <w:tcW w:w="840" w:type="dxa"/>
            <w:vAlign w:val="bottom"/>
          </w:tcPr>
          <w:p>
            <w:pPr>
              <w:jc w:val="right"/>
              <w:ind w:right="300"/>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Unamortized net actuarial loss</w:t>
            </w:r>
          </w:p>
        </w:tc>
        <w:tc>
          <w:tcPr>
            <w:tcW w:w="900" w:type="dxa"/>
            <w:vAlign w:val="bottom"/>
          </w:tcPr>
          <w:p>
            <w:pPr>
              <w:spacing w:after="0"/>
              <w:rPr>
                <w:sz w:val="15"/>
                <w:szCs w:val="15"/>
                <w:color w:val="auto"/>
              </w:rPr>
            </w:pPr>
          </w:p>
        </w:tc>
        <w:tc>
          <w:tcPr>
            <w:tcW w:w="7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(100)</w:t>
            </w:r>
          </w:p>
        </w:tc>
        <w:tc>
          <w:tcPr>
            <w:tcW w:w="78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(88)</w:t>
            </w:r>
          </w:p>
        </w:tc>
        <w:tc>
          <w:tcPr>
            <w:tcW w:w="760" w:type="dxa"/>
            <w:vAlign w:val="bottom"/>
          </w:tcPr>
          <w:p>
            <w:pPr>
              <w:spacing w:after="0"/>
              <w:rPr>
                <w:sz w:val="15"/>
                <w:szCs w:val="15"/>
                <w:color w:val="auto"/>
              </w:rPr>
            </w:pPr>
          </w:p>
        </w:tc>
        <w:tc>
          <w:tcPr>
            <w:tcW w:w="8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(68)</w:t>
            </w:r>
          </w:p>
        </w:tc>
        <w:tc>
          <w:tcPr>
            <w:tcW w:w="580" w:type="dxa"/>
            <w:vAlign w:val="bottom"/>
          </w:tcPr>
          <w:p>
            <w:pPr>
              <w:spacing w:after="0"/>
              <w:rPr>
                <w:sz w:val="15"/>
                <w:szCs w:val="15"/>
                <w:color w:val="auto"/>
              </w:rPr>
            </w:pPr>
          </w:p>
        </w:tc>
        <w:tc>
          <w:tcPr>
            <w:tcW w:w="4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4"/>
        </w:trPr>
        <w:tc>
          <w:tcPr>
            <w:tcW w:w="5800" w:type="dxa"/>
            <w:vAlign w:val="bottom"/>
            <w:gridSpan w:val="2"/>
          </w:tcPr>
          <w:p>
            <w:pPr>
              <w:spacing w:after="0"/>
              <w:rPr>
                <w:sz w:val="20"/>
                <w:szCs w:val="20"/>
                <w:color w:val="auto"/>
              </w:rPr>
            </w:pPr>
            <w:r>
              <w:rPr>
                <w:rFonts w:ascii="Arial" w:cs="Arial" w:eastAsia="Arial" w:hAnsi="Arial"/>
                <w:sz w:val="16"/>
                <w:szCs w:val="16"/>
                <w:color w:val="auto"/>
              </w:rPr>
              <w:t>Unamortized prior service credit</w:t>
            </w:r>
          </w:p>
        </w:tc>
        <w:tc>
          <w:tcPr>
            <w:tcW w:w="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7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December 31</w:t>
            </w:r>
          </w:p>
        </w:tc>
        <w:tc>
          <w:tcPr>
            <w:tcW w:w="900" w:type="dxa"/>
            <w:vAlign w:val="bottom"/>
          </w:tcPr>
          <w:p>
            <w:pPr>
              <w:jc w:val="right"/>
              <w:ind w:right="401"/>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(489)</w:t>
            </w:r>
          </w:p>
        </w:tc>
        <w:tc>
          <w:tcPr>
            <w:tcW w:w="780" w:type="dxa"/>
            <w:vAlign w:val="bottom"/>
          </w:tcPr>
          <w:p>
            <w:pPr>
              <w:jc w:val="right"/>
              <w:ind w:right="440"/>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(330)</w:t>
            </w:r>
          </w:p>
        </w:tc>
        <w:tc>
          <w:tcPr>
            <w:tcW w:w="760" w:type="dxa"/>
            <w:vAlign w:val="bottom"/>
          </w:tcPr>
          <w:p>
            <w:pPr>
              <w:jc w:val="right"/>
              <w:ind w:right="421"/>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(92)</w:t>
            </w:r>
          </w:p>
        </w:tc>
        <w:tc>
          <w:tcPr>
            <w:tcW w:w="580" w:type="dxa"/>
            <w:vAlign w:val="bottom"/>
          </w:tcPr>
          <w:p>
            <w:pPr>
              <w:jc w:val="right"/>
              <w:ind w:right="400"/>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SDG&amp;E</w:t>
            </w:r>
          </w:p>
        </w:tc>
        <w:tc>
          <w:tcPr>
            <w:tcW w:w="9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Unamortized net actuarial loss</w:t>
            </w:r>
          </w:p>
        </w:tc>
        <w:tc>
          <w:tcPr>
            <w:tcW w:w="900" w:type="dxa"/>
            <w:vAlign w:val="bottom"/>
          </w:tcPr>
          <w:p>
            <w:pPr>
              <w:jc w:val="right"/>
              <w:ind w:right="401"/>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(11)</w:t>
            </w:r>
          </w:p>
        </w:tc>
        <w:tc>
          <w:tcPr>
            <w:tcW w:w="780" w:type="dxa"/>
            <w:vAlign w:val="bottom"/>
          </w:tcPr>
          <w:p>
            <w:pPr>
              <w:jc w:val="right"/>
              <w:ind w:right="440"/>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(11)</w:t>
            </w:r>
          </w:p>
        </w:tc>
        <w:tc>
          <w:tcPr>
            <w:tcW w:w="760" w:type="dxa"/>
            <w:vAlign w:val="bottom"/>
          </w:tcPr>
          <w:p>
            <w:pPr>
              <w:jc w:val="right"/>
              <w:ind w:right="421"/>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(8)</w:t>
            </w:r>
          </w:p>
        </w:tc>
        <w:tc>
          <w:tcPr>
            <w:tcW w:w="580" w:type="dxa"/>
            <w:vAlign w:val="bottom"/>
          </w:tcPr>
          <w:p>
            <w:pPr>
              <w:jc w:val="right"/>
              <w:ind w:right="400"/>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5800" w:type="dxa"/>
            <w:vAlign w:val="bottom"/>
            <w:gridSpan w:val="2"/>
          </w:tcPr>
          <w:p>
            <w:pPr>
              <w:spacing w:after="0"/>
              <w:rPr>
                <w:sz w:val="20"/>
                <w:szCs w:val="20"/>
                <w:color w:val="auto"/>
              </w:rPr>
            </w:pPr>
            <w:r>
              <w:rPr>
                <w:rFonts w:ascii="Arial" w:cs="Arial" w:eastAsia="Arial" w:hAnsi="Arial"/>
                <w:sz w:val="16"/>
                <w:szCs w:val="16"/>
                <w:color w:val="auto"/>
              </w:rPr>
              <w:t>Unamortized prior service credit</w:t>
            </w:r>
          </w:p>
        </w:tc>
        <w:tc>
          <w:tcPr>
            <w:tcW w:w="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7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December 31</w:t>
            </w:r>
          </w:p>
        </w:tc>
        <w:tc>
          <w:tcPr>
            <w:tcW w:w="900" w:type="dxa"/>
            <w:vAlign w:val="bottom"/>
          </w:tcPr>
          <w:p>
            <w:pPr>
              <w:jc w:val="right"/>
              <w:ind w:right="401"/>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(10)</w:t>
            </w:r>
          </w:p>
        </w:tc>
        <w:tc>
          <w:tcPr>
            <w:tcW w:w="780" w:type="dxa"/>
            <w:vAlign w:val="bottom"/>
          </w:tcPr>
          <w:p>
            <w:pPr>
              <w:jc w:val="right"/>
              <w:ind w:right="440"/>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(10)</w:t>
            </w:r>
          </w:p>
        </w:tc>
        <w:tc>
          <w:tcPr>
            <w:tcW w:w="760" w:type="dxa"/>
            <w:vAlign w:val="bottom"/>
          </w:tcPr>
          <w:p>
            <w:pPr>
              <w:jc w:val="right"/>
              <w:ind w:right="421"/>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(7)</w:t>
            </w:r>
          </w:p>
        </w:tc>
        <w:tc>
          <w:tcPr>
            <w:tcW w:w="580" w:type="dxa"/>
            <w:vAlign w:val="bottom"/>
          </w:tcPr>
          <w:p>
            <w:pPr>
              <w:jc w:val="right"/>
              <w:ind w:right="400"/>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9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Unamortized net actuarial loss</w:t>
            </w:r>
          </w:p>
        </w:tc>
        <w:tc>
          <w:tcPr>
            <w:tcW w:w="900" w:type="dxa"/>
            <w:vAlign w:val="bottom"/>
          </w:tcPr>
          <w:p>
            <w:pPr>
              <w:jc w:val="right"/>
              <w:ind w:right="401"/>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(6)</w:t>
            </w:r>
          </w:p>
        </w:tc>
        <w:tc>
          <w:tcPr>
            <w:tcW w:w="780" w:type="dxa"/>
            <w:vAlign w:val="bottom"/>
          </w:tcPr>
          <w:p>
            <w:pPr>
              <w:jc w:val="right"/>
              <w:ind w:right="440"/>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w:t>
            </w:r>
          </w:p>
        </w:tc>
        <w:tc>
          <w:tcPr>
            <w:tcW w:w="760" w:type="dxa"/>
            <w:vAlign w:val="bottom"/>
          </w:tcPr>
          <w:p>
            <w:pPr>
              <w:jc w:val="right"/>
              <w:ind w:right="421"/>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(4)</w:t>
            </w:r>
          </w:p>
        </w:tc>
        <w:tc>
          <w:tcPr>
            <w:tcW w:w="580" w:type="dxa"/>
            <w:vAlign w:val="bottom"/>
          </w:tcPr>
          <w:p>
            <w:pPr>
              <w:jc w:val="right"/>
              <w:ind w:right="400"/>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Unamortized prior service credit</w:t>
            </w:r>
          </w:p>
        </w:tc>
        <w:tc>
          <w:tcPr>
            <w:tcW w:w="900" w:type="dxa"/>
            <w:vAlign w:val="bottom"/>
          </w:tcPr>
          <w:p>
            <w:pPr>
              <w:spacing w:after="0"/>
              <w:rPr>
                <w:sz w:val="15"/>
                <w:szCs w:val="15"/>
                <w:color w:val="auto"/>
              </w:rPr>
            </w:pPr>
          </w:p>
        </w:tc>
        <w:tc>
          <w:tcPr>
            <w:tcW w:w="7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w:t>
            </w:r>
          </w:p>
        </w:tc>
        <w:tc>
          <w:tcPr>
            <w:tcW w:w="780" w:type="dxa"/>
            <w:vAlign w:val="bottom"/>
          </w:tcPr>
          <w:p>
            <w:pPr>
              <w:spacing w:after="0"/>
              <w:rPr>
                <w:sz w:val="15"/>
                <w:szCs w:val="15"/>
                <w:color w:val="auto"/>
              </w:rPr>
            </w:pPr>
          </w:p>
        </w:tc>
        <w:tc>
          <w:tcPr>
            <w:tcW w:w="6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w:t>
            </w:r>
          </w:p>
        </w:tc>
        <w:tc>
          <w:tcPr>
            <w:tcW w:w="760" w:type="dxa"/>
            <w:vAlign w:val="bottom"/>
          </w:tcPr>
          <w:p>
            <w:pPr>
              <w:spacing w:after="0"/>
              <w:rPr>
                <w:sz w:val="15"/>
                <w:szCs w:val="15"/>
                <w:color w:val="auto"/>
              </w:rPr>
            </w:pPr>
          </w:p>
        </w:tc>
        <w:tc>
          <w:tcPr>
            <w:tcW w:w="840" w:type="dxa"/>
            <w:vAlign w:val="bottom"/>
          </w:tcPr>
          <w:p>
            <w:pPr>
              <w:jc w:val="right"/>
              <w:ind w:right="300"/>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8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w:t>
            </w:r>
          </w:p>
        </w:tc>
        <w:tc>
          <w:tcPr>
            <w:tcW w:w="7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(11)</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December 31</w:t>
            </w:r>
          </w:p>
        </w:tc>
        <w:tc>
          <w:tcPr>
            <w:tcW w:w="900" w:type="dxa"/>
            <w:vAlign w:val="bottom"/>
          </w:tcPr>
          <w:p>
            <w:pPr>
              <w:jc w:val="right"/>
              <w:ind w:right="401"/>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(21)</w:t>
            </w:r>
          </w:p>
        </w:tc>
        <w:tc>
          <w:tcPr>
            <w:tcW w:w="780" w:type="dxa"/>
            <w:vAlign w:val="bottom"/>
          </w:tcPr>
          <w:p>
            <w:pPr>
              <w:jc w:val="right"/>
              <w:ind w:right="440"/>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(22)</w:t>
            </w:r>
          </w:p>
        </w:tc>
        <w:tc>
          <w:tcPr>
            <w:tcW w:w="760" w:type="dxa"/>
            <w:vAlign w:val="bottom"/>
          </w:tcPr>
          <w:p>
            <w:pPr>
              <w:jc w:val="right"/>
              <w:ind w:right="421"/>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(15)</w:t>
            </w:r>
          </w:p>
        </w:tc>
        <w:tc>
          <w:tcPr>
            <w:tcW w:w="580" w:type="dxa"/>
            <w:vAlign w:val="bottom"/>
          </w:tcPr>
          <w:p>
            <w:pPr>
              <w:jc w:val="right"/>
              <w:ind w:right="400"/>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3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Consolidated Balance Sheets and Consolidated Statements of Comprehensive Income and Changes in Equity. Net income or loss attributable to the noncontrolling interests is separately identified on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and 2010 we reported the following noncontrolling ownership interests held by others: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INTERESTS HELD BY OTHERS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460" w:type="dxa"/>
            <w:vAlign w:val="bottom"/>
            <w:vMerge w:val="restart"/>
          </w:tcPr>
          <w:p>
            <w:pPr>
              <w:jc w:val="right"/>
              <w:ind w:right="361"/>
              <w:spacing w:after="0"/>
              <w:rPr>
                <w:sz w:val="20"/>
                <w:szCs w:val="20"/>
                <w:color w:val="auto"/>
              </w:rPr>
            </w:pPr>
            <w:r>
              <w:rPr>
                <w:rFonts w:ascii="Arial" w:cs="Arial" w:eastAsia="Arial" w:hAnsi="Arial"/>
                <w:sz w:val="14"/>
                <w:szCs w:val="14"/>
                <w:color w:val="auto"/>
              </w:rPr>
              <w:t>Percent Ownership Held by</w:t>
            </w: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14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right"/>
              <w:ind w:right="1021"/>
              <w:spacing w:after="0" w:line="157" w:lineRule="exact"/>
              <w:rPr>
                <w:sz w:val="20"/>
                <w:szCs w:val="20"/>
                <w:color w:val="auto"/>
              </w:rPr>
            </w:pPr>
            <w:r>
              <w:rPr>
                <w:rFonts w:ascii="Arial" w:cs="Arial" w:eastAsia="Arial" w:hAnsi="Arial"/>
                <w:sz w:val="14"/>
                <w:szCs w:val="14"/>
                <w:color w:val="auto"/>
              </w:rPr>
              <w:t>Others</w:t>
            </w: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0"/>
              <w:spacing w:after="0" w:line="157" w:lineRule="exact"/>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0"/>
              <w:spacing w:after="0" w:line="157"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tcPr>
          <w:p>
            <w:pPr>
              <w:spacing w:after="0" w:line="164" w:lineRule="exact"/>
              <w:rPr>
                <w:sz w:val="20"/>
                <w:szCs w:val="20"/>
                <w:color w:val="auto"/>
              </w:rPr>
            </w:pPr>
            <w:r>
              <w:rPr>
                <w:rFonts w:ascii="Arial" w:cs="Arial" w:eastAsia="Arial" w:hAnsi="Arial"/>
                <w:sz w:val="16"/>
                <w:szCs w:val="16"/>
                <w:color w:val="auto"/>
              </w:rPr>
              <w:t>Bay Gas(1)</w:t>
            </w:r>
          </w:p>
        </w:tc>
        <w:tc>
          <w:tcPr>
            <w:tcW w:w="3460" w:type="dxa"/>
            <w:vAlign w:val="bottom"/>
          </w:tcPr>
          <w:p>
            <w:pPr>
              <w:jc w:val="right"/>
              <w:ind w:right="201"/>
              <w:spacing w:after="0" w:line="164" w:lineRule="exact"/>
              <w:rPr>
                <w:sz w:val="20"/>
                <w:szCs w:val="20"/>
                <w:color w:val="auto"/>
              </w:rPr>
            </w:pPr>
            <w:r>
              <w:rPr>
                <w:rFonts w:ascii="Arial" w:cs="Arial" w:eastAsia="Arial" w:hAnsi="Arial"/>
                <w:sz w:val="16"/>
                <w:szCs w:val="16"/>
                <w:color w:val="auto"/>
              </w:rPr>
              <w:t>9 %</w:t>
            </w:r>
          </w:p>
        </w:tc>
        <w:tc>
          <w:tcPr>
            <w:tcW w:w="800" w:type="dxa"/>
            <w:vAlign w:val="bottom"/>
          </w:tcPr>
          <w:p>
            <w:pPr>
              <w:jc w:val="right"/>
              <w:ind w:right="279"/>
              <w:spacing w:after="0" w:line="164"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17</w:t>
            </w:r>
          </w:p>
        </w:tc>
        <w:tc>
          <w:tcPr>
            <w:tcW w:w="800" w:type="dxa"/>
            <w:vAlign w:val="bottom"/>
          </w:tcPr>
          <w:p>
            <w:pPr>
              <w:jc w:val="right"/>
              <w:ind w:right="279"/>
              <w:spacing w:after="0" w:line="164"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line="176" w:lineRule="exact"/>
              <w:rPr>
                <w:sz w:val="20"/>
                <w:szCs w:val="20"/>
                <w:color w:val="auto"/>
              </w:rPr>
            </w:pPr>
            <w:r>
              <w:rPr>
                <w:rFonts w:ascii="Arial" w:cs="Arial" w:eastAsia="Arial" w:hAnsi="Arial"/>
                <w:sz w:val="16"/>
                <w:szCs w:val="16"/>
                <w:color w:val="auto"/>
              </w:rPr>
              <w:t>Southern Gas Transmission(1)</w:t>
            </w:r>
          </w:p>
        </w:tc>
        <w:tc>
          <w:tcPr>
            <w:tcW w:w="3460" w:type="dxa"/>
            <w:vAlign w:val="bottom"/>
          </w:tcPr>
          <w:p>
            <w:pPr>
              <w:jc w:val="right"/>
              <w:ind w:right="381"/>
              <w:spacing w:after="0" w:line="176" w:lineRule="exact"/>
              <w:rPr>
                <w:sz w:val="20"/>
                <w:szCs w:val="20"/>
                <w:color w:val="auto"/>
              </w:rPr>
            </w:pPr>
            <w:r>
              <w:rPr>
                <w:rFonts w:ascii="Arial" w:cs="Arial" w:eastAsia="Arial" w:hAnsi="Arial"/>
                <w:sz w:val="16"/>
                <w:szCs w:val="16"/>
                <w:color w:val="auto"/>
              </w:rPr>
              <w:t>49</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line="176" w:lineRule="exact"/>
              <w:rPr>
                <w:sz w:val="20"/>
                <w:szCs w:val="20"/>
                <w:color w:val="auto"/>
              </w:rPr>
            </w:pPr>
            <w:r>
              <w:rPr>
                <w:rFonts w:ascii="Arial" w:cs="Arial" w:eastAsia="Arial" w:hAnsi="Arial"/>
                <w:sz w:val="16"/>
                <w:szCs w:val="16"/>
                <w:color w:val="auto"/>
              </w:rPr>
              <w:t>Liberty</w:t>
            </w:r>
          </w:p>
        </w:tc>
        <w:tc>
          <w:tcPr>
            <w:tcW w:w="3460" w:type="dxa"/>
            <w:vAlign w:val="bottom"/>
          </w:tcPr>
          <w:p>
            <w:pPr>
              <w:jc w:val="right"/>
              <w:ind w:right="381"/>
              <w:spacing w:after="0" w:line="176" w:lineRule="exact"/>
              <w:rPr>
                <w:sz w:val="20"/>
                <w:szCs w:val="20"/>
                <w:color w:val="auto"/>
              </w:rPr>
            </w:pPr>
            <w:r>
              <w:rPr>
                <w:rFonts w:ascii="Arial" w:cs="Arial" w:eastAsia="Arial" w:hAnsi="Arial"/>
                <w:sz w:val="16"/>
                <w:szCs w:val="16"/>
                <w:color w:val="auto"/>
              </w:rPr>
              <w:t>25</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line="176" w:lineRule="exact"/>
              <w:rPr>
                <w:sz w:val="20"/>
                <w:szCs w:val="20"/>
                <w:color w:val="auto"/>
              </w:rPr>
            </w:pPr>
            <w:r>
              <w:rPr>
                <w:rFonts w:ascii="Arial" w:cs="Arial" w:eastAsia="Arial" w:hAnsi="Arial"/>
                <w:sz w:val="16"/>
                <w:szCs w:val="16"/>
                <w:color w:val="auto"/>
              </w:rPr>
              <w:t>Tecsur(2)</w:t>
            </w:r>
          </w:p>
        </w:tc>
        <w:tc>
          <w:tcPr>
            <w:tcW w:w="3460" w:type="dxa"/>
            <w:vAlign w:val="bottom"/>
          </w:tcPr>
          <w:p>
            <w:pPr>
              <w:jc w:val="right"/>
              <w:ind w:right="381"/>
              <w:spacing w:after="0" w:line="176" w:lineRule="exact"/>
              <w:rPr>
                <w:sz w:val="20"/>
                <w:szCs w:val="20"/>
                <w:color w:val="auto"/>
              </w:rPr>
            </w:pPr>
            <w:r>
              <w:rPr>
                <w:rFonts w:ascii="Arial" w:cs="Arial" w:eastAsia="Arial" w:hAnsi="Arial"/>
                <w:sz w:val="16"/>
                <w:szCs w:val="16"/>
                <w:color w:val="auto"/>
              </w:rPr>
              <w:t>10</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line="176" w:lineRule="exact"/>
              <w:rPr>
                <w:sz w:val="20"/>
                <w:szCs w:val="20"/>
                <w:color w:val="auto"/>
              </w:rPr>
            </w:pPr>
            <w:r>
              <w:rPr>
                <w:rFonts w:ascii="Arial" w:cs="Arial" w:eastAsia="Arial" w:hAnsi="Arial"/>
                <w:sz w:val="16"/>
                <w:szCs w:val="16"/>
                <w:color w:val="auto"/>
              </w:rPr>
              <w:t>Luz del Sur(2)</w:t>
            </w:r>
          </w:p>
        </w:tc>
        <w:tc>
          <w:tcPr>
            <w:tcW w:w="3460" w:type="dxa"/>
            <w:vAlign w:val="bottom"/>
          </w:tcPr>
          <w:p>
            <w:pPr>
              <w:jc w:val="right"/>
              <w:ind w:right="381"/>
              <w:spacing w:after="0" w:line="176" w:lineRule="exact"/>
              <w:rPr>
                <w:sz w:val="20"/>
                <w:szCs w:val="20"/>
                <w:color w:val="auto"/>
              </w:rPr>
            </w:pPr>
            <w:r>
              <w:rPr>
                <w:rFonts w:ascii="Arial" w:cs="Arial" w:eastAsia="Arial" w:hAnsi="Arial"/>
                <w:sz w:val="16"/>
                <w:szCs w:val="16"/>
                <w:color w:val="auto"/>
              </w:rPr>
              <w:t>20</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216</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line="176" w:lineRule="exact"/>
              <w:rPr>
                <w:sz w:val="20"/>
                <w:szCs w:val="20"/>
                <w:color w:val="auto"/>
              </w:rPr>
            </w:pPr>
            <w:r>
              <w:rPr>
                <w:rFonts w:ascii="Arial" w:cs="Arial" w:eastAsia="Arial" w:hAnsi="Arial"/>
                <w:sz w:val="16"/>
                <w:szCs w:val="16"/>
                <w:color w:val="auto"/>
              </w:rPr>
              <w:t>Chilquinta Energía(2)</w:t>
            </w:r>
          </w:p>
        </w:tc>
        <w:tc>
          <w:tcPr>
            <w:tcW w:w="346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15 - 43</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8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rPr>
                <w:sz w:val="20"/>
                <w:szCs w:val="20"/>
                <w:color w:val="auto"/>
              </w:rPr>
            </w:pPr>
            <w:r>
              <w:rPr>
                <w:rFonts w:ascii="Arial" w:cs="Arial" w:eastAsia="Arial" w:hAnsi="Arial"/>
                <w:sz w:val="16"/>
                <w:szCs w:val="16"/>
                <w:color w:val="auto"/>
              </w:rPr>
              <w:t>Otay Mesa VIE (at SDG&amp;E)</w:t>
            </w:r>
          </w:p>
        </w:tc>
        <w:tc>
          <w:tcPr>
            <w:tcW w:w="3460" w:type="dxa"/>
            <w:vAlign w:val="bottom"/>
          </w:tcPr>
          <w:p>
            <w:pPr>
              <w:jc w:val="right"/>
              <w:ind w:right="381"/>
              <w:spacing w:after="0"/>
              <w:rPr>
                <w:sz w:val="20"/>
                <w:szCs w:val="20"/>
                <w:color w:val="auto"/>
              </w:rPr>
            </w:pPr>
            <w:r>
              <w:rPr>
                <w:rFonts w:ascii="Arial" w:cs="Arial" w:eastAsia="Arial" w:hAnsi="Arial"/>
                <w:sz w:val="16"/>
                <w:szCs w:val="16"/>
                <w:color w:val="auto"/>
              </w:rPr>
              <w:t>100</w:t>
            </w: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Total Sempra Energy</w:t>
            </w:r>
          </w:p>
        </w:tc>
        <w:tc>
          <w:tcPr>
            <w:tcW w:w="346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383</w:t>
            </w: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ind w:left="420"/>
        <w:spacing w:after="0"/>
        <w:rPr>
          <w:sz w:val="20"/>
          <w:szCs w:val="20"/>
          <w:color w:val="auto"/>
        </w:rPr>
      </w:pPr>
      <w:r>
        <w:rPr>
          <w:rFonts w:ascii="Arial" w:cs="Arial" w:eastAsia="Arial" w:hAnsi="Arial"/>
          <w:sz w:val="14"/>
          <w:szCs w:val="14"/>
          <w:i w:val="1"/>
          <w:iCs w:val="1"/>
          <w:color w:val="auto"/>
        </w:rPr>
        <w:t>(1)Part of Sempra Pipelines &amp; Storage’s Sempra Midstream business.</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(2)Controlling interest acquired in 2011.</w:t>
      </w:r>
    </w:p>
    <w:p>
      <w:pPr>
        <w:sectPr>
          <w:pgSz w:w="11900" w:h="16838" w:orient="portrait"/>
          <w:cols w:equalWidth="0" w:num="1">
            <w:col w:w="11420"/>
          </w:cols>
          <w:pgMar w:left="240" w:top="125" w:right="239" w:bottom="0" w:gutter="0" w:footer="0" w:header="0"/>
          <w:type w:val="continuous"/>
        </w:sectPr>
      </w:pPr>
    </w:p>
    <w:bookmarkStart w:id="210" w:name="page211"/>
    <w:bookmarkEnd w:id="210"/>
    <w:p>
      <w:pPr>
        <w:spacing w:after="0" w:line="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the preferred stock of subsidiaries at Sempra Energy is also presented as a noncontrolling interest at December 31, 2011 and 2010. We provide additional information concerning preferred stock in Note 12.</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w:t>
      </w: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Sempra Utilities generate revenues primarily from deliveries to their customers of electricity by SDG&amp;E and natural gas by both SoCalGas and SDG&amp;E and from related services. They record these revenues following the accrual method and recognize them upon delivery and performance. They also record revenue from CPUC-approved incentive awards, some of which require approval by the CPUC prior to being recognized. We provide additional discussion on utility incentive mechanisms in Note 14.</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Under an operating agreement with the California Department of Water Resources (DWR), SDG&amp;E acts as a limited agent on behalf of the DWR in the administration of energy contracts, including natural gas procurement functions under the DWR contracts allocated to SDG&amp;E’s customers. The legal and financial responsibilities associated with these activities continue to reside with the DWR. Accordingly, the commodity costs associated with long-term contracts allocated to SDG&amp;E from the DWR (and the revenues to recover those costs) are not included in our Consolidated Statements of Operations. We provide discussion on electric industry regulation related to the DWR in Note 14.</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 monthly basis, SoCalGas accrues natural gas storage contract revenues, which consist of storage reservation and variable charges based on negotiated agreements with terms of up to 15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Sempra Pipelines &amp; Storage’s natural gas utilities, Mobile Gas and Ecogas, apply GAAP for regulated utilities consistent with the Sempra Utilities.</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Sempra Pipelines &amp; Storage’s utilities in South America, which were consolidated beginning April 6, 2011 as we discuss in Note 3, are Chilquinta Energía and Luz del Sur. Chilquinta Energía is an electric distribution utility serving customers in the cities of Valparaiso and Viña del Mar in central Chile. Luz del Sur is an electric distribution utility in the southern zone of metropolitan Lima, Peru. The companies serve primarily regulated customers, and their revenues are based on tariffs that are set by the National Energy Commission (Comisión Nacional de Energía, or CNE) in Chile and the Energy and Mining Investment Supervisory Body (Organismo Supervisor de la Inversión en Energía y Minería, or OSINERGMIN) of the National Electricity Office under the Ministry of Energy and Mines in Peru.</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tariffs charged are based on an efficient model distribution company defined by Chilean law in the case of Chilquinta Energía, and OSINERGMIN in the case of Luz del Sur. The tariffs include operation and maintenance costs, an internal rate of return on the new replacement value (Valor Nuevo de Reemplazo, or VNR) of depreciable assets, charges for the use of transmission systems, and a component for the value added by the distributor. Tariffs are designed to provide for a pass-through to customers of the main noncontrollable cost items (mainly power purchases and transmission charges), recovery of reasonable operating and administrative costs, incentives to reduce costs and make needed capital investments and a regulated rate of return on the distributor’s regulated asset base. Because the tariffs are based on a model and are intended to cover the costs of the model company, but are not based on the costs of the specific utility and may not result in full cost recovery, they do not meet the requirement necessary for treatment under applicable GAAP for regulatory accounting.</w:t>
      </w:r>
    </w:p>
    <w:p>
      <w:pPr>
        <w:spacing w:after="0" w:line="16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For Chilquinta Energía, rates for four-year periods related to distribution and transmission are reviewed separately on an alternating basis every two years. Their next review is scheduled to be completed, with tariff adjustments also going into effect, in November 2012 for distribution and November 2014 for transmission.</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components of tariffs above for Luz del Sur are reviewed and adjusted every four years. Their next review is scheduled to be completed, with tariff adjustments also going into effect, in November 2013.</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table below shows the total utilities revenues from the Sempra Utilities and Sempra Pipelines &amp; Storage in Sempra Energy’s Consolidated Statements of Operations for each of the last three years. The revenues include amounts for services rendered but unbilled (approximately one-half month’s deliveries) at the end of each year.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UTILITIES REVENUES AT SEMPRA ENERGY CONSOLIDATED(1)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5840" w:type="dxa"/>
            <w:vAlign w:val="bottom"/>
            <w:gridSpan w:val="2"/>
          </w:tcPr>
          <w:p>
            <w:pPr>
              <w:spacing w:after="0" w:line="164" w:lineRule="exact"/>
              <w:rPr>
                <w:sz w:val="20"/>
                <w:szCs w:val="20"/>
                <w:color w:val="auto"/>
              </w:rPr>
            </w:pPr>
            <w:r>
              <w:rPr>
                <w:rFonts w:ascii="Arial" w:cs="Arial" w:eastAsia="Arial" w:hAnsi="Arial"/>
                <w:sz w:val="16"/>
                <w:szCs w:val="16"/>
                <w:color w:val="auto"/>
              </w:rPr>
              <w:t>Natural gas revenues</w:t>
            </w:r>
          </w:p>
        </w:tc>
        <w:tc>
          <w:tcPr>
            <w:tcW w:w="1240" w:type="dxa"/>
            <w:vAlign w:val="bottom"/>
          </w:tcPr>
          <w:p>
            <w:pPr>
              <w:jc w:val="right"/>
              <w:ind w:right="1062"/>
              <w:spacing w:after="0" w:line="164"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4,489</w:t>
            </w:r>
          </w:p>
        </w:tc>
        <w:tc>
          <w:tcPr>
            <w:tcW w:w="440" w:type="dxa"/>
            <w:vAlign w:val="bottom"/>
          </w:tcPr>
          <w:p>
            <w:pPr>
              <w:jc w:val="right"/>
              <w:ind w:right="262"/>
              <w:spacing w:after="0" w:line="164"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line="164" w:lineRule="exact"/>
              <w:rPr>
                <w:sz w:val="20"/>
                <w:szCs w:val="20"/>
                <w:color w:val="auto"/>
              </w:rPr>
            </w:pPr>
            <w:r>
              <w:rPr>
                <w:rFonts w:ascii="Arial" w:cs="Arial" w:eastAsia="Arial" w:hAnsi="Arial"/>
                <w:sz w:val="16"/>
                <w:szCs w:val="16"/>
                <w:color w:val="auto"/>
              </w:rPr>
              <w:t>4,491</w:t>
            </w:r>
          </w:p>
        </w:tc>
        <w:tc>
          <w:tcPr>
            <w:tcW w:w="44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4,002</w:t>
            </w:r>
          </w:p>
        </w:tc>
      </w:tr>
      <w:tr>
        <w:trPr>
          <w:trHeight w:val="194"/>
        </w:trPr>
        <w:tc>
          <w:tcPr>
            <w:tcW w:w="5860" w:type="dxa"/>
            <w:vAlign w:val="bottom"/>
            <w:gridSpan w:val="3"/>
          </w:tcPr>
          <w:p>
            <w:pPr>
              <w:spacing w:after="0"/>
              <w:rPr>
                <w:sz w:val="20"/>
                <w:szCs w:val="20"/>
                <w:color w:val="auto"/>
              </w:rPr>
            </w:pPr>
            <w:r>
              <w:rPr>
                <w:rFonts w:ascii="Arial" w:cs="Arial" w:eastAsia="Arial" w:hAnsi="Arial"/>
                <w:sz w:val="16"/>
                <w:szCs w:val="16"/>
                <w:color w:val="auto"/>
              </w:rPr>
              <w:t>Electric revenues</w:t>
            </w:r>
          </w:p>
        </w:tc>
        <w:tc>
          <w:tcPr>
            <w:tcW w:w="1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3,833</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r>
      <w:tr>
        <w:trPr>
          <w:trHeight w:val="176"/>
        </w:trPr>
        <w:tc>
          <w:tcPr>
            <w:tcW w:w="48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5380" w:type="dxa"/>
            <w:vAlign w:val="bottom"/>
          </w:tcPr>
          <w:p>
            <w:pPr>
              <w:spacing w:after="0"/>
              <w:rPr>
                <w:sz w:val="15"/>
                <w:szCs w:val="15"/>
                <w:color w:val="auto"/>
              </w:rPr>
            </w:pPr>
          </w:p>
        </w:tc>
        <w:tc>
          <w:tcPr>
            <w:tcW w:w="1240" w:type="dxa"/>
            <w:vAlign w:val="bottom"/>
          </w:tcPr>
          <w:p>
            <w:pPr>
              <w:jc w:val="right"/>
              <w:ind w:right="1062"/>
              <w:spacing w:after="0" w:line="176"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8,322</w:t>
            </w:r>
          </w:p>
        </w:tc>
        <w:tc>
          <w:tcPr>
            <w:tcW w:w="440" w:type="dxa"/>
            <w:vAlign w:val="bottom"/>
          </w:tcPr>
          <w:p>
            <w:pPr>
              <w:jc w:val="right"/>
              <w:ind w:right="262"/>
              <w:spacing w:after="0" w:line="176"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7,019</w:t>
            </w:r>
          </w:p>
        </w:tc>
        <w:tc>
          <w:tcPr>
            <w:tcW w:w="4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6,421</w:t>
            </w: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r>
      <w:tr>
        <w:trPr>
          <w:trHeight w:val="218"/>
        </w:trPr>
        <w:tc>
          <w:tcPr>
            <w:tcW w:w="480" w:type="dxa"/>
            <w:vAlign w:val="bottom"/>
            <w:gridSpan w:val="2"/>
          </w:tcPr>
          <w:p>
            <w:pPr>
              <w:spacing w:after="0"/>
              <w:rPr>
                <w:sz w:val="20"/>
                <w:szCs w:val="20"/>
                <w:color w:val="auto"/>
              </w:rPr>
            </w:pPr>
            <w:r>
              <w:rPr>
                <w:rFonts w:ascii="Arial" w:cs="Arial" w:eastAsia="Arial" w:hAnsi="Arial"/>
                <w:sz w:val="14"/>
                <w:szCs w:val="14"/>
                <w:i w:val="1"/>
                <w:iCs w:val="1"/>
                <w:color w:val="auto"/>
              </w:rPr>
              <w:t>(1)</w:t>
            </w:r>
          </w:p>
        </w:tc>
        <w:tc>
          <w:tcPr>
            <w:tcW w:w="5380" w:type="dxa"/>
            <w:vAlign w:val="bottom"/>
          </w:tcPr>
          <w:p>
            <w:pPr>
              <w:ind w:left="140"/>
              <w:spacing w:after="0"/>
              <w:rPr>
                <w:sz w:val="20"/>
                <w:szCs w:val="20"/>
                <w:color w:val="auto"/>
              </w:rPr>
            </w:pPr>
            <w:r>
              <w:rPr>
                <w:rFonts w:ascii="Arial" w:cs="Arial" w:eastAsia="Arial" w:hAnsi="Arial"/>
                <w:sz w:val="14"/>
                <w:szCs w:val="14"/>
                <w:i w:val="1"/>
                <w:iCs w:val="1"/>
                <w:color w:val="auto"/>
              </w:rPr>
              <w:t>Excludes intercompany revenues.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1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we discuss in Note 14, the SDG&amp;E and SoCalGas core natural gas supply portfolios are combined. SoCalGas manages the combined portfolio and procures natural gas for SDG&amp;E’s core customers. Core customers are primarily residential and small commercial and industrial customers. This core gas procurement function is considered a shared service, therefore amounts related to SDG&amp;E are not included in SoCalGas’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concerning utility revenue recognition in “Regulatory Matters”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Generation</w:t>
      </w:r>
    </w:p>
    <w:p>
      <w:pPr>
        <w:spacing w:after="0" w:line="2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Sempra Generation generates revenues primarily from selling electricity to governmental, public utility and wholesale power marketing entities. These revenues are recognized as the electricity is delivered. In each of 2011, 2010 and 2009, Sempra Generation’s electricity sales to the DWR accounted for a significant portion of its revenues. This contract ended September 30, 2011. Sempra Generation’s revenues also include net realized gains and losses and the net change in the fair value of unrealized gains and losses on derivative contracts for power and natural gas.</w:t>
      </w:r>
    </w:p>
    <w:p>
      <w:pPr>
        <w:sectPr>
          <w:pgSz w:w="11900" w:h="16860" w:orient="portrait"/>
          <w:cols w:equalWidth="0" w:num="1">
            <w:col w:w="11420"/>
          </w:cols>
          <w:pgMar w:left="240" w:top="125" w:right="239" w:bottom="0" w:gutter="0" w:footer="0" w:header="0"/>
        </w:sectPr>
      </w:pPr>
    </w:p>
    <w:bookmarkStart w:id="211" w:name="page212"/>
    <w:bookmarkEnd w:id="211"/>
    <w:p>
      <w:pPr>
        <w:spacing w:after="0"/>
        <w:rPr>
          <w:sz w:val="20"/>
          <w:szCs w:val="20"/>
          <w:color w:val="auto"/>
        </w:rPr>
      </w:pPr>
      <w:r>
        <w:rPr>
          <w:rFonts w:ascii="Arial" w:cs="Arial" w:eastAsia="Arial" w:hAnsi="Arial"/>
          <w:sz w:val="20"/>
          <w:szCs w:val="20"/>
          <w:i w:val="1"/>
          <w:iCs w:val="1"/>
          <w:color w:val="auto"/>
        </w:rPr>
        <w:t>Sempra Pipelines &amp; Storage</w:t>
      </w:r>
    </w:p>
    <w:p>
      <w:pPr>
        <w:spacing w:after="0" w:line="2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Sempra Pipelines &amp; Storage’s pipeline operations in Mexico recognize revenues from the sale and transportation of natural gas as deliveries are made and from fixed capacity payments. Sempra Pipelines &amp; Storage’s natural gas storage and transportation operations recognize revenues when they provide services in accordance with contractual agreements for the storage and transportation services. Sempra Pipelines &amp; Storage’s revenues also include net realized gains and losses and the net change in the fair value of unrealized gains and losses on derivative contracts for natural gas.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Sempra LNG recognizes revenues from (1) the sale of LNG and natural gas as deliveries are made to counterparties and (2) from reservation and usage fees under terminal capacity agreements, nitrogen injection service agreements and tug service agreements. Sempra LNG reports revenue net of value added taxes in Mexico. Sempra LNG’s revenues also include net realized gains and losses and the net change in the fair value of unrealized gains and losses on derivative contracts for natural gas.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Commodities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 2008, our commodities-marketing businesses, previously wholly owned subsidiaries of Sempra Energy, were sold into RBS Sempra Commodities LLP (RBS Sempra Commodities), a partnership jointly owned by Sempra Energy and The Royal Bank of Scotland. Therefore, beginning April 1, 2008, we have accounted for our earnings in the partnership under the equity method. In 2010 and early 2011, the partnership divested its principal businesses and assets. We provide more information on these matters in Notes 3 and 4.</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RBS Sempra Commodities generated most of its revenues from trading and marketing activities in natural gas, electricity, petroleum, petroleum products, base metals and other commodities. RBS Sempra Commodities quoted bid and ask prices to end users and other market makers. It also earned trading profits as a dealer by structuring and executing transactions. Principal transaction revenues were recognized on a trade-date basis and included realized gains and losses and the net change in unrealized gains and losses.</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RBS Sempra Commodities used derivative instruments to reduce its exposure to unfavorable changes in market prices. Non-derivative contracts were accounted for on an accrual basis and the related profit or loss was recognized as the contracts were settled.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 OF SALES</w:t>
      </w:r>
    </w:p>
    <w:p>
      <w:pPr>
        <w:spacing w:after="0" w:line="234"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Other Cost of Sales primarily includes pipeline capacity marketing costs incurred at Sempra Generation, pipeline transportation and natural gas marketing costs incurred at Sempra LNG and electrical construction costs at Sempra Pipelines &amp; Storage. The costs at Sempra Pipelines &amp; Storage are related to the energy-services companies in South America that we discuss in Note 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AND MAINTENANCE EXPENSES</w:t>
      </w:r>
    </w:p>
    <w:p>
      <w:pPr>
        <w:spacing w:after="0" w:line="2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Operation and Maintenance includes operating and maintenance costs, and general and administrative costs, which consist primarily of personnel costs, purchased materials and services, and rent. SDG&amp;E’s and SoCalGas’ Operation and Maintenance includes litigation expense, which is shown separately on Sempra Energy’s Consolidated Statements of Operations.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in South America and our natural gas distribution utility in Mexico use their local currency as their functional currency. The assets and liabilities of their foreign operations are translated into U.S. dollars at current exchange rates at the end of the reporting period, and revenues and expenses are translated at average exchange rates for the year. The resulting noncash translation adjustments do not enter into the calculation of earnings or retained earnings (unless the operation is being discontinued), but are reflected in Comprehensive Income and in Accumulated Other Comprehensive Income (Loss), a component of shareholders’ equity.</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To reflect the fluctuations in the values of functional currencies of Sempra Pipelines &amp; Storage’s South American investments, which were accounted for under the equity method prior to April 6, 2011, the following adjustments were made to the carrying value of these investments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3"/>
              <w:spacing w:after="0"/>
              <w:rPr>
                <w:sz w:val="20"/>
                <w:szCs w:val="20"/>
                <w:color w:val="auto"/>
              </w:rPr>
            </w:pPr>
            <w:r>
              <w:rPr>
                <w:rFonts w:ascii="Arial" w:cs="Arial" w:eastAsia="Arial" w:hAnsi="Arial"/>
                <w:sz w:val="14"/>
                <w:szCs w:val="14"/>
                <w:color w:val="auto"/>
              </w:rPr>
              <w:t>Upward (downward)</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4"/>
        </w:trPr>
        <w:tc>
          <w:tcPr>
            <w:tcW w:w="2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tcPr>
          <w:p>
            <w:pPr>
              <w:jc w:val="right"/>
              <w:ind w:right="179"/>
              <w:spacing w:after="0" w:line="157" w:lineRule="exact"/>
              <w:rPr>
                <w:sz w:val="20"/>
                <w:szCs w:val="20"/>
                <w:color w:val="auto"/>
              </w:rPr>
            </w:pPr>
            <w:r>
              <w:rPr>
                <w:rFonts w:ascii="Arial" w:cs="Arial" w:eastAsia="Arial" w:hAnsi="Arial"/>
                <w:sz w:val="14"/>
                <w:szCs w:val="14"/>
                <w:color w:val="auto"/>
              </w:rPr>
              <w:t>adjustment to investments</w:t>
            </w:r>
          </w:p>
        </w:tc>
        <w:tc>
          <w:tcPr>
            <w:tcW w:w="1180" w:type="dxa"/>
            <w:vAlign w:val="bottom"/>
            <w:tcBorders>
              <w:bottom w:val="single" w:sz="8" w:color="auto"/>
            </w:tcBorders>
          </w:tcPr>
          <w:p>
            <w:pPr>
              <w:spacing w:after="0"/>
              <w:rPr>
                <w:sz w:val="14"/>
                <w:szCs w:val="14"/>
                <w:color w:val="auto"/>
              </w:rPr>
            </w:pPr>
          </w:p>
        </w:tc>
      </w:tr>
      <w:tr>
        <w:trPr>
          <w:trHeight w:val="169"/>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Investment</w:t>
            </w:r>
          </w:p>
        </w:tc>
        <w:tc>
          <w:tcPr>
            <w:tcW w:w="348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Currency</w:t>
            </w: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2011(1)</w:t>
            </w:r>
          </w:p>
        </w:tc>
        <w:tc>
          <w:tcPr>
            <w:tcW w:w="14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color w:val="auto"/>
              </w:rPr>
              <w:t>2009</w:t>
            </w:r>
          </w:p>
        </w:tc>
      </w:tr>
      <w:tr>
        <w:trPr>
          <w:trHeight w:val="164"/>
        </w:trPr>
        <w:tc>
          <w:tcPr>
            <w:tcW w:w="2260" w:type="dxa"/>
            <w:vAlign w:val="bottom"/>
          </w:tcPr>
          <w:p>
            <w:pPr>
              <w:spacing w:after="0" w:line="164" w:lineRule="exact"/>
              <w:rPr>
                <w:sz w:val="20"/>
                <w:szCs w:val="20"/>
                <w:color w:val="auto"/>
              </w:rPr>
            </w:pPr>
            <w:r>
              <w:rPr>
                <w:rFonts w:ascii="Arial" w:cs="Arial" w:eastAsia="Arial" w:hAnsi="Arial"/>
                <w:sz w:val="16"/>
                <w:szCs w:val="16"/>
                <w:color w:val="auto"/>
              </w:rPr>
              <w:t>Chilquinta Energía</w:t>
            </w:r>
          </w:p>
        </w:tc>
        <w:tc>
          <w:tcPr>
            <w:tcW w:w="3480" w:type="dxa"/>
            <w:vAlign w:val="bottom"/>
          </w:tcPr>
          <w:p>
            <w:pPr>
              <w:ind w:left="920"/>
              <w:spacing w:after="0" w:line="164" w:lineRule="exact"/>
              <w:rPr>
                <w:sz w:val="20"/>
                <w:szCs w:val="20"/>
                <w:color w:val="auto"/>
              </w:rPr>
            </w:pPr>
            <w:r>
              <w:rPr>
                <w:rFonts w:ascii="Arial" w:cs="Arial" w:eastAsia="Arial" w:hAnsi="Arial"/>
                <w:sz w:val="16"/>
                <w:szCs w:val="16"/>
                <w:color w:val="auto"/>
              </w:rPr>
              <w:t>Chilean Peso</w:t>
            </w:r>
          </w:p>
        </w:tc>
        <w:tc>
          <w:tcPr>
            <w:tcW w:w="1440" w:type="dxa"/>
            <w:vAlign w:val="bottom"/>
            <w:gridSpan w:val="2"/>
          </w:tcPr>
          <w:p>
            <w:pPr>
              <w:jc w:val="right"/>
              <w:ind w:right="200"/>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(10)$</w:t>
            </w:r>
          </w:p>
        </w:tc>
        <w:tc>
          <w:tcPr>
            <w:tcW w:w="1400" w:type="dxa"/>
            <w:vAlign w:val="bottom"/>
          </w:tcPr>
          <w:p>
            <w:pPr>
              <w:jc w:val="right"/>
              <w:spacing w:after="0" w:line="164" w:lineRule="exact"/>
              <w:rPr>
                <w:sz w:val="20"/>
                <w:szCs w:val="20"/>
                <w:color w:val="auto"/>
              </w:rPr>
            </w:pPr>
            <w:r>
              <w:rPr>
                <w:rFonts w:ascii="Arial" w:cs="Arial" w:eastAsia="Arial" w:hAnsi="Arial"/>
                <w:sz w:val="16"/>
                <w:szCs w:val="16"/>
                <w:color w:val="auto"/>
              </w:rPr>
              <w:t>34</w:t>
            </w:r>
          </w:p>
        </w:tc>
        <w:tc>
          <w:tcPr>
            <w:tcW w:w="360" w:type="dxa"/>
            <w:vAlign w:val="bottom"/>
          </w:tcPr>
          <w:p>
            <w:pPr>
              <w:jc w:val="right"/>
              <w:ind w:right="179"/>
              <w:spacing w:after="0" w:line="164"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line="164" w:lineRule="exact"/>
              <w:rPr>
                <w:sz w:val="20"/>
                <w:szCs w:val="20"/>
                <w:color w:val="auto"/>
              </w:rPr>
            </w:pPr>
            <w:r>
              <w:rPr>
                <w:rFonts w:ascii="Arial" w:cs="Arial" w:eastAsia="Arial" w:hAnsi="Arial"/>
                <w:sz w:val="16"/>
                <w:szCs w:val="16"/>
                <w:color w:val="auto"/>
              </w:rPr>
              <w:t>85</w:t>
            </w:r>
          </w:p>
        </w:tc>
      </w:tr>
      <w:tr>
        <w:trPr>
          <w:trHeight w:val="195"/>
        </w:trPr>
        <w:tc>
          <w:tcPr>
            <w:tcW w:w="2260" w:type="dxa"/>
            <w:vAlign w:val="bottom"/>
          </w:tcPr>
          <w:p>
            <w:pPr>
              <w:spacing w:after="0"/>
              <w:rPr>
                <w:sz w:val="20"/>
                <w:szCs w:val="20"/>
                <w:color w:val="auto"/>
              </w:rPr>
            </w:pPr>
            <w:r>
              <w:rPr>
                <w:rFonts w:ascii="Arial" w:cs="Arial" w:eastAsia="Arial" w:hAnsi="Arial"/>
                <w:sz w:val="16"/>
                <w:szCs w:val="16"/>
                <w:color w:val="auto"/>
              </w:rPr>
              <w:t>Luz del Sur</w:t>
            </w:r>
          </w:p>
        </w:tc>
        <w:tc>
          <w:tcPr>
            <w:tcW w:w="3480" w:type="dxa"/>
            <w:vAlign w:val="bottom"/>
          </w:tcPr>
          <w:p>
            <w:pPr>
              <w:ind w:left="920"/>
              <w:spacing w:after="0"/>
              <w:rPr>
                <w:sz w:val="20"/>
                <w:szCs w:val="20"/>
                <w:color w:val="auto"/>
              </w:rPr>
            </w:pPr>
            <w:r>
              <w:rPr>
                <w:rFonts w:ascii="Arial" w:cs="Arial" w:eastAsia="Arial" w:hAnsi="Arial"/>
                <w:sz w:val="16"/>
                <w:szCs w:val="16"/>
                <w:color w:val="auto"/>
              </w:rPr>
              <w:t>Peruvian Nuevo Sol</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60" w:right="140" w:hanging="652"/>
        <w:spacing w:after="0" w:line="260" w:lineRule="auto"/>
        <w:tabs>
          <w:tab w:leader="none" w:pos="660" w:val="left"/>
        </w:tabs>
        <w:numPr>
          <w:ilvl w:val="0"/>
          <w:numId w:val="305"/>
        </w:numPr>
        <w:rPr>
          <w:rFonts w:ascii="Arial" w:cs="Arial" w:eastAsia="Arial" w:hAnsi="Arial"/>
          <w:sz w:val="14"/>
          <w:szCs w:val="14"/>
          <w:i w:val="1"/>
          <w:iCs w:val="1"/>
          <w:color w:val="auto"/>
        </w:rPr>
      </w:pPr>
      <w:r>
        <w:rPr>
          <w:rFonts w:ascii="Arial" w:cs="Arial" w:eastAsia="Arial" w:hAnsi="Arial"/>
          <w:sz w:val="14"/>
          <w:szCs w:val="14"/>
          <w:i w:val="1"/>
          <w:iCs w:val="1"/>
          <w:color w:val="auto"/>
        </w:rPr>
        <w:t>As discussed in Note 3, the cumulative foreign currency translation adjustment balances totaling $54 million in Accumulated Other Comprehensive Income (Loss) as of April 6, 2011 were reclassified to net income as a result of the gain on the remeasurement of our equity method investments in Chilquinta Energía and Luz del Sur during the second quarter of 2011.</w:t>
      </w:r>
    </w:p>
    <w:p>
      <w:pPr>
        <w:spacing w:after="0" w:line="2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Smaller adjustments have been made to other operations where the U.S. dollar is not the functional currency. We provide additional information concerning these investments in Note 4.</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Currency transaction gains and losses in a currency other than the entity’s functional currency are included in the calculation of Other Income, Net, at Sempra Energy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color w:val="auto"/>
              </w:rPr>
              <w:t>Years ended December 31,</w:t>
            </w:r>
          </w:p>
        </w:tc>
        <w:tc>
          <w:tcPr>
            <w:tcW w:w="1300" w:type="dxa"/>
            <w:vAlign w:val="bottom"/>
            <w:tcBorders>
              <w:bottom w:val="single" w:sz="8" w:color="auto"/>
            </w:tcBorders>
          </w:tcPr>
          <w:p>
            <w:pPr>
              <w:spacing w:after="0"/>
              <w:rPr>
                <w:sz w:val="14"/>
                <w:szCs w:val="14"/>
                <w:color w:val="auto"/>
              </w:rPr>
            </w:pPr>
          </w:p>
        </w:tc>
      </w:tr>
      <w:tr>
        <w:trPr>
          <w:trHeight w:val="169"/>
        </w:trPr>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200" w:type="dxa"/>
            <w:vAlign w:val="bottom"/>
          </w:tcPr>
          <w:p>
            <w:pPr>
              <w:jc w:val="right"/>
              <w:ind w:right="166"/>
              <w:spacing w:after="0"/>
              <w:rPr>
                <w:sz w:val="20"/>
                <w:szCs w:val="20"/>
                <w:color w:val="auto"/>
              </w:rPr>
            </w:pPr>
            <w:r>
              <w:rPr>
                <w:rFonts w:ascii="Arial" w:cs="Arial" w:eastAsia="Arial" w:hAnsi="Arial"/>
                <w:sz w:val="14"/>
                <w:szCs w:val="14"/>
                <w:color w:val="auto"/>
              </w:rPr>
              <w:t>2011</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03"/>
              <w:spacing w:after="0"/>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1300" w:type="dxa"/>
            <w:vAlign w:val="bottom"/>
          </w:tcPr>
          <w:p>
            <w:pPr>
              <w:jc w:val="right"/>
              <w:ind w:right="623"/>
              <w:spacing w:after="0"/>
              <w:rPr>
                <w:sz w:val="20"/>
                <w:szCs w:val="20"/>
                <w:color w:val="auto"/>
              </w:rPr>
            </w:pPr>
            <w:r>
              <w:rPr>
                <w:rFonts w:ascii="Arial" w:cs="Arial" w:eastAsia="Arial" w:hAnsi="Arial"/>
                <w:sz w:val="14"/>
                <w:szCs w:val="14"/>
                <w:color w:val="auto"/>
              </w:rPr>
              <w:t>2009</w:t>
            </w:r>
          </w:p>
        </w:tc>
      </w:tr>
      <w:tr>
        <w:trPr>
          <w:trHeight w:val="183"/>
        </w:trPr>
        <w:tc>
          <w:tcPr>
            <w:tcW w:w="20" w:type="dxa"/>
            <w:vAlign w:val="bottom"/>
            <w:tcBorders>
              <w:bottom w:val="single" w:sz="8" w:color="auto"/>
            </w:tcBorders>
          </w:tcPr>
          <w:p>
            <w:pPr>
              <w:spacing w:after="0"/>
              <w:rPr>
                <w:sz w:val="15"/>
                <w:szCs w:val="15"/>
                <w:color w:val="auto"/>
              </w:rPr>
            </w:pPr>
          </w:p>
        </w:tc>
        <w:tc>
          <w:tcPr>
            <w:tcW w:w="642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Currency transaction gain</w:t>
            </w:r>
          </w:p>
        </w:tc>
        <w:tc>
          <w:tcPr>
            <w:tcW w:w="1200" w:type="dxa"/>
            <w:vAlign w:val="bottom"/>
            <w:tcBorders>
              <w:top w:val="single" w:sz="8" w:color="auto"/>
              <w:bottom w:val="single" w:sz="8" w:color="auto"/>
            </w:tcBorders>
          </w:tcPr>
          <w:p>
            <w:pPr>
              <w:jc w:val="right"/>
              <w:ind w:right="10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400" w:type="dxa"/>
            <w:vAlign w:val="bottom"/>
            <w:tcBorders>
              <w:top w:val="single" w:sz="8" w:color="auto"/>
              <w:bottom w:val="single" w:sz="8" w:color="auto"/>
            </w:tcBorders>
          </w:tcPr>
          <w:p>
            <w:pPr>
              <w:jc w:val="right"/>
              <w:ind w:right="203"/>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380" w:type="dxa"/>
            <w:vAlign w:val="bottom"/>
            <w:tcBorders>
              <w:top w:val="single" w:sz="8" w:color="auto"/>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ectPr>
          <w:pgSz w:w="11900" w:h="16838" w:orient="portrait"/>
          <w:cols w:equalWidth="0" w:num="1">
            <w:col w:w="11420"/>
          </w:cols>
          <w:pgMar w:left="240" w:top="339" w:right="239" w:bottom="95" w:gutter="0" w:footer="0" w:header="0"/>
        </w:sectPr>
      </w:pPr>
    </w:p>
    <w:bookmarkStart w:id="212" w:name="page213"/>
    <w:bookmarkEnd w:id="212"/>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Sempra Pipelines &amp; Storage has a U.S. dollar-denominated loan to Camuzzi Gas del Sur S.A., an affiliate of Sempra Pipelines &amp; Storage’s Argentine investments which we discuss in Note 4. The loan has an $18 million principal balance outstanding plus $6 million of accumulated interest at a variable interest rate (7.377 percent at December 31, 2011). In June 2011, the maturity date of the loan was extended from June 2011 to June 30, 2012. The loan was fully reserved at December 31, 2010 and 2011.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Pipelines &amp; Storage has an investment in bonds issued by Chilquinta Energía that we discuss in Note 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9"/>
              <w:spacing w:after="0" w:line="159" w:lineRule="exact"/>
              <w:rPr>
                <w:sz w:val="20"/>
                <w:szCs w:val="20"/>
                <w:color w:val="auto"/>
              </w:rPr>
            </w:pPr>
            <w:r>
              <w:rPr>
                <w:rFonts w:ascii="Arial" w:cs="Arial" w:eastAsia="Arial" w:hAnsi="Arial"/>
                <w:sz w:val="14"/>
                <w:szCs w:val="14"/>
                <w:color w:val="auto"/>
              </w:rPr>
              <w:t>December 31,</w:t>
            </w:r>
          </w:p>
        </w:tc>
        <w:tc>
          <w:tcPr>
            <w:tcW w:w="11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8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810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812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8100" w:type="dxa"/>
            <w:vAlign w:val="bottom"/>
          </w:tcPr>
          <w:p>
            <w:pPr>
              <w:ind w:left="160"/>
              <w:spacing w:after="0" w:line="176" w:lineRule="exact"/>
              <w:rPr>
                <w:sz w:val="20"/>
                <w:szCs w:val="20"/>
                <w:color w:val="auto"/>
              </w:rPr>
            </w:pPr>
            <w:r>
              <w:rPr>
                <w:rFonts w:ascii="Arial" w:cs="Arial" w:eastAsia="Arial" w:hAnsi="Arial"/>
                <w:sz w:val="16"/>
                <w:szCs w:val="16"/>
                <w:color w:val="auto"/>
              </w:rPr>
              <w:t>Due from SoCalGas</w:t>
            </w:r>
          </w:p>
        </w:tc>
        <w:tc>
          <w:tcPr>
            <w:tcW w:w="1080" w:type="dxa"/>
            <w:vAlign w:val="bottom"/>
            <w:gridSpan w:val="2"/>
          </w:tcPr>
          <w:p>
            <w:pPr>
              <w:jc w:val="right"/>
              <w:ind w:right="904"/>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580" w:type="dxa"/>
            <w:vAlign w:val="bottom"/>
          </w:tcPr>
          <w:p>
            <w:pPr>
              <w:jc w:val="right"/>
              <w:ind w:right="399"/>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94"/>
        </w:trPr>
        <w:tc>
          <w:tcPr>
            <w:tcW w:w="20" w:type="dxa"/>
            <w:vAlign w:val="bottom"/>
          </w:tcPr>
          <w:p>
            <w:pPr>
              <w:spacing w:after="0"/>
              <w:rPr>
                <w:sz w:val="16"/>
                <w:szCs w:val="16"/>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Due from various affiliates</w:t>
            </w:r>
          </w:p>
        </w:tc>
        <w:tc>
          <w:tcPr>
            <w:tcW w:w="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0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67</w:t>
            </w:r>
          </w:p>
        </w:tc>
        <w:tc>
          <w:tcPr>
            <w:tcW w:w="580" w:type="dxa"/>
            <w:vAlign w:val="bottom"/>
            <w:tcBorders>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w:t>
            </w:r>
          </w:p>
        </w:tc>
      </w:tr>
      <w:tr>
        <w:trPr>
          <w:trHeight w:val="358"/>
        </w:trPr>
        <w:tc>
          <w:tcPr>
            <w:tcW w:w="2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Due to Sempra Energy</w:t>
            </w:r>
          </w:p>
        </w:tc>
        <w:tc>
          <w:tcPr>
            <w:tcW w:w="1080" w:type="dxa"/>
            <w:vAlign w:val="bottom"/>
            <w:tcBorders>
              <w:bottom w:val="single" w:sz="8" w:color="auto"/>
            </w:tcBorders>
            <w:gridSpan w:val="2"/>
          </w:tcPr>
          <w:p>
            <w:pPr>
              <w:jc w:val="right"/>
              <w:ind w:right="9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385"/>
        </w:trPr>
        <w:tc>
          <w:tcPr>
            <w:tcW w:w="2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Income taxes due from Sempra Energy(1)</w:t>
            </w:r>
          </w:p>
        </w:tc>
        <w:tc>
          <w:tcPr>
            <w:tcW w:w="1080" w:type="dxa"/>
            <w:vAlign w:val="bottom"/>
            <w:gridSpan w:val="2"/>
          </w:tcPr>
          <w:p>
            <w:pPr>
              <w:jc w:val="right"/>
              <w:ind w:right="90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6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176"/>
        </w:trPr>
        <w:tc>
          <w:tcPr>
            <w:tcW w:w="812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8100" w:type="dxa"/>
            <w:vAlign w:val="bottom"/>
          </w:tcPr>
          <w:p>
            <w:pPr>
              <w:ind w:left="160"/>
              <w:spacing w:after="0" w:line="176" w:lineRule="exact"/>
              <w:rPr>
                <w:sz w:val="20"/>
                <w:szCs w:val="20"/>
                <w:color w:val="auto"/>
              </w:rPr>
            </w:pPr>
            <w:r>
              <w:rPr>
                <w:rFonts w:ascii="Arial" w:cs="Arial" w:eastAsia="Arial" w:hAnsi="Arial"/>
                <w:sz w:val="16"/>
                <w:szCs w:val="16"/>
                <w:color w:val="auto"/>
              </w:rPr>
              <w:t>Due from Sempra Energy</w:t>
            </w:r>
          </w:p>
        </w:tc>
        <w:tc>
          <w:tcPr>
            <w:tcW w:w="1080" w:type="dxa"/>
            <w:vAlign w:val="bottom"/>
            <w:gridSpan w:val="2"/>
          </w:tcPr>
          <w:p>
            <w:pPr>
              <w:jc w:val="right"/>
              <w:ind w:right="904"/>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580" w:type="dxa"/>
            <w:vAlign w:val="bottom"/>
          </w:tcPr>
          <w:p>
            <w:pPr>
              <w:jc w:val="right"/>
              <w:ind w:right="399"/>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r>
      <w:tr>
        <w:trPr>
          <w:trHeight w:val="176"/>
        </w:trPr>
        <w:tc>
          <w:tcPr>
            <w:tcW w:w="20" w:type="dxa"/>
            <w:vAlign w:val="bottom"/>
          </w:tcPr>
          <w:p>
            <w:pPr>
              <w:spacing w:after="0"/>
              <w:rPr>
                <w:sz w:val="15"/>
                <w:szCs w:val="15"/>
                <w:color w:val="auto"/>
              </w:rPr>
            </w:pPr>
          </w:p>
        </w:tc>
        <w:tc>
          <w:tcPr>
            <w:tcW w:w="8100" w:type="dxa"/>
            <w:vAlign w:val="bottom"/>
          </w:tcPr>
          <w:p>
            <w:pPr>
              <w:ind w:left="160"/>
              <w:spacing w:after="0" w:line="176" w:lineRule="exact"/>
              <w:rPr>
                <w:sz w:val="20"/>
                <w:szCs w:val="20"/>
                <w:color w:val="auto"/>
              </w:rPr>
            </w:pPr>
            <w:r>
              <w:rPr>
                <w:rFonts w:ascii="Arial" w:cs="Arial" w:eastAsia="Arial" w:hAnsi="Arial"/>
                <w:sz w:val="16"/>
                <w:szCs w:val="16"/>
                <w:color w:val="auto"/>
              </w:rPr>
              <w:t>Due from various affiliates</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5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Due from RBS Sempra Commodities</w:t>
            </w:r>
          </w:p>
        </w:tc>
        <w:tc>
          <w:tcPr>
            <w:tcW w:w="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0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w:t>
            </w:r>
          </w:p>
        </w:tc>
        <w:tc>
          <w:tcPr>
            <w:tcW w:w="580" w:type="dxa"/>
            <w:vAlign w:val="bottom"/>
            <w:tcBorders>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63</w:t>
            </w:r>
          </w:p>
        </w:tc>
      </w:tr>
      <w:tr>
        <w:trPr>
          <w:trHeight w:val="358"/>
        </w:trPr>
        <w:tc>
          <w:tcPr>
            <w:tcW w:w="2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Due to SDG&amp;E</w:t>
            </w:r>
          </w:p>
        </w:tc>
        <w:tc>
          <w:tcPr>
            <w:tcW w:w="1080" w:type="dxa"/>
            <w:vAlign w:val="bottom"/>
            <w:tcBorders>
              <w:bottom w:val="single" w:sz="8" w:color="auto"/>
            </w:tcBorders>
            <w:gridSpan w:val="2"/>
          </w:tcPr>
          <w:p>
            <w:pPr>
              <w:jc w:val="right"/>
              <w:ind w:right="9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386"/>
        </w:trPr>
        <w:tc>
          <w:tcPr>
            <w:tcW w:w="2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Income taxes due from (to) Sempra Energy(1)</w:t>
            </w:r>
          </w:p>
        </w:tc>
        <w:tc>
          <w:tcPr>
            <w:tcW w:w="1080" w:type="dxa"/>
            <w:vAlign w:val="bottom"/>
            <w:gridSpan w:val="2"/>
          </w:tcPr>
          <w:p>
            <w:pPr>
              <w:jc w:val="right"/>
              <w:ind w:right="90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60" w:right="60" w:hanging="752"/>
        <w:spacing w:after="0" w:line="279" w:lineRule="auto"/>
        <w:tabs>
          <w:tab w:leader="none" w:pos="760" w:val="left"/>
        </w:tabs>
        <w:numPr>
          <w:ilvl w:val="0"/>
          <w:numId w:val="306"/>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our utility businesses are as follows:</w:t>
      </w:r>
    </w:p>
    <w:p>
      <w:pPr>
        <w:spacing w:after="0" w:line="221" w:lineRule="exact"/>
        <w:rPr>
          <w:sz w:val="20"/>
          <w:szCs w:val="20"/>
          <w:color w:val="auto"/>
        </w:rPr>
      </w:pPr>
    </w:p>
    <w:p>
      <w:pPr>
        <w:ind w:right="5460"/>
        <w:spacing w:after="0" w:line="243" w:lineRule="auto"/>
        <w:rPr>
          <w:sz w:val="20"/>
          <w:szCs w:val="20"/>
          <w:color w:val="auto"/>
        </w:rPr>
      </w:pPr>
      <w:r>
        <w:rPr>
          <w:rFonts w:ascii="Arial" w:cs="Arial" w:eastAsia="Arial" w:hAnsi="Arial"/>
          <w:sz w:val="16"/>
          <w:szCs w:val="16"/>
          <w:b w:val="1"/>
          <w:bCs w:val="1"/>
          <w:color w:val="auto"/>
        </w:rPr>
        <w:t xml:space="preserve">REVENUES FROM UNCONSOLIDATED AFFILIATES AT UTILITY BUSINESSES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
              <w:spacing w:after="0" w:line="159" w:lineRule="exact"/>
              <w:rPr>
                <w:sz w:val="20"/>
                <w:szCs w:val="20"/>
                <w:color w:val="auto"/>
              </w:rPr>
            </w:pPr>
            <w:r>
              <w:rPr>
                <w:rFonts w:ascii="Arial" w:cs="Arial" w:eastAsia="Arial" w:hAnsi="Arial"/>
                <w:sz w:val="14"/>
                <w:szCs w:val="14"/>
                <w:color w:val="auto"/>
              </w:rPr>
              <w:t>Years ended December 31,</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5520" w:type="dxa"/>
            <w:vAlign w:val="bottom"/>
          </w:tcPr>
          <w:p>
            <w:pPr>
              <w:spacing w:after="0" w:line="164" w:lineRule="exact"/>
              <w:rPr>
                <w:sz w:val="20"/>
                <w:szCs w:val="20"/>
                <w:color w:val="auto"/>
              </w:rPr>
            </w:pPr>
            <w:r>
              <w:rPr>
                <w:rFonts w:ascii="Arial" w:cs="Arial" w:eastAsia="Arial" w:hAnsi="Arial"/>
                <w:sz w:val="16"/>
                <w:szCs w:val="16"/>
                <w:color w:val="auto"/>
              </w:rPr>
              <w:t>SDG&amp;E</w:t>
            </w:r>
          </w:p>
        </w:tc>
        <w:tc>
          <w:tcPr>
            <w:tcW w:w="1440" w:type="dxa"/>
            <w:vAlign w:val="bottom"/>
          </w:tcPr>
          <w:p>
            <w:pPr>
              <w:jc w:val="right"/>
              <w:ind w:right="1263"/>
              <w:spacing w:after="0" w:line="164"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12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840" w:type="dxa"/>
            <w:vAlign w:val="bottom"/>
          </w:tcPr>
          <w:p>
            <w:pPr>
              <w:jc w:val="right"/>
              <w:spacing w:after="0" w:line="164" w:lineRule="exact"/>
              <w:rPr>
                <w:sz w:val="20"/>
                <w:szCs w:val="20"/>
                <w:color w:val="auto"/>
              </w:rPr>
            </w:pPr>
            <w:r>
              <w:rPr>
                <w:rFonts w:ascii="Arial" w:cs="Arial" w:eastAsia="Arial" w:hAnsi="Arial"/>
                <w:sz w:val="16"/>
                <w:szCs w:val="16"/>
                <w:color w:val="auto"/>
              </w:rPr>
              <w:t>8</w:t>
            </w:r>
          </w:p>
        </w:tc>
        <w:tc>
          <w:tcPr>
            <w:tcW w:w="460" w:type="dxa"/>
            <w:vAlign w:val="bottom"/>
          </w:tcPr>
          <w:p>
            <w:pPr>
              <w:jc w:val="right"/>
              <w:ind w:right="259"/>
              <w:spacing w:after="0" w:line="164"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64" w:lineRule="exact"/>
              <w:rPr>
                <w:sz w:val="20"/>
                <w:szCs w:val="20"/>
                <w:color w:val="auto"/>
              </w:rPr>
            </w:pPr>
            <w:r>
              <w:rPr>
                <w:rFonts w:ascii="Arial" w:cs="Arial" w:eastAsia="Arial" w:hAnsi="Arial"/>
                <w:sz w:val="16"/>
                <w:szCs w:val="16"/>
                <w:color w:val="auto"/>
              </w:rPr>
              <w:t>8</w:t>
            </w:r>
          </w:p>
        </w:tc>
      </w:tr>
      <w:tr>
        <w:trPr>
          <w:trHeight w:val="194"/>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Several of our business units have engaged in transactions with RBS Sempra Commodities. As a result of the divestiture of substantially all of RBS Sempra Commodities’ businesses, transactions between our business units and RBS Sempra Commodities were assigned over time to the buyers of the joint venture businesses. The assignments of the related contracts were substantially completed by May 1, 2011. Amounts in our Consolidated Financial Statements related to these transactions are as follows:</w:t>
      </w:r>
    </w:p>
    <w:p>
      <w:pPr>
        <w:spacing w:after="0" w:line="183" w:lineRule="exact"/>
        <w:rPr>
          <w:sz w:val="20"/>
          <w:szCs w:val="20"/>
          <w:color w:val="auto"/>
        </w:rPr>
      </w:pPr>
    </w:p>
    <w:p>
      <w:pPr>
        <w:ind w:right="5100"/>
        <w:spacing w:after="0" w:line="243" w:lineRule="auto"/>
        <w:rPr>
          <w:sz w:val="20"/>
          <w:szCs w:val="20"/>
          <w:color w:val="auto"/>
        </w:rPr>
      </w:pPr>
      <w:r>
        <w:rPr>
          <w:rFonts w:ascii="Arial" w:cs="Arial" w:eastAsia="Arial" w:hAnsi="Arial"/>
          <w:sz w:val="16"/>
          <w:szCs w:val="16"/>
          <w:b w:val="1"/>
          <w:bCs w:val="1"/>
          <w:color w:val="auto"/>
        </w:rPr>
        <w:t xml:space="preserve">AMOUNTS RECORDED FOR TRANSACTIONS WITH RBS SEMPRA COMMODITIES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2011(1)</w:t>
            </w: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Revenues:</w:t>
            </w:r>
          </w:p>
        </w:tc>
        <w:tc>
          <w:tcPr>
            <w:tcW w:w="1140" w:type="dxa"/>
            <w:vAlign w:val="bottom"/>
            <w:vMerge w:val="restart"/>
          </w:tcPr>
          <w:p>
            <w:pPr>
              <w:jc w:val="right"/>
              <w:ind w:right="85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6"/>
                <w:szCs w:val="16"/>
                <w:color w:val="auto"/>
              </w:rPr>
              <w:t>SoCalGas</w:t>
            </w:r>
          </w:p>
        </w:tc>
        <w:tc>
          <w:tcPr>
            <w:tcW w:w="1140" w:type="dxa"/>
            <w:vAlign w:val="bottom"/>
            <w:vMerge w:val="continue"/>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222"/>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14</w:t>
            </w:r>
          </w:p>
        </w:tc>
        <w:tc>
          <w:tcPr>
            <w:tcW w:w="4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6"/>
                <w:szCs w:val="16"/>
                <w:color w:val="auto"/>
              </w:rPr>
              <w:t>Sempra Generation</w:t>
            </w:r>
          </w:p>
        </w:tc>
        <w:tc>
          <w:tcPr>
            <w:tcW w:w="114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600" w:type="dxa"/>
            <w:vAlign w:val="bottom"/>
          </w:tcPr>
          <w:p>
            <w:pPr>
              <w:spacing w:after="0"/>
              <w:rPr>
                <w:sz w:val="15"/>
                <w:szCs w:val="15"/>
                <w:color w:val="auto"/>
              </w:rPr>
            </w:pPr>
          </w:p>
        </w:tc>
        <w:tc>
          <w:tcPr>
            <w:tcW w:w="11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19</w:t>
            </w:r>
          </w:p>
        </w:tc>
        <w:tc>
          <w:tcPr>
            <w:tcW w:w="4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Sempra Pipelines &amp; Storage</w:t>
            </w:r>
          </w:p>
        </w:tc>
        <w:tc>
          <w:tcPr>
            <w:tcW w:w="1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6"/>
                <w:szCs w:val="16"/>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Sempra LNG</w:t>
            </w:r>
          </w:p>
        </w:tc>
        <w:tc>
          <w:tcPr>
            <w:tcW w:w="1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40</w:t>
            </w:r>
          </w:p>
        </w:tc>
        <w:tc>
          <w:tcPr>
            <w:tcW w:w="6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247</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2"/>
        </w:trPr>
        <w:tc>
          <w:tcPr>
            <w:tcW w:w="6700" w:type="dxa"/>
            <w:vAlign w:val="bottom"/>
            <w:gridSpan w:val="2"/>
          </w:tcPr>
          <w:p>
            <w:pPr>
              <w:spacing w:after="0"/>
              <w:rPr>
                <w:sz w:val="20"/>
                <w:szCs w:val="20"/>
                <w:color w:val="auto"/>
              </w:rPr>
            </w:pPr>
            <w:r>
              <w:rPr>
                <w:rFonts w:ascii="Arial" w:cs="Arial" w:eastAsia="Arial" w:hAnsi="Arial"/>
                <w:sz w:val="16"/>
                <w:szCs w:val="16"/>
                <w:color w:val="auto"/>
              </w:rPr>
              <w:t>Cost of natural gas:</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6"/>
                <w:szCs w:val="16"/>
                <w:color w:val="auto"/>
              </w:rPr>
              <w:t>SDG&amp;E</w:t>
            </w:r>
          </w:p>
        </w:tc>
        <w:tc>
          <w:tcPr>
            <w:tcW w:w="1140" w:type="dxa"/>
            <w:vAlign w:val="bottom"/>
          </w:tcPr>
          <w:p>
            <w:pPr>
              <w:jc w:val="right"/>
              <w:ind w:right="759"/>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42"/>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3</w:t>
            </w:r>
          </w:p>
        </w:tc>
        <w:tc>
          <w:tcPr>
            <w:tcW w:w="4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6"/>
                <w:szCs w:val="16"/>
                <w:color w:val="auto"/>
              </w:rPr>
              <w:t>SoCalGas</w:t>
            </w:r>
          </w:p>
        </w:tc>
        <w:tc>
          <w:tcPr>
            <w:tcW w:w="114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11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36</w:t>
            </w:r>
          </w:p>
        </w:tc>
        <w:tc>
          <w:tcPr>
            <w:tcW w:w="4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6"/>
                <w:szCs w:val="16"/>
                <w:color w:val="auto"/>
              </w:rPr>
              <w:t>Sempra Generation</w:t>
            </w:r>
          </w:p>
        </w:tc>
        <w:tc>
          <w:tcPr>
            <w:tcW w:w="114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600" w:type="dxa"/>
            <w:vAlign w:val="bottom"/>
          </w:tcPr>
          <w:p>
            <w:pPr>
              <w:spacing w:after="0"/>
              <w:rPr>
                <w:sz w:val="15"/>
                <w:szCs w:val="15"/>
                <w:color w:val="auto"/>
              </w:rPr>
            </w:pPr>
          </w:p>
        </w:tc>
        <w:tc>
          <w:tcPr>
            <w:tcW w:w="11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87</w:t>
            </w:r>
          </w:p>
        </w:tc>
        <w:tc>
          <w:tcPr>
            <w:tcW w:w="4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Sempra Pipelines &amp; Storage</w:t>
            </w:r>
          </w:p>
        </w:tc>
        <w:tc>
          <w:tcPr>
            <w:tcW w:w="1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17</w:t>
            </w:r>
          </w:p>
        </w:tc>
        <w:tc>
          <w:tcPr>
            <w:tcW w:w="600" w:type="dxa"/>
            <w:vAlign w:val="bottom"/>
          </w:tcPr>
          <w:p>
            <w:pPr>
              <w:spacing w:after="0"/>
              <w:rPr>
                <w:sz w:val="16"/>
                <w:szCs w:val="16"/>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Sempra LNG</w:t>
            </w:r>
          </w:p>
        </w:tc>
        <w:tc>
          <w:tcPr>
            <w:tcW w:w="1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6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00" w:right="220" w:hanging="383"/>
        <w:spacing w:after="0" w:line="262" w:lineRule="auto"/>
        <w:tabs>
          <w:tab w:leader="none" w:pos="600" w:val="left"/>
        </w:tabs>
        <w:numPr>
          <w:ilvl w:val="0"/>
          <w:numId w:val="307"/>
        </w:numPr>
        <w:rPr>
          <w:rFonts w:ascii="Arial" w:cs="Arial" w:eastAsia="Arial" w:hAnsi="Arial"/>
          <w:sz w:val="14"/>
          <w:szCs w:val="14"/>
          <w:i w:val="1"/>
          <w:iCs w:val="1"/>
          <w:color w:val="auto"/>
        </w:rPr>
      </w:pPr>
      <w:r>
        <w:rPr>
          <w:rFonts w:ascii="Arial" w:cs="Arial" w:eastAsia="Arial" w:hAnsi="Arial"/>
          <w:sz w:val="14"/>
          <w:szCs w:val="14"/>
          <w:i w:val="1"/>
          <w:iCs w:val="1"/>
          <w:color w:val="auto"/>
        </w:rPr>
        <w:t>With the exception of Sempra Pipelines &amp; Storage, whose contract with RBS Sempra Commodities expired in July 2011, amounts only include activities prior to May 1, 2011, the date by which substantially all the contracts with RBS Sempra Commodities were assigned to buyers of the joint venture businesses.</w:t>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23"/>
              <w:spacing w:after="0"/>
              <w:rPr>
                <w:sz w:val="20"/>
                <w:szCs w:val="20"/>
                <w:color w:val="auto"/>
              </w:rPr>
            </w:pPr>
            <w:r>
              <w:rPr>
                <w:rFonts w:ascii="Arial" w:cs="Arial" w:eastAsia="Arial" w:hAnsi="Arial"/>
                <w:sz w:val="14"/>
                <w:szCs w:val="14"/>
                <w:color w:val="auto"/>
              </w:rPr>
              <w:t>December 31,</w:t>
            </w:r>
          </w:p>
        </w:tc>
      </w:tr>
      <w:tr>
        <w:trPr>
          <w:trHeight w:val="208"/>
        </w:trPr>
        <w:tc>
          <w:tcPr>
            <w:tcW w:w="20" w:type="dxa"/>
            <w:vAlign w:val="bottom"/>
          </w:tcPr>
          <w:p>
            <w:pPr>
              <w:spacing w:after="0"/>
              <w:rPr>
                <w:sz w:val="18"/>
                <w:szCs w:val="18"/>
                <w:color w:val="auto"/>
              </w:rPr>
            </w:pPr>
          </w:p>
        </w:tc>
        <w:tc>
          <w:tcPr>
            <w:tcW w:w="6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6680" w:type="dxa"/>
            <w:vAlign w:val="bottom"/>
          </w:tcPr>
          <w:p>
            <w:pPr>
              <w:spacing w:after="0" w:line="164" w:lineRule="exact"/>
              <w:rPr>
                <w:sz w:val="20"/>
                <w:szCs w:val="20"/>
                <w:color w:val="auto"/>
              </w:rPr>
            </w:pPr>
            <w:r>
              <w:rPr>
                <w:rFonts w:ascii="Arial" w:cs="Arial" w:eastAsia="Arial" w:hAnsi="Arial"/>
                <w:sz w:val="16"/>
                <w:szCs w:val="16"/>
                <w:color w:val="auto"/>
              </w:rPr>
              <w:t>Fixed-price contracts and other derivatives - Net Asset (Liability):</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6"/>
                <w:szCs w:val="16"/>
                <w:color w:val="auto"/>
              </w:rPr>
              <w:t>Sempra Generation</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r>
      <w:tr>
        <w:trPr>
          <w:trHeight w:val="194"/>
        </w:trPr>
        <w:tc>
          <w:tcPr>
            <w:tcW w:w="20" w:type="dxa"/>
            <w:vAlign w:val="bottom"/>
          </w:tcPr>
          <w:p>
            <w:pPr>
              <w:spacing w:after="0"/>
              <w:rPr>
                <w:sz w:val="16"/>
                <w:szCs w:val="16"/>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Sempra LNG</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bl>
    <w:p>
      <w:pPr>
        <w:sectPr>
          <w:pgSz w:w="11900" w:h="16857" w:orient="portrait"/>
          <w:cols w:equalWidth="0" w:num="1">
            <w:col w:w="11420"/>
          </w:cols>
          <w:pgMar w:left="240" w:top="122" w:right="239" w:bottom="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ind w:left="36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340"/>
        </w:trPr>
        <w:tc>
          <w:tcPr>
            <w:tcW w:w="6700" w:type="dxa"/>
            <w:vAlign w:val="bottom"/>
          </w:tcPr>
          <w:p>
            <w:pPr>
              <w:spacing w:after="0"/>
              <w:rPr>
                <w:sz w:val="20"/>
                <w:szCs w:val="20"/>
                <w:color w:val="auto"/>
              </w:rPr>
            </w:pPr>
            <w:r>
              <w:rPr>
                <w:rFonts w:ascii="Arial" w:cs="Arial" w:eastAsia="Arial" w:hAnsi="Arial"/>
                <w:sz w:val="16"/>
                <w:szCs w:val="16"/>
                <w:color w:val="auto"/>
              </w:rPr>
              <w:t>Due to unconsolidated affiliates:</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5"/>
        </w:trPr>
        <w:tc>
          <w:tcPr>
            <w:tcW w:w="670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7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670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7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2"/>
        </w:trPr>
        <w:tc>
          <w:tcPr>
            <w:tcW w:w="6700" w:type="dxa"/>
            <w:vAlign w:val="bottom"/>
          </w:tcPr>
          <w:p>
            <w:pPr>
              <w:ind w:left="180"/>
              <w:spacing w:after="0"/>
              <w:rPr>
                <w:sz w:val="20"/>
                <w:szCs w:val="20"/>
                <w:color w:val="auto"/>
              </w:rPr>
            </w:pPr>
            <w:r>
              <w:rPr>
                <w:rFonts w:ascii="Arial" w:cs="Arial" w:eastAsia="Arial" w:hAnsi="Arial"/>
                <w:sz w:val="16"/>
                <w:szCs w:val="16"/>
                <w:color w:val="auto"/>
              </w:rPr>
              <w:t>Sempra Commodities</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83"/>
        </w:trPr>
        <w:tc>
          <w:tcPr>
            <w:tcW w:w="6700" w:type="dxa"/>
            <w:vAlign w:val="bottom"/>
          </w:tcPr>
          <w:p>
            <w:pPr>
              <w:ind w:left="360"/>
              <w:spacing w:after="0" w:line="176" w:lineRule="exact"/>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w:t>
            </w:r>
          </w:p>
        </w:tc>
      </w:tr>
      <w:tr>
        <w:trPr>
          <w:trHeight w:val="340"/>
        </w:trPr>
        <w:tc>
          <w:tcPr>
            <w:tcW w:w="6700" w:type="dxa"/>
            <w:vAlign w:val="bottom"/>
          </w:tcPr>
          <w:p>
            <w:pPr>
              <w:spacing w:after="0"/>
              <w:rPr>
                <w:sz w:val="20"/>
                <w:szCs w:val="20"/>
                <w:color w:val="auto"/>
              </w:rPr>
            </w:pPr>
            <w:r>
              <w:rPr>
                <w:rFonts w:ascii="Arial" w:cs="Arial" w:eastAsia="Arial" w:hAnsi="Arial"/>
                <w:sz w:val="16"/>
                <w:szCs w:val="16"/>
                <w:color w:val="auto"/>
              </w:rPr>
              <w:t>Due from unconsolidated affiliates:</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5"/>
        </w:trPr>
        <w:tc>
          <w:tcPr>
            <w:tcW w:w="6700" w:type="dxa"/>
            <w:vAlign w:val="bottom"/>
          </w:tcPr>
          <w:p>
            <w:pPr>
              <w:ind w:left="180"/>
              <w:spacing w:after="0"/>
              <w:rPr>
                <w:sz w:val="20"/>
                <w:szCs w:val="20"/>
                <w:color w:val="auto"/>
              </w:rPr>
            </w:pPr>
            <w:r>
              <w:rPr>
                <w:rFonts w:ascii="Arial" w:cs="Arial" w:eastAsia="Arial" w:hAnsi="Arial"/>
                <w:sz w:val="16"/>
                <w:szCs w:val="16"/>
                <w:color w:val="auto"/>
              </w:rPr>
              <w:t>SoCalGas</w:t>
            </w:r>
          </w:p>
        </w:tc>
        <w:tc>
          <w:tcPr>
            <w:tcW w:w="7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670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76"/>
        </w:trPr>
        <w:tc>
          <w:tcPr>
            <w:tcW w:w="6700" w:type="dxa"/>
            <w:vAlign w:val="bottom"/>
          </w:tcPr>
          <w:p>
            <w:pPr>
              <w:ind w:left="180"/>
              <w:spacing w:after="0" w:line="176" w:lineRule="exact"/>
              <w:rPr>
                <w:sz w:val="20"/>
                <w:szCs w:val="20"/>
                <w:color w:val="auto"/>
              </w:rPr>
            </w:pPr>
            <w:r>
              <w:rPr>
                <w:rFonts w:ascii="Arial" w:cs="Arial" w:eastAsia="Arial" w:hAnsi="Arial"/>
                <w:sz w:val="16"/>
                <w:szCs w:val="16"/>
                <w:color w:val="auto"/>
              </w:rPr>
              <w:t>Sempra LNG</w:t>
            </w:r>
          </w:p>
        </w:tc>
        <w:tc>
          <w:tcPr>
            <w:tcW w:w="7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r>
      <w:tr>
        <w:trPr>
          <w:trHeight w:val="194"/>
        </w:trPr>
        <w:tc>
          <w:tcPr>
            <w:tcW w:w="6700" w:type="dxa"/>
            <w:vAlign w:val="bottom"/>
          </w:tcPr>
          <w:p>
            <w:pPr>
              <w:ind w:left="180"/>
              <w:spacing w:after="0"/>
              <w:rPr>
                <w:sz w:val="20"/>
                <w:szCs w:val="20"/>
                <w:color w:val="auto"/>
              </w:rPr>
            </w:pPr>
            <w:r>
              <w:rPr>
                <w:rFonts w:ascii="Arial" w:cs="Arial" w:eastAsia="Arial" w:hAnsi="Arial"/>
                <w:sz w:val="16"/>
                <w:szCs w:val="16"/>
                <w:color w:val="auto"/>
              </w:rPr>
              <w:t>Parent and other</w:t>
            </w: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3"/>
        </w:trPr>
        <w:tc>
          <w:tcPr>
            <w:tcW w:w="670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34</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NET ASSETS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we discuss below, the Sempra Utilities have restrictions on the amount of funds that can be transferred to Sempra Energy by dividend, advance or loan as a result of conditions imposed by various regulators. Additionally, certain other Sempra Energy subsidiaries are subject to various financial and other covenants and other restrictions contained in debt and credit agreements described in Note 5 and in other agreements that limit the amount of funds that can be transferred to Sempra Energy. At December 31, 2011, Sempra Energy was in compliance with all covenants related to its debt agreements.</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December 31, 2011, the amount of restricted net assets of wholly owned subsidiaries of Sempra Energy, including the Sempra Utilities discussed below, that may not be distributed to Sempra Energy in the form of a loan or dividend is $4.8 billion. Although the restrictions cap the amount of funding that the various operating subsidiaries can provide to Sempra Energy, we do not believe these restrictions will have a significant impact on our ability to access cash to pay dividends.</w:t>
      </w:r>
    </w:p>
    <w:p>
      <w:pPr>
        <w:spacing w:after="0" w:line="1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we discuss in Note 4, $78 million of Sempra Energy’s consolidated retained earnings balance represents undistributed earnings of equity method investments at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restrictions of subsidiaries include</w:t>
      </w:r>
    </w:p>
    <w:p>
      <w:pPr>
        <w:spacing w:after="0" w:line="225" w:lineRule="exact"/>
        <w:rPr>
          <w:sz w:val="20"/>
          <w:szCs w:val="20"/>
          <w:color w:val="auto"/>
        </w:rPr>
      </w:pPr>
    </w:p>
    <w:p>
      <w:pPr>
        <w:ind w:left="340" w:right="20" w:hanging="188"/>
        <w:spacing w:after="0" w:line="308" w:lineRule="auto"/>
        <w:tabs>
          <w:tab w:leader="none" w:pos="3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Wholly owned Mobile Gas has long-term debt instruments containing restrictions relating to the payment of dividends and other distributions with respect to capital stock. Under these restrictions, net assets of approximately $116 million are restricted at December 31, 2011.</w:t>
      </w:r>
    </w:p>
    <w:p>
      <w:pPr>
        <w:spacing w:after="0" w:line="173" w:lineRule="exact"/>
        <w:rPr>
          <w:rFonts w:ascii="Arial" w:cs="Arial" w:eastAsia="Arial" w:hAnsi="Arial"/>
          <w:sz w:val="17"/>
          <w:szCs w:val="17"/>
          <w:color w:val="auto"/>
        </w:rPr>
      </w:pPr>
    </w:p>
    <w:p>
      <w:pPr>
        <w:ind w:left="340" w:hanging="188"/>
        <w:spacing w:after="0" w:line="308" w:lineRule="auto"/>
        <w:tabs>
          <w:tab w:leader="none" w:pos="3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91-percent owned Bay Gas has long-term debt instruments containing restrictions relating to the payment of dividends and other distributions if Bay Gas does not maintain a specified debt service coverage ratio. Bay Gas had no restricted net assets at December 31, 2011.</w:t>
      </w:r>
    </w:p>
    <w:p>
      <w:pPr>
        <w:spacing w:after="0" w:line="173" w:lineRule="exact"/>
        <w:rPr>
          <w:rFonts w:ascii="Arial" w:cs="Arial" w:eastAsia="Arial" w:hAnsi="Arial"/>
          <w:sz w:val="17"/>
          <w:szCs w:val="17"/>
          <w:color w:val="auto"/>
        </w:rPr>
      </w:pPr>
    </w:p>
    <w:p>
      <w:pPr>
        <w:jc w:val="both"/>
        <w:ind w:left="340" w:hanging="188"/>
        <w:spacing w:after="0" w:line="279" w:lineRule="auto"/>
        <w:tabs>
          <w:tab w:leader="none" w:pos="3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50-percent owned Fowler Ridge 2 Wind Farm (Fowler Ridge 2) and Cedar Creek 2 Wind Farm (Cedar Creek 2) have debt agreements which require each joint venture to maintain reserve accounts in order to pay the projects’ debt service and operation and maintenance requirements. As a result of these requirements, total joint venture net assets of approximately $23 million at Fowler Ridge 2 and $18 million at Cedar Creek 2, respectively, are restricted at December 31, 2011. We discuss Sempra Energy guarantees associated with these requirements in Note 5.</w:t>
      </w:r>
    </w:p>
    <w:p>
      <w:pPr>
        <w:spacing w:after="0" w:line="198" w:lineRule="exact"/>
        <w:rPr>
          <w:rFonts w:ascii="Arial" w:cs="Arial" w:eastAsia="Arial" w:hAnsi="Arial"/>
          <w:sz w:val="17"/>
          <w:szCs w:val="17"/>
          <w:color w:val="auto"/>
        </w:rPr>
      </w:pPr>
    </w:p>
    <w:p>
      <w:pPr>
        <w:ind w:left="340" w:hanging="188"/>
        <w:spacing w:after="0" w:line="308" w:lineRule="auto"/>
        <w:tabs>
          <w:tab w:leader="none" w:pos="3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Peru and Mexico require domestic corporations to maintain minimum reserves for future litigation expense as a percentage of capital stock, resulting in restricted net assets of $35 million at Luz del Sur and $22 million at Sempra Energy’s Mexican subsidiaries as of December 31, 2011.</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CPUC’s regulation of the Sempra Utilities’ capital structures limits the amounts that are available for dividends and loans to Sempra Energy. At December 31, 2011, Sempra Energy could have received combined loans and dividends of approximately $969 million from SoCalGas and approximately $400 million from SDG&amp;E.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payment and amount of future dividends for SDG&amp;E and SoCalGas are within the discretion of their board of directors. The following restrictions limit the amount of retained earnings that may be dividended or loaned to Sempra Energy from either utility:</w:t>
      </w:r>
    </w:p>
    <w:p>
      <w:pPr>
        <w:spacing w:after="0" w:line="170" w:lineRule="exact"/>
        <w:rPr>
          <w:sz w:val="20"/>
          <w:szCs w:val="20"/>
          <w:color w:val="auto"/>
        </w:rPr>
      </w:pPr>
    </w:p>
    <w:p>
      <w:pPr>
        <w:ind w:left="340" w:right="20" w:hanging="188"/>
        <w:spacing w:after="0" w:line="277" w:lineRule="auto"/>
        <w:tabs>
          <w:tab w:leader="none" w:pos="3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CPUC requires that SDG&amp;E’s and SoCalGas’ common equity ratios be no lower than one percentage point below the CPUC authorized percentage of each entity’s authorized capital structure, which is currently:</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49 percent at SDG&amp;E</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48 percent at 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FERC requires SDG&amp;E to maintain a common equity ratio of 30 percent or above</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Sempra Utilities have a combined revolving credit line that requires each utility to maintain a ratio of consolidated indebtedness to consolidated capitalization (as defined in the agreement) of no more than 65 percent, as we discuss in Note 5</w:t>
      </w:r>
    </w:p>
    <w:p>
      <w:pPr>
        <w:spacing w:after="0" w:line="19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Based upon these restrictions, $3.3 billion of SDG&amp;E’s and $1.2 billion of SoCalGas’ net assets are restricted as of December 31, 2011 and may not be transferred to Sempra Energy.</w:t>
      </w:r>
    </w:p>
    <w:p>
      <w:pPr>
        <w:sectPr>
          <w:pgSz w:w="11900" w:h="16838" w:orient="portrait"/>
          <w:cols w:equalWidth="0" w:num="1">
            <w:col w:w="11420"/>
          </w:cols>
          <w:pgMar w:left="240" w:top="128" w:right="239" w:bottom="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ectPr>
          <w:pgSz w:w="11900" w:h="16838" w:orient="portrait"/>
          <w:cols w:equalWidth="0" w:num="1">
            <w:col w:w="11420"/>
          </w:cols>
          <w:pgMar w:left="240" w:top="128" w:right="239" w:bottom="0" w:gutter="0" w:footer="0" w:header="0"/>
          <w:type w:val="continuous"/>
        </w:sectPr>
      </w:pPr>
    </w:p>
    <w:bookmarkStart w:id="214" w:name="page215"/>
    <w:bookmarkEnd w:id="214"/>
    <w:p>
      <w:pPr>
        <w:spacing w:after="0"/>
        <w:rPr>
          <w:sz w:val="20"/>
          <w:szCs w:val="20"/>
          <w:color w:val="auto"/>
        </w:rPr>
      </w:pPr>
      <w:r>
        <w:rPr>
          <w:rFonts w:ascii="Arial" w:cs="Arial" w:eastAsia="Arial" w:hAnsi="Arial"/>
          <w:sz w:val="18"/>
          <w:szCs w:val="18"/>
          <w:color w:val="auto"/>
        </w:rPr>
        <w:t>Other Income, Net on the Consolidated Statements of Operations consists of the following: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39"/>
              <w:spacing w:after="0" w:line="159" w:lineRule="exact"/>
              <w:rPr>
                <w:sz w:val="20"/>
                <w:szCs w:val="20"/>
                <w:color w:val="auto"/>
              </w:rPr>
            </w:pPr>
            <w:r>
              <w:rPr>
                <w:rFonts w:ascii="Arial" w:cs="Arial" w:eastAsia="Arial" w:hAnsi="Arial"/>
                <w:sz w:val="14"/>
                <w:szCs w:val="14"/>
                <w:color w:val="auto"/>
              </w:rPr>
              <w:t>Years ended December 31,</w:t>
            </w:r>
          </w:p>
        </w:tc>
        <w:tc>
          <w:tcPr>
            <w:tcW w:w="11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9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96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57</w:t>
            </w:r>
          </w:p>
        </w:tc>
        <w:tc>
          <w:tcPr>
            <w:tcW w:w="380" w:type="dxa"/>
            <w:vAlign w:val="bottom"/>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39</w:t>
            </w: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Investment gains(1)</w:t>
            </w:r>
          </w:p>
        </w:tc>
        <w:tc>
          <w:tcPr>
            <w:tcW w:w="10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c>
          <w:tcPr>
            <w:tcW w:w="38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(Losses) gains on interest rate and foreign exchange instruments(2)</w:t>
            </w:r>
          </w:p>
        </w:tc>
        <w:tc>
          <w:tcPr>
            <w:tcW w:w="10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38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income, net(3)</w:t>
            </w:r>
          </w:p>
        </w:tc>
        <w:tc>
          <w:tcPr>
            <w:tcW w:w="10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94"/>
        </w:trPr>
        <w:tc>
          <w:tcPr>
            <w:tcW w:w="6980" w:type="dxa"/>
            <w:vAlign w:val="bottom"/>
            <w:gridSpan w:val="2"/>
          </w:tcPr>
          <w:p>
            <w:pPr>
              <w:spacing w:after="0"/>
              <w:rPr>
                <w:sz w:val="20"/>
                <w:szCs w:val="20"/>
                <w:color w:val="auto"/>
              </w:rPr>
            </w:pPr>
            <w:r>
              <w:rPr>
                <w:rFonts w:ascii="Arial" w:cs="Arial" w:eastAsia="Arial" w:hAnsi="Arial"/>
                <w:sz w:val="16"/>
                <w:szCs w:val="16"/>
                <w:color w:val="auto"/>
              </w:rPr>
              <w:t>Sundry, net(4)</w:t>
            </w: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183"/>
        </w:trPr>
        <w:tc>
          <w:tcPr>
            <w:tcW w:w="20" w:type="dxa"/>
            <w:vAlign w:val="bottom"/>
          </w:tcPr>
          <w:p>
            <w:pPr>
              <w:spacing w:after="0"/>
              <w:rPr>
                <w:sz w:val="15"/>
                <w:szCs w:val="15"/>
                <w:color w:val="auto"/>
              </w:rPr>
            </w:pPr>
          </w:p>
        </w:tc>
        <w:tc>
          <w:tcPr>
            <w:tcW w:w="6960" w:type="dxa"/>
            <w:vAlign w:val="bottom"/>
            <w:tcBorders>
              <w:bottom w:val="single" w:sz="8" w:color="auto"/>
            </w:tcBorders>
          </w:tcPr>
          <w:p>
            <w:pPr>
              <w:ind w:left="560"/>
              <w:spacing w:after="0" w:line="176" w:lineRule="exact"/>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130</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140</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149</w:t>
            </w:r>
          </w:p>
        </w:tc>
      </w:tr>
      <w:tr>
        <w:trPr>
          <w:trHeight w:val="164"/>
        </w:trPr>
        <w:tc>
          <w:tcPr>
            <w:tcW w:w="20" w:type="dxa"/>
            <w:vAlign w:val="bottom"/>
          </w:tcPr>
          <w:p>
            <w:pPr>
              <w:spacing w:after="0"/>
              <w:rPr>
                <w:sz w:val="14"/>
                <w:szCs w:val="14"/>
                <w:color w:val="auto"/>
              </w:rPr>
            </w:pPr>
          </w:p>
        </w:tc>
        <w:tc>
          <w:tcPr>
            <w:tcW w:w="696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80</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380" w:type="dxa"/>
            <w:vAlign w:val="bottom"/>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income, net(3)</w:t>
            </w:r>
          </w:p>
        </w:tc>
        <w:tc>
          <w:tcPr>
            <w:tcW w:w="10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(Losses) gains on interest rate instruments(5)</w:t>
            </w:r>
          </w:p>
        </w:tc>
        <w:tc>
          <w:tcPr>
            <w:tcW w:w="10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38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r>
      <w:tr>
        <w:trPr>
          <w:trHeight w:val="194"/>
        </w:trPr>
        <w:tc>
          <w:tcPr>
            <w:tcW w:w="698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20" w:type="dxa"/>
            <w:vAlign w:val="bottom"/>
          </w:tcPr>
          <w:p>
            <w:pPr>
              <w:spacing w:after="0"/>
              <w:rPr>
                <w:sz w:val="15"/>
                <w:szCs w:val="15"/>
                <w:color w:val="auto"/>
              </w:rPr>
            </w:pPr>
          </w:p>
        </w:tc>
        <w:tc>
          <w:tcPr>
            <w:tcW w:w="6960" w:type="dxa"/>
            <w:vAlign w:val="bottom"/>
            <w:tcBorders>
              <w:bottom w:val="single" w:sz="8" w:color="auto"/>
            </w:tcBorders>
          </w:tcPr>
          <w:p>
            <w:pPr>
              <w:ind w:left="560"/>
              <w:spacing w:after="0" w:line="176" w:lineRule="exact"/>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64</w:t>
            </w:r>
          </w:p>
        </w:tc>
      </w:tr>
      <w:tr>
        <w:trPr>
          <w:trHeight w:val="164"/>
        </w:trPr>
        <w:tc>
          <w:tcPr>
            <w:tcW w:w="20" w:type="dxa"/>
            <w:vAlign w:val="bottom"/>
          </w:tcPr>
          <w:p>
            <w:pPr>
              <w:spacing w:after="0"/>
              <w:rPr>
                <w:sz w:val="14"/>
                <w:szCs w:val="14"/>
                <w:color w:val="auto"/>
              </w:rPr>
            </w:pPr>
          </w:p>
        </w:tc>
        <w:tc>
          <w:tcPr>
            <w:tcW w:w="696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380" w:type="dxa"/>
            <w:vAlign w:val="bottom"/>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698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income (expense), net(3)</w:t>
            </w:r>
          </w:p>
        </w:tc>
        <w:tc>
          <w:tcPr>
            <w:tcW w:w="10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698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95"/>
        </w:trPr>
        <w:tc>
          <w:tcPr>
            <w:tcW w:w="20" w:type="dxa"/>
            <w:vAlign w:val="bottom"/>
          </w:tcPr>
          <w:p>
            <w:pPr>
              <w:spacing w:after="0"/>
              <w:rPr>
                <w:sz w:val="16"/>
                <w:szCs w:val="16"/>
                <w:color w:val="auto"/>
              </w:rPr>
            </w:pPr>
          </w:p>
        </w:tc>
        <w:tc>
          <w:tcPr>
            <w:tcW w:w="6960" w:type="dxa"/>
            <w:vAlign w:val="bottom"/>
          </w:tcPr>
          <w:p>
            <w:pPr>
              <w:ind w:left="560"/>
              <w:spacing w:after="0"/>
              <w:rPr>
                <w:sz w:val="20"/>
                <w:szCs w:val="20"/>
                <w:color w:val="auto"/>
              </w:rPr>
            </w:pPr>
            <w:r>
              <w:rPr>
                <w:rFonts w:ascii="Arial" w:cs="Arial" w:eastAsia="Arial" w:hAnsi="Arial"/>
                <w:sz w:val="16"/>
                <w:szCs w:val="16"/>
                <w:color w:val="auto"/>
              </w:rPr>
              <w:t>Total</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right="620" w:hanging="370"/>
        <w:spacing w:after="0" w:line="251" w:lineRule="auto"/>
        <w:tabs>
          <w:tab w:leader="none" w:pos="580" w:val="left"/>
        </w:tabs>
        <w:numPr>
          <w:ilvl w:val="0"/>
          <w:numId w:val="3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580" w:hanging="370"/>
        <w:spacing w:after="0"/>
        <w:tabs>
          <w:tab w:leader="none" w:pos="580" w:val="left"/>
        </w:tabs>
        <w:numPr>
          <w:ilvl w:val="0"/>
          <w:numId w:val="310"/>
        </w:numPr>
        <w:rPr>
          <w:rFonts w:ascii="Arial" w:cs="Arial" w:eastAsia="Arial" w:hAnsi="Arial"/>
          <w:sz w:val="14"/>
          <w:szCs w:val="14"/>
          <w:i w:val="1"/>
          <w:iCs w:val="1"/>
          <w:color w:val="auto"/>
        </w:rPr>
      </w:pPr>
      <w:r>
        <w:rPr>
          <w:rFonts w:ascii="Arial" w:cs="Arial" w:eastAsia="Arial" w:hAnsi="Arial"/>
          <w:sz w:val="14"/>
          <w:szCs w:val="14"/>
          <w:i w:val="1"/>
          <w:iCs w:val="1"/>
          <w:color w:val="auto"/>
        </w:rPr>
        <w:t>Sempra Energy Consolidated includes Otay Mesa VIE and additional instruments.</w:t>
      </w:r>
    </w:p>
    <w:p>
      <w:pPr>
        <w:spacing w:after="0" w:line="1" w:lineRule="exact"/>
        <w:rPr>
          <w:rFonts w:ascii="Arial" w:cs="Arial" w:eastAsia="Arial" w:hAnsi="Arial"/>
          <w:sz w:val="14"/>
          <w:szCs w:val="14"/>
          <w:i w:val="1"/>
          <w:iCs w:val="1"/>
          <w:color w:val="auto"/>
        </w:rPr>
      </w:pPr>
    </w:p>
    <w:p>
      <w:pPr>
        <w:ind w:left="580" w:hanging="370"/>
        <w:spacing w:after="0"/>
        <w:tabs>
          <w:tab w:leader="none" w:pos="580" w:val="left"/>
        </w:tabs>
        <w:numPr>
          <w:ilvl w:val="0"/>
          <w:numId w:val="310"/>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1" w:lineRule="exact"/>
        <w:rPr>
          <w:rFonts w:ascii="Arial" w:cs="Arial" w:eastAsia="Arial" w:hAnsi="Arial"/>
          <w:sz w:val="14"/>
          <w:szCs w:val="14"/>
          <w:i w:val="1"/>
          <w:iCs w:val="1"/>
          <w:color w:val="auto"/>
        </w:rPr>
      </w:pPr>
    </w:p>
    <w:p>
      <w:pPr>
        <w:ind w:left="580" w:hanging="370"/>
        <w:spacing w:after="0"/>
        <w:tabs>
          <w:tab w:leader="none" w:pos="580" w:val="left"/>
        </w:tabs>
        <w:numPr>
          <w:ilvl w:val="0"/>
          <w:numId w:val="310"/>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2010 includes proceeds of $48 million from a legal settlement.</w:t>
      </w:r>
    </w:p>
    <w:p>
      <w:pPr>
        <w:spacing w:after="0" w:line="1" w:lineRule="exact"/>
        <w:rPr>
          <w:rFonts w:ascii="Arial" w:cs="Arial" w:eastAsia="Arial" w:hAnsi="Arial"/>
          <w:sz w:val="14"/>
          <w:szCs w:val="14"/>
          <w:i w:val="1"/>
          <w:iCs w:val="1"/>
          <w:color w:val="auto"/>
        </w:rPr>
      </w:pPr>
    </w:p>
    <w:p>
      <w:pPr>
        <w:ind w:left="580" w:hanging="370"/>
        <w:spacing w:after="0"/>
        <w:tabs>
          <w:tab w:leader="none" w:pos="580" w:val="left"/>
        </w:tabs>
        <w:numPr>
          <w:ilvl w:val="0"/>
          <w:numId w:val="310"/>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637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19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Accounting Standards Update (ASU) 2011-04, “Amendments to Achieve Common Fair Value Measurement and Disclosure Requirements in U.S. GAAP and International Financial Reporting Standards (IFRSs)” (ASU 2011-04): </w:t>
      </w:r>
      <w:r>
        <w:rPr>
          <w:rFonts w:ascii="Arial" w:cs="Arial" w:eastAsia="Arial" w:hAnsi="Arial"/>
          <w:sz w:val="18"/>
          <w:szCs w:val="18"/>
          <w:color w:val="auto"/>
        </w:rPr>
        <w:t>ASU 2011-04 amends Accounting Standards Codification (ASC) Topic 820,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and provides changes in the wording used to describe the requirements for measuring fair value and disclosing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fair value measurement. ASU 2011-04 results in common fair value measurement and disclosure requirements under both GAAP and IFRSs.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ASU 2011-04 expands fair value measurement disclosures for Level 3 instruments to require</w:t>
      </w:r>
    </w:p>
    <w:p>
      <w:pPr>
        <w:spacing w:after="0" w:line="225" w:lineRule="exact"/>
        <w:rPr>
          <w:sz w:val="20"/>
          <w:szCs w:val="20"/>
          <w:color w:val="auto"/>
        </w:rPr>
      </w:pPr>
    </w:p>
    <w:p>
      <w:pPr>
        <w:ind w:left="340" w:hanging="188"/>
        <w:spacing w:after="0"/>
        <w:tabs>
          <w:tab w:leader="none" w:pos="3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quantitative information about the unobservable inputs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description of the valuation process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qualitative discussion about the sensitivity of the measurements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will adopt ASU 2011-04 on January 1, 2012 as required and do not expect it to affect our financial position, results of operations or cash flows. We will provide the additional disclosure in our 2012 interim financial statements.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ASU 2011-05, “Presentation of Comprehensive Income” (ASU 2011-05) and ASU 2011-12, “Deferral of the Effective Date for Amendments to the Presentation of Reclassifications of Items Out of Accumulated Other Comprehensive Income in Accounting Standards Update No. 2011-05” (ASU 2011-12): </w:t>
      </w:r>
      <w:r>
        <w:rPr>
          <w:rFonts w:ascii="Arial" w:cs="Arial" w:eastAsia="Arial" w:hAnsi="Arial"/>
          <w:sz w:val="16"/>
          <w:szCs w:val="16"/>
          <w:color w:val="auto"/>
        </w:rPr>
        <w:t>ASU 2011-05 amends ASC Topic 220,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eliminates the option to report other comprehensive income and its components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statement of changes in equity. The ASU allows an entity an option to present the components of net income and other comprehensive income in one continuous statement, referred to as the statement of comprehensive income, or in two separate, but consecutive, statements.</w:t>
      </w:r>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ASU 2011-05 does not change the items that must be reported in other comprehensive income, when an item of other comprehensive income must be reclassified to net income, or the earnings per share computation.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ASU 2011-12 defers the requirement to separately present on the face of the financial statements reclassification adjustments for items that are reclassified from other comprehensive income to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adopt ASU 2011-05 and ASU 2011-12 on January 1, 2012 and present our 2012 interim financial statements as required.</w:t>
      </w:r>
    </w:p>
    <w:p>
      <w:pPr>
        <w:spacing w:after="0" w:line="22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b w:val="1"/>
          <w:bCs w:val="1"/>
          <w:i w:val="1"/>
          <w:iCs w:val="1"/>
          <w:color w:val="auto"/>
        </w:rPr>
        <w:t xml:space="preserve">ASU 2011-08, “Testing Goodwill for Impairment” (ASU 2011-08): </w:t>
      </w:r>
      <w:r>
        <w:rPr>
          <w:rFonts w:ascii="Arial" w:cs="Arial" w:eastAsia="Arial" w:hAnsi="Arial"/>
          <w:sz w:val="17"/>
          <w:szCs w:val="17"/>
          <w:color w:val="auto"/>
        </w:rPr>
        <w:t>ASU 2011-08 amends ASC Topic 350,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Intangibles—Goodwill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provide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to first make a qualitative assessment of whether it is more likely than not that the fair value of a reporting unit is less than its carrying amount before applying the two-step, quantitative goodwill impairment test. An entity is required to perform the two-step, quantitative impairment test only if it determines that it is more likely than not that the fair value of a reporting unit is less than its carrying amount.</w:t>
      </w:r>
    </w:p>
    <w:p>
      <w:pPr>
        <w:sectPr>
          <w:pgSz w:w="11900" w:h="16838" w:orient="portrait"/>
          <w:cols w:equalWidth="0" w:num="1">
            <w:col w:w="11420"/>
          </w:cols>
          <w:pgMar w:left="240" w:top="341" w:right="239" w:bottom="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We adopted ASU 2011-08 for our annual goodwill impairment testing as of October 1, 2011. It did not significantly affect our testing of goodwill.</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ASU 2011-11, “Disclosures about Offsetting Assets and Liabilities” (ASU 2011-11): </w:t>
      </w:r>
      <w:r>
        <w:rPr>
          <w:rFonts w:ascii="Arial" w:cs="Arial" w:eastAsia="Arial" w:hAnsi="Arial"/>
          <w:sz w:val="18"/>
          <w:szCs w:val="18"/>
          <w:color w:val="auto"/>
        </w:rPr>
        <w:t>In order to allow for balance sheet comparison between GAAP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IFRSs, ASU 2011-11 requires enhanced disclosures related to financial assets and liabilities eligible for offsetting in the statement of financial position. An entity will have to disclose both gross and net information about financial instruments and transactions subject to a master netting arrangement and eligible for offset, including cash collateral received and posted.</w:t>
      </w:r>
    </w:p>
    <w:p>
      <w:pPr>
        <w:spacing w:after="0" w:line="18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We will adopt ASU 2011-11 on January 1, 2013 as required and do not expect it to affect our financial position, results of operations or cash flows. We will provide the additional disclosure in our 2013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3. ACQUISITION AND INVESTMENT ACTIVITY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GENERATION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provide information about investment activity at Sempra Generation in Note 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PIPELINES &amp; STORAGE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Chilquinta Energía and Luz del Sur</w:t>
      </w:r>
    </w:p>
    <w:p>
      <w:pPr>
        <w:spacing w:after="0" w:line="2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April 6, 2011, Sempra Pipelines &amp; Storage acquired from AEI its interests in Chilquinta Energía in Chile and Luz del Sur in Peru, and their subsidiaries. Prior to the acquisition, Sempra Pipelines &amp; Storage and AEI each owned 50 percent of Chilquinta Energía and approximately 38 percent of Luz del</w:t>
      </w:r>
    </w:p>
    <w:p>
      <w:pPr>
        <w:ind w:right="60"/>
        <w:spacing w:after="0" w:line="271" w:lineRule="auto"/>
        <w:rPr>
          <w:sz w:val="20"/>
          <w:szCs w:val="20"/>
          <w:color w:val="auto"/>
        </w:rPr>
      </w:pPr>
      <w:r>
        <w:rPr>
          <w:rFonts w:ascii="Arial" w:cs="Arial" w:eastAsia="Arial" w:hAnsi="Arial"/>
          <w:sz w:val="17"/>
          <w:szCs w:val="17"/>
          <w:color w:val="auto"/>
        </w:rPr>
        <w:t>Sur. Upon completion of the acquisition, Sempra Pipelines &amp; Storage owned 100 percent of Chilquinta Energía and approximately 76 percent of Luz del Sur, with the remaining shares of Luz del Sur held by institutional investors and the general public. As part of the transaction, Sempra Pipelines &amp; Storage also acquired AEI’s interests in two energy-services companies, Tecnored S.A. and Tecsur S.A. The adjusted purchase price of $888 million resulted from valuing the net assets in Chile, Peru and other holding companies at $495 million, $385 million and $8 million, respectively. We paid $611 million in cash ($888 million less $245 million of cash acquired and $32 million of consideration withheld for a liability related to the purchase).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our acquisition of AEI’s interest in Luz del Sur, we were required to launch a tender offer to the minority shareholders of Luz del Sur to purchase their shares (up to a maximum 14.73 percent interest in Luz del Sur). On August 8, 2011, we initiated a public tender offer for up to 14.73 percent of Luz del Sur’s stock that began on August 9, 2011 and concluded on September 6, 2011 at a price of $2.29 per share. The per share value, computed according to procedures established by the local securities regulatory agency, was based on an independent appraiser’s valuation of $2.22 per share as of April 6, 2011, the date of acquisition, adjusted by an interest rate factor to the value as of August 1, 2011. The interest rate factor is published daily by the Central Bank of Peru. On September 13, 2011, we purchased 18,918,954 additional Luz del Sur shares for $43 million in settlement of the mandatory public tender offer, bringing Sempra Pipelines &amp; Storage’s ownership to 79.82 percent. This equity transaction is presented as Purchase of Noncontrolling Interests on our Consolidated Statement of Cash Flows.</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expect the acquisition to be accretive to our earnings per share in 2012 and beyond, based on historically strong operating performance of the companies and assuming the continuation of sound regulatory environments within stable, growing countries. We provide additional information about Sempra Pipelines &amp; Storage’s investments in Chilquinta Energía and Luz del Sur in Note 4.</w:t>
      </w:r>
    </w:p>
    <w:p>
      <w:pPr>
        <w:spacing w:after="0" w:line="18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allocated the purchase price on a preliminary basis in the second quarter of 2011. In the third and fourth quarters of 2011, we adjusted the preliminary allocation for additional assets and liabilities identified, including an $11 million premium related to long-term debt at Chilquinta Energía. The retrospective application of these adjustments to prior quarters was de minimus. During the measurement period, up to one year from the acquisition date, we may obtain additional information that allows us to more accurately allocate the purchase price. We will make appropriate adjustments to the purchase price allocation during the measurement period as required. At this time, we do not expect material changes to the value of the assets acquired or liabilities assumed in conjunction with this transaction as presented below. The following table summarizes the consideration paid in the acquisition and the recognized amounts of the assets acquired and liabilities assumed, as well as the fair value at the acquisition date of the noncontrolling interests: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color w:val="auto"/>
              </w:rPr>
              <w:t>At April 6, 2011</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218"/>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40"/>
              <w:spacing w:after="0"/>
              <w:rPr>
                <w:sz w:val="20"/>
                <w:szCs w:val="20"/>
                <w:color w:val="auto"/>
              </w:rPr>
            </w:pPr>
            <w:r>
              <w:rPr>
                <w:rFonts w:ascii="Arial" w:cs="Arial" w:eastAsia="Arial" w:hAnsi="Arial"/>
                <w:sz w:val="14"/>
                <w:szCs w:val="14"/>
                <w:color w:val="auto"/>
              </w:rPr>
              <w:t>Chilean</w:t>
            </w:r>
          </w:p>
        </w:tc>
        <w:tc>
          <w:tcPr>
            <w:tcW w:w="240" w:type="dxa"/>
            <w:vAlign w:val="bottom"/>
          </w:tcPr>
          <w:p>
            <w:pPr>
              <w:spacing w:after="0"/>
              <w:rPr>
                <w:sz w:val="17"/>
                <w:szCs w:val="17"/>
                <w:color w:val="auto"/>
              </w:rPr>
            </w:pPr>
          </w:p>
        </w:tc>
        <w:tc>
          <w:tcPr>
            <w:tcW w:w="920" w:type="dxa"/>
            <w:vAlign w:val="bottom"/>
          </w:tcPr>
          <w:p>
            <w:pPr>
              <w:jc w:val="right"/>
              <w:ind w:right="100"/>
              <w:spacing w:after="0"/>
              <w:rPr>
                <w:sz w:val="20"/>
                <w:szCs w:val="20"/>
                <w:color w:val="auto"/>
              </w:rPr>
            </w:pPr>
            <w:r>
              <w:rPr>
                <w:rFonts w:ascii="Arial" w:cs="Arial" w:eastAsia="Arial" w:hAnsi="Arial"/>
                <w:sz w:val="14"/>
                <w:szCs w:val="14"/>
                <w:color w:val="auto"/>
              </w:rPr>
              <w:t>Peruvian</w:t>
            </w: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holding</w:t>
            </w:r>
          </w:p>
        </w:tc>
        <w:tc>
          <w:tcPr>
            <w:tcW w:w="300" w:type="dxa"/>
            <w:vAlign w:val="bottom"/>
          </w:tcPr>
          <w:p>
            <w:pPr>
              <w:spacing w:after="0"/>
              <w:rPr>
                <w:sz w:val="17"/>
                <w:szCs w:val="17"/>
                <w:color w:val="auto"/>
              </w:rPr>
            </w:pPr>
          </w:p>
        </w:tc>
        <w:tc>
          <w:tcPr>
            <w:tcW w:w="1160" w:type="dxa"/>
            <w:vAlign w:val="bottom"/>
          </w:tcPr>
          <w:p>
            <w:pPr>
              <w:jc w:val="right"/>
              <w:ind w:right="160"/>
              <w:spacing w:after="0"/>
              <w:rPr>
                <w:sz w:val="20"/>
                <w:szCs w:val="20"/>
                <w:color w:val="auto"/>
              </w:rPr>
            </w:pPr>
            <w:r>
              <w:rPr>
                <w:rFonts w:ascii="Arial" w:cs="Arial" w:eastAsia="Arial" w:hAnsi="Arial"/>
                <w:sz w:val="14"/>
                <w:szCs w:val="14"/>
                <w:color w:val="auto"/>
              </w:rPr>
              <w:t>Preliminary</w:t>
            </w:r>
          </w:p>
        </w:tc>
        <w:tc>
          <w:tcPr>
            <w:tcW w:w="240" w:type="dxa"/>
            <w:vAlign w:val="bottom"/>
          </w:tcPr>
          <w:p>
            <w:pPr>
              <w:spacing w:after="0"/>
              <w:rPr>
                <w:sz w:val="17"/>
                <w:szCs w:val="17"/>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color w:val="auto"/>
              </w:rPr>
              <w:t>Adjust-</w:t>
            </w:r>
          </w:p>
        </w:tc>
        <w:tc>
          <w:tcPr>
            <w:tcW w:w="1040" w:type="dxa"/>
            <w:vAlign w:val="bottom"/>
          </w:tcPr>
          <w:p>
            <w:pPr>
              <w:jc w:val="right"/>
              <w:ind w:right="180"/>
              <w:spacing w:after="0"/>
              <w:rPr>
                <w:sz w:val="20"/>
                <w:szCs w:val="20"/>
                <w:color w:val="auto"/>
              </w:rPr>
            </w:pPr>
            <w:r>
              <w:rPr>
                <w:rFonts w:ascii="Arial" w:cs="Arial" w:eastAsia="Arial" w:hAnsi="Arial"/>
                <w:sz w:val="14"/>
                <w:szCs w:val="14"/>
                <w:color w:val="auto"/>
              </w:rPr>
              <w:t>Adjusted</w:t>
            </w:r>
          </w:p>
        </w:tc>
      </w:tr>
      <w:tr>
        <w:trPr>
          <w:trHeight w:val="195"/>
        </w:trPr>
        <w:tc>
          <w:tcPr>
            <w:tcW w:w="4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entities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entities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companies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Allocation</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ments</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Allocation</w:t>
            </w:r>
          </w:p>
        </w:tc>
      </w:tr>
      <w:tr>
        <w:trPr>
          <w:trHeight w:val="210"/>
        </w:trPr>
        <w:tc>
          <w:tcPr>
            <w:tcW w:w="4040" w:type="dxa"/>
            <w:vAlign w:val="bottom"/>
          </w:tcPr>
          <w:p>
            <w:pPr>
              <w:spacing w:after="0"/>
              <w:rPr>
                <w:sz w:val="20"/>
                <w:szCs w:val="20"/>
                <w:color w:val="auto"/>
              </w:rPr>
            </w:pPr>
            <w:r>
              <w:rPr>
                <w:rFonts w:ascii="Arial" w:cs="Arial" w:eastAsia="Arial" w:hAnsi="Arial"/>
                <w:sz w:val="16"/>
                <w:szCs w:val="16"/>
                <w:color w:val="auto"/>
              </w:rPr>
              <w:t>Fair value of businesses acquired: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6"/>
                <w:szCs w:val="16"/>
                <w:color w:val="auto"/>
              </w:rPr>
              <w:t>Cash consideration (fair value of total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40" w:type="dxa"/>
            <w:vAlign w:val="bottom"/>
          </w:tcPr>
          <w:p>
            <w:pPr>
              <w:ind w:left="440"/>
              <w:spacing w:after="0"/>
              <w:rPr>
                <w:sz w:val="20"/>
                <w:szCs w:val="20"/>
                <w:color w:val="auto"/>
              </w:rPr>
            </w:pPr>
            <w:r>
              <w:rPr>
                <w:rFonts w:ascii="Arial" w:cs="Arial" w:eastAsia="Arial" w:hAnsi="Arial"/>
                <w:sz w:val="16"/>
                <w:szCs w:val="16"/>
                <w:color w:val="auto"/>
              </w:rPr>
              <w:t>consideration)</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888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03"/>
        </w:trPr>
        <w:tc>
          <w:tcPr>
            <w:tcW w:w="4040" w:type="dxa"/>
            <w:vAlign w:val="bottom"/>
          </w:tcPr>
          <w:p>
            <w:pPr>
              <w:ind w:left="260"/>
              <w:spacing w:after="0"/>
              <w:rPr>
                <w:sz w:val="20"/>
                <w:szCs w:val="20"/>
                <w:color w:val="auto"/>
              </w:rPr>
            </w:pPr>
            <w:r>
              <w:rPr>
                <w:rFonts w:ascii="Arial" w:cs="Arial" w:eastAsia="Arial" w:hAnsi="Arial"/>
                <w:sz w:val="16"/>
                <w:szCs w:val="16"/>
                <w:color w:val="auto"/>
              </w:rPr>
              <w:t>Fair value of equity method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40" w:type="dxa"/>
            <w:vAlign w:val="bottom"/>
          </w:tcPr>
          <w:p>
            <w:pPr>
              <w:ind w:left="440"/>
              <w:spacing w:after="0"/>
              <w:rPr>
                <w:sz w:val="20"/>
                <w:szCs w:val="20"/>
                <w:color w:val="auto"/>
              </w:rPr>
            </w:pPr>
            <w:r>
              <w:rPr>
                <w:rFonts w:ascii="Arial" w:cs="Arial" w:eastAsia="Arial" w:hAnsi="Arial"/>
                <w:sz w:val="16"/>
                <w:szCs w:val="16"/>
                <w:color w:val="auto"/>
              </w:rPr>
              <w:t>investments immediately prior to</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40" w:type="dxa"/>
            <w:vAlign w:val="bottom"/>
          </w:tcPr>
          <w:p>
            <w:pPr>
              <w:ind w:left="440"/>
              <w:spacing w:after="0"/>
              <w:rPr>
                <w:sz w:val="20"/>
                <w:szCs w:val="20"/>
                <w:color w:val="auto"/>
              </w:rPr>
            </w:pPr>
            <w:r>
              <w:rPr>
                <w:rFonts w:ascii="Arial" w:cs="Arial" w:eastAsia="Arial" w:hAnsi="Arial"/>
                <w:sz w:val="16"/>
                <w:szCs w:val="16"/>
                <w:color w:val="auto"/>
              </w:rPr>
              <w:t>the acquisition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882</w:t>
            </w:r>
          </w:p>
        </w:tc>
        <w:tc>
          <w:tcPr>
            <w:tcW w:w="240" w:type="dxa"/>
            <w:vAlign w:val="bottom"/>
          </w:tcPr>
          <w:p>
            <w:pPr>
              <w:spacing w:after="0"/>
              <w:rPr>
                <w:sz w:val="17"/>
                <w:szCs w:val="17"/>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02"/>
        </w:trPr>
        <w:tc>
          <w:tcPr>
            <w:tcW w:w="4040" w:type="dxa"/>
            <w:vAlign w:val="bottom"/>
          </w:tcPr>
          <w:p>
            <w:pPr>
              <w:ind w:left="260"/>
              <w:spacing w:after="0"/>
              <w:rPr>
                <w:sz w:val="20"/>
                <w:szCs w:val="20"/>
                <w:color w:val="auto"/>
              </w:rPr>
            </w:pPr>
            <w:r>
              <w:rPr>
                <w:rFonts w:ascii="Arial" w:cs="Arial" w:eastAsia="Arial" w:hAnsi="Arial"/>
                <w:sz w:val="16"/>
                <w:szCs w:val="16"/>
                <w:color w:val="auto"/>
              </w:rPr>
              <w:t>Fair value of noncontrolling interests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183"/>
        </w:trPr>
        <w:tc>
          <w:tcPr>
            <w:tcW w:w="4040" w:type="dxa"/>
            <w:vAlign w:val="bottom"/>
          </w:tcPr>
          <w:p>
            <w:pPr>
              <w:spacing w:after="0" w:line="176" w:lineRule="exact"/>
              <w:rPr>
                <w:sz w:val="20"/>
                <w:szCs w:val="20"/>
                <w:color w:val="auto"/>
              </w:rPr>
            </w:pPr>
            <w:r>
              <w:rPr>
                <w:rFonts w:ascii="Arial" w:cs="Arial" w:eastAsia="Arial" w:hAnsi="Arial"/>
                <w:sz w:val="16"/>
                <w:szCs w:val="16"/>
                <w:color w:val="auto"/>
              </w:rPr>
              <w:t>Total fair value of businesses acquired</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1,027</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1,012</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2,049</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2,049</w:t>
            </w:r>
          </w:p>
        </w:tc>
      </w:tr>
      <w:tr>
        <w:trPr>
          <w:trHeight w:val="340"/>
        </w:trPr>
        <w:tc>
          <w:tcPr>
            <w:tcW w:w="4040" w:type="dxa"/>
            <w:vAlign w:val="bottom"/>
          </w:tcPr>
          <w:p>
            <w:pPr>
              <w:spacing w:after="0"/>
              <w:rPr>
                <w:sz w:val="20"/>
                <w:szCs w:val="20"/>
                <w:color w:val="auto"/>
              </w:rPr>
            </w:pPr>
            <w:r>
              <w:rPr>
                <w:rFonts w:ascii="Arial" w:cs="Arial" w:eastAsia="Arial" w:hAnsi="Arial"/>
                <w:sz w:val="16"/>
                <w:szCs w:val="16"/>
                <w:color w:val="auto"/>
              </w:rPr>
              <w:t>Recognized amounts of identifiable 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6"/>
        </w:trPr>
        <w:tc>
          <w:tcPr>
            <w:tcW w:w="4040" w:type="dxa"/>
            <w:vAlign w:val="bottom"/>
          </w:tcPr>
          <w:p>
            <w:pPr>
              <w:ind w:left="260"/>
              <w:spacing w:after="0" w:line="176" w:lineRule="exact"/>
              <w:rPr>
                <w:sz w:val="20"/>
                <w:szCs w:val="20"/>
                <w:color w:val="auto"/>
              </w:rPr>
            </w:pPr>
            <w:r>
              <w:rPr>
                <w:rFonts w:ascii="Arial" w:cs="Arial" w:eastAsia="Arial" w:hAnsi="Arial"/>
                <w:sz w:val="16"/>
                <w:szCs w:val="16"/>
                <w:color w:val="auto"/>
              </w:rPr>
              <w:t>acquired and liabilities assumed: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4040" w:type="dxa"/>
            <w:vAlign w:val="bottom"/>
          </w:tcPr>
          <w:p>
            <w:pPr>
              <w:ind w:left="500"/>
              <w:spacing w:after="0" w:line="176" w:lineRule="exact"/>
              <w:rPr>
                <w:sz w:val="20"/>
                <w:szCs w:val="20"/>
                <w:color w:val="auto"/>
              </w:rPr>
            </w:pPr>
            <w:r>
              <w:rPr>
                <w:rFonts w:ascii="Arial" w:cs="Arial" w:eastAsia="Arial" w:hAnsi="Arial"/>
                <w:sz w:val="16"/>
                <w:szCs w:val="16"/>
                <w:color w:val="auto"/>
              </w:rPr>
              <w:t>Cash</w:t>
            </w:r>
          </w:p>
        </w:tc>
        <w:tc>
          <w:tcPr>
            <w:tcW w:w="2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219</w:t>
            </w: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3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245</w:t>
            </w:r>
          </w:p>
        </w:tc>
        <w:tc>
          <w:tcPr>
            <w:tcW w:w="240" w:type="dxa"/>
            <w:vAlign w:val="bottom"/>
          </w:tcPr>
          <w:p>
            <w:pPr>
              <w:spacing w:after="0"/>
              <w:rPr>
                <w:sz w:val="15"/>
                <w:szCs w:val="15"/>
                <w:color w:val="auto"/>
              </w:rPr>
            </w:pPr>
          </w:p>
        </w:tc>
        <w:tc>
          <w:tcPr>
            <w:tcW w:w="10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245</w:t>
            </w:r>
          </w:p>
        </w:tc>
      </w:tr>
      <w:tr>
        <w:trPr>
          <w:trHeight w:val="176"/>
        </w:trPr>
        <w:tc>
          <w:tcPr>
            <w:tcW w:w="4040" w:type="dxa"/>
            <w:vAlign w:val="bottom"/>
          </w:tcPr>
          <w:p>
            <w:pPr>
              <w:ind w:left="500"/>
              <w:spacing w:after="0" w:line="176" w:lineRule="exact"/>
              <w:rPr>
                <w:sz w:val="20"/>
                <w:szCs w:val="20"/>
                <w:color w:val="auto"/>
              </w:rPr>
            </w:pPr>
            <w:r>
              <w:rPr>
                <w:rFonts w:ascii="Arial" w:cs="Arial" w:eastAsia="Arial" w:hAnsi="Arial"/>
                <w:sz w:val="16"/>
                <w:szCs w:val="16"/>
                <w:color w:val="auto"/>
              </w:rPr>
              <w:t>Accounts receivable(1)</w:t>
            </w:r>
          </w:p>
        </w:tc>
        <w:tc>
          <w:tcPr>
            <w:tcW w:w="2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159</w:t>
            </w: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101</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3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266</w:t>
            </w:r>
          </w:p>
        </w:tc>
        <w:tc>
          <w:tcPr>
            <w:tcW w:w="240" w:type="dxa"/>
            <w:vAlign w:val="bottom"/>
          </w:tcPr>
          <w:p>
            <w:pPr>
              <w:spacing w:after="0"/>
              <w:rPr>
                <w:sz w:val="15"/>
                <w:szCs w:val="15"/>
                <w:color w:val="auto"/>
              </w:rPr>
            </w:pPr>
          </w:p>
        </w:tc>
        <w:tc>
          <w:tcPr>
            <w:tcW w:w="106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(2)</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264</w:t>
            </w:r>
          </w:p>
        </w:tc>
      </w:tr>
      <w:tr>
        <w:trPr>
          <w:trHeight w:val="176"/>
        </w:trPr>
        <w:tc>
          <w:tcPr>
            <w:tcW w:w="4040" w:type="dxa"/>
            <w:vAlign w:val="bottom"/>
          </w:tcPr>
          <w:p>
            <w:pPr>
              <w:ind w:left="500"/>
              <w:spacing w:after="0" w:line="176" w:lineRule="exact"/>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39</w:t>
            </w:r>
          </w:p>
        </w:tc>
        <w:tc>
          <w:tcPr>
            <w:tcW w:w="240" w:type="dxa"/>
            <w:vAlign w:val="bottom"/>
          </w:tcPr>
          <w:p>
            <w:pPr>
              <w:spacing w:after="0"/>
              <w:rPr>
                <w:sz w:val="15"/>
                <w:szCs w:val="15"/>
                <w:color w:val="auto"/>
              </w:rPr>
            </w:pPr>
          </w:p>
        </w:tc>
        <w:tc>
          <w:tcPr>
            <w:tcW w:w="10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r>
      <w:tr>
        <w:trPr>
          <w:trHeight w:val="176"/>
        </w:trPr>
        <w:tc>
          <w:tcPr>
            <w:tcW w:w="4040" w:type="dxa"/>
            <w:vAlign w:val="bottom"/>
          </w:tcPr>
          <w:p>
            <w:pPr>
              <w:ind w:left="500"/>
              <w:spacing w:after="0" w:line="176" w:lineRule="exact"/>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554</w:t>
            </w: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931</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1,485</w:t>
            </w:r>
          </w:p>
        </w:tc>
        <w:tc>
          <w:tcPr>
            <w:tcW w:w="240" w:type="dxa"/>
            <w:vAlign w:val="bottom"/>
          </w:tcPr>
          <w:p>
            <w:pPr>
              <w:spacing w:after="0"/>
              <w:rPr>
                <w:sz w:val="15"/>
                <w:szCs w:val="15"/>
                <w:color w:val="auto"/>
              </w:rPr>
            </w:pPr>
          </w:p>
        </w:tc>
        <w:tc>
          <w:tcPr>
            <w:tcW w:w="10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1</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1,486</w:t>
            </w:r>
          </w:p>
        </w:tc>
      </w:tr>
      <w:tr>
        <w:trPr>
          <w:trHeight w:val="176"/>
        </w:trPr>
        <w:tc>
          <w:tcPr>
            <w:tcW w:w="4040" w:type="dxa"/>
            <w:vAlign w:val="bottom"/>
          </w:tcPr>
          <w:p>
            <w:pPr>
              <w:ind w:left="500"/>
              <w:spacing w:after="0" w:line="176" w:lineRule="exact"/>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240" w:type="dxa"/>
            <w:vAlign w:val="bottom"/>
          </w:tcPr>
          <w:p>
            <w:pPr>
              <w:spacing w:after="0"/>
              <w:rPr>
                <w:sz w:val="15"/>
                <w:szCs w:val="15"/>
                <w:color w:val="auto"/>
              </w:rPr>
            </w:pPr>
          </w:p>
        </w:tc>
        <w:tc>
          <w:tcPr>
            <w:tcW w:w="10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1</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r>
      <w:tr>
        <w:trPr>
          <w:trHeight w:val="195"/>
        </w:trPr>
        <w:tc>
          <w:tcPr>
            <w:tcW w:w="40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6"/>
                <w:szCs w:val="16"/>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6</w:t>
            </w:r>
          </w:p>
        </w:tc>
        <w:tc>
          <w:tcPr>
            <w:tcW w:w="104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183"/>
        </w:trPr>
        <w:tc>
          <w:tcPr>
            <w:tcW w:w="4040" w:type="dxa"/>
            <w:vAlign w:val="bottom"/>
          </w:tcPr>
          <w:p>
            <w:pPr>
              <w:ind w:left="500"/>
              <w:spacing w:after="0"/>
              <w:rPr>
                <w:sz w:val="20"/>
                <w:szCs w:val="20"/>
                <w:color w:val="auto"/>
              </w:rPr>
            </w:pPr>
            <w:r>
              <w:rPr>
                <w:rFonts w:ascii="Arial" w:cs="Arial" w:eastAsia="Arial" w:hAnsi="Arial"/>
                <w:sz w:val="16"/>
                <w:szCs w:val="16"/>
                <w:color w:val="auto"/>
              </w:rPr>
              <w:t>Short-term debt and current portion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4040" w:type="dxa"/>
            <w:vAlign w:val="bottom"/>
          </w:tcPr>
          <w:p>
            <w:pPr>
              <w:ind w:left="680"/>
              <w:spacing w:after="0"/>
              <w:rPr>
                <w:sz w:val="20"/>
                <w:szCs w:val="20"/>
                <w:color w:val="auto"/>
              </w:rPr>
            </w:pPr>
            <w:r>
              <w:rPr>
                <w:rFonts w:ascii="Arial" w:cs="Arial" w:eastAsia="Arial" w:hAnsi="Arial"/>
                <w:sz w:val="16"/>
                <w:szCs w:val="16"/>
                <w:color w:val="auto"/>
              </w:rPr>
              <w:t>of long-term debt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6"/>
                <w:szCs w:val="16"/>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r>
    </w:tbl>
    <w:p>
      <w:pPr>
        <w:sectPr>
          <w:pgSz w:w="11900" w:h="16838" w:orient="portrait"/>
          <w:cols w:equalWidth="0" w:num="1">
            <w:col w:w="11420"/>
          </w:cols>
          <w:pgMar w:left="240" w:top="125" w:right="239" w:bottom="0" w:gutter="0" w:footer="0" w:header="0"/>
        </w:sectPr>
      </w:pPr>
    </w:p>
    <w:bookmarkStart w:id="216" w:name="page217"/>
    <w:bookmarkEnd w:id="216"/>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current liabilities</w:t>
      </w:r>
    </w:p>
    <w:p>
      <w:pPr>
        <w:ind w:left="500"/>
        <w:spacing w:after="0"/>
        <w:rPr>
          <w:sz w:val="20"/>
          <w:szCs w:val="20"/>
          <w:color w:val="auto"/>
        </w:rPr>
      </w:pPr>
      <w:r>
        <w:rPr>
          <w:rFonts w:ascii="Arial" w:cs="Arial" w:eastAsia="Arial" w:hAnsi="Arial"/>
          <w:sz w:val="16"/>
          <w:szCs w:val="16"/>
          <w:color w:val="auto"/>
        </w:rPr>
        <w:t>Long-term debt</w:t>
      </w:r>
    </w:p>
    <w:p>
      <w:pPr>
        <w:spacing w:after="0" w:line="19" w:lineRule="exact"/>
        <w:rPr>
          <w:sz w:val="20"/>
          <w:szCs w:val="20"/>
          <w:color w:val="auto"/>
        </w:rPr>
      </w:pPr>
    </w:p>
    <w:p>
      <w:pPr>
        <w:ind w:right="940" w:firstLine="486"/>
        <w:spacing w:after="0" w:line="271" w:lineRule="auto"/>
        <w:rPr>
          <w:sz w:val="20"/>
          <w:szCs w:val="20"/>
          <w:color w:val="auto"/>
        </w:rPr>
      </w:pPr>
      <w:r>
        <w:rPr>
          <w:rFonts w:ascii="Arial" w:cs="Arial" w:eastAsia="Arial" w:hAnsi="Arial"/>
          <w:sz w:val="16"/>
          <w:szCs w:val="16"/>
          <w:color w:val="auto"/>
        </w:rPr>
        <w:t>Other noncurrent liabilities Total identifiable net assets Goodwill</w:t>
      </w:r>
    </w:p>
    <w:p>
      <w:pPr>
        <w:spacing w:after="0" w:line="133" w:lineRule="exact"/>
        <w:rPr>
          <w:sz w:val="20"/>
          <w:szCs w:val="20"/>
          <w:color w:val="auto"/>
        </w:rPr>
      </w:pPr>
    </w:p>
    <w:p>
      <w:pPr>
        <w:ind w:left="260" w:right="180" w:hanging="242"/>
        <w:spacing w:after="0" w:line="234" w:lineRule="auto"/>
        <w:rPr>
          <w:sz w:val="20"/>
          <w:szCs w:val="20"/>
          <w:color w:val="auto"/>
        </w:rPr>
      </w:pPr>
      <w:r>
        <w:rPr>
          <w:rFonts w:ascii="Arial" w:cs="Arial" w:eastAsia="Arial" w:hAnsi="Arial"/>
          <w:sz w:val="16"/>
          <w:szCs w:val="16"/>
          <w:color w:val="auto"/>
        </w:rPr>
        <w:t>Acquisition-related costs (included in Other Operation and Maintenance expense on the Consolidated Statement of Operations for the year ended December 31, 2011)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56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76"/>
        </w:trPr>
        <w:tc>
          <w:tcPr>
            <w:tcW w:w="4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(294)</w:t>
            </w:r>
          </w:p>
        </w:tc>
        <w:tc>
          <w:tcPr>
            <w:tcW w:w="4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(179)</w:t>
            </w:r>
          </w:p>
        </w:tc>
        <w:tc>
          <w:tcPr>
            <w:tcW w:w="560" w:type="dxa"/>
            <w:vAlign w:val="bottom"/>
          </w:tcPr>
          <w:p>
            <w:pPr>
              <w:spacing w:after="0"/>
              <w:rPr>
                <w:sz w:val="15"/>
                <w:szCs w:val="15"/>
                <w:color w:val="auto"/>
              </w:rPr>
            </w:pPr>
          </w:p>
        </w:tc>
        <w:tc>
          <w:tcPr>
            <w:tcW w:w="126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(473)</w:t>
            </w:r>
          </w:p>
        </w:tc>
        <w:tc>
          <w:tcPr>
            <w:tcW w:w="4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4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(484)</w:t>
            </w:r>
          </w:p>
        </w:tc>
      </w:tr>
      <w:tr>
        <w:trPr>
          <w:trHeight w:val="194"/>
        </w:trPr>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183"/>
        </w:trPr>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526</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554</w:t>
            </w:r>
          </w:p>
        </w:tc>
        <w:tc>
          <w:tcPr>
            <w:tcW w:w="5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9"/>
              <w:spacing w:after="0" w:line="176" w:lineRule="exact"/>
              <w:rPr>
                <w:sz w:val="20"/>
                <w:szCs w:val="20"/>
                <w:color w:val="auto"/>
              </w:rPr>
            </w:pPr>
            <w:r>
              <w:rPr>
                <w:rFonts w:ascii="Arial" w:cs="Arial" w:eastAsia="Arial" w:hAnsi="Arial"/>
                <w:sz w:val="16"/>
                <w:szCs w:val="16"/>
                <w:color w:val="auto"/>
              </w:rPr>
              <w:t>10</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1,090</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1,074</w:t>
            </w:r>
          </w:p>
        </w:tc>
      </w:tr>
      <w:tr>
        <w:trPr>
          <w:trHeight w:val="183"/>
        </w:trPr>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501</w:t>
            </w: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458</w:t>
            </w: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79"/>
              <w:spacing w:after="0" w:line="176" w:lineRule="exact"/>
              <w:rPr>
                <w:sz w:val="20"/>
                <w:szCs w:val="20"/>
                <w:color w:val="auto"/>
              </w:rPr>
            </w:pPr>
            <w:r>
              <w:rPr>
                <w:rFonts w:ascii="Arial" w:cs="Arial" w:eastAsia="Arial" w:hAnsi="Arial"/>
                <w:sz w:val="16"/>
                <w:szCs w:val="16"/>
                <w:color w:val="auto"/>
              </w:rPr>
              <w:t>― $</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959</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000" w:val="left"/>
          <w:tab w:leader="none" w:pos="2160" w:val="left"/>
          <w:tab w:leader="none" w:pos="3380" w:val="left"/>
          <w:tab w:leader="none" w:pos="4880" w:val="left"/>
          <w:tab w:leader="none" w:pos="5820" w:val="left"/>
          <w:tab w:leader="none" w:pos="7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1 $</w:t>
      </w:r>
      <w:r>
        <w:rPr>
          <w:sz w:val="20"/>
          <w:szCs w:val="20"/>
          <w:color w:val="auto"/>
        </w:rPr>
        <w:tab/>
      </w:r>
      <w:r>
        <w:rPr>
          <w:rFonts w:ascii="Arial" w:cs="Arial" w:eastAsia="Arial" w:hAnsi="Arial"/>
          <w:sz w:val="16"/>
          <w:szCs w:val="16"/>
          <w:color w:val="auto"/>
        </w:rPr>
        <w:t>1 $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2 $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1905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sectPr>
          <w:pgSz w:w="11900" w:h="16900" w:orient="portrait"/>
          <w:cols w:equalWidth="0" w:num="2">
            <w:col w:w="3320" w:space="720"/>
            <w:col w:w="7380"/>
          </w:cols>
          <w:pgMar w:left="240" w:top="120" w:right="239" w:bottom="0" w:gutter="0" w:footer="0" w:header="0"/>
        </w:sectPr>
      </w:pPr>
    </w:p>
    <w:p>
      <w:pPr>
        <w:ind w:left="500" w:right="80" w:hanging="337"/>
        <w:spacing w:after="0" w:line="279" w:lineRule="auto"/>
        <w:tabs>
          <w:tab w:leader="none" w:pos="500" w:val="left"/>
        </w:tabs>
        <w:numPr>
          <w:ilvl w:val="0"/>
          <w:numId w:val="312"/>
        </w:numPr>
        <w:rPr>
          <w:rFonts w:ascii="Arial" w:cs="Arial" w:eastAsia="Arial" w:hAnsi="Arial"/>
          <w:sz w:val="14"/>
          <w:szCs w:val="14"/>
          <w:i w:val="1"/>
          <w:iCs w:val="1"/>
          <w:color w:val="auto"/>
        </w:rPr>
      </w:pPr>
      <w:r>
        <w:rPr>
          <w:rFonts w:ascii="Arial" w:cs="Arial" w:eastAsia="Arial" w:hAnsi="Arial"/>
          <w:sz w:val="14"/>
          <w:szCs w:val="14"/>
          <w:i w:val="1"/>
          <w:iCs w:val="1"/>
          <w:color w:val="auto"/>
        </w:rPr>
        <w:t>We expect acquired accounts receivable to be substantially realizable in cash. Accounts receivable are net of collection allowances of $6 million for Chile and $1 million for Peru.</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results for the year ended December 31, 2011 include a $277 million gain (both pretax and after-tax) related to the remeasurement of equity method investments, included as Remeasurement of Equity Method Investments on our Consolidated Statement of Operations. We calculated the gain as the difference between the acquisition-date fair value ($882 million) and the book value ($605 million) of our equity interests in Chilquinta Energía and Luz del Sur immediately prior to the acquisition date. This book value of our equity interests included currency translation adjustment balances in Accumulated Other Comprehensive Income (Loss). The valuation techniques we used to allocate the purchase price to the businesses included discounted cash flow analysis and the market multiple approach (enterprise value to earnings before interest, taxes, depreciation and amortization (EBITDA)). Our assumptions for these measures included estimated future cash flows, use of appropriate discount rates, market trading multiples and market transaction multiples. Discount rates used reflect consideration of risk free rates, as well as country and company risk. Methodologies used to determine fair values of material assets as of the date of the acquisition included</w:t>
      </w:r>
    </w:p>
    <w:p>
      <w:pPr>
        <w:spacing w:after="0" w:line="182" w:lineRule="exact"/>
        <w:rPr>
          <w:sz w:val="20"/>
          <w:szCs w:val="20"/>
          <w:color w:val="auto"/>
        </w:rPr>
      </w:pPr>
    </w:p>
    <w:p>
      <w:pPr>
        <w:ind w:left="340" w:hanging="188"/>
        <w:spacing w:after="0"/>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replacement cost approach for property, plant and equipment;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goodwill associated primarily with the value of residual future cash flows that we believe these businesses will generate, to be tested annually for impairment. For income tax purposes, none of the goodwill recorded is deductible in Chile, Peru or the United States.</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substantially all other assets and liabilities, our analysis of fair value factors indicated that book value approximates fair value. We valued noncontrolling interests based on the fair value of tangible assets and an allocation of goodwill based on relative enterprise value.</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Consolidated Statement of Operations includes 100 percent of the acquired companies’ revenues, net income and earnings from the date of acquisition of $1.1 billion, $160 million and $135 million, respectively, for the year ended December 31, 2011. These amounts do not include the remeasurement gain.</w:t>
      </w:r>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Following are pro forma revenues and earnings for Sempra Energy had the acquisition occurred on January 1, 2010, which primarily reflect the incremental increase to revenues and earnings from our increased ownership and consolidation of the entities acquired. Although some short-term debt borrowings may have resulted from the actual acquisition in 2011, we have not assumed any additional interest expense in the pro forma impact on earnings below, as the amounts would be immaterial due to the low interest rates available to us on commercial paper. The pro forma amounts do not include the impact of the increased ownership in Luz del Sur resulting from the tender offer completed in September 2011 discussed above.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1260" w:type="dxa"/>
            <w:vAlign w:val="bottom"/>
            <w:tcBorders>
              <w:bottom w:val="single" w:sz="8" w:color="auto"/>
            </w:tcBorders>
          </w:tcPr>
          <w:p>
            <w:pPr>
              <w:spacing w:after="0"/>
              <w:rPr>
                <w:sz w:val="14"/>
                <w:szCs w:val="14"/>
                <w:color w:val="auto"/>
              </w:rPr>
            </w:pPr>
          </w:p>
        </w:tc>
      </w:tr>
      <w:tr>
        <w:trPr>
          <w:trHeight w:val="169"/>
        </w:trPr>
        <w:tc>
          <w:tcPr>
            <w:tcW w:w="71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620" w:type="dxa"/>
            <w:vAlign w:val="bottom"/>
          </w:tcPr>
          <w:p>
            <w:pPr>
              <w:spacing w:after="0"/>
              <w:rPr>
                <w:sz w:val="14"/>
                <w:szCs w:val="14"/>
                <w:color w:val="auto"/>
              </w:rPr>
            </w:pPr>
          </w:p>
        </w:tc>
        <w:tc>
          <w:tcPr>
            <w:tcW w:w="1620" w:type="dxa"/>
            <w:vAlign w:val="bottom"/>
          </w:tcPr>
          <w:p>
            <w:pPr>
              <w:jc w:val="right"/>
              <w:ind w:right="963"/>
              <w:spacing w:after="0"/>
              <w:rPr>
                <w:sz w:val="20"/>
                <w:szCs w:val="20"/>
                <w:color w:val="auto"/>
              </w:rPr>
            </w:pPr>
            <w:r>
              <w:rPr>
                <w:rFonts w:ascii="Arial" w:cs="Arial" w:eastAsia="Arial" w:hAnsi="Arial"/>
                <w:sz w:val="14"/>
                <w:szCs w:val="14"/>
                <w:color w:val="auto"/>
              </w:rPr>
              <w:t>2011</w:t>
            </w:r>
          </w:p>
        </w:tc>
        <w:tc>
          <w:tcPr>
            <w:tcW w:w="760" w:type="dxa"/>
            <w:vAlign w:val="bottom"/>
          </w:tcPr>
          <w:p>
            <w:pPr>
              <w:spacing w:after="0"/>
              <w:rPr>
                <w:sz w:val="14"/>
                <w:szCs w:val="14"/>
                <w:color w:val="auto"/>
              </w:rPr>
            </w:pPr>
          </w:p>
        </w:tc>
        <w:tc>
          <w:tcPr>
            <w:tcW w:w="1260" w:type="dxa"/>
            <w:vAlign w:val="bottom"/>
          </w:tcPr>
          <w:p>
            <w:pPr>
              <w:jc w:val="right"/>
              <w:ind w:right="842"/>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714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Revenues</w:t>
            </w:r>
          </w:p>
        </w:tc>
        <w:tc>
          <w:tcPr>
            <w:tcW w:w="620" w:type="dxa"/>
            <w:vAlign w:val="bottom"/>
            <w:tcBorders>
              <w:top w:val="single" w:sz="8" w:color="auto"/>
            </w:tcBorders>
          </w:tcPr>
          <w:p>
            <w:pPr>
              <w:jc w:val="right"/>
              <w:ind w:right="159"/>
              <w:spacing w:after="0" w:line="164" w:lineRule="exact"/>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83"/>
              <w:spacing w:after="0" w:line="164" w:lineRule="exact"/>
              <w:rPr>
                <w:sz w:val="20"/>
                <w:szCs w:val="20"/>
                <w:color w:val="auto"/>
              </w:rPr>
            </w:pPr>
            <w:r>
              <w:rPr>
                <w:rFonts w:ascii="Arial" w:cs="Arial" w:eastAsia="Arial" w:hAnsi="Arial"/>
                <w:sz w:val="16"/>
                <w:szCs w:val="16"/>
                <w:color w:val="auto"/>
              </w:rPr>
              <w:t>10,379</w:t>
            </w:r>
          </w:p>
        </w:tc>
        <w:tc>
          <w:tcPr>
            <w:tcW w:w="760" w:type="dxa"/>
            <w:vAlign w:val="bottom"/>
            <w:tcBorders>
              <w:top w:val="single" w:sz="8" w:color="auto"/>
            </w:tcBorders>
          </w:tcPr>
          <w:p>
            <w:pPr>
              <w:jc w:val="right"/>
              <w:ind w:right="419"/>
              <w:spacing w:after="0" w:line="164"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10,277</w:t>
            </w:r>
          </w:p>
        </w:tc>
      </w:tr>
      <w:tr>
        <w:trPr>
          <w:trHeight w:val="195"/>
        </w:trPr>
        <w:tc>
          <w:tcPr>
            <w:tcW w:w="7160" w:type="dxa"/>
            <w:vAlign w:val="bottom"/>
            <w:gridSpan w:val="2"/>
          </w:tcPr>
          <w:p>
            <w:pPr>
              <w:spacing w:after="0"/>
              <w:rPr>
                <w:sz w:val="20"/>
                <w:szCs w:val="20"/>
                <w:color w:val="auto"/>
              </w:rPr>
            </w:pPr>
            <w:r>
              <w:rPr>
                <w:rFonts w:ascii="Arial" w:cs="Arial" w:eastAsia="Arial" w:hAnsi="Arial"/>
                <w:sz w:val="16"/>
                <w:szCs w:val="16"/>
                <w:color w:val="auto"/>
              </w:rPr>
              <w:t>Earnings(1)</w:t>
            </w:r>
          </w:p>
        </w:tc>
        <w:tc>
          <w:tcPr>
            <w:tcW w:w="620" w:type="dxa"/>
            <w:vAlign w:val="bottom"/>
          </w:tcPr>
          <w:p>
            <w:pPr>
              <w:spacing w:after="0"/>
              <w:rPr>
                <w:sz w:val="16"/>
                <w:szCs w:val="16"/>
                <w:color w:val="auto"/>
              </w:rPr>
            </w:pPr>
          </w:p>
        </w:tc>
        <w:tc>
          <w:tcPr>
            <w:tcW w:w="1620" w:type="dxa"/>
            <w:vAlign w:val="bottom"/>
          </w:tcPr>
          <w:p>
            <w:pPr>
              <w:jc w:val="right"/>
              <w:ind w:right="83"/>
              <w:spacing w:after="0"/>
              <w:rPr>
                <w:sz w:val="20"/>
                <w:szCs w:val="20"/>
                <w:color w:val="auto"/>
              </w:rPr>
            </w:pPr>
            <w:r>
              <w:rPr>
                <w:rFonts w:ascii="Arial" w:cs="Arial" w:eastAsia="Arial" w:hAnsi="Arial"/>
                <w:sz w:val="16"/>
                <w:szCs w:val="16"/>
                <w:color w:val="auto"/>
              </w:rPr>
              <w:t>1,105</w:t>
            </w:r>
          </w:p>
        </w:tc>
        <w:tc>
          <w:tcPr>
            <w:tcW w:w="7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60" w:right="240" w:hanging="462"/>
        <w:spacing w:after="0" w:line="249" w:lineRule="auto"/>
        <w:tabs>
          <w:tab w:leader="none" w:pos="760" w:val="left"/>
        </w:tabs>
        <w:numPr>
          <w:ilvl w:val="0"/>
          <w:numId w:val="314"/>
        </w:numPr>
        <w:rPr>
          <w:rFonts w:ascii="Arial" w:cs="Arial" w:eastAsia="Arial" w:hAnsi="Arial"/>
          <w:sz w:val="14"/>
          <w:szCs w:val="14"/>
          <w:i w:val="1"/>
          <w:iCs w:val="1"/>
          <w:color w:val="auto"/>
        </w:rPr>
      </w:pPr>
      <w:r>
        <w:rPr>
          <w:rFonts w:ascii="Arial" w:cs="Arial" w:eastAsia="Arial" w:hAnsi="Arial"/>
          <w:sz w:val="14"/>
          <w:szCs w:val="14"/>
          <w:i w:val="1"/>
          <w:iCs w:val="1"/>
          <w:color w:val="auto"/>
        </w:rPr>
        <w:t>Pro forma earnings for 2010 include the $277 million gain related to the remeasurement of equity method investments, and accordingly, pro forma earnings for 2011 exclude the gain.</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companies use their local currency, the Chilean Peso or the Peruvian Nuevo Sol, as their functional currency, and we account for them as discussed above in Note 1 under “Foreign Currency Translation.”</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 of Mexican Pipeline and Natural Gas Infrastructure</w:t>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April 30, 2010, Sempra Pipelines &amp; Storage completed an acquisition resulting in the purchase of the Mexican pipeline and natural gas infrastructure assets of El Paso Corporation for $307 million ($292 million, net of cash acquired).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acquisition consists of El Paso Corporation’s wholly owned natural gas pipeline and compression assets in the Mexican border state of Sonora and its 50-percent interest in Gasoductos de Chihuahua, a joint venture with PEMEX, the Mexican state-owned oil company. The joint venture operates two natural gas pipelines and a propane system in northern Mexico. The acquisition expands our scale and geographic footprint in a strong growth region in Mexico. The pipeline assets are backed substantially by long-term contracts with a history of consistent revenue streams, allowing us to expand our natural gas infrastructure business in northern Mexico.</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consideration paid in the acquisition and the recognized amounts of the assets acquired and liabilities assumed: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At April 30, 2010</w:t>
            </w:r>
          </w:p>
        </w:tc>
      </w:tr>
      <w:tr>
        <w:trPr>
          <w:trHeight w:val="183"/>
        </w:trPr>
        <w:tc>
          <w:tcPr>
            <w:tcW w:w="9160" w:type="dxa"/>
            <w:vAlign w:val="bottom"/>
          </w:tcPr>
          <w:p>
            <w:pPr>
              <w:spacing w:after="0" w:line="176" w:lineRule="exact"/>
              <w:rPr>
                <w:sz w:val="20"/>
                <w:szCs w:val="20"/>
                <w:color w:val="auto"/>
              </w:rPr>
            </w:pPr>
            <w:r>
              <w:rPr>
                <w:rFonts w:ascii="Arial" w:cs="Arial" w:eastAsia="Arial" w:hAnsi="Arial"/>
                <w:sz w:val="16"/>
                <w:szCs w:val="16"/>
                <w:color w:val="auto"/>
              </w:rPr>
              <w:t>Cash consideration (fair value of total consideration)</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307</w:t>
            </w:r>
          </w:p>
        </w:tc>
      </w:tr>
      <w:tr>
        <w:trPr>
          <w:trHeight w:val="183"/>
        </w:trPr>
        <w:tc>
          <w:tcPr>
            <w:tcW w:w="9160" w:type="dxa"/>
            <w:vAlign w:val="bottom"/>
          </w:tcPr>
          <w:p>
            <w:pPr>
              <w:spacing w:after="0"/>
              <w:rPr>
                <w:sz w:val="20"/>
                <w:szCs w:val="20"/>
                <w:color w:val="auto"/>
              </w:rPr>
            </w:pPr>
            <w:r>
              <w:rPr>
                <w:rFonts w:ascii="Arial" w:cs="Arial" w:eastAsia="Arial" w:hAnsi="Arial"/>
                <w:sz w:val="16"/>
                <w:szCs w:val="16"/>
                <w:color w:val="auto"/>
              </w:rPr>
              <w:t>Recognized amounts of identifiable assets acquired and liabilities assumed:</w:t>
            </w: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3"/>
        </w:trPr>
        <w:tc>
          <w:tcPr>
            <w:tcW w:w="9160" w:type="dxa"/>
            <w:vAlign w:val="bottom"/>
          </w:tcPr>
          <w:p>
            <w:pPr>
              <w:ind w:left="320"/>
              <w:spacing w:after="0"/>
              <w:rPr>
                <w:sz w:val="20"/>
                <w:szCs w:val="20"/>
                <w:color w:val="auto"/>
              </w:rPr>
            </w:pPr>
            <w:r>
              <w:rPr>
                <w:rFonts w:ascii="Arial" w:cs="Arial" w:eastAsia="Arial" w:hAnsi="Arial"/>
                <w:sz w:val="16"/>
                <w:szCs w:val="16"/>
                <w:color w:val="auto"/>
              </w:rPr>
              <w:t>Cash</w:t>
            </w:r>
          </w:p>
        </w:tc>
        <w:tc>
          <w:tcPr>
            <w:tcW w:w="3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3"/>
        </w:trPr>
        <w:tc>
          <w:tcPr>
            <w:tcW w:w="916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9160" w:type="dxa"/>
            <w:vAlign w:val="bottom"/>
          </w:tcPr>
          <w:p>
            <w:pPr>
              <w:ind w:left="320"/>
              <w:spacing w:after="0"/>
              <w:rPr>
                <w:sz w:val="20"/>
                <w:szCs w:val="20"/>
                <w:color w:val="auto"/>
              </w:rPr>
            </w:pPr>
            <w:r>
              <w:rPr>
                <w:rFonts w:ascii="Arial" w:cs="Arial" w:eastAsia="Arial" w:hAnsi="Arial"/>
                <w:sz w:val="16"/>
                <w:szCs w:val="16"/>
                <w:color w:val="auto"/>
              </w:rPr>
              <w:t>Investment in equity method investee</w:t>
            </w:r>
          </w:p>
        </w:tc>
        <w:tc>
          <w:tcPr>
            <w:tcW w:w="3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183"/>
        </w:trPr>
        <w:tc>
          <w:tcPr>
            <w:tcW w:w="9160" w:type="dxa"/>
            <w:vAlign w:val="bottom"/>
          </w:tcPr>
          <w:p>
            <w:pPr>
              <w:ind w:left="320"/>
              <w:spacing w:after="0"/>
              <w:rPr>
                <w:sz w:val="20"/>
                <w:szCs w:val="20"/>
                <w:color w:val="auto"/>
              </w:rPr>
            </w:pPr>
            <w:r>
              <w:rPr>
                <w:rFonts w:ascii="Arial" w:cs="Arial" w:eastAsia="Arial" w:hAnsi="Arial"/>
                <w:sz w:val="16"/>
                <w:szCs w:val="16"/>
                <w:color w:val="auto"/>
              </w:rPr>
              <w:t>Property, plant &amp; equipment</w:t>
            </w: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4"/>
        </w:trPr>
        <w:tc>
          <w:tcPr>
            <w:tcW w:w="9160" w:type="dxa"/>
            <w:vAlign w:val="bottom"/>
          </w:tcPr>
          <w:p>
            <w:pPr>
              <w:ind w:left="32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83"/>
        </w:trPr>
        <w:tc>
          <w:tcPr>
            <w:tcW w:w="9160" w:type="dxa"/>
            <w:vAlign w:val="bottom"/>
          </w:tcPr>
          <w:p>
            <w:pPr>
              <w:spacing w:after="0" w:line="176" w:lineRule="exact"/>
              <w:rPr>
                <w:sz w:val="20"/>
                <w:szCs w:val="20"/>
                <w:color w:val="auto"/>
              </w:rPr>
            </w:pPr>
            <w:r>
              <w:rPr>
                <w:rFonts w:ascii="Arial" w:cs="Arial" w:eastAsia="Arial" w:hAnsi="Arial"/>
                <w:sz w:val="16"/>
                <w:szCs w:val="16"/>
                <w:color w:val="auto"/>
              </w:rPr>
              <w:t>Total identifiable net assets</w:t>
            </w: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289</w:t>
            </w:r>
          </w:p>
        </w:tc>
      </w:tr>
      <w:tr>
        <w:trPr>
          <w:trHeight w:val="183"/>
        </w:trPr>
        <w:tc>
          <w:tcPr>
            <w:tcW w:w="9160" w:type="dxa"/>
            <w:vAlign w:val="bottom"/>
          </w:tcPr>
          <w:p>
            <w:pPr>
              <w:spacing w:after="0" w:line="176" w:lineRule="exact"/>
              <w:rPr>
                <w:sz w:val="20"/>
                <w:szCs w:val="20"/>
                <w:color w:val="auto"/>
              </w:rPr>
            </w:pPr>
            <w:r>
              <w:rPr>
                <w:rFonts w:ascii="Arial" w:cs="Arial" w:eastAsia="Arial" w:hAnsi="Arial"/>
                <w:sz w:val="16"/>
                <w:szCs w:val="16"/>
                <w:color w:val="auto"/>
              </w:rPr>
              <w:t>Goodwill(1)</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w:t>
            </w:r>
          </w:p>
        </w:tc>
      </w:tr>
      <w:tr>
        <w:trPr>
          <w:trHeight w:val="386"/>
        </w:trPr>
        <w:tc>
          <w:tcPr>
            <w:tcW w:w="9160" w:type="dxa"/>
            <w:vAlign w:val="bottom"/>
          </w:tcPr>
          <w:p>
            <w:pPr>
              <w:spacing w:after="0"/>
              <w:rPr>
                <w:sz w:val="20"/>
                <w:szCs w:val="20"/>
                <w:color w:val="auto"/>
              </w:rPr>
            </w:pPr>
            <w:r>
              <w:rPr>
                <w:rFonts w:ascii="Arial" w:cs="Arial" w:eastAsia="Arial" w:hAnsi="Arial"/>
                <w:sz w:val="16"/>
                <w:szCs w:val="16"/>
                <w:color w:val="auto"/>
              </w:rPr>
              <w:t>Acquisition-related costs (included in Other Operation and Maintenance expense</w:t>
            </w: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3"/>
        </w:trPr>
        <w:tc>
          <w:tcPr>
            <w:tcW w:w="9160" w:type="dxa"/>
            <w:vAlign w:val="bottom"/>
          </w:tcPr>
          <w:p>
            <w:pPr>
              <w:ind w:left="320"/>
              <w:spacing w:after="0"/>
              <w:rPr>
                <w:sz w:val="20"/>
                <w:szCs w:val="20"/>
                <w:color w:val="auto"/>
              </w:rPr>
            </w:pPr>
            <w:r>
              <w:rPr>
                <w:rFonts w:ascii="Arial" w:cs="Arial" w:eastAsia="Arial" w:hAnsi="Arial"/>
                <w:sz w:val="16"/>
                <w:szCs w:val="16"/>
                <w:color w:val="auto"/>
              </w:rPr>
              <w:t>on the Consolidated Statement of Operations for the year ended</w:t>
            </w: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9"/>
        </w:trPr>
        <w:tc>
          <w:tcPr>
            <w:tcW w:w="91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December 31, 2010)</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ectPr>
          <w:pgSz w:w="11900" w:h="16900" w:orient="portrait"/>
          <w:cols w:equalWidth="0" w:num="1">
            <w:col w:w="11420"/>
          </w:cols>
          <w:pgMar w:left="240" w:top="120" w:right="239" w:bottom="0" w:gutter="0" w:footer="0" w:header="0"/>
          <w:type w:val="continuous"/>
        </w:sectPr>
      </w:pPr>
    </w:p>
    <w:bookmarkStart w:id="217" w:name="page218"/>
    <w:bookmarkEnd w:id="217"/>
    <w:p>
      <w:pPr>
        <w:ind w:left="620" w:right="380" w:hanging="389"/>
        <w:spacing w:after="0" w:line="279" w:lineRule="auto"/>
        <w:tabs>
          <w:tab w:leader="none" w:pos="620" w:val="left"/>
        </w:tabs>
        <w:numPr>
          <w:ilvl w:val="0"/>
          <w:numId w:val="315"/>
        </w:numPr>
        <w:rPr>
          <w:rFonts w:ascii="Arial" w:cs="Arial" w:eastAsia="Arial" w:hAnsi="Arial"/>
          <w:sz w:val="14"/>
          <w:szCs w:val="14"/>
          <w:i w:val="1"/>
          <w:iCs w:val="1"/>
          <w:color w:val="auto"/>
        </w:rPr>
      </w:pPr>
      <w:r>
        <w:rPr>
          <w:rFonts w:ascii="Arial" w:cs="Arial" w:eastAsia="Arial" w:hAnsi="Arial"/>
          <w:sz w:val="14"/>
          <w:szCs w:val="14"/>
          <w:i w:val="1"/>
          <w:iCs w:val="1"/>
          <w:color w:val="auto"/>
        </w:rPr>
        <w:t>The goodwill, which represents the residual of the consideration paid over the identifiable net assets, is assigned to the Sempra Pipelines &amp; Storage segment and is attributed to the strategic value of the transaction. None of the goodwill recorded is deductible in Mexico for income tax purposes.</w:t>
      </w:r>
    </w:p>
    <w:p>
      <w:pPr>
        <w:spacing w:after="0" w:line="1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Included in our Consolidated Statements of Operations are revenues and earnings of $10 million and $33 million, respectively, for the year ended December 31, 2011 and $6 million and $21 million, respectively, for the period May 1, 2010 to December 31, 2010 related to the assets acquired from El Paso Corporation. Proforma impacts on revenues and earnings for Sempra Energy had the acquisition occurred on January 1, 2009 were: additional revenues of $3 million and earnings of $7 million in 2010 and additional revenues of $10 million and earnings of $24 million for 2009.</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 of Noncontrolling Interest in Mississippi Hub</w:t>
      </w:r>
    </w:p>
    <w:p>
      <w:pPr>
        <w:spacing w:after="0" w:line="20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October 2008, Sempra Pipelines &amp; Storage acquired EnergySouth, Inc., an energy-services holding company based in Mobile, Alabama. The principal holdings of EnergySouth, Inc. were EnergySouth Midstream and Mobile Gas. In December 2008, EnergySouth Midstream changed its name to Sempra Midstream.</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Sempra Midstream owned 60 percent of Mississippi Hub through December 31, 2008. On January 16, 2009, Sempra Midstream purchased the remaining 40-percent ownership interest of Mississippi Hub for $94 million in cash.</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Rockies Express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discuss Sempra Pipelines &amp; Storage’s investment in Rockies Express Pipeline LLC (Rockies Express) in Note 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COMMODITIES</w:t>
      </w:r>
    </w:p>
    <w:p>
      <w:pPr>
        <w:spacing w:after="0" w:line="2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2010 and early 2011, Sempra Energy and The Royal Bank of Scotland plc (RBS) sold substantially all of the businesses and assets within RBS Sempra Commodities, a partnership formed in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concerning RBS Sempra Commodities and these transactions in Notes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19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generally account for investments under the equity method when we have an ownership interest of 20 to 50 percent. In these cases, our pro rata shares of the subsidiaries’ net assets are included in Other Investments and in Investment in RBS Sempra Commodities LLP on the Consolidated Balance Sheets. These investments are adjusted for our share of each investee’s earnings or losses, dividends, and other comprehensive income or loss.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carrying value of unconsolidated subsidiaries is evaluated for impairment under the GAAP provisions for equity method investments. We account for certain investments in housing partnerships made before May 19, 1995 under the cost method, whereby the costs were amortized over ten years down to the expected residual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summarize our investment balances and earnings below:</w:t>
      </w:r>
    </w:p>
    <w:p>
      <w:pPr>
        <w:spacing w:after="0" w:line="221" w:lineRule="exact"/>
        <w:rPr>
          <w:sz w:val="20"/>
          <w:szCs w:val="20"/>
          <w:color w:val="auto"/>
        </w:rPr>
      </w:pPr>
    </w:p>
    <w:p>
      <w:pPr>
        <w:ind w:right="4340"/>
        <w:spacing w:after="0" w:line="243" w:lineRule="auto"/>
        <w:rPr>
          <w:sz w:val="20"/>
          <w:szCs w:val="20"/>
          <w:color w:val="auto"/>
        </w:rPr>
      </w:pPr>
      <w:r>
        <w:rPr>
          <w:rFonts w:ascii="Arial" w:cs="Arial" w:eastAsia="Arial" w:hAnsi="Arial"/>
          <w:sz w:val="16"/>
          <w:szCs w:val="16"/>
          <w:b w:val="1"/>
          <w:bCs w:val="1"/>
          <w:color w:val="auto"/>
        </w:rPr>
        <w:t xml:space="preserve">EQUITY METHOD AND OTHER INVESTMENTS ON THE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201"/>
              <w:spacing w:after="0" w:line="159" w:lineRule="exact"/>
              <w:rPr>
                <w:sz w:val="20"/>
                <w:szCs w:val="20"/>
                <w:color w:val="auto"/>
              </w:rPr>
            </w:pPr>
            <w:r>
              <w:rPr>
                <w:rFonts w:ascii="Arial" w:cs="Arial" w:eastAsia="Arial" w:hAnsi="Arial"/>
                <w:sz w:val="14"/>
                <w:szCs w:val="14"/>
                <w:color w:val="auto"/>
              </w:rPr>
              <w:t>Investment at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Parent and other:</w:t>
            </w:r>
          </w:p>
        </w:tc>
        <w:tc>
          <w:tcPr>
            <w:tcW w:w="3360" w:type="dxa"/>
            <w:vAlign w:val="bottom"/>
            <w:gridSpan w:val="2"/>
            <w:vMerge w:val="restart"/>
          </w:tcPr>
          <w:p>
            <w:pPr>
              <w:jc w:val="right"/>
              <w:ind w:right="1003"/>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1220" w:type="dxa"/>
            <w:vAlign w:val="bottom"/>
            <w:vMerge w:val="restart"/>
          </w:tcPr>
          <w:p>
            <w:pPr>
              <w:jc w:val="right"/>
              <w:ind w:right="1021"/>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tcPr>
          <w:p>
            <w:pPr>
              <w:ind w:left="160"/>
              <w:spacing w:after="0" w:line="160" w:lineRule="exact"/>
              <w:rPr>
                <w:sz w:val="20"/>
                <w:szCs w:val="20"/>
                <w:color w:val="auto"/>
              </w:rPr>
            </w:pPr>
            <w:r>
              <w:rPr>
                <w:rFonts w:ascii="Arial" w:cs="Arial" w:eastAsia="Arial" w:hAnsi="Arial"/>
                <w:sz w:val="16"/>
                <w:szCs w:val="16"/>
                <w:color w:val="auto"/>
              </w:rPr>
              <w:t>Investment in RBS Sempra Commodities LLP</w:t>
            </w:r>
          </w:p>
        </w:tc>
        <w:tc>
          <w:tcPr>
            <w:tcW w:w="33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660" w:type="dxa"/>
            <w:vAlign w:val="bottom"/>
            <w:gridSpan w:val="2"/>
          </w:tcPr>
          <w:p>
            <w:pPr>
              <w:spacing w:after="0" w:line="164" w:lineRule="exact"/>
              <w:rPr>
                <w:sz w:val="20"/>
                <w:szCs w:val="20"/>
                <w:color w:val="auto"/>
              </w:rPr>
            </w:pPr>
            <w:r>
              <w:rPr>
                <w:rFonts w:ascii="Arial" w:cs="Arial" w:eastAsia="Arial" w:hAnsi="Arial"/>
                <w:sz w:val="16"/>
                <w:szCs w:val="16"/>
                <w:color w:val="auto"/>
              </w:rPr>
              <w:t>Other equity method investments:</w:t>
            </w:r>
          </w:p>
        </w:tc>
        <w:tc>
          <w:tcPr>
            <w:tcW w:w="21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160"/>
              <w:spacing w:after="0" w:line="176" w:lineRule="exact"/>
              <w:rPr>
                <w:sz w:val="20"/>
                <w:szCs w:val="20"/>
                <w:color w:val="auto"/>
              </w:rPr>
            </w:pPr>
            <w:r>
              <w:rPr>
                <w:rFonts w:ascii="Arial" w:cs="Arial" w:eastAsia="Arial" w:hAnsi="Arial"/>
                <w:sz w:val="16"/>
                <w:szCs w:val="16"/>
                <w:color w:val="auto"/>
              </w:rPr>
              <w:t>Sempra Generation:</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340"/>
              <w:spacing w:after="0" w:line="176" w:lineRule="exact"/>
              <w:rPr>
                <w:sz w:val="20"/>
                <w:szCs w:val="20"/>
                <w:color w:val="auto"/>
              </w:rPr>
            </w:pPr>
            <w:r>
              <w:rPr>
                <w:rFonts w:ascii="Arial" w:cs="Arial" w:eastAsia="Arial" w:hAnsi="Arial"/>
                <w:sz w:val="16"/>
                <w:szCs w:val="16"/>
                <w:color w:val="auto"/>
              </w:rPr>
              <w:t>Auwahi Wind</w:t>
            </w:r>
          </w:p>
        </w:tc>
        <w:tc>
          <w:tcPr>
            <w:tcW w:w="3360" w:type="dxa"/>
            <w:vAlign w:val="bottom"/>
            <w:gridSpan w:val="2"/>
          </w:tcPr>
          <w:p>
            <w:pPr>
              <w:jc w:val="right"/>
              <w:ind w:right="1003"/>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220" w:type="dxa"/>
            <w:vAlign w:val="bottom"/>
          </w:tcPr>
          <w:p>
            <w:pPr>
              <w:jc w:val="right"/>
              <w:ind w:right="1021"/>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340"/>
              <w:spacing w:after="0" w:line="176" w:lineRule="exact"/>
              <w:rPr>
                <w:sz w:val="20"/>
                <w:szCs w:val="20"/>
                <w:color w:val="auto"/>
              </w:rPr>
            </w:pPr>
            <w:r>
              <w:rPr>
                <w:rFonts w:ascii="Arial" w:cs="Arial" w:eastAsia="Arial" w:hAnsi="Arial"/>
                <w:sz w:val="16"/>
                <w:szCs w:val="16"/>
                <w:color w:val="auto"/>
              </w:rPr>
              <w:t>Cedar Creek 2 Wind Farm</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95</w:t>
            </w:r>
          </w:p>
        </w:tc>
        <w:tc>
          <w:tcPr>
            <w:tcW w:w="1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340"/>
              <w:spacing w:after="0" w:line="176" w:lineRule="exact"/>
              <w:rPr>
                <w:sz w:val="20"/>
                <w:szCs w:val="20"/>
                <w:color w:val="auto"/>
              </w:rPr>
            </w:pPr>
            <w:r>
              <w:rPr>
                <w:rFonts w:ascii="Arial" w:cs="Arial" w:eastAsia="Arial" w:hAnsi="Arial"/>
                <w:sz w:val="16"/>
                <w:szCs w:val="16"/>
                <w:color w:val="auto"/>
              </w:rPr>
              <w:t>Fowler Ridge 2 Wind Farm</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1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340"/>
              <w:spacing w:after="0" w:line="176" w:lineRule="exact"/>
              <w:rPr>
                <w:sz w:val="20"/>
                <w:szCs w:val="20"/>
                <w:color w:val="auto"/>
              </w:rPr>
            </w:pPr>
            <w:r>
              <w:rPr>
                <w:rFonts w:ascii="Arial" w:cs="Arial" w:eastAsia="Arial" w:hAnsi="Arial"/>
                <w:sz w:val="16"/>
                <w:szCs w:val="16"/>
                <w:color w:val="auto"/>
              </w:rPr>
              <w:t>Flat Ridge 2 Wind Farm</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146</w:t>
            </w:r>
          </w:p>
        </w:tc>
        <w:tc>
          <w:tcPr>
            <w:tcW w:w="1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340"/>
              <w:spacing w:after="0" w:line="176" w:lineRule="exact"/>
              <w:rPr>
                <w:sz w:val="20"/>
                <w:szCs w:val="20"/>
                <w:color w:val="auto"/>
              </w:rPr>
            </w:pPr>
            <w:r>
              <w:rPr>
                <w:rFonts w:ascii="Arial" w:cs="Arial" w:eastAsia="Arial" w:hAnsi="Arial"/>
                <w:sz w:val="16"/>
                <w:szCs w:val="16"/>
                <w:color w:val="auto"/>
              </w:rPr>
              <w:t>Mehoopany Wind Farm</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88</w:t>
            </w:r>
          </w:p>
        </w:tc>
        <w:tc>
          <w:tcPr>
            <w:tcW w:w="1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160"/>
              <w:spacing w:after="0" w:line="176" w:lineRule="exact"/>
              <w:rPr>
                <w:sz w:val="20"/>
                <w:szCs w:val="20"/>
                <w:color w:val="auto"/>
              </w:rPr>
            </w:pPr>
            <w:r>
              <w:rPr>
                <w:rFonts w:ascii="Arial" w:cs="Arial" w:eastAsia="Arial" w:hAnsi="Arial"/>
                <w:sz w:val="16"/>
                <w:szCs w:val="16"/>
                <w:color w:val="auto"/>
              </w:rPr>
              <w:t>Sempra Pipelines &amp; Storage:</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340"/>
              <w:spacing w:after="0" w:line="176" w:lineRule="exact"/>
              <w:rPr>
                <w:sz w:val="20"/>
                <w:szCs w:val="20"/>
                <w:color w:val="auto"/>
              </w:rPr>
            </w:pPr>
            <w:r>
              <w:rPr>
                <w:rFonts w:ascii="Arial" w:cs="Arial" w:eastAsia="Arial" w:hAnsi="Arial"/>
                <w:sz w:val="16"/>
                <w:szCs w:val="16"/>
                <w:color w:val="auto"/>
              </w:rPr>
              <w:t>Rockies Express</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800</w:t>
            </w:r>
          </w:p>
        </w:tc>
        <w:tc>
          <w:tcPr>
            <w:tcW w:w="1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40" w:type="dxa"/>
            <w:vAlign w:val="bottom"/>
          </w:tcPr>
          <w:p>
            <w:pPr>
              <w:ind w:left="340"/>
              <w:spacing w:after="0"/>
              <w:rPr>
                <w:sz w:val="20"/>
                <w:szCs w:val="20"/>
                <w:color w:val="auto"/>
              </w:rPr>
            </w:pPr>
            <w:r>
              <w:rPr>
                <w:rFonts w:ascii="Arial" w:cs="Arial" w:eastAsia="Arial" w:hAnsi="Arial"/>
                <w:sz w:val="16"/>
                <w:szCs w:val="16"/>
                <w:color w:val="auto"/>
              </w:rPr>
              <w:t>Gasoductos de Chihuahua</w:t>
            </w: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302</w:t>
            </w:r>
          </w:p>
        </w:tc>
        <w:tc>
          <w:tcPr>
            <w:tcW w:w="1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Pr>
          <w:p>
            <w:pPr>
              <w:ind w:left="340"/>
              <w:spacing w:after="0"/>
              <w:rPr>
                <w:sz w:val="20"/>
                <w:szCs w:val="20"/>
                <w:color w:val="auto"/>
              </w:rPr>
            </w:pPr>
            <w:r>
              <w:rPr>
                <w:rFonts w:ascii="Arial" w:cs="Arial" w:eastAsia="Arial" w:hAnsi="Arial"/>
                <w:sz w:val="16"/>
                <w:szCs w:val="16"/>
                <w:color w:val="auto"/>
              </w:rPr>
              <w:t>Chilquinta Energía(1)</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ind w:left="340"/>
              <w:spacing w:after="0" w:line="176" w:lineRule="exact"/>
              <w:rPr>
                <w:sz w:val="20"/>
                <w:szCs w:val="20"/>
                <w:color w:val="auto"/>
              </w:rPr>
            </w:pPr>
            <w:r>
              <w:rPr>
                <w:rFonts w:ascii="Arial" w:cs="Arial" w:eastAsia="Arial" w:hAnsi="Arial"/>
                <w:sz w:val="16"/>
                <w:szCs w:val="16"/>
                <w:color w:val="auto"/>
              </w:rPr>
              <w:t>Luz del Sur(1)</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Parent and other:</w:t>
            </w: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tcPr>
          <w:p>
            <w:pPr>
              <w:ind w:left="340"/>
              <w:spacing w:after="0" w:line="168" w:lineRule="exact"/>
              <w:rPr>
                <w:sz w:val="20"/>
                <w:szCs w:val="20"/>
                <w:color w:val="auto"/>
              </w:rPr>
            </w:pPr>
            <w:r>
              <w:rPr>
                <w:rFonts w:ascii="Arial" w:cs="Arial" w:eastAsia="Arial" w:hAnsi="Arial"/>
                <w:sz w:val="16"/>
                <w:szCs w:val="16"/>
                <w:color w:val="auto"/>
              </w:rPr>
              <w:t>Housing partnerships</w:t>
            </w:r>
          </w:p>
        </w:tc>
        <w:tc>
          <w:tcPr>
            <w:tcW w:w="21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660" w:type="dxa"/>
            <w:vAlign w:val="bottom"/>
            <w:gridSpan w:val="2"/>
          </w:tcPr>
          <w:p>
            <w:pPr>
              <w:spacing w:after="0" w:line="164" w:lineRule="exact"/>
              <w:rPr>
                <w:sz w:val="20"/>
                <w:szCs w:val="20"/>
                <w:color w:val="auto"/>
              </w:rPr>
            </w:pPr>
            <w:r>
              <w:rPr>
                <w:rFonts w:ascii="Arial" w:cs="Arial" w:eastAsia="Arial" w:hAnsi="Arial"/>
                <w:sz w:val="16"/>
                <w:szCs w:val="16"/>
                <w:color w:val="auto"/>
              </w:rPr>
              <w:t>Total other equity method investments</w:t>
            </w:r>
          </w:p>
        </w:tc>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Arial" w:cs="Arial" w:eastAsia="Arial" w:hAnsi="Arial"/>
                <w:sz w:val="16"/>
                <w:szCs w:val="16"/>
                <w:color w:val="auto"/>
              </w:rPr>
              <w:t>1,503</w:t>
            </w:r>
          </w:p>
        </w:tc>
        <w:tc>
          <w:tcPr>
            <w:tcW w:w="1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176"/>
        </w:trPr>
        <w:tc>
          <w:tcPr>
            <w:tcW w:w="5660" w:type="dxa"/>
            <w:vAlign w:val="bottom"/>
            <w:gridSpan w:val="2"/>
          </w:tcPr>
          <w:p>
            <w:pPr>
              <w:spacing w:after="0" w:line="176" w:lineRule="exact"/>
              <w:rPr>
                <w:sz w:val="20"/>
                <w:szCs w:val="20"/>
                <w:color w:val="auto"/>
              </w:rPr>
            </w:pPr>
            <w:r>
              <w:rPr>
                <w:rFonts w:ascii="Arial" w:cs="Arial" w:eastAsia="Arial" w:hAnsi="Arial"/>
                <w:sz w:val="16"/>
                <w:szCs w:val="16"/>
                <w:color w:val="auto"/>
              </w:rPr>
              <w:t>Cost method investments - housing partnerships</w:t>
            </w:r>
          </w:p>
        </w:tc>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1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4"/>
        </w:trPr>
        <w:tc>
          <w:tcPr>
            <w:tcW w:w="5660" w:type="dxa"/>
            <w:vAlign w:val="bottom"/>
            <w:gridSpan w:val="2"/>
          </w:tcPr>
          <w:p>
            <w:pPr>
              <w:spacing w:after="0"/>
              <w:rPr>
                <w:sz w:val="20"/>
                <w:szCs w:val="20"/>
                <w:color w:val="auto"/>
              </w:rPr>
            </w:pPr>
            <w:r>
              <w:rPr>
                <w:rFonts w:ascii="Arial" w:cs="Arial" w:eastAsia="Arial" w:hAnsi="Arial"/>
                <w:sz w:val="16"/>
                <w:szCs w:val="16"/>
                <w:color w:val="auto"/>
              </w:rPr>
              <w:t>Other(2)</w:t>
            </w:r>
          </w:p>
        </w:tc>
        <w:tc>
          <w:tcPr>
            <w:tcW w:w="21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95"/>
        </w:trPr>
        <w:tc>
          <w:tcPr>
            <w:tcW w:w="56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180" w:type="dxa"/>
            <w:vAlign w:val="bottom"/>
          </w:tcPr>
          <w:p>
            <w:pPr>
              <w:spacing w:after="0"/>
              <w:rPr>
                <w:sz w:val="16"/>
                <w:szCs w:val="16"/>
                <w:color w:val="auto"/>
              </w:rPr>
            </w:pPr>
          </w:p>
        </w:tc>
        <w:tc>
          <w:tcPr>
            <w:tcW w:w="1180" w:type="dxa"/>
            <w:vAlign w:val="bottom"/>
          </w:tcPr>
          <w:p>
            <w:pPr>
              <w:jc w:val="right"/>
              <w:ind w:right="100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1,545</w:t>
            </w: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40" w:right="140" w:hanging="632"/>
        <w:spacing w:after="0" w:line="251" w:lineRule="auto"/>
        <w:tabs>
          <w:tab w:leader="none" w:pos="640" w:val="left"/>
        </w:tabs>
        <w:numPr>
          <w:ilvl w:val="0"/>
          <w:numId w:val="316"/>
        </w:numPr>
        <w:rPr>
          <w:rFonts w:ascii="Arial" w:cs="Arial" w:eastAsia="Arial" w:hAnsi="Arial"/>
          <w:sz w:val="14"/>
          <w:szCs w:val="14"/>
          <w:i w:val="1"/>
          <w:iCs w:val="1"/>
          <w:color w:val="auto"/>
        </w:rPr>
      </w:pPr>
      <w:r>
        <w:rPr>
          <w:rFonts w:ascii="Arial" w:cs="Arial" w:eastAsia="Arial" w:hAnsi="Arial"/>
          <w:sz w:val="14"/>
          <w:szCs w:val="14"/>
          <w:i w:val="1"/>
          <w:iCs w:val="1"/>
          <w:color w:val="auto"/>
        </w:rPr>
        <w:t>Sempra Pipelines &amp; Storage’s interests in Chilquinta Energía and Luz del Sur are no longer recorded as equity method investments, but are consolidated effective April 6, 2011 (discussed below and in Note 3).</w:t>
      </w:r>
    </w:p>
    <w:p>
      <w:pPr>
        <w:ind w:left="640" w:right="140" w:hanging="632"/>
        <w:spacing w:after="0" w:line="250" w:lineRule="auto"/>
        <w:tabs>
          <w:tab w:leader="none" w:pos="640" w:val="left"/>
        </w:tabs>
        <w:numPr>
          <w:ilvl w:val="0"/>
          <w:numId w:val="316"/>
        </w:numPr>
        <w:rPr>
          <w:rFonts w:ascii="Arial" w:cs="Arial" w:eastAsia="Arial" w:hAnsi="Arial"/>
          <w:sz w:val="14"/>
          <w:szCs w:val="14"/>
          <w:i w:val="1"/>
          <w:iCs w:val="1"/>
          <w:color w:val="auto"/>
        </w:rPr>
      </w:pPr>
      <w:r>
        <w:rPr>
          <w:rFonts w:ascii="Arial" w:cs="Arial" w:eastAsia="Arial" w:hAnsi="Arial"/>
          <w:sz w:val="14"/>
          <w:szCs w:val="14"/>
          <w:i w:val="1"/>
          <w:iCs w:val="1"/>
          <w:color w:val="auto"/>
        </w:rPr>
        <w:t>Other includes Sempra Pipelines &amp; Storage’s investments in bonds, which include $57 million in Chilquinta Energía bonds at December 31, 2010 (discussed in Note 5); $21 million and $117 million in industrial development bonds at Mississippi Hub at December 31, 2011 and 2010, respectively (discussed in Note 5); and $11 million in real estate investments held by Sempra Pipelines &amp; Storage at December 31, 2011.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-1905</wp:posOffset>
            </wp:positionV>
            <wp:extent cx="348170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2" w:lineRule="exact"/>
        <w:rPr>
          <w:sz w:val="20"/>
          <w:szCs w:val="20"/>
          <w:color w:val="auto"/>
        </w:rPr>
      </w:pPr>
    </w:p>
    <w:p>
      <w:pPr>
        <w:ind w:left="6660"/>
        <w:spacing w:after="0"/>
        <w:tabs>
          <w:tab w:leader="none" w:pos="8460" w:val="left"/>
          <w:tab w:leader="none" w:pos="10300" w:val="left"/>
        </w:tabs>
        <w:rPr>
          <w:sz w:val="20"/>
          <w:szCs w:val="20"/>
          <w:color w:val="auto"/>
        </w:rPr>
      </w:pPr>
      <w:r>
        <w:rPr>
          <w:rFonts w:ascii="Arial" w:cs="Arial" w:eastAsia="Arial" w:hAnsi="Arial"/>
          <w:sz w:val="14"/>
          <w:szCs w:val="14"/>
          <w:color w:val="auto"/>
        </w:rPr>
        <w:t>2011</w:t>
      </w:r>
      <w:r>
        <w:rPr>
          <w:sz w:val="20"/>
          <w:szCs w:val="20"/>
          <w:color w:val="auto"/>
        </w:rPr>
        <w:tab/>
      </w:r>
      <w:r>
        <w:rPr>
          <w:rFonts w:ascii="Arial" w:cs="Arial" w:eastAsia="Arial" w:hAnsi="Arial"/>
          <w:sz w:val="14"/>
          <w:szCs w:val="14"/>
          <w:color w:val="auto"/>
        </w:rPr>
        <w:t>2010</w:t>
      </w:r>
      <w:r>
        <w:rPr>
          <w:sz w:val="20"/>
          <w:szCs w:val="20"/>
          <w:color w:val="auto"/>
        </w:rPr>
        <w:tab/>
      </w:r>
      <w:r>
        <w:rPr>
          <w:rFonts w:ascii="Arial" w:cs="Arial" w:eastAsia="Arial" w:hAnsi="Arial"/>
          <w:sz w:val="14"/>
          <w:szCs w:val="14"/>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recorded before income tax:</w:t>
      </w:r>
    </w:p>
    <w:p>
      <w:pPr>
        <w:spacing w:after="0"/>
        <w:rPr>
          <w:sz w:val="20"/>
          <w:szCs w:val="20"/>
          <w:color w:val="auto"/>
        </w:rPr>
      </w:pPr>
      <w:r>
        <w:rPr>
          <w:rFonts w:ascii="Arial" w:cs="Arial" w:eastAsia="Arial" w:hAnsi="Arial"/>
          <w:sz w:val="16"/>
          <w:szCs w:val="16"/>
          <w:color w:val="auto"/>
        </w:rPr>
        <w:t>Sempra Generation:</w:t>
      </w:r>
    </w:p>
    <w:p>
      <w:pPr>
        <w:sectPr>
          <w:pgSz w:w="11900" w:h="16838" w:orient="portrait"/>
          <w:cols w:equalWidth="0" w:num="1">
            <w:col w:w="11420"/>
          </w:cols>
          <w:pgMar w:left="240" w:top="131" w:right="239" w:bottom="0" w:gutter="0" w:footer="0" w:header="0"/>
          <w:type w:val="continuous"/>
        </w:sectPr>
      </w:pPr>
    </w:p>
    <w:bookmarkStart w:id="218" w:name="page219"/>
    <w:bookmarkEnd w:id="218"/>
    <w:p>
      <w:pPr>
        <w:ind w:left="180"/>
        <w:spacing w:after="0"/>
        <w:rPr>
          <w:sz w:val="20"/>
          <w:szCs w:val="20"/>
          <w:color w:val="auto"/>
        </w:rPr>
      </w:pPr>
      <w:r>
        <w:rPr>
          <w:rFonts w:ascii="Arial" w:cs="Arial" w:eastAsia="Arial" w:hAnsi="Arial"/>
          <w:sz w:val="16"/>
          <w:szCs w:val="16"/>
          <w:color w:val="auto"/>
        </w:rPr>
        <w:t>Fowler Ridge 2 Wind Farm</w:t>
      </w:r>
    </w:p>
    <w:p>
      <w:pPr>
        <w:ind w:left="180"/>
        <w:spacing w:after="0" w:line="229" w:lineRule="auto"/>
        <w:rPr>
          <w:sz w:val="20"/>
          <w:szCs w:val="20"/>
          <w:color w:val="auto"/>
        </w:rPr>
      </w:pPr>
      <w:r>
        <w:rPr>
          <w:rFonts w:ascii="Arial" w:cs="Arial" w:eastAsia="Arial" w:hAnsi="Arial"/>
          <w:sz w:val="16"/>
          <w:szCs w:val="16"/>
          <w:color w:val="auto"/>
        </w:rPr>
        <w:t>Cedar Creek 2 Wind Farm</w:t>
      </w:r>
    </w:p>
    <w:p>
      <w:pPr>
        <w:ind w:left="180"/>
        <w:spacing w:after="0" w:line="229" w:lineRule="auto"/>
        <w:rPr>
          <w:sz w:val="20"/>
          <w:szCs w:val="20"/>
          <w:color w:val="auto"/>
        </w:rPr>
      </w:pPr>
      <w:r>
        <w:rPr>
          <w:rFonts w:ascii="Arial" w:cs="Arial" w:eastAsia="Arial" w:hAnsi="Arial"/>
          <w:sz w:val="16"/>
          <w:szCs w:val="16"/>
          <w:color w:val="auto"/>
        </w:rPr>
        <w:t>Elk Hills Power</w:t>
      </w:r>
    </w:p>
    <w:p>
      <w:pPr>
        <w:spacing w:after="0" w:line="229" w:lineRule="auto"/>
        <w:rPr>
          <w:sz w:val="20"/>
          <w:szCs w:val="20"/>
          <w:color w:val="auto"/>
        </w:rPr>
      </w:pPr>
      <w:r>
        <w:rPr>
          <w:rFonts w:ascii="Arial" w:cs="Arial" w:eastAsia="Arial" w:hAnsi="Arial"/>
          <w:sz w:val="16"/>
          <w:szCs w:val="16"/>
          <w:color w:val="auto"/>
        </w:rPr>
        <w:t>Sempra Pipelines &amp; Storage:</w:t>
      </w:r>
    </w:p>
    <w:p>
      <w:pPr>
        <w:ind w:left="180"/>
        <w:spacing w:after="0" w:line="229" w:lineRule="auto"/>
        <w:rPr>
          <w:sz w:val="20"/>
          <w:szCs w:val="20"/>
          <w:color w:val="auto"/>
        </w:rPr>
      </w:pPr>
      <w:r>
        <w:rPr>
          <w:rFonts w:ascii="Arial" w:cs="Arial" w:eastAsia="Arial" w:hAnsi="Arial"/>
          <w:sz w:val="16"/>
          <w:szCs w:val="16"/>
          <w:color w:val="auto"/>
        </w:rPr>
        <w:t>Rockies Express</w:t>
      </w:r>
    </w:p>
    <w:p>
      <w:pPr>
        <w:spacing w:after="0" w:line="229" w:lineRule="auto"/>
        <w:rPr>
          <w:sz w:val="20"/>
          <w:szCs w:val="20"/>
          <w:color w:val="auto"/>
        </w:rPr>
      </w:pPr>
      <w:r>
        <w:rPr>
          <w:rFonts w:ascii="Arial" w:cs="Arial" w:eastAsia="Arial" w:hAnsi="Arial"/>
          <w:sz w:val="16"/>
          <w:szCs w:val="16"/>
          <w:color w:val="auto"/>
        </w:rPr>
        <w:t>Parent and other:</w:t>
      </w:r>
    </w:p>
    <w:p>
      <w:pPr>
        <w:ind w:left="180"/>
        <w:spacing w:after="0" w:line="229" w:lineRule="auto"/>
        <w:rPr>
          <w:sz w:val="20"/>
          <w:szCs w:val="20"/>
          <w:color w:val="auto"/>
        </w:rPr>
      </w:pPr>
      <w:r>
        <w:rPr>
          <w:rFonts w:ascii="Arial" w:cs="Arial" w:eastAsia="Arial" w:hAnsi="Arial"/>
          <w:sz w:val="16"/>
          <w:szCs w:val="16"/>
          <w:color w:val="auto"/>
        </w:rPr>
        <w:t>RBS Sempra Commodities LLP</w:t>
      </w:r>
    </w:p>
    <w:p>
      <w:pPr>
        <w:spacing w:after="0"/>
        <w:rPr>
          <w:sz w:val="20"/>
          <w:szCs w:val="20"/>
          <w:color w:val="auto"/>
        </w:rPr>
      </w:pPr>
      <w:r>
        <w:rPr>
          <w:rFonts w:ascii="Arial" w:cs="Arial" w:eastAsia="Arial" w:hAnsi="Arial"/>
          <w:sz w:val="16"/>
          <w:szCs w:val="16"/>
          <w:color w:val="auto"/>
        </w:rPr>
        <w:t>All other:</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Housing partnerships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recorded net of income tax:</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Sempra Pipelines &amp; Storage:</w:t>
      </w:r>
    </w:p>
    <w:p>
      <w:pPr>
        <w:ind w:left="180"/>
        <w:spacing w:after="0" w:line="229" w:lineRule="auto"/>
        <w:rPr>
          <w:sz w:val="20"/>
          <w:szCs w:val="20"/>
          <w:color w:val="auto"/>
        </w:rPr>
      </w:pPr>
      <w:r>
        <w:rPr>
          <w:rFonts w:ascii="Arial" w:cs="Arial" w:eastAsia="Arial" w:hAnsi="Arial"/>
          <w:sz w:val="16"/>
          <w:szCs w:val="16"/>
          <w:color w:val="auto"/>
        </w:rPr>
        <w:t>Sodigas Pampeana and Sodigas Sur</w:t>
      </w:r>
    </w:p>
    <w:p>
      <w:pPr>
        <w:ind w:left="180"/>
        <w:spacing w:after="0" w:line="229" w:lineRule="auto"/>
        <w:rPr>
          <w:sz w:val="20"/>
          <w:szCs w:val="20"/>
          <w:color w:val="auto"/>
        </w:rPr>
      </w:pPr>
      <w:r>
        <w:rPr>
          <w:rFonts w:ascii="Arial" w:cs="Arial" w:eastAsia="Arial" w:hAnsi="Arial"/>
          <w:sz w:val="16"/>
          <w:szCs w:val="16"/>
          <w:color w:val="auto"/>
        </w:rPr>
        <w:t>Gasoductos de Chihuahua</w:t>
      </w:r>
    </w:p>
    <w:p>
      <w:pPr>
        <w:ind w:left="180"/>
        <w:spacing w:after="0"/>
        <w:rPr>
          <w:sz w:val="20"/>
          <w:szCs w:val="20"/>
          <w:color w:val="auto"/>
        </w:rPr>
      </w:pPr>
      <w:r>
        <w:rPr>
          <w:rFonts w:ascii="Arial" w:cs="Arial" w:eastAsia="Arial" w:hAnsi="Arial"/>
          <w:sz w:val="16"/>
          <w:szCs w:val="16"/>
          <w:color w:val="auto"/>
        </w:rPr>
        <w:t>Chilquinta Energía(1)</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Luz del Sur(1)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980" w:type="dxa"/>
            <w:vAlign w:val="bottom"/>
          </w:tcPr>
          <w:p>
            <w:pPr>
              <w:spacing w:after="0"/>
              <w:rPr>
                <w:sz w:val="15"/>
                <w:szCs w:val="15"/>
                <w:color w:val="auto"/>
              </w:rPr>
            </w:pPr>
          </w:p>
        </w:tc>
        <w:tc>
          <w:tcPr>
            <w:tcW w:w="10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w:t>
            </w:r>
          </w:p>
        </w:tc>
        <w:tc>
          <w:tcPr>
            <w:tcW w:w="780" w:type="dxa"/>
            <w:vAlign w:val="bottom"/>
          </w:tcPr>
          <w:p>
            <w:pPr>
              <w:spacing w:after="0"/>
              <w:rPr>
                <w:sz w:val="15"/>
                <w:szCs w:val="15"/>
                <w:color w:val="auto"/>
              </w:rPr>
            </w:pPr>
          </w:p>
        </w:tc>
        <w:tc>
          <w:tcPr>
            <w:tcW w:w="106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5"/>
        </w:trPr>
        <w:tc>
          <w:tcPr>
            <w:tcW w:w="98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8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51"/>
        </w:trPr>
        <w:tc>
          <w:tcPr>
            <w:tcW w:w="98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780" w:type="dxa"/>
            <w:vAlign w:val="bottom"/>
          </w:tcPr>
          <w:p>
            <w:pPr>
              <w:spacing w:after="0"/>
              <w:rPr>
                <w:sz w:val="24"/>
                <w:szCs w:val="24"/>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43</w:t>
            </w:r>
          </w:p>
        </w:tc>
        <w:tc>
          <w:tcPr>
            <w:tcW w:w="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51"/>
        </w:trPr>
        <w:tc>
          <w:tcPr>
            <w:tcW w:w="98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78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(314)</w:t>
            </w:r>
          </w:p>
        </w:tc>
        <w:tc>
          <w:tcPr>
            <w:tcW w:w="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351"/>
        </w:trPr>
        <w:tc>
          <w:tcPr>
            <w:tcW w:w="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83"/>
        </w:trPr>
        <w:tc>
          <w:tcPr>
            <w:tcW w:w="98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9</w:t>
            </w:r>
          </w:p>
        </w:tc>
        <w:tc>
          <w:tcPr>
            <w:tcW w:w="780" w:type="dxa"/>
            <w:vAlign w:val="bottom"/>
            <w:tcBorders>
              <w:bottom w:val="single" w:sz="8" w:color="auto"/>
            </w:tcBorders>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(292)</w:t>
            </w:r>
          </w:p>
        </w:tc>
        <w:tc>
          <w:tcPr>
            <w:tcW w:w="80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499</w:t>
            </w:r>
          </w:p>
        </w:tc>
      </w:tr>
      <w:tr>
        <w:trPr>
          <w:trHeight w:val="691"/>
        </w:trPr>
        <w:tc>
          <w:tcPr>
            <w:tcW w:w="9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76"/>
        </w:trPr>
        <w:tc>
          <w:tcPr>
            <w:tcW w:w="980" w:type="dxa"/>
            <w:vAlign w:val="bottom"/>
          </w:tcPr>
          <w:p>
            <w:pPr>
              <w:spacing w:after="0"/>
              <w:rPr>
                <w:sz w:val="15"/>
                <w:szCs w:val="15"/>
                <w:color w:val="auto"/>
              </w:rPr>
            </w:pPr>
          </w:p>
        </w:tc>
        <w:tc>
          <w:tcPr>
            <w:tcW w:w="10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29</w:t>
            </w:r>
          </w:p>
        </w:tc>
        <w:tc>
          <w:tcPr>
            <w:tcW w:w="780" w:type="dxa"/>
            <w:vAlign w:val="bottom"/>
          </w:tcPr>
          <w:p>
            <w:pPr>
              <w:spacing w:after="0"/>
              <w:rPr>
                <w:sz w:val="15"/>
                <w:szCs w:val="15"/>
                <w:color w:val="auto"/>
              </w:rPr>
            </w:pPr>
          </w:p>
        </w:tc>
        <w:tc>
          <w:tcPr>
            <w:tcW w:w="106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19</w:t>
            </w:r>
          </w:p>
        </w:tc>
        <w:tc>
          <w:tcPr>
            <w:tcW w:w="8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980" w:type="dxa"/>
            <w:vAlign w:val="bottom"/>
          </w:tcPr>
          <w:p>
            <w:pPr>
              <w:spacing w:after="0"/>
              <w:rPr>
                <w:sz w:val="15"/>
                <w:szCs w:val="15"/>
                <w:color w:val="auto"/>
              </w:rPr>
            </w:pPr>
          </w:p>
        </w:tc>
        <w:tc>
          <w:tcPr>
            <w:tcW w:w="10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12</w:t>
            </w:r>
          </w:p>
        </w:tc>
        <w:tc>
          <w:tcPr>
            <w:tcW w:w="780" w:type="dxa"/>
            <w:vAlign w:val="bottom"/>
          </w:tcPr>
          <w:p>
            <w:pPr>
              <w:spacing w:after="0"/>
              <w:rPr>
                <w:sz w:val="15"/>
                <w:szCs w:val="15"/>
                <w:color w:val="auto"/>
              </w:rPr>
            </w:pPr>
          </w:p>
        </w:tc>
        <w:tc>
          <w:tcPr>
            <w:tcW w:w="106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33</w:t>
            </w:r>
          </w:p>
        </w:tc>
        <w:tc>
          <w:tcPr>
            <w:tcW w:w="8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r>
      <w:tr>
        <w:trPr>
          <w:trHeight w:val="194"/>
        </w:trPr>
        <w:tc>
          <w:tcPr>
            <w:tcW w:w="9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w:t>
            </w: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41</w:t>
            </w:r>
          </w:p>
        </w:tc>
        <w:tc>
          <w:tcPr>
            <w:tcW w:w="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195"/>
        </w:trPr>
        <w:tc>
          <w:tcPr>
            <w:tcW w:w="9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52</w:t>
            </w:r>
          </w:p>
        </w:tc>
        <w:tc>
          <w:tcPr>
            <w:tcW w:w="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49</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-11430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20" w:space="720"/>
            <w:col w:w="5480"/>
          </w:cols>
          <w:pgMar w:left="240" w:top="120" w:right="239" w:bottom="0" w:gutter="0" w:footer="0" w:header="0"/>
        </w:sectPr>
      </w:pPr>
    </w:p>
    <w:p>
      <w:pPr>
        <w:ind w:left="600" w:right="120" w:hanging="592"/>
        <w:spacing w:after="0" w:line="277" w:lineRule="auto"/>
        <w:tabs>
          <w:tab w:leader="none" w:pos="600" w:val="left"/>
        </w:tabs>
        <w:numPr>
          <w:ilvl w:val="0"/>
          <w:numId w:val="317"/>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were accounted for under the equity method until April 6, 2011, when they became consolidated entities upon our acquisition of additional ownership interests.</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share of the undistributed earnings of equity method investments was $78 million and $570 million at December 31, 2011 and 2010, respectively. Our undistributed earnings decreased in 2011 due to our consolidation of Chilquinta Energía and Luz del Sur. The December 31, 2011 balance also does not include remaining distributions of $126 million associated with our investment in RBS Sempra Commodities, which we expect to receive from the partnership in 2012. However, minor amounts may be retained by the partnership beyond 2012 to help offset unanticipated future general and administrative costs necessary to complete the dissolution of the partnership.</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Equity method goodwill related to our unconsolidated subsidiaries located in Mexico and in South America (prior to the acquisition of AEI’s interests in Chilquinta Energía and Luz del Sur, as discussed in Note 3), is included in Other Investments on the Sempra Energy Consolidated Balance Sheets. These amounts, before foreign currency translation adjustments, were $64 million at December 31, 2011 and $317 million at December 31, 2010. Including foreign currency translation adjustments, these amounts were</w:t>
      </w:r>
    </w:p>
    <w:p>
      <w:pPr>
        <w:spacing w:after="0" w:line="187" w:lineRule="exact"/>
        <w:rPr>
          <w:sz w:val="20"/>
          <w:szCs w:val="20"/>
          <w:color w:val="auto"/>
        </w:rPr>
      </w:pPr>
    </w:p>
    <w:p>
      <w:pPr>
        <w:ind w:left="340" w:hanging="188"/>
        <w:spacing w:after="0"/>
        <w:tabs>
          <w:tab w:leader="none" w:pos="3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$64 million at December 31,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$333 million at December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equity method investments below.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GENERATION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Sempra Generation accounts for its investments in all of the following projects using the equity method.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December 2011, Sempra Generation invested $146 million in a joint venture with BP Wind Energy, a wholly owned subsidiary of BP p.l.c., to develop the planned 419-MW Flat Ridge 2 Wind Farm project near Wichita, Kansas.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December 2011, Sempra Generation invested $88 million in a joint venture with BP Wind Energy to develop the planned 141-MW Mehoopany Wind Farm project near Wyoming County, Pennsylvania.</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October 2011, Sempra Generation formed a joint venture with BP Wind Energy to develop the Auwahi Wind project in the southeastern region of Maui, a project that was previously wholly owned by Sempra Generation.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550-MW Elk Hills Power (Elk Hills) plant located near Bakersfield, California began commercial operations in July 2003. On December 31, 2010,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Sempra Generation sold its 50-percent interest to Occidental Petroleum Corporation, Inc. for a cash purchase price plus year-end cash distribution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$179 million. In connection with the sale, Sempra Generation recorded a $10 million pretax loss that is included in Equity Earnings (Losses), Before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 Other on the Consolidated Statement of Operations for the year ended December 31, 2010.</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October 2010, Sempra Generation invested $209 million to become an equal partner with BP Wind Energy to develop the 250-MW Cedar Creek 2 project near New Raymer, Colorado, which became operational in June 2011. Upon obtaining a construction loan in December 2010, the joint venture returned $96 million of Sempra Generation’s investment.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2009, Sempra Generation invested $235 million to become an equal partner with BP Wind Energy to develop the 200-MW Fowler Ridge 2 project near Indianapolis, Indiana, which became operational in December 2009. In August 2010, Sempra Generation received a $180 million return of capital from Fowler Ridge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discuss Cedar Creek 2 and Fowler Ridge 2 further in Note 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PIPELINES &amp; STORAGE</w:t>
      </w:r>
    </w:p>
    <w:p>
      <w:pPr>
        <w:spacing w:after="0" w:line="23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discussed in Note 3, on April 6, 2011, Sempra Pipelines &amp; Storage acquired from AEI its interests in Chilquinta Energía in Chile and Luz del Sur in Peru, and their subsidiaries. Prior to the acquisition, Sempra Pipelines &amp; Storage and AEI each owned 50 percent of Chilquinta Energía and approximately 38 percent of Luz del Sur. Chilquinta Energía and Luz del Sur are consolidated effective April 6, 2011 and are no longer recorded as equity method investments.</w:t>
      </w:r>
    </w:p>
    <w:p>
      <w:pPr>
        <w:spacing w:after="0" w:line="14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Sempra Pipelines &amp; Storage owns a 25-percent interest in Rockies Express, a partnership that operates a natural gas pipeline, the Rockies Express Pipeline (REX), that links producing areas in the Rocky Mountain region to the upper Midwest and the eastern United States. Kinder Morgan Energy Partners, L.P. (KMP) and ConocoPhillips (Conoco) own the remaining interests of 50 percent and 25 percent, respectively. Our total investment in Rockies Express is accounted for as an equity method investment. We made investments in Rockies Express of $65 million in 2010 and $625 million in 2009.</w:t>
      </w:r>
    </w:p>
    <w:p>
      <w:pPr>
        <w:sectPr>
          <w:pgSz w:w="11900" w:h="16838" w:orient="portrait"/>
          <w:cols w:equalWidth="0" w:num="1">
            <w:col w:w="11420"/>
          </w:cols>
          <w:pgMar w:left="240" w:top="120" w:right="239" w:bottom="0" w:gutter="0" w:footer="0" w:header="0"/>
          <w:type w:val="continuous"/>
        </w:sectPr>
      </w:pPr>
    </w:p>
    <w:bookmarkStart w:id="219" w:name="page220"/>
    <w:bookmarkEnd w:id="219"/>
    <w:p>
      <w:pPr>
        <w:spacing w:after="0" w:line="10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Sempra Pipelines &amp; Storage owns a 50-percent interest in Gasoductos de Chihuahua, a joint venture with PEMEX. The joint venture operates two natural gas pipelines and a propane system in northern Mexico. Sempra Pipelines &amp; Storage acquired its investment in Gasoductos de Chihuahua as part of the purchase of Mexican pipeline and natural gas infrastructure assets that we discuss in Note 3.</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Sempra Pipelines &amp; Storage owns 43 percent of two Argentine natural gas utility holding companies, Sodigas Pampeana and Sodigas Sur. As a result of the devaluation of the Argentine peso at the end of 2001 and subsequent changes in the value of the peso, Sempra Pipelines &amp; Storage reduced the carrying value of its investment by a cumulative total of $270 million as of December 31, 2011. These noncash adjustments, based on fluctuations in the value of the Argentine peso, did not affect earnings, but were recorded in Comprehensive Income and Accumulated Other Comprehensive Income (Loss). The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at the International Center for the Settlement of Investment Disputes (ICSID) under the 1994 Bilateral Investment Treaty between the United States and Argentina for recovery of the diminution of the value of its investments that has resulted from Argentine governmental actions. In September 2007, the tribunal awarded us compensation of $172 million, which included interest up to the award date. In January 2008, Argentina filed an action at the ICSID seeking to annul the award. In June 2010, the Annulment Committee granted Argentina’s petition for annulment of the award. This action did not impact our earnings, as we did not record the original award pending assurance of collectability. On November 3, 2010, Sempra Pipelines &amp; Storage resubmitted arbitration proceedings against Argentina before the ICSID on the same and similar grounds as the 2002 filing.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In a separate but related proceeding related to our political risk insurance policy, we negotiated a $48 million settlement that was collected in September 2010.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proceeds from the settlement are reported in Other Income, Net, on the Consolidated Statement of Operations for the year ended December 31, 2010.</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2006, we decided to sell our Argentine investments, and we continue to actively pursue their sale. We adjusted our investments to estimated fair value and recorded a noncash impairment charge to 2006 earnings of $221 million. In September 2010, we concluded that, although the ICSID claim had been annulled as discussed above, rate increases sought in Argentina would continue to be delayed. We believe this continued uncertainty has impacted the fair value of our net investment in the two Argentine companies, and recorded a noncash impairment charge of $24 million in the third quarter of 2010. The Sodigas Pampeana and Sodigas Sur fair value was significantly impacted by unobservable inputs (i.e., Level 3 inputs) as defined by the accounting guidance for fair value measurements, which we discuss in Note 11. The inputs included discount rates and estimated future cash flows. Such cash flows considered the value of those businesses with positive cash flows, the value of the non-operating assets, and the probability-weighted value of anticipated rate increases, considering both the timing and magnitude of such increases. In the fourth quarter of 2010, based on our continuing intention to sell the investments and recent comparable transactions in the Argentine energy market, we recorded an additional noncash impairment charge of $20 million. Also in the fourth quarter of 2010, we recorded an income tax benefit of $15 million related to the impairment charges. These pretax adjustments to fair value are reported in Equity Earnings, Net of Income Tax, while the related tax benefit is reported in Income Tax Expense on the Consolidated Statement of Operations for the year ended December 31, 2010.</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RBS Sempra Commodities is a United Kingdom limited liability partnership formed by Sempra Energy and RBS in 2008 to own and operate the commodities-marketing businesses previously operated through wholly owned subsidiaries of Sempra Energy. We account for our investment in RBS Sempra Commodities under the equity method. Our share of partnership earnings is reported in the Parent and Other business unit. Prior to September 1, 2010, subject to certain limited exceptions, partnership pretax income was allocated each year as follows:</w:t>
      </w:r>
    </w:p>
    <w:p>
      <w:pPr>
        <w:spacing w:after="0" w:line="187" w:lineRule="exact"/>
        <w:rPr>
          <w:sz w:val="20"/>
          <w:szCs w:val="20"/>
          <w:color w:val="auto"/>
        </w:rPr>
      </w:pPr>
    </w:p>
    <w:p>
      <w:pPr>
        <w:ind w:left="340" w:hanging="188"/>
        <w:spacing w:after="0"/>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First, we received a preferred 15-percent return on our adjusted equity capital.</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Next, RBS received a preferred 15-percent return on any capital in excess of capital attributable to us that was required by the U.K. Financial Services Authority to be maintained by RBS in respect of the operations of the partnership.</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Next, we received 70 percent of the next $500 million in pretax income; RBS received the remaining 30 percent.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Then, we received 30 percent and RBS received 70 percent of any remaining pretax income.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losses of the partnership were shared equally between us and RBS.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Subsequent to September 1, 2010, partnership pretax income or loss is allocated equally between us and RBS.</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Pretax equity earnings (losses) from RBS Sempra Commodities were $(24) million, $(314) million, and $463 million for the years ended December 31, 2011, 2010 and 2009, respectively. The partnership income that is distributable to us on an annual basis is computed on the partnership’s basis of accounting, IFRS, as adopted by the European Union. For the year ended December 31, 2011, our share of net loss on an IFRS basis was $30 million. For the years ended December 31, 2010, and 2009 our share of distributable income, on an IFRS basis, was $53 million and $300 million, respectively. Included in our pretax equity losses are impairment charges of $16 million in 2011 and $305 million in 2010. These impairments resulted from adjustments to the carrying value of our investment in the partnership at certain reporting dates. We recorded the $305 million charge ($139 million after-tax) to reduce the investment in the partnership in the third quarter of 2010, as projected cash distributions from RBS Sempra Commodities, including proceeds from the sale of the partnership’s businesses and net of expected transition costs, were not expected to fully recover the goodwill included in the carrying value of our investment in the partnership. We recorded a pretax noncash charge of $16 million ($10 million after-tax) in the third quarter of 2011 to further reduce our investment, primarily to reflect additional amounts incurred to conclude the sales of the partnership’s businesses. These charges are included in Equity Earnings (Losses), Before Income Tax — RBS Sempra Commodities LLP, on our Consolidated Statements of Operations. In 2011 and 2010, the fair value of our investment in RBS Sempra Commodities was significantly impacted by unobservable inputs (i.e. Level 3 inputs) as defined by the accounting guidance for fair value measurements, which we discuss in Note 11. The inputs included estimated future cash distributions expected from the partnership, excluding the impact of costs anticipated for transactions that had not closed at the time of fair value measurement. The investment balance of $126 million at December 31, 2011 reflects remaining distributions expected to be received from the partnership in 2012, although minor amounts may be retained by the partnership beyond 2012 to help offset unanticipated future general and administrative costs necessary to complete the dissolution of the partnership.</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November 2009, our partner in the joint venture, RBS, announced its intention to divest its interest in RBS Sempra Commodities in connection with a directive from the European Commission to dispose of certain assets. In February 2010, Sempra Energy, RBS and the partnership entered into an agreement with J.P. Morgan Ventures Energy Corporation (J.P. Morgan Ventures), a unit of J.P. Morgan Chase &amp; Co. (JP Morgan), for J.P. Morgan Ventures to purchase the global metals and oil businesses and the European natural gas and power business from the joint venture. This transaction was completed on July 1, 2010, and we received our share of the proceeds in the third quarter of 2010. The purchase price was $1.6 billion, and our share of the proceeds was approximately</w:t>
      </w:r>
    </w:p>
    <w:p>
      <w:pPr>
        <w:sectPr>
          <w:pgSz w:w="11900" w:h="16941" w:orient="portrait"/>
          <w:cols w:equalWidth="0" w:num="1">
            <w:col w:w="11420"/>
          </w:cols>
          <w:pgMar w:left="240" w:top="125" w:right="239" w:bottom="0" w:gutter="0" w:footer="0" w:header="0"/>
        </w:sectPr>
      </w:pPr>
    </w:p>
    <w:bookmarkStart w:id="220" w:name="page221"/>
    <w:bookmarkEnd w:id="220"/>
    <w:p>
      <w:pPr>
        <w:ind w:right="60"/>
        <w:spacing w:after="0" w:line="277" w:lineRule="auto"/>
        <w:rPr>
          <w:sz w:val="20"/>
          <w:szCs w:val="20"/>
          <w:color w:val="auto"/>
        </w:rPr>
      </w:pPr>
      <w:r>
        <w:rPr>
          <w:rFonts w:ascii="Arial" w:cs="Arial" w:eastAsia="Arial" w:hAnsi="Arial"/>
          <w:sz w:val="18"/>
          <w:szCs w:val="18"/>
          <w:color w:val="auto"/>
        </w:rPr>
        <w:t>$1 billion, including distributions of 2009 partnership income attributable to the businesses sold, which were $134 million of the $198 million in distributions we received in April 2010 discussed below.</w:t>
      </w:r>
    </w:p>
    <w:p>
      <w:pPr>
        <w:spacing w:after="0" w:line="170"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This sale to J.P. Morgan Ventures did not include RBS Sempra Commodities’ North American power and natural gas trading businesses and its retail energy solutions business. In September 2010, Noble Group Ltd. (Noble Group) agreed to acquire the U.S. retail commodity marketing business of the RBS Sempra Commodities joint venture for $318 million in cash, plus assumption of all debt, and the transaction closed on November 1, 2010. In October 2010, J.P.</w:t>
      </w:r>
    </w:p>
    <w:p>
      <w:pPr>
        <w:ind w:right="100"/>
        <w:spacing w:after="0" w:line="253" w:lineRule="auto"/>
        <w:rPr>
          <w:sz w:val="20"/>
          <w:szCs w:val="20"/>
          <w:color w:val="auto"/>
        </w:rPr>
      </w:pPr>
      <w:r>
        <w:rPr>
          <w:rFonts w:ascii="Arial" w:cs="Arial" w:eastAsia="Arial" w:hAnsi="Arial"/>
          <w:sz w:val="18"/>
          <w:szCs w:val="18"/>
          <w:color w:val="auto"/>
        </w:rPr>
        <w:t>Morgan Ventures agreed to purchase most of the remaining assets of RBS Sempra Commodities. The assets sold included the joint venture’s wholesale natural gas and power trading agreements, as well as over-the-counter and exchange-traded transactions, with counterparties across North America. This transaction closed on December 1, 2010 and essentially completed the divestiture of the joint venture’s principal businesses and assets. In February 2011, the partnership’s remaining trading systems and certain residual assets were sold to Société Générale. Distributions in 2010 related to the completed sales transactions were $849 million.</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April 15, 2011, we and RBS entered into a letter agreement (Letter Agreement) which amended certain provisions of the agreements that formed RBS Sempra Commodities. The Letter Agreement addresses the wind-down of the partnership and the distribution of the partnership’s remaining assets. In accordance with the Letter Agreement, we received distributions of $623 million in 2011. These distributions included sales proceeds and our portion of 2010 distributable income totaling $651 million, less amounts to settle certain liabilities that we owed to RBS of $28 million. We received cash distributions of earnings from the partnership of $198 million and $407 million in 2010 and 2009, respectively. The Letter Agreement affirms that RBS Sempra Commodities will consider additional distributions of capital after taking into account various factors including available cash, the need for prudent reserves, potential payouts to the purchasers of the partnership’s businesses, and any accrued or projected future operating losses or other wind-down expenses of the partnership. At December 31, 2011, the transfer of trading accounts to the buyers of the businesses, including J.P. Morgan Ventures, is essentially complete, including the collection of accounts receivable and trading margin, as applicable. Accordingly, cash availability is not significantly impacted by remaining trading accounts. Under the Letter Agreement, future distributions will generally be made 51 percent to RBS, and 49 percent to us. The Letter Agreement also allows RBS Sempra Commodities to make capital calls to us, subject to certain limits, if necessary to support the remaining operations, for other liabilities or for other payments owed in connection with the sales transactions (subject to additional limitations). We do not anticipate any such capital calls.</w:t>
      </w:r>
    </w:p>
    <w:p>
      <w:pPr>
        <w:spacing w:after="0" w:line="1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connection with the Letter Agreement described above, we also released RBS from its indemnification obligations with respect to the items for which JP Morgan has agreed to indemnify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summarized financial information for RBS Sempra Commodities (on a GAAP basis):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RBS SEMPRA COMMODITIES SUMMARIZED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5700" w:type="dxa"/>
            <w:vAlign w:val="bottom"/>
          </w:tcPr>
          <w:p>
            <w:pPr>
              <w:spacing w:after="0" w:line="164" w:lineRule="exact"/>
              <w:rPr>
                <w:sz w:val="20"/>
                <w:szCs w:val="20"/>
                <w:color w:val="auto"/>
              </w:rPr>
            </w:pPr>
            <w:r>
              <w:rPr>
                <w:rFonts w:ascii="Arial" w:cs="Arial" w:eastAsia="Arial" w:hAnsi="Arial"/>
                <w:sz w:val="16"/>
                <w:szCs w:val="16"/>
                <w:color w:val="auto"/>
              </w:rPr>
              <w:t>Gross revenues and fee income</w:t>
            </w:r>
          </w:p>
        </w:tc>
        <w:tc>
          <w:tcPr>
            <w:tcW w:w="1340" w:type="dxa"/>
            <w:vAlign w:val="bottom"/>
          </w:tcPr>
          <w:p>
            <w:pPr>
              <w:jc w:val="right"/>
              <w:ind w:right="963"/>
              <w:spacing w:after="0" w:line="164"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line="164" w:lineRule="exact"/>
              <w:rPr>
                <w:sz w:val="20"/>
                <w:szCs w:val="20"/>
                <w:color w:val="auto"/>
              </w:rPr>
            </w:pPr>
            <w:r>
              <w:rPr>
                <w:rFonts w:ascii="Arial" w:cs="Arial" w:eastAsia="Arial" w:hAnsi="Arial"/>
                <w:sz w:val="16"/>
                <w:szCs w:val="16"/>
                <w:color w:val="auto"/>
              </w:rPr>
              <w:t>59</w:t>
            </w:r>
          </w:p>
        </w:tc>
        <w:tc>
          <w:tcPr>
            <w:tcW w:w="1340" w:type="dxa"/>
            <w:vAlign w:val="bottom"/>
          </w:tcPr>
          <w:p>
            <w:pPr>
              <w:jc w:val="right"/>
              <w:ind w:right="804"/>
              <w:spacing w:after="0" w:line="164"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1,028</w:t>
            </w:r>
          </w:p>
        </w:tc>
        <w:tc>
          <w:tcPr>
            <w:tcW w:w="78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2,179</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Gross profit</w:t>
            </w:r>
          </w:p>
        </w:tc>
        <w:tc>
          <w:tcPr>
            <w:tcW w:w="1340" w:type="dxa"/>
            <w:vAlign w:val="bottom"/>
          </w:tcPr>
          <w:p>
            <w:pPr>
              <w:spacing w:after="0"/>
              <w:rPr>
                <w:sz w:val="15"/>
                <w:szCs w:val="15"/>
                <w:color w:val="auto"/>
              </w:rPr>
            </w:pP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8</w:t>
            </w:r>
          </w:p>
        </w:tc>
        <w:tc>
          <w:tcPr>
            <w:tcW w:w="134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553</w:t>
            </w:r>
          </w:p>
        </w:tc>
        <w:tc>
          <w:tcPr>
            <w:tcW w:w="7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1,461</w:t>
            </w:r>
          </w:p>
        </w:tc>
      </w:tr>
      <w:tr>
        <w:trPr>
          <w:trHeight w:val="194"/>
        </w:trPr>
        <w:tc>
          <w:tcPr>
            <w:tcW w:w="5720" w:type="dxa"/>
            <w:vAlign w:val="bottom"/>
            <w:gridSpan w:val="2"/>
          </w:tcPr>
          <w:p>
            <w:pPr>
              <w:spacing w:after="0"/>
              <w:rPr>
                <w:sz w:val="20"/>
                <w:szCs w:val="20"/>
                <w:color w:val="auto"/>
              </w:rPr>
            </w:pPr>
            <w:r>
              <w:rPr>
                <w:rFonts w:ascii="Arial" w:cs="Arial" w:eastAsia="Arial" w:hAnsi="Arial"/>
                <w:sz w:val="16"/>
                <w:szCs w:val="16"/>
                <w:color w:val="auto"/>
              </w:rPr>
              <w:t>Partnership net (loss) income</w:t>
            </w:r>
          </w:p>
        </w:tc>
        <w:tc>
          <w:tcPr>
            <w:tcW w:w="1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3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(169)</w:t>
            </w:r>
          </w:p>
        </w:tc>
        <w:tc>
          <w:tcPr>
            <w:tcW w:w="7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345"/>
        </w:trPr>
        <w:tc>
          <w:tcPr>
            <w:tcW w:w="20" w:type="dxa"/>
            <w:vAlign w:val="bottom"/>
          </w:tcPr>
          <w:p>
            <w:pPr>
              <w:spacing w:after="0"/>
              <w:rPr>
                <w:sz w:val="24"/>
                <w:szCs w:val="24"/>
                <w:color w:val="auto"/>
              </w:rPr>
            </w:pPr>
          </w:p>
        </w:tc>
        <w:tc>
          <w:tcPr>
            <w:tcW w:w="5700" w:type="dxa"/>
            <w:vAlign w:val="bottom"/>
            <w:tcBorders>
              <w:top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gridSpan w:val="2"/>
          </w:tcPr>
          <w:p>
            <w:pPr>
              <w:jc w:val="right"/>
              <w:ind w:right="764"/>
              <w:spacing w:after="0"/>
              <w:rPr>
                <w:sz w:val="20"/>
                <w:szCs w:val="20"/>
                <w:color w:val="auto"/>
              </w:rPr>
            </w:pPr>
            <w:r>
              <w:rPr>
                <w:rFonts w:ascii="Arial" w:cs="Arial" w:eastAsia="Arial" w:hAnsi="Arial"/>
                <w:sz w:val="14"/>
                <w:szCs w:val="14"/>
                <w:color w:val="auto"/>
              </w:rPr>
              <w:t>At December 31,</w:t>
            </w:r>
          </w:p>
        </w:tc>
        <w:tc>
          <w:tcPr>
            <w:tcW w:w="5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700" w:type="dxa"/>
            <w:vAlign w:val="bottom"/>
          </w:tcPr>
          <w:p>
            <w:pPr>
              <w:spacing w:after="0" w:line="164" w:lineRule="exact"/>
              <w:rPr>
                <w:sz w:val="20"/>
                <w:szCs w:val="20"/>
                <w:color w:val="auto"/>
              </w:rPr>
            </w:pPr>
            <w:r>
              <w:rPr>
                <w:rFonts w:ascii="Arial" w:cs="Arial" w:eastAsia="Arial" w:hAnsi="Arial"/>
                <w:sz w:val="16"/>
                <w:szCs w:val="16"/>
                <w:color w:val="auto"/>
              </w:rPr>
              <w:t>Current assets</w:t>
            </w:r>
          </w:p>
        </w:tc>
        <w:tc>
          <w:tcPr>
            <w:tcW w:w="1340" w:type="dxa"/>
            <w:vAlign w:val="bottom"/>
          </w:tcPr>
          <w:p>
            <w:pPr>
              <w:jc w:val="right"/>
              <w:ind w:right="963"/>
              <w:spacing w:after="0" w:line="164"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line="164" w:lineRule="exact"/>
              <w:rPr>
                <w:sz w:val="20"/>
                <w:szCs w:val="20"/>
                <w:color w:val="auto"/>
              </w:rPr>
            </w:pPr>
            <w:r>
              <w:rPr>
                <w:rFonts w:ascii="Arial" w:cs="Arial" w:eastAsia="Arial" w:hAnsi="Arial"/>
                <w:sz w:val="16"/>
                <w:szCs w:val="16"/>
                <w:color w:val="auto"/>
              </w:rPr>
              <w:t>389</w:t>
            </w:r>
          </w:p>
        </w:tc>
        <w:tc>
          <w:tcPr>
            <w:tcW w:w="1340" w:type="dxa"/>
            <w:vAlign w:val="bottom"/>
          </w:tcPr>
          <w:p>
            <w:pPr>
              <w:jc w:val="right"/>
              <w:ind w:right="804"/>
              <w:spacing w:after="0" w:line="164"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4,522</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Noncurrent assets</w:t>
            </w:r>
          </w:p>
        </w:tc>
        <w:tc>
          <w:tcPr>
            <w:tcW w:w="1340" w:type="dxa"/>
            <w:vAlign w:val="bottom"/>
          </w:tcPr>
          <w:p>
            <w:pPr>
              <w:spacing w:after="0"/>
              <w:rPr>
                <w:sz w:val="15"/>
                <w:szCs w:val="15"/>
                <w:color w:val="auto"/>
              </w:rPr>
            </w:pP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w:t>
            </w:r>
          </w:p>
        </w:tc>
        <w:tc>
          <w:tcPr>
            <w:tcW w:w="134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Current liabilities</w:t>
            </w:r>
          </w:p>
        </w:tc>
        <w:tc>
          <w:tcPr>
            <w:tcW w:w="1340" w:type="dxa"/>
            <w:vAlign w:val="bottom"/>
          </w:tcPr>
          <w:p>
            <w:pPr>
              <w:spacing w:after="0"/>
              <w:rPr>
                <w:sz w:val="15"/>
                <w:szCs w:val="15"/>
                <w:color w:val="auto"/>
              </w:rPr>
            </w:pP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152</w:t>
            </w:r>
          </w:p>
        </w:tc>
        <w:tc>
          <w:tcPr>
            <w:tcW w:w="134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2,898</w:t>
            </w: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Members’ capital</w:t>
            </w:r>
          </w:p>
        </w:tc>
        <w:tc>
          <w:tcPr>
            <w:tcW w:w="1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239</w:t>
            </w:r>
          </w:p>
        </w:tc>
        <w:tc>
          <w:tcPr>
            <w:tcW w:w="13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FINANCIAL</w:t>
      </w:r>
    </w:p>
    <w:p>
      <w:pPr>
        <w:spacing w:after="0" w:line="2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Prior to June 2006, Sempra Financial (a former Sempra Energy business unit) invested as a limited partner in affordable-housing properties. Sempra Financial’s portfolio included 1,300 properties throughout the United States that provided income tax benefits (primarily from income tax credits). In June 2006, Sempra Financial effectively sold the majority of its interests in affordable-housing projects to an unrelated party subject to certain guarantees. Because of the guarantees, the transaction was recorded as a financing transaction rather than as a sale, and we continue to consolidate the investments in the housing partnerships. The transaction almost completely eliminated the income tax benefits from the investments.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METHOD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present aggregated information below for:</w:t>
      </w:r>
    </w:p>
    <w:p>
      <w:pPr>
        <w:spacing w:after="0" w:line="225" w:lineRule="exact"/>
        <w:rPr>
          <w:sz w:val="20"/>
          <w:szCs w:val="20"/>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Chilquinta Energía (prior to acquisition in April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Luz del Sur (prior to acquisition in April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Auwahi Wind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Cedar Creek 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Fowler Ridge 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Flat Ridge 2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Mehoopany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Elk Hills Power (through December 31,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Gasoductos de Chihuahua</w:t>
      </w:r>
    </w:p>
    <w:p>
      <w:pPr>
        <w:sectPr>
          <w:pgSz w:w="11900" w:h="16838" w:orient="portrait"/>
          <w:cols w:equalWidth="0" w:num="1">
            <w:col w:w="11420"/>
          </w:cols>
          <w:pgMar w:left="240" w:top="125" w:right="239" w:bottom="0" w:gutter="0" w:footer="0" w:header="0"/>
        </w:sectPr>
      </w:pPr>
    </w:p>
    <w:bookmarkStart w:id="221" w:name="page222"/>
    <w:bookmarkEnd w:id="221"/>
    <w:p>
      <w:pPr>
        <w:ind w:left="340" w:hanging="188"/>
        <w:spacing w:after="0"/>
        <w:tabs>
          <w:tab w:leader="none" w:pos="3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Rockies Express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Sodigas Pampeana and Sodigas Sur</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Sempra Energy’s housing partnerships (accounted for under the equity method)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EQUITY METHOD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341"/>
              <w:spacing w:after="0" w:line="159" w:lineRule="exact"/>
              <w:rPr>
                <w:sz w:val="20"/>
                <w:szCs w:val="20"/>
                <w:color w:val="auto"/>
              </w:rPr>
            </w:pPr>
            <w:r>
              <w:rPr>
                <w:rFonts w:ascii="Arial" w:cs="Arial" w:eastAsia="Arial" w:hAnsi="Arial"/>
                <w:sz w:val="14"/>
                <w:szCs w:val="14"/>
                <w:color w:val="auto"/>
              </w:rPr>
              <w:t>Years ended December 31,</w:t>
            </w:r>
          </w:p>
        </w:tc>
        <w:tc>
          <w:tcPr>
            <w:tcW w:w="5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9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2011</w:t>
            </w: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081"/>
              <w:spacing w:after="0"/>
              <w:rPr>
                <w:sz w:val="20"/>
                <w:szCs w:val="20"/>
                <w:color w:val="auto"/>
              </w:rPr>
            </w:pPr>
            <w:r>
              <w:rPr>
                <w:rFonts w:ascii="Arial" w:cs="Arial" w:eastAsia="Arial" w:hAnsi="Arial"/>
                <w:sz w:val="14"/>
                <w:szCs w:val="14"/>
                <w:color w:val="auto"/>
              </w:rPr>
              <w:t>2010</w:t>
            </w:r>
          </w:p>
        </w:tc>
        <w:tc>
          <w:tcPr>
            <w:tcW w:w="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color w:val="auto"/>
              </w:rPr>
              <w:t>2009</w:t>
            </w:r>
          </w:p>
        </w:tc>
      </w:tr>
      <w:tr>
        <w:trPr>
          <w:trHeight w:val="191"/>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Gross revenues</w:t>
            </w:r>
          </w:p>
        </w:tc>
        <w:tc>
          <w:tcPr>
            <w:tcW w:w="152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798</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1"/>
              <w:spacing w:after="0"/>
              <w:rPr>
                <w:sz w:val="20"/>
                <w:szCs w:val="20"/>
                <w:color w:val="auto"/>
              </w:rPr>
            </w:pPr>
            <w:r>
              <w:rPr>
                <w:rFonts w:ascii="Arial" w:cs="Arial" w:eastAsia="Arial" w:hAnsi="Arial"/>
                <w:sz w:val="16"/>
                <w:szCs w:val="16"/>
                <w:color w:val="auto"/>
              </w:rPr>
              <w:t>1,829</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1,433</w:t>
            </w: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Gross profit</w:t>
            </w:r>
          </w:p>
        </w:tc>
        <w:tc>
          <w:tcPr>
            <w:tcW w:w="15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391</w:t>
            </w:r>
          </w:p>
        </w:tc>
        <w:tc>
          <w:tcPr>
            <w:tcW w:w="740" w:type="dxa"/>
            <w:vAlign w:val="bottom"/>
          </w:tcPr>
          <w:p>
            <w:pPr>
              <w:spacing w:after="0"/>
              <w:rPr>
                <w:sz w:val="15"/>
                <w:szCs w:val="15"/>
                <w:color w:val="auto"/>
              </w:rPr>
            </w:pPr>
          </w:p>
        </w:tc>
        <w:tc>
          <w:tcPr>
            <w:tcW w:w="164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728</w:t>
            </w:r>
          </w:p>
        </w:tc>
        <w:tc>
          <w:tcPr>
            <w:tcW w:w="5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529</w:t>
            </w: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Income from operations</w:t>
            </w:r>
          </w:p>
        </w:tc>
        <w:tc>
          <w:tcPr>
            <w:tcW w:w="15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189</w:t>
            </w:r>
          </w:p>
        </w:tc>
        <w:tc>
          <w:tcPr>
            <w:tcW w:w="740" w:type="dxa"/>
            <w:vAlign w:val="bottom"/>
          </w:tcPr>
          <w:p>
            <w:pPr>
              <w:spacing w:after="0"/>
              <w:rPr>
                <w:sz w:val="15"/>
                <w:szCs w:val="15"/>
                <w:color w:val="auto"/>
              </w:rPr>
            </w:pPr>
          </w:p>
        </w:tc>
        <w:tc>
          <w:tcPr>
            <w:tcW w:w="164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332</w:t>
            </w:r>
          </w:p>
        </w:tc>
        <w:tc>
          <w:tcPr>
            <w:tcW w:w="5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224</w:t>
            </w: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Gain on sale of assets</w:t>
            </w:r>
          </w:p>
        </w:tc>
        <w:tc>
          <w:tcPr>
            <w:tcW w:w="15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740" w:type="dxa"/>
            <w:vAlign w:val="bottom"/>
          </w:tcPr>
          <w:p>
            <w:pPr>
              <w:spacing w:after="0"/>
              <w:rPr>
                <w:sz w:val="15"/>
                <w:szCs w:val="15"/>
                <w:color w:val="auto"/>
              </w:rPr>
            </w:pPr>
          </w:p>
        </w:tc>
        <w:tc>
          <w:tcPr>
            <w:tcW w:w="164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49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5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155</w:t>
            </w:r>
          </w:p>
        </w:tc>
        <w:tc>
          <w:tcPr>
            <w:tcW w:w="740" w:type="dxa"/>
            <w:vAlign w:val="bottom"/>
          </w:tcPr>
          <w:p>
            <w:pPr>
              <w:spacing w:after="0"/>
              <w:rPr>
                <w:sz w:val="16"/>
                <w:szCs w:val="16"/>
                <w:color w:val="auto"/>
              </w:rPr>
            </w:pPr>
          </w:p>
        </w:tc>
        <w:tc>
          <w:tcPr>
            <w:tcW w:w="1640" w:type="dxa"/>
            <w:vAlign w:val="bottom"/>
          </w:tcPr>
          <w:p>
            <w:pPr>
              <w:jc w:val="right"/>
              <w:ind w:right="201"/>
              <w:spacing w:after="0"/>
              <w:rPr>
                <w:sz w:val="20"/>
                <w:szCs w:val="20"/>
                <w:color w:val="auto"/>
              </w:rPr>
            </w:pPr>
            <w:r>
              <w:rPr>
                <w:rFonts w:ascii="Arial" w:cs="Arial" w:eastAsia="Arial" w:hAnsi="Arial"/>
                <w:sz w:val="16"/>
                <w:szCs w:val="16"/>
                <w:color w:val="auto"/>
              </w:rPr>
              <w:t>256</w:t>
            </w:r>
          </w:p>
        </w:tc>
        <w:tc>
          <w:tcPr>
            <w:tcW w:w="5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345"/>
        </w:trPr>
        <w:tc>
          <w:tcPr>
            <w:tcW w:w="20" w:type="dxa"/>
            <w:vAlign w:val="bottom"/>
          </w:tcPr>
          <w:p>
            <w:pPr>
              <w:spacing w:after="0"/>
              <w:rPr>
                <w:sz w:val="24"/>
                <w:szCs w:val="24"/>
                <w:color w:val="auto"/>
              </w:rPr>
            </w:pPr>
          </w:p>
        </w:tc>
        <w:tc>
          <w:tcPr>
            <w:tcW w:w="49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4"/>
                <w:szCs w:val="14"/>
                <w:color w:val="auto"/>
              </w:rPr>
              <w:t>At December 31,</w:t>
            </w:r>
          </w:p>
        </w:tc>
        <w:tc>
          <w:tcPr>
            <w:tcW w:w="1440" w:type="dxa"/>
            <w:vAlign w:val="bottom"/>
            <w:tcBorders>
              <w:top w:val="single" w:sz="8" w:color="auto"/>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49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081"/>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4900" w:type="dxa"/>
            <w:vAlign w:val="bottom"/>
          </w:tcPr>
          <w:p>
            <w:pPr>
              <w:spacing w:after="0" w:line="164" w:lineRule="exact"/>
              <w:rPr>
                <w:sz w:val="20"/>
                <w:szCs w:val="20"/>
                <w:color w:val="auto"/>
              </w:rPr>
            </w:pPr>
            <w:r>
              <w:rPr>
                <w:rFonts w:ascii="Arial" w:cs="Arial" w:eastAsia="Arial" w:hAnsi="Arial"/>
                <w:sz w:val="16"/>
                <w:szCs w:val="16"/>
                <w:color w:val="auto"/>
              </w:rPr>
              <w:t>Current assets</w:t>
            </w: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ind w:right="82"/>
              <w:spacing w:after="0" w:line="164" w:lineRule="exact"/>
              <w:rPr>
                <w:sz w:val="20"/>
                <w:szCs w:val="20"/>
                <w:color w:val="auto"/>
              </w:rPr>
            </w:pPr>
            <w:r>
              <w:rPr>
                <w:rFonts w:ascii="Arial" w:cs="Arial" w:eastAsia="Arial" w:hAnsi="Arial"/>
                <w:sz w:val="16"/>
                <w:szCs w:val="16"/>
                <w:color w:val="auto"/>
              </w:rPr>
              <w:t>$</w:t>
            </w:r>
          </w:p>
        </w:tc>
        <w:tc>
          <w:tcPr>
            <w:tcW w:w="1640" w:type="dxa"/>
            <w:vAlign w:val="bottom"/>
          </w:tcPr>
          <w:p>
            <w:pPr>
              <w:jc w:val="right"/>
              <w:ind w:right="201"/>
              <w:spacing w:after="0" w:line="164" w:lineRule="exact"/>
              <w:rPr>
                <w:sz w:val="20"/>
                <w:szCs w:val="20"/>
                <w:color w:val="auto"/>
              </w:rPr>
            </w:pPr>
            <w:r>
              <w:rPr>
                <w:rFonts w:ascii="Arial" w:cs="Arial" w:eastAsia="Arial" w:hAnsi="Arial"/>
                <w:sz w:val="16"/>
                <w:szCs w:val="16"/>
                <w:color w:val="auto"/>
              </w:rPr>
              <w:t>506</w:t>
            </w:r>
          </w:p>
        </w:tc>
        <w:tc>
          <w:tcPr>
            <w:tcW w:w="520" w:type="dxa"/>
            <w:vAlign w:val="bottom"/>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1,372</w:t>
            </w: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Noncurrent assets</w:t>
            </w: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2,750</w:t>
            </w:r>
          </w:p>
        </w:tc>
        <w:tc>
          <w:tcPr>
            <w:tcW w:w="5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4,264</w:t>
            </w: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Current liabilities</w:t>
            </w: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234</w:t>
            </w:r>
          </w:p>
        </w:tc>
        <w:tc>
          <w:tcPr>
            <w:tcW w:w="5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503</w:t>
            </w:r>
          </w:p>
        </w:tc>
      </w:tr>
      <w:tr>
        <w:trPr>
          <w:trHeight w:val="194"/>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Noncurrent liabilities</w:t>
            </w:r>
          </w:p>
        </w:tc>
        <w:tc>
          <w:tcPr>
            <w:tcW w:w="1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750</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2637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NOTE 5. DEBT AND CREDIT FACILITIES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pacing w:after="0" w:line="234"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At December 31, 2011, Sempra Energy Consolidated had $3.8 billion in committed lines of credit to provide liquidity and to support commercial paper and variable-rate demand notes, the major components of which we detail below. Available unused credit on these lines at December 31, 2011 was $2.7 billion.</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Sempra Energy has a $1 billion, four-year syndicated revolving credit agreement expiring in October 2014. Citibank, N.A. serves as administrative agent for the syndicate of 23 lenders. No single lender has greater than a 7-percent share.</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The actual ratio at December 31, 2011, calculated as defined in the agreement, was 50.9 percent. The facility also provides for issuance of up to $400 million of letters of credit on behalf of Sempra Energy with the amount of borrowings otherwise available under the facility reduced by the amount of outstanding letters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Sempra Energy had $8 million of variable-rate demand notes outstanding supported by the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Sempra Global has a $2 billion, four-year syndicated revolving credit agreement expiring in October 2014. Citibank, N.A. serves as administrative agent for the syndicate of 23 lenders. No single lender has greater than a 7-percent share.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2011, Sempra Global had $821 million of commercial paper outstanding supported by the facility. At December 31, 2011 and 2010, respectively, $400 million and $800 million of commercial paper outstanding is classified as long-term debt based on management’s intent and ability to maintain this level of borrowing on a long-term basis either supported by this credit facility or by issuing long-term debt. This classification has no impact on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SDG&amp;E and SoCalGas have a combined $800 million, four-year syndicated revolving credit agreement expiring in October 2014. JPMorgan Chase Bank serves as administrative agent for the syndicate of 22 lenders. No single lender has greater than a 7-percent share. The agreement permits each utility to individually borrow up to $600 million, subject to a combined limit of $800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 The actual ratios for SDG&amp;E and SoCalGas at December 31, 2011, calculated as defined in the agreement, were 49.2 percent and 37.6 percent, respectively.</w:t>
      </w:r>
    </w:p>
    <w:p>
      <w:pPr>
        <w:sectPr>
          <w:pgSz w:w="11900" w:h="16838" w:orient="portrait"/>
          <w:cols w:equalWidth="0" w:num="1">
            <w:col w:w="11420"/>
          </w:cols>
          <w:pgMar w:left="240" w:top="125" w:right="239" w:bottom="34" w:gutter="0" w:footer="0" w:header="0"/>
        </w:sectPr>
      </w:pPr>
    </w:p>
    <w:bookmarkStart w:id="222" w:name="page223"/>
    <w:bookmarkEnd w:id="222"/>
    <w:p>
      <w:pPr>
        <w:spacing w:after="0" w:line="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December 31, 2011, SDG&amp;E and SoCalGas had no outstanding borrowings and SDG&amp;E had $237 million variable-rate demand notes outstanding supported by the facility. Available unused credit on the lines at December 31, 2011 was $363 million at SDG&amp;E and $563 million at SoCalGas. SoCalGas’ availability reflects the impact of SDG&amp;E’s use of the combined credit available on the line.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we discuss in Note 4, in 2010 and early 2011, Sempra Energy, RBS and RBS Sempra Commodities sold substantially all of the businesses and assets within the partnership in four separate transactions. In connection with each of these transactions, the buyers were, subject to certain qualifications, obligated to replace any guarantees that we had issued in connection with the applicable businesses sold with guarantees of their own. At December 31, 2011, the buyers have substantially completed this process for those counterparties with existing, open positions. For those guarantees which have not been replaced, the buyers are obligated to indemnify us in accordance with the applicable transaction documents for any claims or losses in connection with the guarantees that we issued associated with the businesses sold. We provide additional information in Note 1.</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2011, RBS Sempra Commodities no longer requires significant working capital support. However, we have provided back-up guarantees for a portion of RBS Sempra Commodities’ remaining trading obligations. A few of these back-up guarantees may continue for a prolonged period of time. RBS has fully indemnified us for any claims or losses in connection with these arrangements, with the exception of those obligations for which JP Morgan has agreed to indemnify us. We discuss the indemnification release in Note 4.</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RBS Sempra Commodities’ net trading liabilities supported by Sempra Energy’s guarantees at December 31, 2011 were $1 million, consisting of guaranteed trading obligations net of collateral. The amount of guaranteed net trading liabilities varies from day to day with the value of the trading obligations and related collateral.</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Guarantees</w:t>
      </w:r>
    </w:p>
    <w:p>
      <w:pPr>
        <w:spacing w:after="0" w:line="20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Sempra Generation and BP Wind Energy currently hold 50-percent interests in Fowler Ridge 2 and Cedar Creek 2. After completion of these projects and obtaining term financing in 2010, proceeds from the term loans were used to return $180 million and $95 million, respectively, of each owner’s investments in the joint venture. The term loan of $348 million obtained by Fowler Ridge 2 expires in August 2022, and the $275 million term loan obtained by Cedar Creek 2 expires in June 2029. The term loan agreements require Sempra Generation and BP Wind Energy to return cash to the projects in the event that the projects do not meet certain cash flow criteria or in the event that the projects’ debt service and operation and maintenance reserve accounts are not maintained at specific thresholds. Sempra Generation recorded liabilities of $9 million in 2010 and $3 million in 2011 for the fair value of its obligations associated with the cash flow requirements, which constitute guarantees. The liabilities are being amortized over their expected lives. The outstanding loans are not guaranteed by the partners.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3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weighted average interest rates on the total short-term debt outstanding at Sempra Energy were 0.93 percent and 0.46 percent at December 31, 2011 and December 31, 2010, respectively. The weighted average interest rates at December 31, 2011 and 2010 include interest rates for commercial paper borrowings classified as long-term, as we discuss above.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detail and maturities of long-term debt outstanding: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8"/>
              <w:spacing w:after="0" w:line="159" w:lineRule="exact"/>
              <w:rPr>
                <w:sz w:val="20"/>
                <w:szCs w:val="20"/>
                <w:color w:val="auto"/>
              </w:rPr>
            </w:pPr>
            <w:r>
              <w:rPr>
                <w:rFonts w:ascii="Arial" w:cs="Arial" w:eastAsia="Arial" w:hAnsi="Arial"/>
                <w:sz w:val="14"/>
                <w:szCs w:val="14"/>
                <w:color w:val="auto"/>
              </w:rPr>
              <w:t>December 31,</w:t>
            </w:r>
          </w:p>
        </w:tc>
        <w:tc>
          <w:tcPr>
            <w:tcW w:w="10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2010</w:t>
            </w:r>
          </w:p>
        </w:tc>
      </w:tr>
      <w:tr>
        <w:trPr>
          <w:trHeight w:val="167"/>
        </w:trPr>
        <w:tc>
          <w:tcPr>
            <w:tcW w:w="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7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8280" w:type="dxa"/>
            <w:vAlign w:val="bottom"/>
            <w:gridSpan w:val="3"/>
          </w:tcPr>
          <w:p>
            <w:pPr>
              <w:spacing w:after="0"/>
              <w:rPr>
                <w:sz w:val="20"/>
                <w:szCs w:val="20"/>
                <w:color w:val="auto"/>
              </w:rPr>
            </w:pPr>
            <w:r>
              <w:rPr>
                <w:rFonts w:ascii="Arial" w:cs="Arial" w:eastAsia="Arial" w:hAnsi="Arial"/>
                <w:sz w:val="14"/>
                <w:szCs w:val="14"/>
                <w:color w:val="auto"/>
              </w:rPr>
              <w:t>First mortgage bonds: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900" w:type="dxa"/>
            <w:vAlign w:val="bottom"/>
            <w:gridSpan w:val="2"/>
          </w:tcPr>
          <w:p>
            <w:pPr>
              <w:ind w:left="560"/>
              <w:spacing w:after="0"/>
              <w:rPr>
                <w:sz w:val="20"/>
                <w:szCs w:val="20"/>
                <w:color w:val="auto"/>
              </w:rPr>
            </w:pPr>
            <w:r>
              <w:rPr>
                <w:rFonts w:ascii="Arial" w:cs="Arial" w:eastAsia="Arial" w:hAnsi="Arial"/>
                <w:sz w:val="14"/>
                <w:szCs w:val="14"/>
                <w:color w:val="auto"/>
              </w:rPr>
              <w:t>6.8%</w:t>
            </w:r>
          </w:p>
        </w:tc>
        <w:tc>
          <w:tcPr>
            <w:tcW w:w="7380" w:type="dxa"/>
            <w:vAlign w:val="bottom"/>
          </w:tcPr>
          <w:p>
            <w:pPr>
              <w:ind w:left="20"/>
              <w:spacing w:after="0"/>
              <w:rPr>
                <w:sz w:val="20"/>
                <w:szCs w:val="20"/>
                <w:color w:val="auto"/>
              </w:rPr>
            </w:pPr>
            <w:r>
              <w:rPr>
                <w:rFonts w:ascii="Arial" w:cs="Arial" w:eastAsia="Arial" w:hAnsi="Arial"/>
                <w:sz w:val="14"/>
                <w:szCs w:val="14"/>
                <w:color w:val="auto"/>
              </w:rPr>
              <w:t>June 1, 2015</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2"/>
        </w:trPr>
        <w:tc>
          <w:tcPr>
            <w:tcW w:w="900" w:type="dxa"/>
            <w:vAlign w:val="bottom"/>
            <w:gridSpan w:val="2"/>
          </w:tcPr>
          <w:p>
            <w:pPr>
              <w:ind w:left="560"/>
              <w:spacing w:after="0"/>
              <w:rPr>
                <w:sz w:val="20"/>
                <w:szCs w:val="20"/>
                <w:color w:val="auto"/>
              </w:rPr>
            </w:pPr>
            <w:r>
              <w:rPr>
                <w:rFonts w:ascii="Arial" w:cs="Arial" w:eastAsia="Arial" w:hAnsi="Arial"/>
                <w:sz w:val="14"/>
                <w:szCs w:val="14"/>
                <w:color w:val="auto"/>
              </w:rPr>
              <w:t>5.3%</w:t>
            </w:r>
          </w:p>
        </w:tc>
        <w:tc>
          <w:tcPr>
            <w:tcW w:w="7380" w:type="dxa"/>
            <w:vAlign w:val="bottom"/>
          </w:tcPr>
          <w:p>
            <w:pPr>
              <w:ind w:left="20"/>
              <w:spacing w:after="0"/>
              <w:rPr>
                <w:sz w:val="20"/>
                <w:szCs w:val="20"/>
                <w:color w:val="auto"/>
              </w:rPr>
            </w:pPr>
            <w:r>
              <w:rPr>
                <w:rFonts w:ascii="Arial" w:cs="Arial" w:eastAsia="Arial" w:hAnsi="Arial"/>
                <w:sz w:val="14"/>
                <w:szCs w:val="14"/>
                <w:color w:val="auto"/>
              </w:rPr>
              <w:t>November 15, 2015</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Variable rate (0.08% at December 31, 2011) July 1, 2018(1)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5.85% June 1, 2021(1)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3% August 15, 2021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6% June 1, 2026</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5% to 5.25% December 1, 2027(1)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5.875% January and February 2034(1)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176</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5.35% May 15, 2035</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6.125% September 15, 2037</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Variable rate (0.90% at December 31, 2011) May 1, 2039(1)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6% June 1, 2039</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5.35% May 15, 2040</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900" w:type="dxa"/>
            <w:vAlign w:val="bottom"/>
            <w:gridSpan w:val="2"/>
          </w:tcPr>
          <w:p>
            <w:pPr>
              <w:ind w:left="560"/>
              <w:spacing w:after="0"/>
              <w:rPr>
                <w:sz w:val="20"/>
                <w:szCs w:val="20"/>
                <w:color w:val="auto"/>
              </w:rPr>
            </w:pPr>
            <w:r>
              <w:rPr>
                <w:rFonts w:ascii="Arial" w:cs="Arial" w:eastAsia="Arial" w:hAnsi="Arial"/>
                <w:sz w:val="14"/>
                <w:szCs w:val="14"/>
                <w:color w:val="auto"/>
              </w:rPr>
              <w:t>4.5%</w:t>
            </w:r>
          </w:p>
        </w:tc>
        <w:tc>
          <w:tcPr>
            <w:tcW w:w="7380" w:type="dxa"/>
            <w:vAlign w:val="bottom"/>
          </w:tcPr>
          <w:p>
            <w:pPr>
              <w:ind w:left="20"/>
              <w:spacing w:after="0"/>
              <w:rPr>
                <w:sz w:val="20"/>
                <w:szCs w:val="20"/>
                <w:color w:val="auto"/>
              </w:rPr>
            </w:pPr>
            <w:r>
              <w:rPr>
                <w:rFonts w:ascii="Arial" w:cs="Arial" w:eastAsia="Arial" w:hAnsi="Arial"/>
                <w:sz w:val="14"/>
                <w:szCs w:val="14"/>
                <w:color w:val="auto"/>
              </w:rPr>
              <w:t>August 15, 2040</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64"/>
        </w:trPr>
        <w:tc>
          <w:tcPr>
            <w:tcW w:w="20" w:type="dxa"/>
            <w:vAlign w:val="bottom"/>
          </w:tcPr>
          <w:p>
            <w:pPr>
              <w:spacing w:after="0"/>
              <w:rPr>
                <w:sz w:val="14"/>
                <w:szCs w:val="14"/>
                <w:color w:val="auto"/>
              </w:rPr>
            </w:pPr>
          </w:p>
        </w:tc>
        <w:tc>
          <w:tcPr>
            <w:tcW w:w="8260" w:type="dxa"/>
            <w:vAlign w:val="bottom"/>
            <w:gridSpan w:val="2"/>
          </w:tcPr>
          <w:p>
            <w:pPr>
              <w:ind w:left="540"/>
              <w:spacing w:after="0" w:line="137" w:lineRule="exact"/>
              <w:rPr>
                <w:sz w:val="20"/>
                <w:szCs w:val="20"/>
                <w:color w:val="auto"/>
              </w:rPr>
            </w:pPr>
            <w:r>
              <w:rPr>
                <w:rFonts w:ascii="Arial" w:cs="Arial" w:eastAsia="Arial" w:hAnsi="Arial"/>
                <w:sz w:val="14"/>
                <w:szCs w:val="14"/>
                <w:color w:val="auto"/>
              </w:rPr>
              <w:t>3.95% November 15, 2041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250</w:t>
            </w: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3,286</w:t>
            </w: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w:t>
            </w:r>
          </w:p>
        </w:tc>
      </w:tr>
      <w:tr>
        <w:trPr>
          <w:trHeight w:val="167"/>
        </w:trPr>
        <w:tc>
          <w:tcPr>
            <w:tcW w:w="8280" w:type="dxa"/>
            <w:vAlign w:val="bottom"/>
            <w:gridSpan w:val="3"/>
          </w:tcPr>
          <w:p>
            <w:pPr>
              <w:spacing w:after="0"/>
              <w:rPr>
                <w:sz w:val="20"/>
                <w:szCs w:val="20"/>
                <w:color w:val="auto"/>
              </w:rPr>
            </w:pPr>
            <w:r>
              <w:rPr>
                <w:rFonts w:ascii="Arial" w:cs="Arial" w:eastAsia="Arial" w:hAnsi="Arial"/>
                <w:sz w:val="14"/>
                <w:szCs w:val="14"/>
                <w:color w:val="auto"/>
              </w:rPr>
              <w:t>Other long-term debt (unsecured unless otherwise noted):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900" w:type="dxa"/>
            <w:vAlign w:val="bottom"/>
            <w:gridSpan w:val="2"/>
          </w:tcPr>
          <w:p>
            <w:pPr>
              <w:ind w:left="560"/>
              <w:spacing w:after="0"/>
              <w:rPr>
                <w:sz w:val="20"/>
                <w:szCs w:val="20"/>
                <w:color w:val="auto"/>
              </w:rPr>
            </w:pPr>
            <w:r>
              <w:rPr>
                <w:rFonts w:ascii="Arial" w:cs="Arial" w:eastAsia="Arial" w:hAnsi="Arial"/>
                <w:sz w:val="14"/>
                <w:szCs w:val="14"/>
                <w:color w:val="auto"/>
              </w:rPr>
              <w:t>5.9%</w:t>
            </w:r>
          </w:p>
        </w:tc>
        <w:tc>
          <w:tcPr>
            <w:tcW w:w="7380" w:type="dxa"/>
            <w:vAlign w:val="bottom"/>
          </w:tcPr>
          <w:p>
            <w:pPr>
              <w:ind w:left="20"/>
              <w:spacing w:after="0"/>
              <w:rPr>
                <w:sz w:val="20"/>
                <w:szCs w:val="20"/>
                <w:color w:val="auto"/>
              </w:rPr>
            </w:pPr>
            <w:r>
              <w:rPr>
                <w:rFonts w:ascii="Arial" w:cs="Arial" w:eastAsia="Arial" w:hAnsi="Arial"/>
                <w:sz w:val="14"/>
                <w:szCs w:val="14"/>
                <w:color w:val="auto"/>
              </w:rPr>
              <w:t>Notes June 1, 2014</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62"/>
        </w:trPr>
        <w:tc>
          <w:tcPr>
            <w:tcW w:w="900" w:type="dxa"/>
            <w:vAlign w:val="bottom"/>
            <w:gridSpan w:val="2"/>
          </w:tcPr>
          <w:p>
            <w:pPr>
              <w:ind w:left="560"/>
              <w:spacing w:after="0"/>
              <w:rPr>
                <w:sz w:val="20"/>
                <w:szCs w:val="20"/>
                <w:color w:val="auto"/>
              </w:rPr>
            </w:pPr>
            <w:r>
              <w:rPr>
                <w:rFonts w:ascii="Arial" w:cs="Arial" w:eastAsia="Arial" w:hAnsi="Arial"/>
                <w:sz w:val="14"/>
                <w:szCs w:val="14"/>
                <w:color w:val="auto"/>
              </w:rPr>
              <w:t>5.3%</w:t>
            </w:r>
          </w:p>
        </w:tc>
        <w:tc>
          <w:tcPr>
            <w:tcW w:w="7380" w:type="dxa"/>
            <w:vAlign w:val="bottom"/>
          </w:tcPr>
          <w:p>
            <w:pPr>
              <w:ind w:left="20"/>
              <w:spacing w:after="0"/>
              <w:rPr>
                <w:sz w:val="20"/>
                <w:szCs w:val="20"/>
                <w:color w:val="auto"/>
              </w:rPr>
            </w:pPr>
            <w:r>
              <w:rPr>
                <w:rFonts w:ascii="Arial" w:cs="Arial" w:eastAsia="Arial" w:hAnsi="Arial"/>
                <w:sz w:val="14"/>
                <w:szCs w:val="14"/>
                <w:color w:val="auto"/>
              </w:rPr>
              <w:t>Notes July 1, 2021(1)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2"/>
        </w:trPr>
        <w:tc>
          <w:tcPr>
            <w:tcW w:w="900" w:type="dxa"/>
            <w:vAlign w:val="bottom"/>
            <w:gridSpan w:val="2"/>
          </w:tcPr>
          <w:p>
            <w:pPr>
              <w:ind w:left="560"/>
              <w:spacing w:after="0"/>
              <w:rPr>
                <w:sz w:val="20"/>
                <w:szCs w:val="20"/>
                <w:color w:val="auto"/>
              </w:rPr>
            </w:pPr>
            <w:r>
              <w:rPr>
                <w:rFonts w:ascii="Arial" w:cs="Arial" w:eastAsia="Arial" w:hAnsi="Arial"/>
                <w:sz w:val="14"/>
                <w:szCs w:val="14"/>
                <w:color w:val="auto"/>
              </w:rPr>
              <w:t>5.5%</w:t>
            </w:r>
          </w:p>
        </w:tc>
        <w:tc>
          <w:tcPr>
            <w:tcW w:w="7380" w:type="dxa"/>
            <w:vAlign w:val="bottom"/>
          </w:tcPr>
          <w:p>
            <w:pPr>
              <w:ind w:left="20"/>
              <w:spacing w:after="0"/>
              <w:rPr>
                <w:sz w:val="20"/>
                <w:szCs w:val="20"/>
                <w:color w:val="auto"/>
              </w:rPr>
            </w:pPr>
            <w:r>
              <w:rPr>
                <w:rFonts w:ascii="Arial" w:cs="Arial" w:eastAsia="Arial" w:hAnsi="Arial"/>
                <w:sz w:val="14"/>
                <w:szCs w:val="14"/>
                <w:color w:val="auto"/>
              </w:rPr>
              <w:t>Notes December 1, 2021(1)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2"/>
        </w:trPr>
        <w:tc>
          <w:tcPr>
            <w:tcW w:w="900" w:type="dxa"/>
            <w:vAlign w:val="bottom"/>
            <w:gridSpan w:val="2"/>
          </w:tcPr>
          <w:p>
            <w:pPr>
              <w:ind w:left="560"/>
              <w:spacing w:after="0"/>
              <w:rPr>
                <w:sz w:val="20"/>
                <w:szCs w:val="20"/>
                <w:color w:val="auto"/>
              </w:rPr>
            </w:pPr>
            <w:r>
              <w:rPr>
                <w:rFonts w:ascii="Arial" w:cs="Arial" w:eastAsia="Arial" w:hAnsi="Arial"/>
                <w:sz w:val="14"/>
                <w:szCs w:val="14"/>
                <w:color w:val="auto"/>
              </w:rPr>
              <w:t>4.9%</w:t>
            </w:r>
          </w:p>
        </w:tc>
        <w:tc>
          <w:tcPr>
            <w:tcW w:w="7380" w:type="dxa"/>
            <w:vAlign w:val="bottom"/>
          </w:tcPr>
          <w:p>
            <w:pPr>
              <w:ind w:left="20"/>
              <w:spacing w:after="0"/>
              <w:rPr>
                <w:sz w:val="20"/>
                <w:szCs w:val="20"/>
                <w:color w:val="auto"/>
              </w:rPr>
            </w:pPr>
            <w:r>
              <w:rPr>
                <w:rFonts w:ascii="Arial" w:cs="Arial" w:eastAsia="Arial" w:hAnsi="Arial"/>
                <w:sz w:val="14"/>
                <w:szCs w:val="14"/>
                <w:color w:val="auto"/>
              </w:rPr>
              <w:t>Notes March 1, 2023(1)</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2"/>
        </w:trPr>
        <w:tc>
          <w:tcPr>
            <w:tcW w:w="20" w:type="dxa"/>
            <w:vAlign w:val="bottom"/>
          </w:tcPr>
          <w:p>
            <w:pPr>
              <w:spacing w:after="0"/>
              <w:rPr>
                <w:sz w:val="14"/>
                <w:szCs w:val="14"/>
                <w:color w:val="auto"/>
              </w:rPr>
            </w:pPr>
          </w:p>
        </w:tc>
        <w:tc>
          <w:tcPr>
            <w:tcW w:w="8260" w:type="dxa"/>
            <w:vAlign w:val="bottom"/>
            <w:gridSpan w:val="2"/>
          </w:tcPr>
          <w:p>
            <w:pPr>
              <w:ind w:left="540"/>
              <w:spacing w:after="0"/>
              <w:rPr>
                <w:sz w:val="20"/>
                <w:szCs w:val="20"/>
                <w:color w:val="auto"/>
              </w:rPr>
            </w:pPr>
            <w:r>
              <w:rPr>
                <w:rFonts w:ascii="Arial" w:cs="Arial" w:eastAsia="Arial" w:hAnsi="Arial"/>
                <w:sz w:val="14"/>
                <w:szCs w:val="14"/>
                <w:color w:val="auto"/>
              </w:rPr>
              <w:t>OMEC LLC loan at variable rates (5.2925% at December 31, 2011)</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260" w:type="dxa"/>
            <w:vAlign w:val="bottom"/>
            <w:gridSpan w:val="2"/>
          </w:tcPr>
          <w:p>
            <w:pPr>
              <w:ind w:left="700"/>
              <w:spacing w:after="0"/>
              <w:rPr>
                <w:sz w:val="20"/>
                <w:szCs w:val="20"/>
                <w:color w:val="auto"/>
              </w:rPr>
            </w:pPr>
            <w:r>
              <w:rPr>
                <w:rFonts w:ascii="Arial" w:cs="Arial" w:eastAsia="Arial" w:hAnsi="Arial"/>
                <w:sz w:val="14"/>
                <w:szCs w:val="14"/>
                <w:color w:val="auto"/>
              </w:rPr>
              <w:t>payable 2012 through April 2019 (secured by plant assets)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355</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365</w:t>
            </w:r>
          </w:p>
        </w:tc>
      </w:tr>
    </w:tbl>
    <w:p>
      <w:pPr>
        <w:sectPr>
          <w:pgSz w:w="11900" w:h="16926" w:orient="portrait"/>
          <w:cols w:equalWidth="0" w:num="1">
            <w:col w:w="11420"/>
          </w:cols>
          <w:pgMar w:left="240" w:top="125" w:right="239" w:bottom="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20"/>
                <w:szCs w:val="20"/>
                <w:color w:val="auto"/>
              </w:rPr>
            </w:pPr>
            <w:r>
              <w:rPr>
                <w:rFonts w:ascii="Arial" w:cs="Arial" w:eastAsia="Arial" w:hAnsi="Arial"/>
                <w:sz w:val="14"/>
                <w:szCs w:val="14"/>
                <w:color w:val="auto"/>
              </w:rPr>
              <w:t>Capital lease obligations:</w:t>
            </w: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8280" w:type="dxa"/>
            <w:vAlign w:val="bottom"/>
          </w:tcPr>
          <w:p>
            <w:pPr>
              <w:ind w:left="560"/>
              <w:spacing w:after="0"/>
              <w:rPr>
                <w:sz w:val="20"/>
                <w:szCs w:val="20"/>
                <w:color w:val="auto"/>
              </w:rPr>
            </w:pPr>
            <w:r>
              <w:rPr>
                <w:rFonts w:ascii="Arial" w:cs="Arial" w:eastAsia="Arial" w:hAnsi="Arial"/>
                <w:sz w:val="14"/>
                <w:szCs w:val="14"/>
                <w:color w:val="auto"/>
              </w:rPr>
              <w:t>Purchased-power agreements</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180</w:t>
            </w:r>
          </w:p>
        </w:tc>
        <w:tc>
          <w:tcPr>
            <w:tcW w:w="98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164"/>
        </w:trPr>
        <w:tc>
          <w:tcPr>
            <w:tcW w:w="8280" w:type="dxa"/>
            <w:vAlign w:val="bottom"/>
          </w:tcPr>
          <w:p>
            <w:pPr>
              <w:ind w:left="560"/>
              <w:spacing w:after="0" w:line="137" w:lineRule="exact"/>
              <w:rPr>
                <w:sz w:val="20"/>
                <w:szCs w:val="20"/>
                <w:color w:val="auto"/>
              </w:rPr>
            </w:pPr>
            <w:r>
              <w:rPr>
                <w:rFonts w:ascii="Arial" w:cs="Arial" w:eastAsia="Arial" w:hAnsi="Arial"/>
                <w:sz w:val="14"/>
                <w:szCs w:val="14"/>
                <w:color w:val="auto"/>
              </w:rPr>
              <w:t>Other</w:t>
            </w:r>
          </w:p>
        </w:tc>
        <w:tc>
          <w:tcPr>
            <w:tcW w:w="2160" w:type="dxa"/>
            <w:vAlign w:val="bottom"/>
            <w:tcBorders>
              <w:bottom w:val="single" w:sz="8" w:color="auto"/>
            </w:tcBorders>
          </w:tcPr>
          <w:p>
            <w:pPr>
              <w:jc w:val="right"/>
              <w:ind w:right="568"/>
              <w:spacing w:after="0" w:line="137" w:lineRule="exact"/>
              <w:rPr>
                <w:sz w:val="20"/>
                <w:szCs w:val="20"/>
                <w:color w:val="auto"/>
              </w:rPr>
            </w:pPr>
            <w:r>
              <w:rPr>
                <w:rFonts w:ascii="Arial" w:cs="Arial" w:eastAsia="Arial" w:hAnsi="Arial"/>
                <w:sz w:val="14"/>
                <w:szCs w:val="14"/>
                <w:color w:val="auto"/>
              </w:rPr>
              <w:t>13</w:t>
            </w:r>
          </w:p>
        </w:tc>
        <w:tc>
          <w:tcPr>
            <w:tcW w:w="9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20</w:t>
            </w:r>
          </w:p>
        </w:tc>
      </w:tr>
      <w:tr>
        <w:trPr>
          <w:trHeight w:val="169"/>
        </w:trPr>
        <w:tc>
          <w:tcPr>
            <w:tcW w:w="8280" w:type="dxa"/>
            <w:vAlign w:val="bottom"/>
          </w:tcPr>
          <w:p>
            <w:pPr>
              <w:spacing w:after="0"/>
              <w:rPr>
                <w:sz w:val="14"/>
                <w:szCs w:val="14"/>
                <w:color w:val="auto"/>
              </w:rPr>
            </w:pP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802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w:t>
            </w:r>
          </w:p>
        </w:tc>
      </w:tr>
      <w:tr>
        <w:trPr>
          <w:trHeight w:val="167"/>
        </w:trPr>
        <w:tc>
          <w:tcPr>
            <w:tcW w:w="8280" w:type="dxa"/>
            <w:vAlign w:val="bottom"/>
          </w:tcPr>
          <w:p>
            <w:pPr>
              <w:spacing w:after="0"/>
              <w:rPr>
                <w:sz w:val="14"/>
                <w:szCs w:val="14"/>
                <w:color w:val="auto"/>
              </w:rPr>
            </w:pP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4,088</w:t>
            </w:r>
          </w:p>
        </w:tc>
        <w:tc>
          <w:tcPr>
            <w:tcW w:w="980" w:type="dxa"/>
            <w:vAlign w:val="bottom"/>
          </w:tcPr>
          <w:p>
            <w:pPr>
              <w:jc w:val="right"/>
              <w:spacing w:after="0"/>
              <w:rPr>
                <w:sz w:val="20"/>
                <w:szCs w:val="20"/>
                <w:color w:val="auto"/>
              </w:rPr>
            </w:pPr>
            <w:r>
              <w:rPr>
                <w:rFonts w:ascii="Arial" w:cs="Arial" w:eastAsia="Arial" w:hAnsi="Arial"/>
                <w:sz w:val="14"/>
                <w:szCs w:val="14"/>
                <w:color w:val="auto"/>
              </w:rPr>
              <w:t>3,507</w:t>
            </w:r>
          </w:p>
        </w:tc>
      </w:tr>
      <w:tr>
        <w:trPr>
          <w:trHeight w:val="162"/>
        </w:trPr>
        <w:tc>
          <w:tcPr>
            <w:tcW w:w="828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2160" w:type="dxa"/>
            <w:vAlign w:val="bottom"/>
          </w:tcPr>
          <w:p>
            <w:pPr>
              <w:jc w:val="right"/>
              <w:ind w:right="528"/>
              <w:spacing w:after="0"/>
              <w:rPr>
                <w:sz w:val="20"/>
                <w:szCs w:val="20"/>
                <w:color w:val="auto"/>
              </w:rPr>
            </w:pPr>
            <w:r>
              <w:rPr>
                <w:rFonts w:ascii="Arial" w:cs="Arial" w:eastAsia="Arial" w:hAnsi="Arial"/>
                <w:sz w:val="14"/>
                <w:szCs w:val="14"/>
                <w:color w:val="auto"/>
              </w:rPr>
              <w:t>(19)</w:t>
            </w: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4"/>
        </w:trPr>
        <w:tc>
          <w:tcPr>
            <w:tcW w:w="8280" w:type="dxa"/>
            <w:vAlign w:val="bottom"/>
          </w:tcPr>
          <w:p>
            <w:pPr>
              <w:spacing w:after="0" w:line="137" w:lineRule="exact"/>
              <w:rPr>
                <w:sz w:val="20"/>
                <w:szCs w:val="20"/>
                <w:color w:val="auto"/>
              </w:rPr>
            </w:pPr>
            <w:r>
              <w:rPr>
                <w:rFonts w:ascii="Arial" w:cs="Arial" w:eastAsia="Arial" w:hAnsi="Arial"/>
                <w:sz w:val="14"/>
                <w:szCs w:val="14"/>
                <w:color w:val="auto"/>
              </w:rPr>
              <w:t>Unamortized discount on long-term debt</w:t>
            </w:r>
          </w:p>
        </w:tc>
        <w:tc>
          <w:tcPr>
            <w:tcW w:w="2160" w:type="dxa"/>
            <w:vAlign w:val="bottom"/>
            <w:tcBorders>
              <w:bottom w:val="single" w:sz="8" w:color="auto"/>
            </w:tcBorders>
          </w:tcPr>
          <w:p>
            <w:pPr>
              <w:jc w:val="right"/>
              <w:ind w:right="528"/>
              <w:spacing w:after="0" w:line="137" w:lineRule="exact"/>
              <w:rPr>
                <w:sz w:val="20"/>
                <w:szCs w:val="20"/>
                <w:color w:val="auto"/>
              </w:rPr>
            </w:pPr>
            <w:r>
              <w:rPr>
                <w:rFonts w:ascii="Arial" w:cs="Arial" w:eastAsia="Arial" w:hAnsi="Arial"/>
                <w:sz w:val="14"/>
                <w:szCs w:val="14"/>
                <w:color w:val="auto"/>
              </w:rPr>
              <w:t>(11)</w:t>
            </w:r>
          </w:p>
        </w:tc>
        <w:tc>
          <w:tcPr>
            <w:tcW w:w="9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(9)</w:t>
            </w:r>
          </w:p>
        </w:tc>
      </w:tr>
      <w:tr>
        <w:trPr>
          <w:trHeight w:val="169"/>
        </w:trPr>
        <w:tc>
          <w:tcPr>
            <w:tcW w:w="8280" w:type="dxa"/>
            <w:vAlign w:val="bottom"/>
          </w:tcPr>
          <w:p>
            <w:pPr>
              <w:spacing w:after="0" w:line="142" w:lineRule="exact"/>
              <w:rPr>
                <w:sz w:val="20"/>
                <w:szCs w:val="20"/>
                <w:color w:val="auto"/>
              </w:rPr>
            </w:pPr>
            <w:r>
              <w:rPr>
                <w:rFonts w:ascii="Arial" w:cs="Arial" w:eastAsia="Arial" w:hAnsi="Arial"/>
                <w:sz w:val="14"/>
                <w:szCs w:val="14"/>
                <w:color w:val="auto"/>
              </w:rPr>
              <w:t>Total SDG&amp;E</w:t>
            </w:r>
          </w:p>
        </w:tc>
        <w:tc>
          <w:tcPr>
            <w:tcW w:w="2160" w:type="dxa"/>
            <w:vAlign w:val="bottom"/>
            <w:tcBorders>
              <w:bottom w:val="single" w:sz="8" w:color="auto"/>
            </w:tcBorders>
          </w:tcPr>
          <w:p>
            <w:pPr>
              <w:jc w:val="right"/>
              <w:ind w:right="568"/>
              <w:spacing w:after="0" w:line="142" w:lineRule="exact"/>
              <w:rPr>
                <w:sz w:val="20"/>
                <w:szCs w:val="20"/>
                <w:color w:val="auto"/>
              </w:rPr>
            </w:pPr>
            <w:r>
              <w:rPr>
                <w:rFonts w:ascii="Arial" w:cs="Arial" w:eastAsia="Arial" w:hAnsi="Arial"/>
                <w:sz w:val="14"/>
                <w:szCs w:val="14"/>
                <w:color w:val="auto"/>
              </w:rPr>
              <w:t>4,058</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3,479</w:t>
            </w:r>
          </w:p>
        </w:tc>
      </w:tr>
      <w:tr>
        <w:trPr>
          <w:trHeight w:val="261"/>
        </w:trPr>
        <w:tc>
          <w:tcPr>
            <w:tcW w:w="828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62"/>
        </w:trPr>
        <w:tc>
          <w:tcPr>
            <w:tcW w:w="8280" w:type="dxa"/>
            <w:vAlign w:val="bottom"/>
          </w:tcPr>
          <w:p>
            <w:pPr>
              <w:spacing w:after="0"/>
              <w:rPr>
                <w:sz w:val="20"/>
                <w:szCs w:val="20"/>
                <w:color w:val="auto"/>
              </w:rPr>
            </w:pPr>
            <w:r>
              <w:rPr>
                <w:rFonts w:ascii="Arial" w:cs="Arial" w:eastAsia="Arial" w:hAnsi="Arial"/>
                <w:sz w:val="14"/>
                <w:szCs w:val="14"/>
                <w:color w:val="auto"/>
              </w:rPr>
              <w:t>First mortgage bonds:</w:t>
            </w: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8280" w:type="dxa"/>
            <w:vAlign w:val="bottom"/>
          </w:tcPr>
          <w:p>
            <w:pPr>
              <w:ind w:left="560"/>
              <w:spacing w:after="0"/>
              <w:rPr>
                <w:sz w:val="20"/>
                <w:szCs w:val="20"/>
                <w:color w:val="auto"/>
              </w:rPr>
            </w:pPr>
            <w:r>
              <w:rPr>
                <w:rFonts w:ascii="Arial" w:cs="Arial" w:eastAsia="Arial" w:hAnsi="Arial"/>
                <w:sz w:val="14"/>
                <w:szCs w:val="14"/>
                <w:color w:val="auto"/>
              </w:rPr>
              <w:t>4.375% January 15, 2011, including $150 at variable rates after</w:t>
            </w: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8280" w:type="dxa"/>
            <w:vAlign w:val="bottom"/>
          </w:tcPr>
          <w:p>
            <w:pPr>
              <w:ind w:left="720"/>
              <w:spacing w:after="0"/>
              <w:rPr>
                <w:sz w:val="20"/>
                <w:szCs w:val="20"/>
                <w:color w:val="auto"/>
              </w:rPr>
            </w:pPr>
            <w:r>
              <w:rPr>
                <w:rFonts w:ascii="Arial" w:cs="Arial" w:eastAsia="Arial" w:hAnsi="Arial"/>
                <w:sz w:val="14"/>
                <w:szCs w:val="14"/>
                <w:color w:val="auto"/>
              </w:rPr>
              <w:t>fixed-to-floating rate swaps</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8280" w:type="dxa"/>
            <w:vAlign w:val="bottom"/>
          </w:tcPr>
          <w:p>
            <w:pPr>
              <w:ind w:left="560"/>
              <w:spacing w:after="0"/>
              <w:rPr>
                <w:sz w:val="20"/>
                <w:szCs w:val="20"/>
                <w:color w:val="auto"/>
              </w:rPr>
            </w:pPr>
            <w:r>
              <w:rPr>
                <w:rFonts w:ascii="Arial" w:cs="Arial" w:eastAsia="Arial" w:hAnsi="Arial"/>
                <w:sz w:val="14"/>
                <w:szCs w:val="14"/>
                <w:color w:val="auto"/>
              </w:rPr>
              <w:t>4.8% October 1, 2012</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250</w:t>
            </w:r>
          </w:p>
        </w:tc>
        <w:tc>
          <w:tcPr>
            <w:tcW w:w="9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8280" w:type="dxa"/>
            <w:vAlign w:val="bottom"/>
          </w:tcPr>
          <w:p>
            <w:pPr>
              <w:ind w:left="560"/>
              <w:spacing w:after="0"/>
              <w:rPr>
                <w:sz w:val="20"/>
                <w:szCs w:val="20"/>
                <w:color w:val="auto"/>
              </w:rPr>
            </w:pPr>
            <w:r>
              <w:rPr>
                <w:rFonts w:ascii="Arial" w:cs="Arial" w:eastAsia="Arial" w:hAnsi="Arial"/>
                <w:sz w:val="14"/>
                <w:szCs w:val="14"/>
                <w:color w:val="auto"/>
              </w:rPr>
              <w:t>5.5% March 15, 2014</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250</w:t>
            </w:r>
          </w:p>
        </w:tc>
        <w:tc>
          <w:tcPr>
            <w:tcW w:w="9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8280" w:type="dxa"/>
            <w:vAlign w:val="bottom"/>
          </w:tcPr>
          <w:p>
            <w:pPr>
              <w:ind w:left="560"/>
              <w:spacing w:after="0"/>
              <w:rPr>
                <w:sz w:val="20"/>
                <w:szCs w:val="20"/>
                <w:color w:val="auto"/>
              </w:rPr>
            </w:pPr>
            <w:r>
              <w:rPr>
                <w:rFonts w:ascii="Arial" w:cs="Arial" w:eastAsia="Arial" w:hAnsi="Arial"/>
                <w:sz w:val="14"/>
                <w:szCs w:val="14"/>
                <w:color w:val="auto"/>
              </w:rPr>
              <w:t>5.45% April 15, 2018</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250</w:t>
            </w:r>
          </w:p>
        </w:tc>
        <w:tc>
          <w:tcPr>
            <w:tcW w:w="9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2"/>
        </w:trPr>
        <w:tc>
          <w:tcPr>
            <w:tcW w:w="8280" w:type="dxa"/>
            <w:vAlign w:val="bottom"/>
          </w:tcPr>
          <w:p>
            <w:pPr>
              <w:ind w:left="560"/>
              <w:spacing w:after="0"/>
              <w:rPr>
                <w:sz w:val="20"/>
                <w:szCs w:val="20"/>
                <w:color w:val="auto"/>
              </w:rPr>
            </w:pPr>
            <w:r>
              <w:rPr>
                <w:rFonts w:ascii="Arial" w:cs="Arial" w:eastAsia="Arial" w:hAnsi="Arial"/>
                <w:sz w:val="14"/>
                <w:szCs w:val="14"/>
                <w:color w:val="auto"/>
              </w:rPr>
              <w:t>5.75% November 15, 2035</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250</w:t>
            </w:r>
          </w:p>
        </w:tc>
        <w:tc>
          <w:tcPr>
            <w:tcW w:w="9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64"/>
        </w:trPr>
        <w:tc>
          <w:tcPr>
            <w:tcW w:w="8280" w:type="dxa"/>
            <w:vAlign w:val="bottom"/>
          </w:tcPr>
          <w:p>
            <w:pPr>
              <w:ind w:left="560"/>
              <w:spacing w:after="0" w:line="137" w:lineRule="exact"/>
              <w:rPr>
                <w:sz w:val="20"/>
                <w:szCs w:val="20"/>
                <w:color w:val="auto"/>
              </w:rPr>
            </w:pPr>
            <w:r>
              <w:rPr>
                <w:rFonts w:ascii="Arial" w:cs="Arial" w:eastAsia="Arial" w:hAnsi="Arial"/>
                <w:sz w:val="14"/>
                <w:szCs w:val="14"/>
                <w:color w:val="auto"/>
              </w:rPr>
              <w:t>5.125% November 15, 2040</w:t>
            </w:r>
          </w:p>
        </w:tc>
        <w:tc>
          <w:tcPr>
            <w:tcW w:w="2160" w:type="dxa"/>
            <w:vAlign w:val="bottom"/>
            <w:tcBorders>
              <w:bottom w:val="single" w:sz="8" w:color="auto"/>
            </w:tcBorders>
          </w:tcPr>
          <w:p>
            <w:pPr>
              <w:jc w:val="right"/>
              <w:ind w:right="568"/>
              <w:spacing w:after="0" w:line="137" w:lineRule="exact"/>
              <w:rPr>
                <w:sz w:val="20"/>
                <w:szCs w:val="20"/>
                <w:color w:val="auto"/>
              </w:rPr>
            </w:pPr>
            <w:r>
              <w:rPr>
                <w:rFonts w:ascii="Arial" w:cs="Arial" w:eastAsia="Arial" w:hAnsi="Arial"/>
                <w:sz w:val="14"/>
                <w:szCs w:val="14"/>
                <w:color w:val="auto"/>
              </w:rPr>
              <w:t>300</w:t>
            </w:r>
          </w:p>
        </w:tc>
        <w:tc>
          <w:tcPr>
            <w:tcW w:w="9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300</w:t>
            </w:r>
          </w:p>
        </w:tc>
      </w:tr>
      <w:tr>
        <w:trPr>
          <w:trHeight w:val="169"/>
        </w:trPr>
        <w:tc>
          <w:tcPr>
            <w:tcW w:w="8280" w:type="dxa"/>
            <w:vAlign w:val="bottom"/>
          </w:tcPr>
          <w:p>
            <w:pPr>
              <w:spacing w:after="0"/>
              <w:rPr>
                <w:sz w:val="14"/>
                <w:szCs w:val="14"/>
                <w:color w:val="auto"/>
              </w:rPr>
            </w:pP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1,300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w:t>
            </w:r>
          </w:p>
        </w:tc>
      </w:tr>
      <w:tr>
        <w:trPr>
          <w:trHeight w:val="167"/>
        </w:trPr>
        <w:tc>
          <w:tcPr>
            <w:tcW w:w="8280" w:type="dxa"/>
            <w:vAlign w:val="bottom"/>
          </w:tcPr>
          <w:p>
            <w:pPr>
              <w:spacing w:after="0"/>
              <w:rPr>
                <w:sz w:val="20"/>
                <w:szCs w:val="20"/>
                <w:color w:val="auto"/>
              </w:rPr>
            </w:pPr>
            <w:r>
              <w:rPr>
                <w:rFonts w:ascii="Arial" w:cs="Arial" w:eastAsia="Arial" w:hAnsi="Arial"/>
                <w:sz w:val="14"/>
                <w:szCs w:val="14"/>
                <w:color w:val="auto"/>
              </w:rPr>
              <w:t>Other long-term debt (unsecured):</w:t>
            </w: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8280" w:type="dxa"/>
            <w:vAlign w:val="bottom"/>
          </w:tcPr>
          <w:p>
            <w:pPr>
              <w:ind w:left="560"/>
              <w:spacing w:after="0"/>
              <w:rPr>
                <w:sz w:val="20"/>
                <w:szCs w:val="20"/>
                <w:color w:val="auto"/>
              </w:rPr>
            </w:pPr>
            <w:r>
              <w:rPr>
                <w:rFonts w:ascii="Arial" w:cs="Arial" w:eastAsia="Arial" w:hAnsi="Arial"/>
                <w:sz w:val="14"/>
                <w:szCs w:val="14"/>
                <w:color w:val="auto"/>
              </w:rPr>
              <w:t>4.75% Notes May 14, 2016(1)</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8</w:t>
            </w: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2"/>
        </w:trPr>
        <w:tc>
          <w:tcPr>
            <w:tcW w:w="8280" w:type="dxa"/>
            <w:vAlign w:val="bottom"/>
          </w:tcPr>
          <w:p>
            <w:pPr>
              <w:ind w:left="560"/>
              <w:spacing w:after="0"/>
              <w:rPr>
                <w:sz w:val="20"/>
                <w:szCs w:val="20"/>
                <w:color w:val="auto"/>
              </w:rPr>
            </w:pPr>
            <w:r>
              <w:rPr>
                <w:rFonts w:ascii="Arial" w:cs="Arial" w:eastAsia="Arial" w:hAnsi="Arial"/>
                <w:sz w:val="14"/>
                <w:szCs w:val="14"/>
                <w:color w:val="auto"/>
              </w:rPr>
              <w:t>5.67% Notes January 18, 2028</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5</w:t>
            </w: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2"/>
        </w:trPr>
        <w:tc>
          <w:tcPr>
            <w:tcW w:w="8280" w:type="dxa"/>
            <w:vAlign w:val="bottom"/>
          </w:tcPr>
          <w:p>
            <w:pPr>
              <w:spacing w:after="0"/>
              <w:rPr>
                <w:sz w:val="20"/>
                <w:szCs w:val="20"/>
                <w:color w:val="auto"/>
              </w:rPr>
            </w:pPr>
            <w:r>
              <w:rPr>
                <w:rFonts w:ascii="Arial" w:cs="Arial" w:eastAsia="Arial" w:hAnsi="Arial"/>
                <w:sz w:val="14"/>
                <w:szCs w:val="14"/>
                <w:color w:val="auto"/>
              </w:rPr>
              <w:t>Capital lease obligations</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11</w:t>
            </w: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4"/>
        </w:trPr>
        <w:tc>
          <w:tcPr>
            <w:tcW w:w="8280" w:type="dxa"/>
            <w:vAlign w:val="bottom"/>
          </w:tcPr>
          <w:p>
            <w:pPr>
              <w:spacing w:after="0" w:line="137" w:lineRule="exact"/>
              <w:rPr>
                <w:sz w:val="20"/>
                <w:szCs w:val="20"/>
                <w:color w:val="auto"/>
              </w:rPr>
            </w:pPr>
            <w:r>
              <w:rPr>
                <w:rFonts w:ascii="Arial" w:cs="Arial" w:eastAsia="Arial" w:hAnsi="Arial"/>
                <w:sz w:val="14"/>
                <w:szCs w:val="14"/>
                <w:color w:val="auto"/>
              </w:rPr>
              <w:t>Market value adjustments for interest rate swap, net (expired January 18, 2011)</w:t>
            </w:r>
          </w:p>
        </w:tc>
        <w:tc>
          <w:tcPr>
            <w:tcW w:w="2160" w:type="dxa"/>
            <w:vAlign w:val="bottom"/>
            <w:tcBorders>
              <w:bottom w:val="single" w:sz="8" w:color="auto"/>
            </w:tcBorders>
          </w:tcPr>
          <w:p>
            <w:pPr>
              <w:jc w:val="right"/>
              <w:ind w:right="568"/>
              <w:spacing w:after="0" w:line="137"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w:t>
            </w:r>
          </w:p>
        </w:tc>
      </w:tr>
      <w:tr>
        <w:trPr>
          <w:trHeight w:val="169"/>
        </w:trPr>
        <w:tc>
          <w:tcPr>
            <w:tcW w:w="8280" w:type="dxa"/>
            <w:vAlign w:val="bottom"/>
          </w:tcPr>
          <w:p>
            <w:pPr>
              <w:spacing w:after="0"/>
              <w:rPr>
                <w:sz w:val="14"/>
                <w:szCs w:val="14"/>
                <w:color w:val="auto"/>
              </w:rPr>
            </w:pP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167"/>
        </w:trPr>
        <w:tc>
          <w:tcPr>
            <w:tcW w:w="8280" w:type="dxa"/>
            <w:vAlign w:val="bottom"/>
          </w:tcPr>
          <w:p>
            <w:pPr>
              <w:spacing w:after="0"/>
              <w:rPr>
                <w:sz w:val="14"/>
                <w:szCs w:val="14"/>
                <w:color w:val="auto"/>
              </w:rPr>
            </w:pP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1,324</w:t>
            </w:r>
          </w:p>
        </w:tc>
        <w:tc>
          <w:tcPr>
            <w:tcW w:w="980" w:type="dxa"/>
            <w:vAlign w:val="bottom"/>
          </w:tcPr>
          <w:p>
            <w:pPr>
              <w:jc w:val="right"/>
              <w:spacing w:after="0"/>
              <w:rPr>
                <w:sz w:val="20"/>
                <w:szCs w:val="20"/>
                <w:color w:val="auto"/>
              </w:rPr>
            </w:pPr>
            <w:r>
              <w:rPr>
                <w:rFonts w:ascii="Arial" w:cs="Arial" w:eastAsia="Arial" w:hAnsi="Arial"/>
                <w:sz w:val="14"/>
                <w:szCs w:val="14"/>
                <w:color w:val="auto"/>
              </w:rPr>
              <w:t>1,585</w:t>
            </w:r>
          </w:p>
        </w:tc>
      </w:tr>
      <w:tr>
        <w:trPr>
          <w:trHeight w:val="162"/>
        </w:trPr>
        <w:tc>
          <w:tcPr>
            <w:tcW w:w="828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2160" w:type="dxa"/>
            <w:vAlign w:val="bottom"/>
          </w:tcPr>
          <w:p>
            <w:pPr>
              <w:jc w:val="right"/>
              <w:ind w:right="528"/>
              <w:spacing w:after="0"/>
              <w:rPr>
                <w:sz w:val="20"/>
                <w:szCs w:val="20"/>
                <w:color w:val="auto"/>
              </w:rPr>
            </w:pPr>
            <w:r>
              <w:rPr>
                <w:rFonts w:ascii="Arial" w:cs="Arial" w:eastAsia="Arial" w:hAnsi="Arial"/>
                <w:sz w:val="14"/>
                <w:szCs w:val="14"/>
                <w:color w:val="auto"/>
              </w:rPr>
              <w:t>(257)</w:t>
            </w:r>
          </w:p>
        </w:tc>
        <w:tc>
          <w:tcPr>
            <w:tcW w:w="98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164"/>
        </w:trPr>
        <w:tc>
          <w:tcPr>
            <w:tcW w:w="8280" w:type="dxa"/>
            <w:vAlign w:val="bottom"/>
          </w:tcPr>
          <w:p>
            <w:pPr>
              <w:spacing w:after="0" w:line="137" w:lineRule="exact"/>
              <w:rPr>
                <w:sz w:val="20"/>
                <w:szCs w:val="20"/>
                <w:color w:val="auto"/>
              </w:rPr>
            </w:pPr>
            <w:r>
              <w:rPr>
                <w:rFonts w:ascii="Arial" w:cs="Arial" w:eastAsia="Arial" w:hAnsi="Arial"/>
                <w:sz w:val="14"/>
                <w:szCs w:val="14"/>
                <w:color w:val="auto"/>
              </w:rPr>
              <w:t>Unamortized discount on long-term debt</w:t>
            </w:r>
          </w:p>
        </w:tc>
        <w:tc>
          <w:tcPr>
            <w:tcW w:w="2160" w:type="dxa"/>
            <w:vAlign w:val="bottom"/>
            <w:tcBorders>
              <w:bottom w:val="single" w:sz="8" w:color="auto"/>
            </w:tcBorders>
          </w:tcPr>
          <w:p>
            <w:pPr>
              <w:jc w:val="right"/>
              <w:ind w:right="528"/>
              <w:spacing w:after="0" w:line="137" w:lineRule="exact"/>
              <w:rPr>
                <w:sz w:val="20"/>
                <w:szCs w:val="20"/>
                <w:color w:val="auto"/>
              </w:rPr>
            </w:pPr>
            <w:r>
              <w:rPr>
                <w:rFonts w:ascii="Arial" w:cs="Arial" w:eastAsia="Arial" w:hAnsi="Arial"/>
                <w:sz w:val="14"/>
                <w:szCs w:val="14"/>
                <w:color w:val="auto"/>
              </w:rPr>
              <w:t>(3)</w:t>
            </w:r>
          </w:p>
        </w:tc>
        <w:tc>
          <w:tcPr>
            <w:tcW w:w="9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w:t>
            </w:r>
          </w:p>
        </w:tc>
      </w:tr>
      <w:tr>
        <w:trPr>
          <w:trHeight w:val="169"/>
        </w:trPr>
        <w:tc>
          <w:tcPr>
            <w:tcW w:w="8280" w:type="dxa"/>
            <w:vAlign w:val="bottom"/>
          </w:tcPr>
          <w:p>
            <w:pPr>
              <w:spacing w:after="0" w:line="142" w:lineRule="exact"/>
              <w:rPr>
                <w:sz w:val="20"/>
                <w:szCs w:val="20"/>
                <w:color w:val="auto"/>
              </w:rPr>
            </w:pPr>
            <w:r>
              <w:rPr>
                <w:rFonts w:ascii="Arial" w:cs="Arial" w:eastAsia="Arial" w:hAnsi="Arial"/>
                <w:sz w:val="14"/>
                <w:szCs w:val="14"/>
                <w:color w:val="auto"/>
              </w:rPr>
              <w:t>Total SoCalGas</w:t>
            </w:r>
          </w:p>
        </w:tc>
        <w:tc>
          <w:tcPr>
            <w:tcW w:w="2160" w:type="dxa"/>
            <w:vAlign w:val="bottom"/>
            <w:tcBorders>
              <w:bottom w:val="single" w:sz="8" w:color="auto"/>
            </w:tcBorders>
          </w:tcPr>
          <w:p>
            <w:pPr>
              <w:jc w:val="right"/>
              <w:ind w:right="568"/>
              <w:spacing w:after="0" w:line="142" w:lineRule="exact"/>
              <w:rPr>
                <w:sz w:val="20"/>
                <w:szCs w:val="20"/>
                <w:color w:val="auto"/>
              </w:rPr>
            </w:pPr>
            <w:r>
              <w:rPr>
                <w:rFonts w:ascii="Arial" w:cs="Arial" w:eastAsia="Arial" w:hAnsi="Arial"/>
                <w:sz w:val="14"/>
                <w:szCs w:val="14"/>
                <w:color w:val="auto"/>
              </w:rPr>
              <w:t>1,064</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1,320</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December 31,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Sempra Energy</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gridSpan w:val="3"/>
          </w:tcPr>
          <w:p>
            <w:pPr>
              <w:spacing w:after="0"/>
              <w:rPr>
                <w:sz w:val="20"/>
                <w:szCs w:val="20"/>
                <w:color w:val="auto"/>
              </w:rPr>
            </w:pPr>
            <w:r>
              <w:rPr>
                <w:rFonts w:ascii="Arial" w:cs="Arial" w:eastAsia="Arial" w:hAnsi="Arial"/>
                <w:sz w:val="14"/>
                <w:szCs w:val="14"/>
                <w:color w:val="auto"/>
              </w:rPr>
              <w:t>Other long-term debt (unsecured):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6% Notes February 1, 2013</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8.9% Notes November 15, 2013, including $200 at variable rates after fixed-to-floating</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ind w:left="160"/>
              <w:spacing w:after="0"/>
              <w:rPr>
                <w:sz w:val="20"/>
                <w:szCs w:val="20"/>
                <w:color w:val="auto"/>
              </w:rPr>
            </w:pPr>
            <w:r>
              <w:rPr>
                <w:rFonts w:ascii="Arial" w:cs="Arial" w:eastAsia="Arial" w:hAnsi="Arial"/>
                <w:sz w:val="14"/>
                <w:szCs w:val="14"/>
                <w:color w:val="auto"/>
              </w:rPr>
              <w:t>rate swaps effective January 2011 (8.19% at December 31, 2011)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2% Notes March 15, 2014</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Notes at variable rates (1.22% at December 31, 2011) March 15, 2014</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6.5% Notes June 1, 2016, including $300 at variable rates after fixed-to-floating</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ind w:left="160"/>
              <w:spacing w:after="0"/>
              <w:rPr>
                <w:sz w:val="20"/>
                <w:szCs w:val="20"/>
                <w:color w:val="auto"/>
              </w:rPr>
            </w:pPr>
            <w:r>
              <w:rPr>
                <w:rFonts w:ascii="Arial" w:cs="Arial" w:eastAsia="Arial" w:hAnsi="Arial"/>
                <w:sz w:val="14"/>
                <w:szCs w:val="14"/>
                <w:color w:val="auto"/>
              </w:rPr>
              <w:t>rate swaps effective January 2011 (4.86% at December 31, 2011)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6.15% Notes June 15, 2018</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9.8% Notes February 15, 2019</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6% Notes October 15, 2039</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Employee Stock Ownership Plan Bonds at variable rates payable on demand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20" w:type="dxa"/>
            <w:vAlign w:val="bottom"/>
          </w:tcPr>
          <w:p>
            <w:pPr>
              <w:ind w:left="160"/>
              <w:spacing w:after="0"/>
              <w:rPr>
                <w:sz w:val="20"/>
                <w:szCs w:val="20"/>
                <w:color w:val="auto"/>
              </w:rPr>
            </w:pPr>
            <w:r>
              <w:rPr>
                <w:rFonts w:ascii="Arial" w:cs="Arial" w:eastAsia="Arial" w:hAnsi="Arial"/>
                <w:sz w:val="14"/>
                <w:szCs w:val="14"/>
                <w:color w:val="auto"/>
              </w:rPr>
              <w:t>(0.40% at December 31, 2011) November 1, 2014(1)</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2"/>
        </w:trPr>
        <w:tc>
          <w:tcPr>
            <w:tcW w:w="8360" w:type="dxa"/>
            <w:vAlign w:val="bottom"/>
            <w:gridSpan w:val="3"/>
          </w:tcPr>
          <w:p>
            <w:pPr>
              <w:spacing w:after="0"/>
              <w:rPr>
                <w:sz w:val="20"/>
                <w:szCs w:val="20"/>
                <w:color w:val="auto"/>
              </w:rPr>
            </w:pPr>
            <w:r>
              <w:rPr>
                <w:rFonts w:ascii="Arial" w:cs="Arial" w:eastAsia="Arial" w:hAnsi="Arial"/>
                <w:sz w:val="14"/>
                <w:szCs w:val="14"/>
                <w:color w:val="auto"/>
              </w:rPr>
              <w:t>Market value adjustments for interest rate swaps, net (expire November 2013 and June 2016)</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4"/>
        </w:trPr>
        <w:tc>
          <w:tcPr>
            <w:tcW w:w="8360" w:type="dxa"/>
            <w:vAlign w:val="bottom"/>
            <w:gridSpan w:val="3"/>
          </w:tcPr>
          <w:p>
            <w:pPr>
              <w:spacing w:after="0"/>
              <w:rPr>
                <w:sz w:val="20"/>
                <w:szCs w:val="20"/>
                <w:color w:val="auto"/>
              </w:rPr>
            </w:pPr>
            <w:r>
              <w:rPr>
                <w:rFonts w:ascii="Arial" w:cs="Arial" w:eastAsia="Arial" w:hAnsi="Arial"/>
                <w:sz w:val="14"/>
                <w:szCs w:val="14"/>
                <w:b w:val="1"/>
                <w:bCs w:val="1"/>
                <w:color w:val="auto"/>
              </w:rPr>
              <w:t>Sempra Global</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360" w:type="dxa"/>
            <w:vAlign w:val="bottom"/>
            <w:gridSpan w:val="3"/>
          </w:tcPr>
          <w:p>
            <w:pPr>
              <w:spacing w:after="0"/>
              <w:rPr>
                <w:sz w:val="20"/>
                <w:szCs w:val="20"/>
                <w:color w:val="auto"/>
              </w:rPr>
            </w:pPr>
            <w:r>
              <w:rPr>
                <w:rFonts w:ascii="Arial" w:cs="Arial" w:eastAsia="Arial" w:hAnsi="Arial"/>
                <w:sz w:val="14"/>
                <w:szCs w:val="14"/>
                <w:color w:val="auto"/>
              </w:rPr>
              <w:t>Other long-term debt (unsecured):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Commercial paper borrowings at variable rates, classified as long-term debt</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ind w:left="160"/>
              <w:spacing w:after="0"/>
              <w:rPr>
                <w:sz w:val="20"/>
                <w:szCs w:val="20"/>
                <w:color w:val="auto"/>
              </w:rPr>
            </w:pPr>
            <w:r>
              <w:rPr>
                <w:rFonts w:ascii="Arial" w:cs="Arial" w:eastAsia="Arial" w:hAnsi="Arial"/>
                <w:sz w:val="14"/>
                <w:szCs w:val="14"/>
                <w:color w:val="auto"/>
              </w:rPr>
              <w:t>(0.74% weighted average at December 31, 2011)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314"/>
        </w:trPr>
        <w:tc>
          <w:tcPr>
            <w:tcW w:w="8360" w:type="dxa"/>
            <w:vAlign w:val="bottom"/>
            <w:gridSpan w:val="3"/>
          </w:tcPr>
          <w:p>
            <w:pPr>
              <w:spacing w:after="0"/>
              <w:rPr>
                <w:sz w:val="20"/>
                <w:szCs w:val="20"/>
                <w:color w:val="auto"/>
              </w:rPr>
            </w:pPr>
            <w:r>
              <w:rPr>
                <w:rFonts w:ascii="Arial" w:cs="Arial" w:eastAsia="Arial" w:hAnsi="Arial"/>
                <w:sz w:val="14"/>
                <w:szCs w:val="14"/>
                <w:b w:val="1"/>
                <w:bCs w:val="1"/>
                <w:color w:val="auto"/>
              </w:rPr>
              <w:t>Sempra Pipelines &amp; Storage</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360" w:type="dxa"/>
            <w:vAlign w:val="bottom"/>
            <w:gridSpan w:val="3"/>
          </w:tcPr>
          <w:p>
            <w:pPr>
              <w:spacing w:after="0"/>
              <w:rPr>
                <w:sz w:val="20"/>
                <w:szCs w:val="20"/>
                <w:color w:val="auto"/>
              </w:rPr>
            </w:pPr>
            <w:r>
              <w:rPr>
                <w:rFonts w:ascii="Arial" w:cs="Arial" w:eastAsia="Arial" w:hAnsi="Arial"/>
                <w:sz w:val="14"/>
                <w:szCs w:val="14"/>
                <w:color w:val="auto"/>
              </w:rPr>
              <w:t>Other long-term debt (unsecured unless otherwise noted):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40" w:type="dxa"/>
            <w:vAlign w:val="bottom"/>
            <w:gridSpan w:val="2"/>
          </w:tcPr>
          <w:p>
            <w:pPr>
              <w:ind w:left="140"/>
              <w:spacing w:after="0"/>
              <w:rPr>
                <w:sz w:val="20"/>
                <w:szCs w:val="20"/>
                <w:color w:val="auto"/>
              </w:rPr>
            </w:pPr>
            <w:r>
              <w:rPr>
                <w:rFonts w:ascii="Arial" w:cs="Arial" w:eastAsia="Arial" w:hAnsi="Arial"/>
                <w:sz w:val="14"/>
                <w:szCs w:val="14"/>
                <w:color w:val="auto"/>
              </w:rPr>
              <w:t>Chilquinta Energía</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2.75% Series A Bonds October 30, 2014(1)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4.25% Series B Bonds October 30, 2030(1)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202</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40" w:type="dxa"/>
            <w:vAlign w:val="bottom"/>
            <w:gridSpan w:val="2"/>
          </w:tcPr>
          <w:p>
            <w:pPr>
              <w:ind w:left="140"/>
              <w:spacing w:after="0"/>
              <w:rPr>
                <w:sz w:val="20"/>
                <w:szCs w:val="20"/>
                <w:color w:val="auto"/>
              </w:rPr>
            </w:pPr>
            <w:r>
              <w:rPr>
                <w:rFonts w:ascii="Arial" w:cs="Arial" w:eastAsia="Arial" w:hAnsi="Arial"/>
                <w:sz w:val="14"/>
                <w:szCs w:val="14"/>
                <w:color w:val="auto"/>
              </w:rPr>
              <w:t>Luz del Sur</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Notes at 5.72% to 7.91% payable 2012 through 2021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185</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 w:type="dxa"/>
            <w:vAlign w:val="bottom"/>
            <w:vMerge w:val="restart"/>
          </w:tcPr>
          <w:p>
            <w:pPr>
              <w:ind w:left="140"/>
              <w:spacing w:after="0"/>
              <w:rPr>
                <w:sz w:val="20"/>
                <w:szCs w:val="20"/>
                <w:color w:val="auto"/>
              </w:rPr>
            </w:pPr>
            <w:r>
              <w:rPr>
                <w:rFonts w:ascii="Arial" w:cs="Arial" w:eastAsia="Arial" w:hAnsi="Arial"/>
                <w:sz w:val="14"/>
                <w:szCs w:val="14"/>
                <w:color w:val="auto"/>
              </w:rPr>
              <w:t>Other</w:t>
            </w:r>
          </w:p>
        </w:tc>
        <w:tc>
          <w:tcPr>
            <w:tcW w:w="7820" w:type="dxa"/>
            <w:vAlign w:val="bottom"/>
          </w:tcPr>
          <w:p>
            <w:pPr>
              <w:spacing w:after="0"/>
              <w:rPr>
                <w:sz w:val="20"/>
                <w:szCs w:val="20"/>
                <w:color w:val="auto"/>
              </w:rPr>
            </w:pPr>
            <w:r>
              <w:rPr>
                <w:rFonts w:ascii="Arial" w:cs="Arial" w:eastAsia="Arial" w:hAnsi="Arial"/>
                <w:sz w:val="14"/>
                <w:szCs w:val="14"/>
                <w:color w:val="auto"/>
              </w:rPr>
              <w:t>Bank loans 5.45% to 6.75% payable 2012 through 2016</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820" w:type="dxa"/>
            <w:vAlign w:val="bottom"/>
            <w:vMerge w:val="restart"/>
          </w:tcPr>
          <w:p>
            <w:pPr>
              <w:spacing w:after="0"/>
              <w:rPr>
                <w:sz w:val="20"/>
                <w:szCs w:val="20"/>
                <w:color w:val="auto"/>
              </w:rPr>
            </w:pPr>
            <w:r>
              <w:rPr>
                <w:rFonts w:ascii="Arial" w:cs="Arial" w:eastAsia="Arial" w:hAnsi="Arial"/>
                <w:sz w:val="14"/>
                <w:szCs w:val="14"/>
                <w:color w:val="auto"/>
              </w:rPr>
              <w:t>Notes at 2.87% to 5.05% payable 2012 through 2013(1)</w:t>
            </w: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5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9% Notes May 13, 2013</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8.45% Notes payable 2012 through 2017, secured</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4.5% Notes July 1, 2024, secured(1)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Industrial development bonds at variable rates (0.08% at December 31, 2011)</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ind w:left="160"/>
              <w:spacing w:after="0"/>
              <w:rPr>
                <w:sz w:val="20"/>
                <w:szCs w:val="20"/>
                <w:color w:val="auto"/>
              </w:rPr>
            </w:pPr>
            <w:r>
              <w:rPr>
                <w:rFonts w:ascii="Arial" w:cs="Arial" w:eastAsia="Arial" w:hAnsi="Arial"/>
                <w:sz w:val="14"/>
                <w:szCs w:val="14"/>
                <w:color w:val="auto"/>
              </w:rPr>
              <w:t>August 1, 2037, secured(1)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8360" w:type="dxa"/>
            <w:vAlign w:val="bottom"/>
            <w:gridSpan w:val="3"/>
          </w:tcPr>
          <w:p>
            <w:pPr>
              <w:spacing w:after="0"/>
              <w:rPr>
                <w:sz w:val="20"/>
                <w:szCs w:val="20"/>
                <w:color w:val="auto"/>
              </w:rPr>
            </w:pPr>
            <w:r>
              <w:rPr>
                <w:rFonts w:ascii="Arial" w:cs="Arial" w:eastAsia="Arial" w:hAnsi="Arial"/>
                <w:sz w:val="14"/>
                <w:szCs w:val="14"/>
                <w:color w:val="auto"/>
              </w:rPr>
              <w:t>First mortgage bonds (Mobile Gas):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6.9% payable 2011 through 2017</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8.75% payable 2011 through 2022</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7.48% payable 2011 through 2023</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4.14% September 30, 2021</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line="137" w:lineRule="exact"/>
              <w:rPr>
                <w:sz w:val="20"/>
                <w:szCs w:val="20"/>
                <w:color w:val="auto"/>
              </w:rPr>
            </w:pPr>
            <w:r>
              <w:rPr>
                <w:rFonts w:ascii="Arial" w:cs="Arial" w:eastAsia="Arial" w:hAnsi="Arial"/>
                <w:sz w:val="14"/>
                <w:szCs w:val="14"/>
                <w:color w:val="auto"/>
              </w:rPr>
              <w:t>5% September 30, 2031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42</w:t>
            </w: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5,018</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162"/>
        </w:trPr>
        <w:tc>
          <w:tcPr>
            <w:tcW w:w="8360" w:type="dxa"/>
            <w:vAlign w:val="bottom"/>
            <w:gridSpan w:val="3"/>
          </w:tcPr>
          <w:p>
            <w:pPr>
              <w:spacing w:after="0"/>
              <w:rPr>
                <w:sz w:val="20"/>
                <w:szCs w:val="20"/>
                <w:color w:val="auto"/>
              </w:rPr>
            </w:pPr>
            <w:r>
              <w:rPr>
                <w:rFonts w:ascii="Arial" w:cs="Arial" w:eastAsia="Arial" w:hAnsi="Arial"/>
                <w:sz w:val="14"/>
                <w:szCs w:val="14"/>
                <w:color w:val="auto"/>
              </w:rPr>
              <w:t>Current portion of long-term debt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2"/>
        </w:trPr>
        <w:tc>
          <w:tcPr>
            <w:tcW w:w="8360" w:type="dxa"/>
            <w:vAlign w:val="bottom"/>
            <w:gridSpan w:val="3"/>
          </w:tcPr>
          <w:p>
            <w:pPr>
              <w:spacing w:after="0"/>
              <w:rPr>
                <w:sz w:val="20"/>
                <w:szCs w:val="20"/>
                <w:color w:val="auto"/>
              </w:rPr>
            </w:pPr>
            <w:r>
              <w:rPr>
                <w:rFonts w:ascii="Arial" w:cs="Arial" w:eastAsia="Arial" w:hAnsi="Arial"/>
                <w:sz w:val="14"/>
                <w:szCs w:val="14"/>
                <w:color w:val="auto"/>
              </w:rPr>
              <w:t>Unamortized discount on long-term debt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4"/>
        </w:trPr>
        <w:tc>
          <w:tcPr>
            <w:tcW w:w="8360" w:type="dxa"/>
            <w:vAlign w:val="bottom"/>
            <w:gridSpan w:val="3"/>
          </w:tcPr>
          <w:p>
            <w:pPr>
              <w:spacing w:after="0" w:line="137" w:lineRule="exact"/>
              <w:rPr>
                <w:sz w:val="20"/>
                <w:szCs w:val="20"/>
                <w:color w:val="auto"/>
              </w:rPr>
            </w:pPr>
            <w:r>
              <w:rPr>
                <w:rFonts w:ascii="Arial" w:cs="Arial" w:eastAsia="Arial" w:hAnsi="Arial"/>
                <w:sz w:val="14"/>
                <w:szCs w:val="14"/>
                <w:color w:val="auto"/>
              </w:rPr>
              <w:t>Unamortized premium on long-term debt</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w:t>
            </w: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360" w:type="dxa"/>
            <w:vAlign w:val="bottom"/>
            <w:gridSpan w:val="3"/>
          </w:tcPr>
          <w:p>
            <w:pPr>
              <w:spacing w:after="0" w:line="142" w:lineRule="exact"/>
              <w:rPr>
                <w:sz w:val="20"/>
                <w:szCs w:val="20"/>
                <w:color w:val="auto"/>
              </w:rPr>
            </w:pPr>
            <w:r>
              <w:rPr>
                <w:rFonts w:ascii="Arial" w:cs="Arial" w:eastAsia="Arial" w:hAnsi="Arial"/>
                <w:sz w:val="14"/>
                <w:szCs w:val="14"/>
                <w:color w:val="auto"/>
              </w:rPr>
              <w:t>Total other Sempra Energy</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4,956</w:t>
            </w: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169"/>
        </w:trPr>
        <w:tc>
          <w:tcPr>
            <w:tcW w:w="8360" w:type="dxa"/>
            <w:vAlign w:val="bottom"/>
            <w:gridSpan w:val="3"/>
          </w:tcPr>
          <w:p>
            <w:pPr>
              <w:spacing w:after="0"/>
              <w:rPr>
                <w:sz w:val="20"/>
                <w:szCs w:val="20"/>
                <w:color w:val="auto"/>
              </w:rPr>
            </w:pPr>
            <w:r>
              <w:rPr>
                <w:rFonts w:ascii="Arial" w:cs="Arial" w:eastAsia="Arial" w:hAnsi="Arial"/>
                <w:sz w:val="14"/>
                <w:szCs w:val="14"/>
                <w:b w:val="1"/>
                <w:bCs w:val="1"/>
                <w:color w:val="auto"/>
              </w:rPr>
              <w:t>Total Sempra Energy Consolidated</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10,078</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8,980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(1)</w:t>
            </w:r>
          </w:p>
        </w:tc>
        <w:tc>
          <w:tcPr>
            <w:tcW w:w="78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Callable long-term debt.</w:t>
            </w: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MATURITIES OF LONG-TERM DEBT(1)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145"/>
              <w:spacing w:after="0"/>
              <w:rPr>
                <w:sz w:val="20"/>
                <w:szCs w:val="20"/>
                <w:color w:val="auto"/>
              </w:rPr>
            </w:pPr>
            <w:r>
              <w:rPr>
                <w:rFonts w:ascii="Arial" w:cs="Arial" w:eastAsia="Arial" w:hAnsi="Arial"/>
                <w:sz w:val="14"/>
                <w:szCs w:val="14"/>
                <w:color w:val="auto"/>
                <w:w w:val="96"/>
              </w:rPr>
              <w:t>Total</w:t>
            </w: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center"/>
              <w:ind w:right="224"/>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1360" w:type="dxa"/>
            <w:vAlign w:val="bottom"/>
          </w:tcPr>
          <w:p>
            <w:pPr>
              <w:jc w:val="center"/>
              <w:ind w:right="145"/>
              <w:spacing w:after="0"/>
              <w:rPr>
                <w:sz w:val="20"/>
                <w:szCs w:val="20"/>
                <w:color w:val="auto"/>
              </w:rPr>
            </w:pPr>
            <w:r>
              <w:rPr>
                <w:rFonts w:ascii="Arial" w:cs="Arial" w:eastAsia="Arial" w:hAnsi="Arial"/>
                <w:sz w:val="14"/>
                <w:szCs w:val="14"/>
                <w:color w:val="auto"/>
              </w:rPr>
              <w:t>Sempra</w:t>
            </w: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center"/>
              <w:ind w:right="204"/>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5"/>
                <w:szCs w:val="15"/>
                <w:color w:val="auto"/>
              </w:rPr>
            </w:pPr>
          </w:p>
        </w:tc>
        <w:tc>
          <w:tcPr>
            <w:tcW w:w="1360" w:type="dxa"/>
            <w:vAlign w:val="bottom"/>
          </w:tcPr>
          <w:p>
            <w:pPr>
              <w:jc w:val="center"/>
              <w:ind w:right="145"/>
              <w:spacing w:after="0"/>
              <w:rPr>
                <w:sz w:val="20"/>
                <w:szCs w:val="20"/>
                <w:color w:val="auto"/>
              </w:rPr>
            </w:pPr>
            <w:r>
              <w:rPr>
                <w:rFonts w:ascii="Arial" w:cs="Arial" w:eastAsia="Arial" w:hAnsi="Arial"/>
                <w:sz w:val="14"/>
                <w:szCs w:val="14"/>
                <w:color w:val="auto"/>
              </w:rPr>
              <w:t>Energy</w:t>
            </w:r>
          </w:p>
        </w:tc>
      </w:tr>
      <w:tr>
        <w:trPr>
          <w:trHeight w:val="168"/>
        </w:trPr>
        <w:tc>
          <w:tcPr>
            <w:tcW w:w="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SDG&amp;E</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SoCalGas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color w:val="auto"/>
              </w:rPr>
              <w:t>Energy</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color w:val="auto"/>
              </w:rPr>
              <w:t>Consolidated</w:t>
            </w:r>
          </w:p>
        </w:tc>
      </w:tr>
      <w:tr>
        <w:trPr>
          <w:trHeight w:val="164"/>
        </w:trPr>
        <w:tc>
          <w:tcPr>
            <w:tcW w:w="20" w:type="dxa"/>
            <w:vAlign w:val="bottom"/>
          </w:tcPr>
          <w:p>
            <w:pPr>
              <w:spacing w:after="0"/>
              <w:rPr>
                <w:sz w:val="14"/>
                <w:szCs w:val="14"/>
                <w:color w:val="auto"/>
              </w:rPr>
            </w:pPr>
          </w:p>
        </w:tc>
        <w:tc>
          <w:tcPr>
            <w:tcW w:w="3160" w:type="dxa"/>
            <w:vAlign w:val="bottom"/>
          </w:tcPr>
          <w:p>
            <w:pPr>
              <w:spacing w:after="0" w:line="164" w:lineRule="exact"/>
              <w:rPr>
                <w:sz w:val="20"/>
                <w:szCs w:val="20"/>
                <w:color w:val="auto"/>
              </w:rPr>
            </w:pPr>
            <w:r>
              <w:rPr>
                <w:rFonts w:ascii="Arial" w:cs="Arial" w:eastAsia="Arial" w:hAnsi="Arial"/>
                <w:sz w:val="16"/>
                <w:szCs w:val="16"/>
                <w:color w:val="auto"/>
              </w:rPr>
              <w:t>2012</w:t>
            </w:r>
          </w:p>
        </w:tc>
        <w:tc>
          <w:tcPr>
            <w:tcW w:w="3140" w:type="dxa"/>
            <w:vAlign w:val="bottom"/>
          </w:tcPr>
          <w:p>
            <w:pPr>
              <w:jc w:val="right"/>
              <w:ind w:right="1003"/>
              <w:spacing w:after="0" w:line="164"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10</w:t>
            </w:r>
          </w:p>
        </w:tc>
        <w:tc>
          <w:tcPr>
            <w:tcW w:w="280" w:type="dxa"/>
            <w:vAlign w:val="bottom"/>
          </w:tcPr>
          <w:p>
            <w:pPr>
              <w:jc w:val="right"/>
              <w:ind w:right="99"/>
              <w:spacing w:after="0" w:line="164"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250</w:t>
            </w:r>
          </w:p>
        </w:tc>
        <w:tc>
          <w:tcPr>
            <w:tcW w:w="340" w:type="dxa"/>
            <w:vAlign w:val="bottom"/>
          </w:tcPr>
          <w:p>
            <w:pPr>
              <w:jc w:val="right"/>
              <w:ind w:right="159"/>
              <w:spacing w:after="0" w:line="164"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60</w:t>
            </w:r>
          </w:p>
        </w:tc>
        <w:tc>
          <w:tcPr>
            <w:tcW w:w="260" w:type="dxa"/>
            <w:vAlign w:val="bottom"/>
          </w:tcPr>
          <w:p>
            <w:pPr>
              <w:jc w:val="right"/>
              <w:ind w:right="59"/>
              <w:spacing w:after="0" w:line="164"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64" w:lineRule="exact"/>
              <w:rPr>
                <w:sz w:val="20"/>
                <w:szCs w:val="20"/>
                <w:color w:val="auto"/>
              </w:rPr>
            </w:pPr>
            <w:r>
              <w:rPr>
                <w:rFonts w:ascii="Arial" w:cs="Arial" w:eastAsia="Arial" w:hAnsi="Arial"/>
                <w:sz w:val="16"/>
                <w:szCs w:val="16"/>
                <w:color w:val="auto"/>
              </w:rPr>
              <w:t>320</w:t>
            </w:r>
          </w:p>
        </w:tc>
      </w:tr>
      <w:tr>
        <w:trPr>
          <w:trHeight w:val="195"/>
        </w:trPr>
        <w:tc>
          <w:tcPr>
            <w:tcW w:w="3180" w:type="dxa"/>
            <w:vAlign w:val="bottom"/>
            <w:gridSpan w:val="2"/>
          </w:tcPr>
          <w:p>
            <w:pPr>
              <w:spacing w:after="0"/>
              <w:rPr>
                <w:sz w:val="20"/>
                <w:szCs w:val="20"/>
                <w:color w:val="auto"/>
              </w:rPr>
            </w:pPr>
            <w:r>
              <w:rPr>
                <w:rFonts w:ascii="Arial" w:cs="Arial" w:eastAsia="Arial" w:hAnsi="Arial"/>
                <w:sz w:val="16"/>
                <w:szCs w:val="16"/>
                <w:color w:val="auto"/>
              </w:rPr>
              <w:t>2013</w:t>
            </w:r>
          </w:p>
        </w:tc>
        <w:tc>
          <w:tcPr>
            <w:tcW w:w="3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706</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716</w:t>
            </w:r>
          </w:p>
        </w:tc>
      </w:tr>
    </w:tbl>
    <w:p>
      <w:pPr>
        <w:sectPr>
          <w:pgSz w:w="11900" w:h="16838" w:orient="portrait"/>
          <w:cols w:equalWidth="0" w:num="1">
            <w:col w:w="11420"/>
          </w:cols>
          <w:pgMar w:left="240" w:top="145" w:right="239" w:bottom="0" w:gutter="0" w:footer="0" w:header="0"/>
        </w:sectPr>
      </w:pPr>
    </w:p>
    <w:bookmarkStart w:id="224" w:name="page225"/>
    <w:bookmarkEnd w:id="22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20"/>
                <w:szCs w:val="20"/>
                <w:color w:val="auto"/>
              </w:rPr>
            </w:pPr>
            <w:r>
              <w:rPr>
                <w:rFonts w:ascii="Arial" w:cs="Arial" w:eastAsia="Arial" w:hAnsi="Arial"/>
                <w:sz w:val="16"/>
                <w:szCs w:val="16"/>
                <w:color w:val="auto"/>
              </w:rPr>
              <w:t>2014</w:t>
            </w: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881</w:t>
            </w:r>
          </w:p>
        </w:tc>
        <w:tc>
          <w:tcPr>
            <w:tcW w:w="6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1,271</w:t>
            </w: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6"/>
                <w:szCs w:val="16"/>
                <w:color w:val="auto"/>
              </w:rPr>
              <w:t>2015</w:t>
            </w:r>
          </w:p>
        </w:tc>
        <w:tc>
          <w:tcPr>
            <w:tcW w:w="6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274</w:t>
            </w:r>
          </w:p>
        </w:tc>
        <w:tc>
          <w:tcPr>
            <w:tcW w:w="62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2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6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316</w:t>
            </w: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6"/>
                <w:szCs w:val="16"/>
                <w:color w:val="auto"/>
              </w:rPr>
              <w:t>2016</w:t>
            </w:r>
          </w:p>
        </w:tc>
        <w:tc>
          <w:tcPr>
            <w:tcW w:w="6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62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62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768</w:t>
            </w:r>
          </w:p>
        </w:tc>
        <w:tc>
          <w:tcPr>
            <w:tcW w:w="6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786</w:t>
            </w: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Thereafter</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6,801</w:t>
            </w:r>
          </w:p>
        </w:tc>
      </w:tr>
      <w:tr>
        <w:trPr>
          <w:trHeight w:val="195"/>
        </w:trPr>
        <w:tc>
          <w:tcPr>
            <w:tcW w:w="5140" w:type="dxa"/>
            <w:vAlign w:val="bottom"/>
          </w:tcPr>
          <w:p>
            <w:pPr>
              <w:spacing w:after="0"/>
              <w:rPr>
                <w:sz w:val="20"/>
                <w:szCs w:val="20"/>
                <w:color w:val="auto"/>
              </w:rPr>
            </w:pPr>
            <w:r>
              <w:rPr>
                <w:rFonts w:ascii="Arial" w:cs="Arial" w:eastAsia="Arial" w:hAnsi="Arial"/>
                <w:sz w:val="16"/>
                <w:szCs w:val="16"/>
                <w:color w:val="auto"/>
              </w:rPr>
              <w:t>Total</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3,895</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1,313</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5,002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hanging="552"/>
        <w:spacing w:after="0"/>
        <w:tabs>
          <w:tab w:leader="none" w:pos="560" w:val="left"/>
        </w:tabs>
        <w:numPr>
          <w:ilvl w:val="0"/>
          <w:numId w:val="32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capital lease obligations and market value adjustments for interest rate swaps.</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Various long-term obligations totaling $5.1 billion at Sempra Energy at December 31, 2011 are unsecured. This includes unsecured long-term obligations totaling $254 million at SDG&amp;E and $13 million at SoCalGas.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CALLABLE LONG-TERM DEBT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At the option of Sempra Energy, SDG&amp;E and SoCalGas, certain debt is callable subject to premiums at various dates: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CALLABLE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142"/>
              <w:spacing w:after="0"/>
              <w:rPr>
                <w:sz w:val="20"/>
                <w:szCs w:val="20"/>
                <w:color w:val="auto"/>
              </w:rPr>
            </w:pPr>
            <w:r>
              <w:rPr>
                <w:rFonts w:ascii="Arial" w:cs="Arial" w:eastAsia="Arial" w:hAnsi="Arial"/>
                <w:sz w:val="14"/>
                <w:szCs w:val="14"/>
                <w:color w:val="auto"/>
                <w:w w:val="96"/>
              </w:rPr>
              <w:t>Total</w:t>
            </w:r>
          </w:p>
        </w:tc>
      </w:tr>
      <w:tr>
        <w:trPr>
          <w:trHeight w:val="176"/>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center"/>
              <w:ind w:right="221"/>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1360" w:type="dxa"/>
            <w:vAlign w:val="bottom"/>
          </w:tcPr>
          <w:p>
            <w:pPr>
              <w:jc w:val="center"/>
              <w:ind w:right="142"/>
              <w:spacing w:after="0"/>
              <w:rPr>
                <w:sz w:val="20"/>
                <w:szCs w:val="20"/>
                <w:color w:val="auto"/>
              </w:rPr>
            </w:pPr>
            <w:r>
              <w:rPr>
                <w:rFonts w:ascii="Arial" w:cs="Arial" w:eastAsia="Arial" w:hAnsi="Arial"/>
                <w:sz w:val="14"/>
                <w:szCs w:val="14"/>
                <w:color w:val="auto"/>
              </w:rPr>
              <w:t>Sempra</w:t>
            </w:r>
          </w:p>
        </w:tc>
      </w:tr>
      <w:tr>
        <w:trPr>
          <w:trHeight w:val="176"/>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center"/>
              <w:ind w:right="201"/>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5"/>
                <w:szCs w:val="15"/>
                <w:color w:val="auto"/>
              </w:rPr>
            </w:pPr>
          </w:p>
        </w:tc>
        <w:tc>
          <w:tcPr>
            <w:tcW w:w="1360" w:type="dxa"/>
            <w:vAlign w:val="bottom"/>
          </w:tcPr>
          <w:p>
            <w:pPr>
              <w:jc w:val="center"/>
              <w:ind w:right="142"/>
              <w:spacing w:after="0"/>
              <w:rPr>
                <w:sz w:val="20"/>
                <w:szCs w:val="20"/>
                <w:color w:val="auto"/>
              </w:rPr>
            </w:pPr>
            <w:r>
              <w:rPr>
                <w:rFonts w:ascii="Arial" w:cs="Arial" w:eastAsia="Arial" w:hAnsi="Arial"/>
                <w:sz w:val="14"/>
                <w:szCs w:val="14"/>
                <w:color w:val="auto"/>
              </w:rPr>
              <w:t>Energy</w:t>
            </w:r>
          </w:p>
        </w:tc>
      </w:tr>
      <w:tr>
        <w:trPr>
          <w:trHeight w:val="168"/>
        </w:trPr>
        <w:tc>
          <w:tcPr>
            <w:tcW w:w="20" w:type="dxa"/>
            <w:vAlign w:val="bottom"/>
          </w:tcPr>
          <w:p>
            <w:pPr>
              <w:spacing w:after="0"/>
              <w:rPr>
                <w:sz w:val="14"/>
                <w:szCs w:val="14"/>
                <w:color w:val="auto"/>
              </w:rPr>
            </w:pPr>
          </w:p>
        </w:tc>
        <w:tc>
          <w:tcPr>
            <w:tcW w:w="5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SoCalGas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color w:val="auto"/>
              </w:rPr>
              <w:t>Energy</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Consolidated</w:t>
            </w:r>
          </w:p>
        </w:tc>
      </w:tr>
      <w:tr>
        <w:trPr>
          <w:trHeight w:val="164"/>
        </w:trPr>
        <w:tc>
          <w:tcPr>
            <w:tcW w:w="20" w:type="dxa"/>
            <w:vAlign w:val="bottom"/>
          </w:tcPr>
          <w:p>
            <w:pPr>
              <w:spacing w:after="0"/>
              <w:rPr>
                <w:sz w:val="14"/>
                <w:szCs w:val="14"/>
                <w:color w:val="auto"/>
              </w:rPr>
            </w:pPr>
          </w:p>
        </w:tc>
        <w:tc>
          <w:tcPr>
            <w:tcW w:w="5140" w:type="dxa"/>
            <w:vAlign w:val="bottom"/>
          </w:tcPr>
          <w:p>
            <w:pPr>
              <w:spacing w:after="0" w:line="164" w:lineRule="exact"/>
              <w:rPr>
                <w:sz w:val="20"/>
                <w:szCs w:val="20"/>
                <w:color w:val="auto"/>
              </w:rPr>
            </w:pPr>
            <w:r>
              <w:rPr>
                <w:rFonts w:ascii="Arial" w:cs="Arial" w:eastAsia="Arial" w:hAnsi="Arial"/>
                <w:sz w:val="16"/>
                <w:szCs w:val="16"/>
                <w:color w:val="auto"/>
              </w:rPr>
              <w:t>2012</w:t>
            </w:r>
          </w:p>
        </w:tc>
        <w:tc>
          <w:tcPr>
            <w:tcW w:w="1060" w:type="dxa"/>
            <w:vAlign w:val="bottom"/>
          </w:tcPr>
          <w:p>
            <w:pPr>
              <w:jc w:val="right"/>
              <w:ind w:right="905"/>
              <w:spacing w:after="0" w:line="164" w:lineRule="exact"/>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64" w:lineRule="exact"/>
              <w:rPr>
                <w:sz w:val="20"/>
                <w:szCs w:val="20"/>
                <w:color w:val="auto"/>
              </w:rPr>
            </w:pPr>
            <w:r>
              <w:rPr>
                <w:rFonts w:ascii="Arial" w:cs="Arial" w:eastAsia="Arial" w:hAnsi="Arial"/>
                <w:sz w:val="16"/>
                <w:szCs w:val="16"/>
                <w:color w:val="auto"/>
              </w:rPr>
              <w:t>221</w:t>
            </w:r>
          </w:p>
        </w:tc>
        <w:tc>
          <w:tcPr>
            <w:tcW w:w="3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59"/>
              <w:spacing w:after="0" w:line="164" w:lineRule="exact"/>
              <w:rPr>
                <w:sz w:val="20"/>
                <w:szCs w:val="20"/>
                <w:color w:val="auto"/>
              </w:rPr>
            </w:pPr>
            <w:r>
              <w:rPr>
                <w:rFonts w:ascii="Arial" w:cs="Arial" w:eastAsia="Arial" w:hAnsi="Arial"/>
                <w:sz w:val="16"/>
                <w:szCs w:val="16"/>
                <w:color w:val="auto"/>
              </w:rPr>
              <w:t>― $</w:t>
            </w: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132</w:t>
            </w:r>
          </w:p>
        </w:tc>
        <w:tc>
          <w:tcPr>
            <w:tcW w:w="260" w:type="dxa"/>
            <w:vAlign w:val="bottom"/>
          </w:tcPr>
          <w:p>
            <w:pPr>
              <w:jc w:val="right"/>
              <w:ind w:right="59"/>
              <w:spacing w:after="0" w:line="164"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64" w:lineRule="exact"/>
              <w:rPr>
                <w:sz w:val="20"/>
                <w:szCs w:val="20"/>
                <w:color w:val="auto"/>
              </w:rPr>
            </w:pPr>
            <w:r>
              <w:rPr>
                <w:rFonts w:ascii="Arial" w:cs="Arial" w:eastAsia="Arial" w:hAnsi="Arial"/>
                <w:sz w:val="16"/>
                <w:szCs w:val="16"/>
                <w:color w:val="auto"/>
              </w:rPr>
              <w:t>353</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2013</w:t>
            </w:r>
          </w:p>
        </w:tc>
        <w:tc>
          <w:tcPr>
            <w:tcW w:w="10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3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2014</w:t>
            </w:r>
          </w:p>
        </w:tc>
        <w:tc>
          <w:tcPr>
            <w:tcW w:w="10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3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202</w:t>
            </w:r>
          </w:p>
        </w:tc>
        <w:tc>
          <w:tcPr>
            <w:tcW w:w="26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326</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2015</w:t>
            </w:r>
          </w:p>
        </w:tc>
        <w:tc>
          <w:tcPr>
            <w:tcW w:w="10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3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2016</w:t>
            </w:r>
          </w:p>
        </w:tc>
        <w:tc>
          <w:tcPr>
            <w:tcW w:w="10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34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194"/>
        </w:trPr>
        <w:tc>
          <w:tcPr>
            <w:tcW w:w="5160" w:type="dxa"/>
            <w:vAlign w:val="bottom"/>
            <w:gridSpan w:val="2"/>
          </w:tcPr>
          <w:p>
            <w:pPr>
              <w:spacing w:after="0"/>
              <w:rPr>
                <w:sz w:val="20"/>
                <w:szCs w:val="20"/>
                <w:color w:val="auto"/>
              </w:rPr>
            </w:pPr>
            <w:r>
              <w:rPr>
                <w:rFonts w:ascii="Arial" w:cs="Arial" w:eastAsia="Arial" w:hAnsi="Arial"/>
                <w:sz w:val="16"/>
                <w:szCs w:val="16"/>
                <w:color w:val="auto"/>
              </w:rPr>
              <w:t>after 2016</w:t>
            </w: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183"/>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746</w:t>
            </w:r>
          </w:p>
        </w:tc>
        <w:tc>
          <w:tcPr>
            <w:tcW w:w="30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334</w:t>
            </w:r>
          </w:p>
        </w:tc>
        <w:tc>
          <w:tcPr>
            <w:tcW w:w="26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1,088</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Callable bonds subject to make-whole provisions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2,650</w:t>
            </w:r>
          </w:p>
        </w:tc>
        <w:tc>
          <w:tcPr>
            <w:tcW w:w="3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1,300</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3,741</w:t>
            </w:r>
          </w:p>
        </w:tc>
        <w:tc>
          <w:tcPr>
            <w:tcW w:w="26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7,691</w:t>
            </w:r>
          </w:p>
        </w:tc>
      </w:tr>
      <w:tr>
        <w:trPr>
          <w:trHeight w:val="27"/>
        </w:trPr>
        <w:tc>
          <w:tcPr>
            <w:tcW w:w="20" w:type="dxa"/>
            <w:vAlign w:val="bottom"/>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the OMEC LLC project financing loan discussed in Note 1, with $355 million of borrowings at December 31, 2011, may be prepaid at the borrowers’ option.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MORTGAGE BONDS</w:t>
      </w:r>
    </w:p>
    <w:p>
      <w:pPr>
        <w:spacing w:after="0" w:line="23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Sempra Utilities issue first mortgage bonds which are secured by a lien on utility plant. The Sempra Utilities may issue additional first mortgage bonds upon compliance with the provisions of their bond agreements (indentures). These indentures require, among other things, the satisfaction of pro forma earnings-coverage tests on first mortgage bond interest and the availability of sufficient mortgaged property to support the additional bonds, after giving effect to prior bond redemptions. The most restrictive of these tests (the property test) would permit the issuance, subject to CPUC authorization, of an additional $3.3 billion of first mortgage bonds at SDG&amp;E and $817 million at SoCalGas at December 31,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Mobile Gas also issues first mortgage bonds secured by utility plant.</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In August 2011, SDG&amp;E publicly offered and sold $350 million of 3-percent first mortgage bonds maturing in 2021. In November 2011, SDG&amp;E publicly offered and sold $250 million of 3.95-percent first mortgage bonds maturing in 2041.</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September 2011, Mobile Gas privately placed $20 million of 4.14-percent first mortgage bonds and $42 million of 5-percent first mortgage bonds, maturing in 2021 and 2031, respectively.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DEVELOPMENT BONDS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June 2009, SDG&amp;E remarketed $176 million of industrial development bonds at a fixed rate of 5.875 percent, maturing in 2034. The bonds were initially issued as insured, auction-rate securities, the proceeds of which were loaned to SDG&amp;E, and are repaid with payments on SDG&amp;E first mortgage bonds that have terms corresponding to those of the industrial development bonds that they secure. Prior to SDG&amp;E’s remarketing of the remaining bonds in 2009, SDG&amp;E had purchased $152 million of the bonds from Sempra Energy. SDG&amp;E also has $161 million of industrial development bonds outstanding with a variable interest rate that resets on a weekly basis.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To secure an approved exemption from sales and use tax, Sempra Pipelines &amp; Storage has incurred through December 31, 2011, $201 million ($84 million in 2011, $42 million in 2010, and $75 million in 2009) out of a maximum available $265 million of long-term debt related to the construction and equipping of its Mississippi Hub natural gas storage facility. After a redemption of $180 million in December 2011, the debt balance remaining at December 31, 2011, is $21 million. The debt is payable to the Mississippi Business Finance Corporation (MBFC), and we recorded bonds receivable from the MBFC for the same amount. Both the financing obligation and the bonds receivable have interest rates of 4.5 percent and are due on July 1, 2024.</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DEBT</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March 2011, Sempra Energy publicly offered and sold $500 million of 2-percent notes and $300 million of floating rate notes (1.22 percent as of December 31, 2011), both maturing in 2014. The floating rate notes bear interest at a rate equal to the three-month London interbank offered rate (LIBOR) plus 0.76 percent. The interest rate is reset quarterly.</w:t>
      </w:r>
    </w:p>
    <w:p>
      <w:pPr>
        <w:sectPr>
          <w:pgSz w:w="11900" w:h="16850" w:orient="portrait"/>
          <w:cols w:equalWidth="0" w:num="1">
            <w:col w:w="11420"/>
          </w:cols>
          <w:pgMar w:left="240" w:top="120" w:right="239" w:bottom="0" w:gutter="0" w:footer="0" w:header="0"/>
        </w:sectPr>
      </w:pPr>
    </w:p>
    <w:bookmarkStart w:id="225" w:name="page226"/>
    <w:bookmarkEnd w:id="225"/>
    <w:p>
      <w:pPr>
        <w:spacing w:after="0" w:line="2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Chilquinta Energía has outstanding Series A and Series B Chilean public bonds with maturity dates in 2014 and 2030, respectively, and stated interest rates of 2.75 percent and 4.25 percent, respectively. The bonds and related interest are denominated in Chilean Unidades de Fomento. The Chilean Unidad de Fomento is a unit of account used in Chile that is adjusted for inflation, and its value is quoted in Chilean Pesos. In 2009, Sempra Pipelines &amp; Storage purchased $58 million of the 2.75-percent bonds, which are eliminated in consolidation. Net of this elimination, as of December 31, 2011, the outstanding balance on these bonds was $226 million ($24 million of Series A and $202 million of Series B).</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Luz del Sur has outstanding Peruvian corporate bonds, denominated in the local currency, with maturity dates ranging from 2012 through 2021 at fixed interest rates ranging from 5.72 percent to 7.91 percent. As of December 31, 2011, the outstanding balance on these bonds was $185 million. Additionally, Luz del Sur has outstanding bank loans with maturity dates ranging from 2012 through 2016 at interest rates ranging from 5.45 percent to 6.75 percent. As of December 31, 2011, the outstanding balance on the bank loans was $41 million.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OF EMPLOYEE STOCK OWNERSHIP PLAN (ESOP) AND TRUST (TRUST)</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ESOP covers substantially all U.S. based Sempra Energy employees, including those of SDG&amp;E and SoCalGas. The Trust is used to fund part of the retirement savings plan described in Note 8. The bonds of the ESOP are payable by the Trust and mature in 2014. Because the bonds outstanding at December 31, 2011 are payable on demand, we have classified them as short-term.</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remaining $8 million of these bonds are being repriced weekly through maturity. ESOP debt was paid down by a total of $64 million during the last three years when 1 million shares of Sempra Energy common stock were released from the Trust in order to fund employer contributions to the Sempra Energy savings plan trust. Interest on the ESOP debt was a negligible amount in 2011, $2 million in 2010 and $3 million in 2009. Dividends used for debt service amounted to $1 million in 2011, $1 million in 2010 and $2 million in 2009.</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NOTE 6. FACILITIES UNDER JOINT OWNERSHIP</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San Onofre Nuclear Generating Station (SONGS) and the Southwest Powerlink transmission line are owned jointly by SDG&amp;E with other utilities. SDG&amp;E’s interests at December 31, 2011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tcPr>
          <w:p>
            <w:pPr>
              <w:jc w:val="right"/>
              <w:ind w:right="762"/>
              <w:spacing w:after="0"/>
              <w:rPr>
                <w:sz w:val="20"/>
                <w:szCs w:val="20"/>
                <w:color w:val="auto"/>
              </w:rPr>
            </w:pPr>
            <w:r>
              <w:rPr>
                <w:rFonts w:ascii="Arial" w:cs="Arial" w:eastAsia="Arial" w:hAnsi="Arial"/>
                <w:sz w:val="14"/>
                <w:szCs w:val="14"/>
                <w:color w:val="auto"/>
              </w:rPr>
              <w:t>Southwest</w:t>
            </w:r>
          </w:p>
        </w:tc>
        <w:tc>
          <w:tcPr>
            <w:tcW w:w="0" w:type="dxa"/>
            <w:vAlign w:val="bottom"/>
          </w:tcPr>
          <w:p>
            <w:pPr>
              <w:spacing w:after="0"/>
              <w:rPr>
                <w:sz w:val="1"/>
                <w:szCs w:val="1"/>
                <w:color w:val="auto"/>
              </w:rPr>
            </w:pPr>
          </w:p>
        </w:tc>
      </w:tr>
      <w:tr>
        <w:trPr>
          <w:trHeight w:val="164"/>
        </w:trPr>
        <w:tc>
          <w:tcPr>
            <w:tcW w:w="526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1"/>
              <w:spacing w:after="0" w:line="157" w:lineRule="exact"/>
              <w:rPr>
                <w:sz w:val="20"/>
                <w:szCs w:val="20"/>
                <w:color w:val="auto"/>
              </w:rPr>
            </w:pPr>
            <w:r>
              <w:rPr>
                <w:rFonts w:ascii="Arial" w:cs="Arial" w:eastAsia="Arial" w:hAnsi="Arial"/>
                <w:sz w:val="14"/>
                <w:szCs w:val="14"/>
                <w:color w:val="auto"/>
              </w:rPr>
              <w:t>SONGS</w:t>
            </w:r>
          </w:p>
        </w:tc>
        <w:tc>
          <w:tcPr>
            <w:tcW w:w="6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82"/>
              <w:spacing w:after="0" w:line="157" w:lineRule="exact"/>
              <w:rPr>
                <w:sz w:val="20"/>
                <w:szCs w:val="20"/>
                <w:color w:val="auto"/>
              </w:rPr>
            </w:pPr>
            <w:r>
              <w:rPr>
                <w:rFonts w:ascii="Arial" w:cs="Arial" w:eastAsia="Arial" w:hAnsi="Arial"/>
                <w:sz w:val="14"/>
                <w:szCs w:val="14"/>
                <w:color w:val="auto"/>
              </w:rPr>
              <w:t>Powerlink</w:t>
            </w:r>
          </w:p>
        </w:tc>
        <w:tc>
          <w:tcPr>
            <w:tcW w:w="0" w:type="dxa"/>
            <w:vAlign w:val="bottom"/>
          </w:tcPr>
          <w:p>
            <w:pPr>
              <w:spacing w:after="0"/>
              <w:rPr>
                <w:sz w:val="1"/>
                <w:szCs w:val="1"/>
                <w:color w:val="auto"/>
              </w:rPr>
            </w:pPr>
          </w:p>
        </w:tc>
      </w:tr>
      <w:tr>
        <w:trPr>
          <w:trHeight w:val="164"/>
        </w:trPr>
        <w:tc>
          <w:tcPr>
            <w:tcW w:w="5260" w:type="dxa"/>
            <w:vAlign w:val="bottom"/>
          </w:tcPr>
          <w:p>
            <w:pPr>
              <w:spacing w:after="0" w:line="164" w:lineRule="exact"/>
              <w:rPr>
                <w:sz w:val="20"/>
                <w:szCs w:val="20"/>
                <w:color w:val="auto"/>
              </w:rPr>
            </w:pPr>
            <w:r>
              <w:rPr>
                <w:rFonts w:ascii="Arial" w:cs="Arial" w:eastAsia="Arial" w:hAnsi="Arial"/>
                <w:sz w:val="16"/>
                <w:szCs w:val="16"/>
                <w:color w:val="auto"/>
              </w:rPr>
              <w:t>Percentage ownership</w:t>
            </w:r>
          </w:p>
        </w:tc>
        <w:tc>
          <w:tcPr>
            <w:tcW w:w="2340" w:type="dxa"/>
            <w:vAlign w:val="bottom"/>
          </w:tcPr>
          <w:p>
            <w:pPr>
              <w:spacing w:after="0"/>
              <w:rPr>
                <w:sz w:val="14"/>
                <w:szCs w:val="14"/>
                <w:color w:val="auto"/>
              </w:rPr>
            </w:pPr>
          </w:p>
        </w:tc>
        <w:tc>
          <w:tcPr>
            <w:tcW w:w="1480" w:type="dxa"/>
            <w:vAlign w:val="bottom"/>
          </w:tcPr>
          <w:p>
            <w:pPr>
              <w:jc w:val="right"/>
              <w:ind w:right="381"/>
              <w:spacing w:after="0" w:line="164" w:lineRule="exact"/>
              <w:rPr>
                <w:sz w:val="20"/>
                <w:szCs w:val="20"/>
                <w:color w:val="auto"/>
              </w:rPr>
            </w:pPr>
            <w:r>
              <w:rPr>
                <w:rFonts w:ascii="Arial" w:cs="Arial" w:eastAsia="Arial" w:hAnsi="Arial"/>
                <w:sz w:val="16"/>
                <w:szCs w:val="16"/>
                <w:color w:val="auto"/>
              </w:rPr>
              <w:t>20 %</w:t>
            </w:r>
          </w:p>
        </w:tc>
        <w:tc>
          <w:tcPr>
            <w:tcW w:w="680" w:type="dxa"/>
            <w:vAlign w:val="bottom"/>
          </w:tcPr>
          <w:p>
            <w:pPr>
              <w:spacing w:after="0"/>
              <w:rPr>
                <w:sz w:val="14"/>
                <w:szCs w:val="14"/>
                <w:color w:val="auto"/>
              </w:rPr>
            </w:pPr>
          </w:p>
        </w:tc>
        <w:tc>
          <w:tcPr>
            <w:tcW w:w="1660" w:type="dxa"/>
            <w:vAlign w:val="bottom"/>
          </w:tcPr>
          <w:p>
            <w:pPr>
              <w:jc w:val="right"/>
              <w:ind w:right="382"/>
              <w:spacing w:after="0" w:line="164" w:lineRule="exact"/>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6"/>
                <w:szCs w:val="16"/>
                <w:color w:val="auto"/>
              </w:rPr>
              <w:t>Utility plant in service</w:t>
            </w:r>
          </w:p>
        </w:tc>
        <w:tc>
          <w:tcPr>
            <w:tcW w:w="23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561"/>
              <w:spacing w:after="0" w:line="176" w:lineRule="exact"/>
              <w:rPr>
                <w:sz w:val="20"/>
                <w:szCs w:val="20"/>
                <w:color w:val="auto"/>
              </w:rPr>
            </w:pPr>
            <w:r>
              <w:rPr>
                <w:rFonts w:ascii="Arial" w:cs="Arial" w:eastAsia="Arial" w:hAnsi="Arial"/>
                <w:sz w:val="16"/>
                <w:szCs w:val="16"/>
                <w:color w:val="auto"/>
              </w:rPr>
              <w:t>308</w:t>
            </w:r>
          </w:p>
        </w:tc>
        <w:tc>
          <w:tcPr>
            <w:tcW w:w="6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660" w:type="dxa"/>
            <w:vAlign w:val="bottom"/>
          </w:tcPr>
          <w:p>
            <w:pPr>
              <w:jc w:val="right"/>
              <w:ind w:right="562"/>
              <w:spacing w:after="0" w:line="176" w:lineRule="exact"/>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6"/>
                <w:szCs w:val="16"/>
                <w:color w:val="auto"/>
              </w:rPr>
              <w:t>Accumulated depreciation and amortization</w:t>
            </w:r>
          </w:p>
        </w:tc>
        <w:tc>
          <w:tcPr>
            <w:tcW w:w="2340" w:type="dxa"/>
            <w:vAlign w:val="bottom"/>
          </w:tcPr>
          <w:p>
            <w:pPr>
              <w:spacing w:after="0"/>
              <w:rPr>
                <w:sz w:val="15"/>
                <w:szCs w:val="15"/>
                <w:color w:val="auto"/>
              </w:rPr>
            </w:pPr>
          </w:p>
        </w:tc>
        <w:tc>
          <w:tcPr>
            <w:tcW w:w="1480" w:type="dxa"/>
            <w:vAlign w:val="bottom"/>
          </w:tcPr>
          <w:p>
            <w:pPr>
              <w:jc w:val="right"/>
              <w:ind w:right="561"/>
              <w:spacing w:after="0" w:line="176" w:lineRule="exact"/>
              <w:rPr>
                <w:sz w:val="20"/>
                <w:szCs w:val="20"/>
                <w:color w:val="auto"/>
              </w:rPr>
            </w:pPr>
            <w:r>
              <w:rPr>
                <w:rFonts w:ascii="Arial" w:cs="Arial" w:eastAsia="Arial" w:hAnsi="Arial"/>
                <w:sz w:val="16"/>
                <w:szCs w:val="16"/>
                <w:color w:val="auto"/>
              </w:rPr>
              <w:t>59</w:t>
            </w:r>
          </w:p>
        </w:tc>
        <w:tc>
          <w:tcPr>
            <w:tcW w:w="680" w:type="dxa"/>
            <w:vAlign w:val="bottom"/>
          </w:tcPr>
          <w:p>
            <w:pPr>
              <w:spacing w:after="0"/>
              <w:rPr>
                <w:sz w:val="15"/>
                <w:szCs w:val="15"/>
                <w:color w:val="auto"/>
              </w:rPr>
            </w:pPr>
          </w:p>
        </w:tc>
        <w:tc>
          <w:tcPr>
            <w:tcW w:w="1660" w:type="dxa"/>
            <w:vAlign w:val="bottom"/>
          </w:tcPr>
          <w:p>
            <w:pPr>
              <w:jc w:val="right"/>
              <w:ind w:right="562"/>
              <w:spacing w:after="0" w:line="176" w:lineRule="exact"/>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4"/>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Construction work in progress</w:t>
            </w:r>
          </w:p>
        </w:tc>
        <w:tc>
          <w:tcPr>
            <w:tcW w:w="2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129</w:t>
            </w:r>
          </w:p>
        </w:tc>
        <w:tc>
          <w:tcPr>
            <w:tcW w:w="6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SDG&amp;E, and each of the other owners, holds its undivided interest as a tenant in common in the property. Each owner is responsible for financing its share of each project and participates in decisions concerning operations and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SDG&amp;E’s share of operating expenses is included in Sempra Energy’s and SDG&amp;E’s Consolidated Statements of Operations.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SONGS DECOMMISSIONING</w:t>
      </w:r>
    </w:p>
    <w:p>
      <w:pPr>
        <w:spacing w:after="0" w:line="234"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Objectives, work scope, and procedures for the dismantling and decontamination of SONGS’ three units must meet the requirements of the Nuclear Regulatory Commission (NRC), the Environmental Protection Agency (EPA), the U.S. Department of the Navy (the land owner), the CPUC and other regulatory bodies.</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SDG&amp;E’s asset retirement obligation related to decommissioning costs for the SONGS units was $524 million at December 31, 2011. That amount includes the cost to decommission Units 2 and 3, and the remaining cost to complete the decommissioning of Unit 1, which is substantially complete. The remaining work on Unit 1 will be completed when Units 2 and 3 are decommissioned. Southern California Edison Company (Edison), the operator of SONGS, updates decommissioning cost studies every three years. Rate recovery of decommissioning costs is allowed until the time that the costs are fully recovered and is subject to adjustment every three years based on the costs allowed by regulators. Collections are authorized to continue until 2022. The most recent cost study was approved by the CPUC in July 2010. SDG&amp;E’s share of decommissioning costs under the approved study is approximately $768 million.</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Unit 1 was permanently shut down in 1992, and physical decommissioning began in January 2000. Most structures, foundations and large components have been dismantled, removed and disposed of. Spent nuclear fuel has been removed from the Unit 1 Spent Fuel Pool and stored on-site in an independent spent fuel storage installation (ISFSI) licensed by the NRC. The decommissioning of Unit 1 remaining structures (subsurface and intake/discharge) will take place when Units 2 and 3 are decommissioned. The ISFSI will be decommissioned after a permanent storage facility becomes available and the U.S. Department of Energy (DOE) removes the spent fuel from the site. The Unit 1 reactor vessel is expected to remain on site until Units 2 and 3 are decommissioned.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SPENT NUCLEAR FUEL</w:t>
      </w:r>
    </w:p>
    <w:p>
      <w:pPr>
        <w:spacing w:after="0" w:line="2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SONGS owners are responsible for interim storage of spent nuclear fuel generated at SONGS until the DOE accepts it for final disposal. Spent nuclear fuel has been stored in the SONGS Units 1, 2 and 3 spent fuel pools and in the ISFSI, as follows:</w:t>
      </w:r>
    </w:p>
    <w:p>
      <w:pPr>
        <w:spacing w:after="0" w:line="170" w:lineRule="exact"/>
        <w:rPr>
          <w:sz w:val="20"/>
          <w:szCs w:val="20"/>
          <w:color w:val="auto"/>
        </w:rPr>
      </w:pPr>
    </w:p>
    <w:p>
      <w:pPr>
        <w:ind w:left="340" w:hanging="188"/>
        <w:spacing w:after="0"/>
        <w:tabs>
          <w:tab w:leader="none" w:pos="3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Movement of all Unit 1 spent fuel to the ISFSI was completed in 2005.</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Spent fuel for Unit 2 is being stored in both the Unit 2 spent fuel pool and the ISFSI.</w:t>
      </w:r>
    </w:p>
    <w:p>
      <w:pPr>
        <w:sectPr>
          <w:pgSz w:w="11900" w:h="16860" w:orient="portrait"/>
          <w:cols w:equalWidth="0" w:num="1">
            <w:col w:w="11420"/>
          </w:cols>
          <w:pgMar w:left="240" w:top="341" w:right="239" w:bottom="0" w:gutter="0" w:footer="0" w:header="0"/>
        </w:sectPr>
      </w:pPr>
    </w:p>
    <w:bookmarkStart w:id="226" w:name="page227"/>
    <w:bookmarkEnd w:id="226"/>
    <w:p>
      <w:pPr>
        <w:ind w:left="160"/>
        <w:spacing w:after="0"/>
        <w:rPr>
          <w:sz w:val="20"/>
          <w:szCs w:val="20"/>
          <w:color w:val="auto"/>
        </w:rPr>
      </w:pPr>
      <w:r>
        <w:rPr>
          <w:rFonts w:ascii="Arial" w:cs="Arial" w:eastAsia="Arial" w:hAnsi="Arial"/>
          <w:sz w:val="18"/>
          <w:szCs w:val="18"/>
          <w:color w:val="auto"/>
        </w:rPr>
        <w:t>§ Spent fuel for Unit 3 is being stored in both the Unit 3 spent fuel pool and the ISFSI.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second ISFSI pad, completed in 2009, will provide sufficient storage capacity to allow for the continued operation of SONGS through 2022.</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amounts collected in rates for SONGS’ decommissioning are invested in externally managed trust funds. Amounts held by the trusts are invested in accordance with CPUC regulations. These trusts are shown on the Sempra Energy and SDG&amp;E Consolidated Balance Sheets at fair value with the offsetting credits recorded in Regulatory Liabilities Arising from Removal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gross unrealized gains and losses for the securities held in the trust funds.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6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center"/>
              <w:ind w:left="143"/>
              <w:spacing w:after="0"/>
              <w:rPr>
                <w:sz w:val="20"/>
                <w:szCs w:val="20"/>
                <w:color w:val="auto"/>
              </w:rPr>
            </w:pPr>
            <w:r>
              <w:rPr>
                <w:rFonts w:ascii="Arial" w:cs="Arial" w:eastAsia="Arial" w:hAnsi="Arial"/>
                <w:sz w:val="14"/>
                <w:szCs w:val="14"/>
                <w:color w:val="auto"/>
              </w:rPr>
              <w:t>Gross</w:t>
            </w:r>
          </w:p>
        </w:tc>
        <w:tc>
          <w:tcPr>
            <w:tcW w:w="500" w:type="dxa"/>
            <w:vAlign w:val="bottom"/>
          </w:tcPr>
          <w:p>
            <w:pPr>
              <w:spacing w:after="0"/>
              <w:rPr>
                <w:sz w:val="14"/>
                <w:szCs w:val="14"/>
                <w:color w:val="auto"/>
              </w:rPr>
            </w:pPr>
          </w:p>
        </w:tc>
        <w:tc>
          <w:tcPr>
            <w:tcW w:w="1040" w:type="dxa"/>
            <w:vAlign w:val="bottom"/>
          </w:tcPr>
          <w:p>
            <w:pPr>
              <w:jc w:val="center"/>
              <w:ind w:left="103"/>
              <w:spacing w:after="0"/>
              <w:rPr>
                <w:sz w:val="20"/>
                <w:szCs w:val="20"/>
                <w:color w:val="auto"/>
              </w:rPr>
            </w:pPr>
            <w:r>
              <w:rPr>
                <w:rFonts w:ascii="Arial" w:cs="Arial" w:eastAsia="Arial" w:hAnsi="Arial"/>
                <w:sz w:val="14"/>
                <w:szCs w:val="14"/>
                <w:color w:val="auto"/>
              </w:rPr>
              <w:t>Gross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341"/>
              <w:spacing w:after="0"/>
              <w:rPr>
                <w:sz w:val="20"/>
                <w:szCs w:val="20"/>
                <w:color w:val="auto"/>
              </w:rPr>
            </w:pPr>
            <w:r>
              <w:rPr>
                <w:rFonts w:ascii="Arial" w:cs="Arial" w:eastAsia="Arial" w:hAnsi="Arial"/>
                <w:sz w:val="14"/>
                <w:szCs w:val="14"/>
                <w:color w:val="auto"/>
              </w:rPr>
              <w:t>Estimated</w:t>
            </w: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center"/>
              <w:ind w:left="143"/>
              <w:spacing w:after="0"/>
              <w:rPr>
                <w:sz w:val="20"/>
                <w:szCs w:val="20"/>
                <w:color w:val="auto"/>
              </w:rPr>
            </w:pPr>
            <w:r>
              <w:rPr>
                <w:rFonts w:ascii="Arial" w:cs="Arial" w:eastAsia="Arial" w:hAnsi="Arial"/>
                <w:sz w:val="14"/>
                <w:szCs w:val="14"/>
                <w:color w:val="auto"/>
              </w:rPr>
              <w:t>Unrealized</w:t>
            </w:r>
          </w:p>
        </w:tc>
        <w:tc>
          <w:tcPr>
            <w:tcW w:w="500" w:type="dxa"/>
            <w:vAlign w:val="bottom"/>
          </w:tcPr>
          <w:p>
            <w:pPr>
              <w:spacing w:after="0"/>
              <w:rPr>
                <w:sz w:val="15"/>
                <w:szCs w:val="15"/>
                <w:color w:val="auto"/>
              </w:rPr>
            </w:pPr>
          </w:p>
        </w:tc>
        <w:tc>
          <w:tcPr>
            <w:tcW w:w="1040" w:type="dxa"/>
            <w:vAlign w:val="bottom"/>
          </w:tcPr>
          <w:p>
            <w:pPr>
              <w:jc w:val="center"/>
              <w:ind w:left="83"/>
              <w:spacing w:after="0"/>
              <w:rPr>
                <w:sz w:val="20"/>
                <w:szCs w:val="20"/>
                <w:color w:val="auto"/>
              </w:rPr>
            </w:pPr>
            <w:r>
              <w:rPr>
                <w:rFonts w:ascii="Arial" w:cs="Arial" w:eastAsia="Arial" w:hAnsi="Arial"/>
                <w:sz w:val="14"/>
                <w:szCs w:val="14"/>
                <w:color w:val="auto"/>
              </w:rPr>
              <w:t>Unrealized</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341"/>
              <w:spacing w:after="0"/>
              <w:rPr>
                <w:sz w:val="20"/>
                <w:szCs w:val="20"/>
                <w:color w:val="auto"/>
              </w:rPr>
            </w:pPr>
            <w:r>
              <w:rPr>
                <w:rFonts w:ascii="Arial" w:cs="Arial" w:eastAsia="Arial" w:hAnsi="Arial"/>
                <w:sz w:val="14"/>
                <w:szCs w:val="14"/>
                <w:color w:val="auto"/>
                <w:w w:val="99"/>
              </w:rPr>
              <w:t>Fair</w:t>
            </w: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Cost</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color w:val="auto"/>
                <w:w w:val="98"/>
              </w:rPr>
              <w:t>Gains</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color w:val="auto"/>
              </w:rPr>
              <w:t>Losses</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color w:val="auto"/>
              </w:rPr>
              <w:t>Value</w:t>
            </w:r>
          </w:p>
        </w:tc>
      </w:tr>
      <w:tr>
        <w:trPr>
          <w:trHeight w:val="164"/>
        </w:trPr>
        <w:tc>
          <w:tcPr>
            <w:tcW w:w="20" w:type="dxa"/>
            <w:vAlign w:val="bottom"/>
          </w:tcPr>
          <w:p>
            <w:pPr>
              <w:spacing w:after="0"/>
              <w:rPr>
                <w:sz w:val="14"/>
                <w:szCs w:val="14"/>
                <w:color w:val="auto"/>
              </w:rPr>
            </w:pPr>
          </w:p>
        </w:tc>
        <w:tc>
          <w:tcPr>
            <w:tcW w:w="544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As of December 31, 2011:</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5460" w:type="dxa"/>
            <w:vAlign w:val="bottom"/>
            <w:gridSpan w:val="3"/>
          </w:tcPr>
          <w:p>
            <w:pPr>
              <w:spacing w:after="0" w:line="176" w:lineRule="exact"/>
              <w:rPr>
                <w:sz w:val="20"/>
                <w:szCs w:val="20"/>
                <w:color w:val="auto"/>
              </w:rPr>
            </w:pPr>
            <w:r>
              <w:rPr>
                <w:rFonts w:ascii="Arial" w:cs="Arial" w:eastAsia="Arial" w:hAnsi="Arial"/>
                <w:sz w:val="16"/>
                <w:szCs w:val="16"/>
                <w:color w:val="auto"/>
              </w:rPr>
              <w:t>Debt securities: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44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Debt securities issued by the U.S. Treasury and other</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80" w:type="dxa"/>
            <w:vAlign w:val="bottom"/>
          </w:tcPr>
          <w:p>
            <w:pPr>
              <w:ind w:left="40"/>
              <w:spacing w:after="0" w:line="176" w:lineRule="exact"/>
              <w:rPr>
                <w:sz w:val="20"/>
                <w:szCs w:val="20"/>
                <w:color w:val="auto"/>
              </w:rPr>
            </w:pPr>
            <w:r>
              <w:rPr>
                <w:rFonts w:ascii="Arial" w:cs="Arial" w:eastAsia="Arial" w:hAnsi="Arial"/>
                <w:sz w:val="16"/>
                <w:szCs w:val="16"/>
                <w:color w:val="auto"/>
              </w:rPr>
              <w:t>U.S. government corporations and agencies(1)</w:t>
            </w:r>
          </w:p>
        </w:tc>
        <w:tc>
          <w:tcPr>
            <w:tcW w:w="1020" w:type="dxa"/>
            <w:vAlign w:val="bottom"/>
          </w:tcPr>
          <w:p>
            <w:pPr>
              <w:jc w:val="right"/>
              <w:ind w:right="541"/>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157</w:t>
            </w:r>
          </w:p>
        </w:tc>
        <w:tc>
          <w:tcPr>
            <w:tcW w:w="980" w:type="dxa"/>
            <w:vAlign w:val="bottom"/>
          </w:tcPr>
          <w:p>
            <w:pPr>
              <w:jc w:val="right"/>
              <w:ind w:right="643"/>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13</w:t>
            </w:r>
          </w:p>
        </w:tc>
        <w:tc>
          <w:tcPr>
            <w:tcW w:w="1040" w:type="dxa"/>
            <w:vAlign w:val="bottom"/>
          </w:tcPr>
          <w:p>
            <w:pPr>
              <w:jc w:val="right"/>
              <w:ind w:right="703"/>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ind w:left="10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170</w:t>
            </w:r>
          </w:p>
        </w:tc>
      </w:tr>
      <w:tr>
        <w:trPr>
          <w:trHeight w:val="195"/>
        </w:trPr>
        <w:tc>
          <w:tcPr>
            <w:tcW w:w="20" w:type="dxa"/>
            <w:vAlign w:val="bottom"/>
          </w:tcPr>
          <w:p>
            <w:pPr>
              <w:spacing w:after="0"/>
              <w:rPr>
                <w:sz w:val="16"/>
                <w:szCs w:val="16"/>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Municipal bonds(2)</w:t>
            </w:r>
          </w:p>
        </w:tc>
        <w:tc>
          <w:tcPr>
            <w:tcW w:w="1020" w:type="dxa"/>
            <w:vAlign w:val="bottom"/>
          </w:tcPr>
          <w:p>
            <w:pPr>
              <w:spacing w:after="0"/>
              <w:rPr>
                <w:sz w:val="16"/>
                <w:szCs w:val="16"/>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980" w:type="dxa"/>
            <w:vAlign w:val="bottom"/>
          </w:tcPr>
          <w:p>
            <w:pPr>
              <w:spacing w:after="0"/>
              <w:rPr>
                <w:sz w:val="16"/>
                <w:szCs w:val="16"/>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040" w:type="dxa"/>
            <w:vAlign w:val="bottom"/>
          </w:tcPr>
          <w:p>
            <w:pPr>
              <w:spacing w:after="0"/>
              <w:rPr>
                <w:sz w:val="16"/>
                <w:szCs w:val="16"/>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2"/>
        </w:trPr>
        <w:tc>
          <w:tcPr>
            <w:tcW w:w="20" w:type="dxa"/>
            <w:vAlign w:val="bottom"/>
          </w:tcPr>
          <w:p>
            <w:pPr>
              <w:spacing w:after="0"/>
              <w:rPr>
                <w:sz w:val="17"/>
                <w:szCs w:val="17"/>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Other securities(3)</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164"/>
        </w:trPr>
        <w:tc>
          <w:tcPr>
            <w:tcW w:w="5460" w:type="dxa"/>
            <w:vAlign w:val="bottom"/>
            <w:gridSpan w:val="3"/>
          </w:tcPr>
          <w:p>
            <w:pPr>
              <w:spacing w:after="0" w:line="164" w:lineRule="exact"/>
              <w:rPr>
                <w:sz w:val="20"/>
                <w:szCs w:val="20"/>
                <w:color w:val="auto"/>
              </w:rPr>
            </w:pPr>
            <w:r>
              <w:rPr>
                <w:rFonts w:ascii="Arial" w:cs="Arial" w:eastAsia="Arial" w:hAnsi="Arial"/>
                <w:sz w:val="16"/>
                <w:szCs w:val="16"/>
                <w:color w:val="auto"/>
              </w:rPr>
              <w:t>Total debt securities</w:t>
            </w:r>
          </w:p>
        </w:tc>
        <w:tc>
          <w:tcPr>
            <w:tcW w:w="1020" w:type="dxa"/>
            <w:vAlign w:val="bottom"/>
          </w:tcPr>
          <w:p>
            <w:pPr>
              <w:spacing w:after="0"/>
              <w:rPr>
                <w:sz w:val="14"/>
                <w:szCs w:val="14"/>
                <w:color w:val="auto"/>
              </w:rPr>
            </w:pPr>
          </w:p>
        </w:tc>
        <w:tc>
          <w:tcPr>
            <w:tcW w:w="6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305</w:t>
            </w:r>
          </w:p>
        </w:tc>
        <w:tc>
          <w:tcPr>
            <w:tcW w:w="980" w:type="dxa"/>
            <w:vAlign w:val="bottom"/>
          </w:tcPr>
          <w:p>
            <w:pPr>
              <w:spacing w:after="0"/>
              <w:rPr>
                <w:sz w:val="14"/>
                <w:szCs w:val="14"/>
                <w:color w:val="auto"/>
              </w:rPr>
            </w:pPr>
          </w:p>
        </w:tc>
        <w:tc>
          <w:tcPr>
            <w:tcW w:w="5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21</w:t>
            </w:r>
          </w:p>
        </w:tc>
        <w:tc>
          <w:tcPr>
            <w:tcW w:w="1040" w:type="dxa"/>
            <w:vAlign w:val="bottom"/>
          </w:tcPr>
          <w:p>
            <w:pPr>
              <w:spacing w:after="0"/>
              <w:rPr>
                <w:sz w:val="14"/>
                <w:szCs w:val="14"/>
                <w:color w:val="auto"/>
              </w:rPr>
            </w:pPr>
          </w:p>
        </w:tc>
        <w:tc>
          <w:tcPr>
            <w:tcW w:w="460" w:type="dxa"/>
            <w:vAlign w:val="bottom"/>
          </w:tcPr>
          <w:p>
            <w:pPr>
              <w:ind w:left="100"/>
              <w:spacing w:after="0" w:line="164" w:lineRule="exact"/>
              <w:rPr>
                <w:sz w:val="20"/>
                <w:szCs w:val="20"/>
                <w:color w:val="auto"/>
              </w:rPr>
            </w:pPr>
            <w:r>
              <w:rPr>
                <w:rFonts w:ascii="Arial" w:cs="Arial" w:eastAsia="Arial" w:hAnsi="Arial"/>
                <w:sz w:val="16"/>
                <w:szCs w:val="16"/>
                <w:color w:val="auto"/>
              </w:rPr>
              <w:t>(1)</w:t>
            </w:r>
          </w:p>
        </w:tc>
        <w:tc>
          <w:tcPr>
            <w:tcW w:w="26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Arial" w:cs="Arial" w:eastAsia="Arial" w:hAnsi="Arial"/>
                <w:sz w:val="16"/>
                <w:szCs w:val="16"/>
                <w:color w:val="auto"/>
              </w:rPr>
              <w:t>325</w:t>
            </w:r>
          </w:p>
        </w:tc>
      </w:tr>
      <w:tr>
        <w:trPr>
          <w:trHeight w:val="176"/>
        </w:trPr>
        <w:tc>
          <w:tcPr>
            <w:tcW w:w="5460" w:type="dxa"/>
            <w:vAlign w:val="bottom"/>
            <w:gridSpan w:val="3"/>
          </w:tcPr>
          <w:p>
            <w:pPr>
              <w:spacing w:after="0" w:line="176" w:lineRule="exact"/>
              <w:rPr>
                <w:sz w:val="20"/>
                <w:szCs w:val="20"/>
                <w:color w:val="auto"/>
              </w:rPr>
            </w:pPr>
            <w:r>
              <w:rPr>
                <w:rFonts w:ascii="Arial" w:cs="Arial" w:eastAsia="Arial" w:hAnsi="Arial"/>
                <w:sz w:val="16"/>
                <w:szCs w:val="16"/>
                <w:color w:val="auto"/>
              </w:rPr>
              <w:t>Equity securities</w:t>
            </w:r>
          </w:p>
        </w:tc>
        <w:tc>
          <w:tcPr>
            <w:tcW w:w="1020" w:type="dxa"/>
            <w:vAlign w:val="bottom"/>
          </w:tcPr>
          <w:p>
            <w:pPr>
              <w:spacing w:after="0"/>
              <w:rPr>
                <w:sz w:val="15"/>
                <w:szCs w:val="15"/>
                <w:color w:val="auto"/>
              </w:rPr>
            </w:pP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246</w:t>
            </w:r>
          </w:p>
        </w:tc>
        <w:tc>
          <w:tcPr>
            <w:tcW w:w="980" w:type="dxa"/>
            <w:vAlign w:val="bottom"/>
          </w:tcPr>
          <w:p>
            <w:pPr>
              <w:spacing w:after="0"/>
              <w:rPr>
                <w:sz w:val="15"/>
                <w:szCs w:val="15"/>
                <w:color w:val="auto"/>
              </w:rPr>
            </w:pP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227</w:t>
            </w:r>
          </w:p>
        </w:tc>
        <w:tc>
          <w:tcPr>
            <w:tcW w:w="1040" w:type="dxa"/>
            <w:vAlign w:val="bottom"/>
          </w:tcPr>
          <w:p>
            <w:pPr>
              <w:spacing w:after="0"/>
              <w:rPr>
                <w:sz w:val="15"/>
                <w:szCs w:val="15"/>
                <w:color w:val="auto"/>
              </w:rPr>
            </w:pPr>
          </w:p>
        </w:tc>
        <w:tc>
          <w:tcPr>
            <w:tcW w:w="460" w:type="dxa"/>
            <w:vAlign w:val="bottom"/>
          </w:tcPr>
          <w:p>
            <w:pPr>
              <w:ind w:left="100"/>
              <w:spacing w:after="0" w:line="176" w:lineRule="exact"/>
              <w:rPr>
                <w:sz w:val="20"/>
                <w:szCs w:val="20"/>
                <w:color w:val="auto"/>
              </w:rPr>
            </w:pPr>
            <w:r>
              <w:rPr>
                <w:rFonts w:ascii="Arial" w:cs="Arial" w:eastAsia="Arial" w:hAnsi="Arial"/>
                <w:sz w:val="16"/>
                <w:szCs w:val="16"/>
                <w:color w:val="auto"/>
              </w:rPr>
              <w:t>(5)</w:t>
            </w:r>
          </w:p>
        </w:tc>
        <w:tc>
          <w:tcPr>
            <w:tcW w:w="26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468</w:t>
            </w:r>
          </w:p>
        </w:tc>
      </w:tr>
      <w:tr>
        <w:trPr>
          <w:trHeight w:val="194"/>
        </w:trPr>
        <w:tc>
          <w:tcPr>
            <w:tcW w:w="546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76"/>
        </w:trPr>
        <w:tc>
          <w:tcPr>
            <w:tcW w:w="38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5080" w:type="dxa"/>
            <w:vAlign w:val="bottom"/>
          </w:tcPr>
          <w:p>
            <w:pPr>
              <w:spacing w:after="0"/>
              <w:rPr>
                <w:sz w:val="15"/>
                <w:szCs w:val="15"/>
                <w:color w:val="auto"/>
              </w:rPr>
            </w:pPr>
          </w:p>
        </w:tc>
        <w:tc>
          <w:tcPr>
            <w:tcW w:w="1020" w:type="dxa"/>
            <w:vAlign w:val="bottom"/>
          </w:tcPr>
          <w:p>
            <w:pPr>
              <w:jc w:val="right"/>
              <w:ind w:right="541"/>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562</w:t>
            </w:r>
          </w:p>
        </w:tc>
        <w:tc>
          <w:tcPr>
            <w:tcW w:w="980" w:type="dxa"/>
            <w:vAlign w:val="bottom"/>
          </w:tcPr>
          <w:p>
            <w:pPr>
              <w:jc w:val="right"/>
              <w:ind w:right="643"/>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248</w:t>
            </w:r>
          </w:p>
        </w:tc>
        <w:tc>
          <w:tcPr>
            <w:tcW w:w="1040" w:type="dxa"/>
            <w:vAlign w:val="bottom"/>
          </w:tcPr>
          <w:p>
            <w:pPr>
              <w:jc w:val="right"/>
              <w:ind w:right="703"/>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ind w:left="100"/>
              <w:spacing w:after="0" w:line="176" w:lineRule="exact"/>
              <w:rPr>
                <w:sz w:val="20"/>
                <w:szCs w:val="20"/>
                <w:color w:val="auto"/>
              </w:rPr>
            </w:pPr>
            <w:r>
              <w:rPr>
                <w:rFonts w:ascii="Arial" w:cs="Arial" w:eastAsia="Arial" w:hAnsi="Arial"/>
                <w:sz w:val="16"/>
                <w:szCs w:val="16"/>
                <w:color w:val="auto"/>
              </w:rPr>
              <w:t>(6)</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804</w:t>
            </w:r>
          </w:p>
        </w:tc>
      </w:tr>
      <w:tr>
        <w:trPr>
          <w:trHeight w:val="27"/>
        </w:trPr>
        <w:tc>
          <w:tcPr>
            <w:tcW w:w="20" w:type="dxa"/>
            <w:vAlign w:val="bottom"/>
          </w:tcPr>
          <w:p>
            <w:pPr>
              <w:spacing w:after="0"/>
              <w:rPr>
                <w:sz w:val="2"/>
                <w:szCs w:val="2"/>
                <w:color w:val="auto"/>
              </w:rPr>
            </w:pPr>
          </w:p>
        </w:tc>
        <w:tc>
          <w:tcPr>
            <w:tcW w:w="5440" w:type="dxa"/>
            <w:vAlign w:val="bottom"/>
            <w:gridSpan w:val="2"/>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r>
        <w:trPr>
          <w:trHeight w:val="340"/>
        </w:trPr>
        <w:tc>
          <w:tcPr>
            <w:tcW w:w="546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 2010:</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5460" w:type="dxa"/>
            <w:vAlign w:val="bottom"/>
            <w:gridSpan w:val="3"/>
          </w:tcPr>
          <w:p>
            <w:pPr>
              <w:spacing w:after="0" w:line="176" w:lineRule="exact"/>
              <w:rPr>
                <w:sz w:val="20"/>
                <w:szCs w:val="20"/>
                <w:color w:val="auto"/>
              </w:rPr>
            </w:pPr>
            <w:r>
              <w:rPr>
                <w:rFonts w:ascii="Arial" w:cs="Arial" w:eastAsia="Arial" w:hAnsi="Arial"/>
                <w:sz w:val="16"/>
                <w:szCs w:val="16"/>
                <w:color w:val="auto"/>
              </w:rPr>
              <w:t>Debt securities: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44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Debt securities issued by the U.S. Treasury and other</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80" w:type="dxa"/>
            <w:vAlign w:val="bottom"/>
          </w:tcPr>
          <w:p>
            <w:pPr>
              <w:ind w:left="40"/>
              <w:spacing w:after="0" w:line="176" w:lineRule="exact"/>
              <w:rPr>
                <w:sz w:val="20"/>
                <w:szCs w:val="20"/>
                <w:color w:val="auto"/>
              </w:rPr>
            </w:pPr>
            <w:r>
              <w:rPr>
                <w:rFonts w:ascii="Arial" w:cs="Arial" w:eastAsia="Arial" w:hAnsi="Arial"/>
                <w:sz w:val="16"/>
                <w:szCs w:val="16"/>
                <w:color w:val="auto"/>
              </w:rPr>
              <w:t>U.S. government corporations and agencies</w:t>
            </w:r>
          </w:p>
        </w:tc>
        <w:tc>
          <w:tcPr>
            <w:tcW w:w="1020" w:type="dxa"/>
            <w:vAlign w:val="bottom"/>
          </w:tcPr>
          <w:p>
            <w:pPr>
              <w:jc w:val="right"/>
              <w:ind w:right="541"/>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162</w:t>
            </w:r>
          </w:p>
        </w:tc>
        <w:tc>
          <w:tcPr>
            <w:tcW w:w="980" w:type="dxa"/>
            <w:vAlign w:val="bottom"/>
          </w:tcPr>
          <w:p>
            <w:pPr>
              <w:jc w:val="right"/>
              <w:ind w:right="643"/>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14</w:t>
            </w:r>
          </w:p>
        </w:tc>
        <w:tc>
          <w:tcPr>
            <w:tcW w:w="1040" w:type="dxa"/>
            <w:vAlign w:val="bottom"/>
          </w:tcPr>
          <w:p>
            <w:pPr>
              <w:jc w:val="right"/>
              <w:ind w:right="703"/>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ind w:left="100"/>
              <w:spacing w:after="0" w:line="176" w:lineRule="exact"/>
              <w:rPr>
                <w:sz w:val="20"/>
                <w:szCs w:val="20"/>
                <w:color w:val="auto"/>
              </w:rPr>
            </w:pPr>
            <w:r>
              <w:rPr>
                <w:rFonts w:ascii="Arial" w:cs="Arial" w:eastAsia="Arial" w:hAnsi="Arial"/>
                <w:sz w:val="16"/>
                <w:szCs w:val="16"/>
                <w:color w:val="auto"/>
              </w:rPr>
              <w:t>(2)</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174</w:t>
            </w:r>
          </w:p>
        </w:tc>
      </w:tr>
      <w:tr>
        <w:trPr>
          <w:trHeight w:val="195"/>
        </w:trPr>
        <w:tc>
          <w:tcPr>
            <w:tcW w:w="20" w:type="dxa"/>
            <w:vAlign w:val="bottom"/>
          </w:tcPr>
          <w:p>
            <w:pPr>
              <w:spacing w:after="0"/>
              <w:rPr>
                <w:sz w:val="16"/>
                <w:szCs w:val="16"/>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Municipal bonds</w:t>
            </w:r>
          </w:p>
        </w:tc>
        <w:tc>
          <w:tcPr>
            <w:tcW w:w="1020" w:type="dxa"/>
            <w:vAlign w:val="bottom"/>
          </w:tcPr>
          <w:p>
            <w:pPr>
              <w:spacing w:after="0"/>
              <w:rPr>
                <w:sz w:val="16"/>
                <w:szCs w:val="16"/>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101</w:t>
            </w:r>
          </w:p>
        </w:tc>
        <w:tc>
          <w:tcPr>
            <w:tcW w:w="980" w:type="dxa"/>
            <w:vAlign w:val="bottom"/>
          </w:tcPr>
          <w:p>
            <w:pPr>
              <w:spacing w:after="0"/>
              <w:rPr>
                <w:sz w:val="16"/>
                <w:szCs w:val="16"/>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040" w:type="dxa"/>
            <w:vAlign w:val="bottom"/>
          </w:tcPr>
          <w:p>
            <w:pPr>
              <w:spacing w:after="0"/>
              <w:rPr>
                <w:sz w:val="16"/>
                <w:szCs w:val="16"/>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2"/>
        </w:trPr>
        <w:tc>
          <w:tcPr>
            <w:tcW w:w="20" w:type="dxa"/>
            <w:vAlign w:val="bottom"/>
          </w:tcPr>
          <w:p>
            <w:pPr>
              <w:spacing w:after="0"/>
              <w:rPr>
                <w:sz w:val="17"/>
                <w:szCs w:val="17"/>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Other securities</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164"/>
        </w:trPr>
        <w:tc>
          <w:tcPr>
            <w:tcW w:w="5460" w:type="dxa"/>
            <w:vAlign w:val="bottom"/>
            <w:gridSpan w:val="3"/>
          </w:tcPr>
          <w:p>
            <w:pPr>
              <w:spacing w:after="0" w:line="164" w:lineRule="exact"/>
              <w:rPr>
                <w:sz w:val="20"/>
                <w:szCs w:val="20"/>
                <w:color w:val="auto"/>
              </w:rPr>
            </w:pPr>
            <w:r>
              <w:rPr>
                <w:rFonts w:ascii="Arial" w:cs="Arial" w:eastAsia="Arial" w:hAnsi="Arial"/>
                <w:sz w:val="16"/>
                <w:szCs w:val="16"/>
                <w:color w:val="auto"/>
              </w:rPr>
              <w:t>Total debt securities</w:t>
            </w:r>
          </w:p>
        </w:tc>
        <w:tc>
          <w:tcPr>
            <w:tcW w:w="1020" w:type="dxa"/>
            <w:vAlign w:val="bottom"/>
          </w:tcPr>
          <w:p>
            <w:pPr>
              <w:spacing w:after="0"/>
              <w:rPr>
                <w:sz w:val="14"/>
                <w:szCs w:val="14"/>
                <w:color w:val="auto"/>
              </w:rPr>
            </w:pPr>
          </w:p>
        </w:tc>
        <w:tc>
          <w:tcPr>
            <w:tcW w:w="6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285</w:t>
            </w:r>
          </w:p>
        </w:tc>
        <w:tc>
          <w:tcPr>
            <w:tcW w:w="980" w:type="dxa"/>
            <w:vAlign w:val="bottom"/>
          </w:tcPr>
          <w:p>
            <w:pPr>
              <w:spacing w:after="0"/>
              <w:rPr>
                <w:sz w:val="14"/>
                <w:szCs w:val="14"/>
                <w:color w:val="auto"/>
              </w:rPr>
            </w:pPr>
          </w:p>
        </w:tc>
        <w:tc>
          <w:tcPr>
            <w:tcW w:w="5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19</w:t>
            </w:r>
          </w:p>
        </w:tc>
        <w:tc>
          <w:tcPr>
            <w:tcW w:w="1040" w:type="dxa"/>
            <w:vAlign w:val="bottom"/>
          </w:tcPr>
          <w:p>
            <w:pPr>
              <w:spacing w:after="0"/>
              <w:rPr>
                <w:sz w:val="14"/>
                <w:szCs w:val="14"/>
                <w:color w:val="auto"/>
              </w:rPr>
            </w:pPr>
          </w:p>
        </w:tc>
        <w:tc>
          <w:tcPr>
            <w:tcW w:w="460" w:type="dxa"/>
            <w:vAlign w:val="bottom"/>
          </w:tcPr>
          <w:p>
            <w:pPr>
              <w:ind w:left="100"/>
              <w:spacing w:after="0" w:line="164" w:lineRule="exact"/>
              <w:rPr>
                <w:sz w:val="20"/>
                <w:szCs w:val="20"/>
                <w:color w:val="auto"/>
              </w:rPr>
            </w:pPr>
            <w:r>
              <w:rPr>
                <w:rFonts w:ascii="Arial" w:cs="Arial" w:eastAsia="Arial" w:hAnsi="Arial"/>
                <w:sz w:val="16"/>
                <w:szCs w:val="16"/>
                <w:color w:val="auto"/>
              </w:rPr>
              <w:t>(5)</w:t>
            </w:r>
          </w:p>
        </w:tc>
        <w:tc>
          <w:tcPr>
            <w:tcW w:w="26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Arial" w:cs="Arial" w:eastAsia="Arial" w:hAnsi="Arial"/>
                <w:sz w:val="16"/>
                <w:szCs w:val="16"/>
                <w:color w:val="auto"/>
              </w:rPr>
              <w:t>299</w:t>
            </w:r>
          </w:p>
        </w:tc>
      </w:tr>
      <w:tr>
        <w:trPr>
          <w:trHeight w:val="176"/>
        </w:trPr>
        <w:tc>
          <w:tcPr>
            <w:tcW w:w="5460" w:type="dxa"/>
            <w:vAlign w:val="bottom"/>
            <w:gridSpan w:val="3"/>
          </w:tcPr>
          <w:p>
            <w:pPr>
              <w:spacing w:after="0" w:line="176" w:lineRule="exact"/>
              <w:rPr>
                <w:sz w:val="20"/>
                <w:szCs w:val="20"/>
                <w:color w:val="auto"/>
              </w:rPr>
            </w:pPr>
            <w:r>
              <w:rPr>
                <w:rFonts w:ascii="Arial" w:cs="Arial" w:eastAsia="Arial" w:hAnsi="Arial"/>
                <w:sz w:val="16"/>
                <w:szCs w:val="16"/>
                <w:color w:val="auto"/>
              </w:rPr>
              <w:t>Equity securities</w:t>
            </w:r>
          </w:p>
        </w:tc>
        <w:tc>
          <w:tcPr>
            <w:tcW w:w="1020" w:type="dxa"/>
            <w:vAlign w:val="bottom"/>
          </w:tcPr>
          <w:p>
            <w:pPr>
              <w:spacing w:after="0"/>
              <w:rPr>
                <w:sz w:val="15"/>
                <w:szCs w:val="15"/>
                <w:color w:val="auto"/>
              </w:rPr>
            </w:pP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219</w:t>
            </w:r>
          </w:p>
        </w:tc>
        <w:tc>
          <w:tcPr>
            <w:tcW w:w="980" w:type="dxa"/>
            <w:vAlign w:val="bottom"/>
          </w:tcPr>
          <w:p>
            <w:pPr>
              <w:spacing w:after="0"/>
              <w:rPr>
                <w:sz w:val="15"/>
                <w:szCs w:val="15"/>
                <w:color w:val="auto"/>
              </w:rPr>
            </w:pP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242</w:t>
            </w:r>
          </w:p>
        </w:tc>
        <w:tc>
          <w:tcPr>
            <w:tcW w:w="1040" w:type="dxa"/>
            <w:vAlign w:val="bottom"/>
          </w:tcPr>
          <w:p>
            <w:pPr>
              <w:spacing w:after="0"/>
              <w:rPr>
                <w:sz w:val="15"/>
                <w:szCs w:val="15"/>
                <w:color w:val="auto"/>
              </w:rPr>
            </w:pPr>
          </w:p>
        </w:tc>
        <w:tc>
          <w:tcPr>
            <w:tcW w:w="460" w:type="dxa"/>
            <w:vAlign w:val="bottom"/>
          </w:tcPr>
          <w:p>
            <w:pPr>
              <w:ind w:left="100"/>
              <w:spacing w:after="0" w:line="176" w:lineRule="exact"/>
              <w:rPr>
                <w:sz w:val="20"/>
                <w:szCs w:val="20"/>
                <w:color w:val="auto"/>
              </w:rPr>
            </w:pPr>
            <w:r>
              <w:rPr>
                <w:rFonts w:ascii="Arial" w:cs="Arial" w:eastAsia="Arial" w:hAnsi="Arial"/>
                <w:sz w:val="16"/>
                <w:szCs w:val="16"/>
                <w:color w:val="auto"/>
              </w:rPr>
              <w:t>(1)</w:t>
            </w:r>
          </w:p>
        </w:tc>
        <w:tc>
          <w:tcPr>
            <w:tcW w:w="26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460</w:t>
            </w:r>
          </w:p>
        </w:tc>
      </w:tr>
      <w:tr>
        <w:trPr>
          <w:trHeight w:val="194"/>
        </w:trPr>
        <w:tc>
          <w:tcPr>
            <w:tcW w:w="546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38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5080" w:type="dxa"/>
            <w:vAlign w:val="bottom"/>
          </w:tcPr>
          <w:p>
            <w:pPr>
              <w:spacing w:after="0"/>
              <w:rPr>
                <w:sz w:val="15"/>
                <w:szCs w:val="15"/>
                <w:color w:val="auto"/>
              </w:rPr>
            </w:pPr>
          </w:p>
        </w:tc>
        <w:tc>
          <w:tcPr>
            <w:tcW w:w="1020" w:type="dxa"/>
            <w:vAlign w:val="bottom"/>
          </w:tcPr>
          <w:p>
            <w:pPr>
              <w:jc w:val="right"/>
              <w:ind w:right="541"/>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514</w:t>
            </w:r>
          </w:p>
        </w:tc>
        <w:tc>
          <w:tcPr>
            <w:tcW w:w="980" w:type="dxa"/>
            <w:vAlign w:val="bottom"/>
          </w:tcPr>
          <w:p>
            <w:pPr>
              <w:jc w:val="right"/>
              <w:ind w:right="643"/>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261</w:t>
            </w:r>
          </w:p>
        </w:tc>
        <w:tc>
          <w:tcPr>
            <w:tcW w:w="1040" w:type="dxa"/>
            <w:vAlign w:val="bottom"/>
          </w:tcPr>
          <w:p>
            <w:pPr>
              <w:jc w:val="right"/>
              <w:ind w:right="703"/>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ind w:left="100"/>
              <w:spacing w:after="0" w:line="176" w:lineRule="exact"/>
              <w:rPr>
                <w:sz w:val="20"/>
                <w:szCs w:val="20"/>
                <w:color w:val="auto"/>
              </w:rPr>
            </w:pPr>
            <w:r>
              <w:rPr>
                <w:rFonts w:ascii="Arial" w:cs="Arial" w:eastAsia="Arial" w:hAnsi="Arial"/>
                <w:sz w:val="16"/>
                <w:szCs w:val="16"/>
                <w:color w:val="auto"/>
              </w:rPr>
              <w:t>(6)</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769</w:t>
            </w:r>
          </w:p>
        </w:tc>
      </w:tr>
      <w:tr>
        <w:trPr>
          <w:trHeight w:val="153"/>
        </w:trPr>
        <w:tc>
          <w:tcPr>
            <w:tcW w:w="20" w:type="dxa"/>
            <w:vAlign w:val="bottom"/>
          </w:tcPr>
          <w:p>
            <w:pPr>
              <w:spacing w:after="0"/>
              <w:rPr>
                <w:sz w:val="13"/>
                <w:szCs w:val="13"/>
                <w:color w:val="auto"/>
              </w:rPr>
            </w:pPr>
          </w:p>
        </w:tc>
        <w:tc>
          <w:tcPr>
            <w:tcW w:w="3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i w:val="1"/>
                <w:iCs w:val="1"/>
                <w:color w:val="auto"/>
              </w:rPr>
              <w:t>(1)</w:t>
            </w:r>
          </w:p>
        </w:tc>
        <w:tc>
          <w:tcPr>
            <w:tcW w:w="5080" w:type="dxa"/>
            <w:vAlign w:val="bottom"/>
            <w:tcBorders>
              <w:top w:val="single" w:sz="8" w:color="auto"/>
            </w:tcBorders>
          </w:tcPr>
          <w:p>
            <w:pPr>
              <w:ind w:left="160"/>
              <w:spacing w:after="0" w:line="153" w:lineRule="exact"/>
              <w:rPr>
                <w:sz w:val="20"/>
                <w:szCs w:val="20"/>
                <w:color w:val="auto"/>
              </w:rPr>
            </w:pPr>
            <w:r>
              <w:rPr>
                <w:rFonts w:ascii="Arial" w:cs="Arial" w:eastAsia="Arial" w:hAnsi="Arial"/>
                <w:sz w:val="14"/>
                <w:szCs w:val="14"/>
                <w:i w:val="1"/>
                <w:iCs w:val="1"/>
                <w:color w:val="auto"/>
              </w:rPr>
              <w:t>Maturity dates are 2012-2042</w:t>
            </w:r>
          </w:p>
        </w:tc>
        <w:tc>
          <w:tcPr>
            <w:tcW w:w="10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162"/>
        </w:trPr>
        <w:tc>
          <w:tcPr>
            <w:tcW w:w="380" w:type="dxa"/>
            <w:vAlign w:val="bottom"/>
            <w:gridSpan w:val="2"/>
          </w:tcPr>
          <w:p>
            <w:pPr>
              <w:spacing w:after="0"/>
              <w:rPr>
                <w:sz w:val="20"/>
                <w:szCs w:val="20"/>
                <w:color w:val="auto"/>
              </w:rPr>
            </w:pPr>
            <w:r>
              <w:rPr>
                <w:rFonts w:ascii="Arial" w:cs="Arial" w:eastAsia="Arial" w:hAnsi="Arial"/>
                <w:sz w:val="14"/>
                <w:szCs w:val="14"/>
                <w:i w:val="1"/>
                <w:iCs w:val="1"/>
                <w:color w:val="auto"/>
              </w:rPr>
              <w:t>(2)</w:t>
            </w:r>
          </w:p>
        </w:tc>
        <w:tc>
          <w:tcPr>
            <w:tcW w:w="5080" w:type="dxa"/>
            <w:vAlign w:val="bottom"/>
          </w:tcPr>
          <w:p>
            <w:pPr>
              <w:ind w:left="160"/>
              <w:spacing w:after="0"/>
              <w:rPr>
                <w:sz w:val="20"/>
                <w:szCs w:val="20"/>
                <w:color w:val="auto"/>
              </w:rPr>
            </w:pPr>
            <w:r>
              <w:rPr>
                <w:rFonts w:ascii="Arial" w:cs="Arial" w:eastAsia="Arial" w:hAnsi="Arial"/>
                <w:sz w:val="14"/>
                <w:szCs w:val="14"/>
                <w:i w:val="1"/>
                <w:iCs w:val="1"/>
                <w:color w:val="auto"/>
              </w:rPr>
              <w:t>Maturity dates are 2012-2057</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380" w:type="dxa"/>
            <w:vAlign w:val="bottom"/>
            <w:gridSpan w:val="2"/>
          </w:tcPr>
          <w:p>
            <w:pPr>
              <w:spacing w:after="0"/>
              <w:rPr>
                <w:sz w:val="20"/>
                <w:szCs w:val="20"/>
                <w:color w:val="auto"/>
              </w:rPr>
            </w:pPr>
            <w:r>
              <w:rPr>
                <w:rFonts w:ascii="Arial" w:cs="Arial" w:eastAsia="Arial" w:hAnsi="Arial"/>
                <w:sz w:val="14"/>
                <w:szCs w:val="14"/>
                <w:i w:val="1"/>
                <w:iCs w:val="1"/>
                <w:color w:val="auto"/>
              </w:rPr>
              <w:t>(3)</w:t>
            </w:r>
          </w:p>
        </w:tc>
        <w:tc>
          <w:tcPr>
            <w:tcW w:w="5080" w:type="dxa"/>
            <w:vAlign w:val="bottom"/>
          </w:tcPr>
          <w:p>
            <w:pPr>
              <w:ind w:left="160"/>
              <w:spacing w:after="0"/>
              <w:rPr>
                <w:sz w:val="20"/>
                <w:szCs w:val="20"/>
                <w:color w:val="auto"/>
              </w:rPr>
            </w:pPr>
            <w:r>
              <w:rPr>
                <w:rFonts w:ascii="Arial" w:cs="Arial" w:eastAsia="Arial" w:hAnsi="Arial"/>
                <w:sz w:val="14"/>
                <w:szCs w:val="14"/>
                <w:i w:val="1"/>
                <w:iCs w:val="1"/>
                <w:color w:val="auto"/>
              </w:rPr>
              <w:t>Maturity dates are 2012-2051</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color w:val="auto"/>
              </w:rPr>
              <w:t>Years ended December 31,</w:t>
            </w: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2011</w:t>
            </w:r>
          </w:p>
        </w:tc>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01"/>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6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4300" w:type="dxa"/>
            <w:vAlign w:val="bottom"/>
          </w:tcPr>
          <w:p>
            <w:pPr>
              <w:spacing w:after="0" w:line="164" w:lineRule="exact"/>
              <w:rPr>
                <w:sz w:val="20"/>
                <w:szCs w:val="20"/>
                <w:color w:val="auto"/>
              </w:rPr>
            </w:pPr>
            <w:r>
              <w:rPr>
                <w:rFonts w:ascii="Arial" w:cs="Arial" w:eastAsia="Arial" w:hAnsi="Arial"/>
                <w:sz w:val="16"/>
                <w:szCs w:val="16"/>
                <w:color w:val="auto"/>
              </w:rPr>
              <w:t>Proceeds from sales(1)</w:t>
            </w:r>
          </w:p>
        </w:tc>
        <w:tc>
          <w:tcPr>
            <w:tcW w:w="1680" w:type="dxa"/>
            <w:vAlign w:val="bottom"/>
          </w:tcPr>
          <w:p>
            <w:pPr>
              <w:jc w:val="right"/>
              <w:ind w:right="1003"/>
              <w:spacing w:after="0" w:line="164"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715</w:t>
            </w:r>
          </w:p>
        </w:tc>
        <w:tc>
          <w:tcPr>
            <w:tcW w:w="640" w:type="dxa"/>
            <w:vAlign w:val="bottom"/>
          </w:tcPr>
          <w:p>
            <w:pPr>
              <w:jc w:val="right"/>
              <w:ind w:right="143"/>
              <w:spacing w:after="0" w:line="164" w:lineRule="exact"/>
              <w:rPr>
                <w:sz w:val="20"/>
                <w:szCs w:val="20"/>
                <w:color w:val="auto"/>
              </w:rPr>
            </w:pPr>
            <w:r>
              <w:rPr>
                <w:rFonts w:ascii="Arial" w:cs="Arial" w:eastAsia="Arial" w:hAnsi="Arial"/>
                <w:sz w:val="16"/>
                <w:szCs w:val="16"/>
                <w:color w:val="auto"/>
              </w:rPr>
              <w:t>$</w:t>
            </w:r>
          </w:p>
        </w:tc>
        <w:tc>
          <w:tcPr>
            <w:tcW w:w="1800" w:type="dxa"/>
            <w:vAlign w:val="bottom"/>
          </w:tcPr>
          <w:p>
            <w:pPr>
              <w:jc w:val="right"/>
              <w:ind w:right="201"/>
              <w:spacing w:after="0" w:line="164" w:lineRule="exact"/>
              <w:rPr>
                <w:sz w:val="20"/>
                <w:szCs w:val="20"/>
                <w:color w:val="auto"/>
              </w:rPr>
            </w:pPr>
            <w:r>
              <w:rPr>
                <w:rFonts w:ascii="Arial" w:cs="Arial" w:eastAsia="Arial" w:hAnsi="Arial"/>
                <w:sz w:val="16"/>
                <w:szCs w:val="16"/>
                <w:color w:val="auto"/>
              </w:rPr>
              <w:t>351</w:t>
            </w:r>
          </w:p>
        </w:tc>
        <w:tc>
          <w:tcPr>
            <w:tcW w:w="56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64" w:lineRule="exact"/>
              <w:rPr>
                <w:sz w:val="20"/>
                <w:szCs w:val="20"/>
                <w:color w:val="auto"/>
              </w:rPr>
            </w:pPr>
            <w:r>
              <w:rPr>
                <w:rFonts w:ascii="Arial" w:cs="Arial" w:eastAsia="Arial" w:hAnsi="Arial"/>
                <w:sz w:val="16"/>
                <w:szCs w:val="16"/>
                <w:color w:val="auto"/>
              </w:rPr>
              <w:t>224</w:t>
            </w:r>
          </w:p>
        </w:tc>
      </w:tr>
      <w:tr>
        <w:trPr>
          <w:trHeight w:val="176"/>
        </w:trPr>
        <w:tc>
          <w:tcPr>
            <w:tcW w:w="4320" w:type="dxa"/>
            <w:vAlign w:val="bottom"/>
            <w:gridSpan w:val="2"/>
          </w:tcPr>
          <w:p>
            <w:pPr>
              <w:spacing w:after="0" w:line="176" w:lineRule="exact"/>
              <w:rPr>
                <w:sz w:val="20"/>
                <w:szCs w:val="20"/>
                <w:color w:val="auto"/>
              </w:rPr>
            </w:pPr>
            <w:r>
              <w:rPr>
                <w:rFonts w:ascii="Arial" w:cs="Arial" w:eastAsia="Arial" w:hAnsi="Arial"/>
                <w:sz w:val="16"/>
                <w:szCs w:val="16"/>
                <w:color w:val="auto"/>
              </w:rPr>
              <w:t>Gross realized gains</w:t>
            </w:r>
          </w:p>
        </w:tc>
        <w:tc>
          <w:tcPr>
            <w:tcW w:w="1680" w:type="dxa"/>
            <w:vAlign w:val="bottom"/>
          </w:tcPr>
          <w:p>
            <w:pPr>
              <w:spacing w:after="0"/>
              <w:rPr>
                <w:sz w:val="15"/>
                <w:szCs w:val="15"/>
                <w:color w:val="auto"/>
              </w:rPr>
            </w:pPr>
          </w:p>
        </w:tc>
        <w:tc>
          <w:tcPr>
            <w:tcW w:w="8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75</w:t>
            </w:r>
          </w:p>
        </w:tc>
        <w:tc>
          <w:tcPr>
            <w:tcW w:w="640" w:type="dxa"/>
            <w:vAlign w:val="bottom"/>
          </w:tcPr>
          <w:p>
            <w:pPr>
              <w:spacing w:after="0"/>
              <w:rPr>
                <w:sz w:val="15"/>
                <w:szCs w:val="15"/>
                <w:color w:val="auto"/>
              </w:rPr>
            </w:pPr>
          </w:p>
        </w:tc>
        <w:tc>
          <w:tcPr>
            <w:tcW w:w="18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11</w:t>
            </w:r>
          </w:p>
        </w:tc>
        <w:tc>
          <w:tcPr>
            <w:tcW w:w="560" w:type="dxa"/>
            <w:vAlign w:val="bottom"/>
          </w:tcPr>
          <w:p>
            <w:pPr>
              <w:spacing w:after="0"/>
              <w:rPr>
                <w:sz w:val="15"/>
                <w:szCs w:val="15"/>
                <w:color w:val="auto"/>
              </w:rPr>
            </w:pPr>
          </w:p>
        </w:tc>
        <w:tc>
          <w:tcPr>
            <w:tcW w:w="15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95"/>
        </w:trPr>
        <w:tc>
          <w:tcPr>
            <w:tcW w:w="4320" w:type="dxa"/>
            <w:vAlign w:val="bottom"/>
            <w:gridSpan w:val="2"/>
          </w:tcPr>
          <w:p>
            <w:pPr>
              <w:spacing w:after="0"/>
              <w:rPr>
                <w:sz w:val="20"/>
                <w:szCs w:val="20"/>
                <w:color w:val="auto"/>
              </w:rPr>
            </w:pPr>
            <w:r>
              <w:rPr>
                <w:rFonts w:ascii="Arial" w:cs="Arial" w:eastAsia="Arial" w:hAnsi="Arial"/>
                <w:sz w:val="16"/>
                <w:szCs w:val="16"/>
                <w:color w:val="auto"/>
              </w:rPr>
              <w:t>Gross realized losses</w:t>
            </w:r>
          </w:p>
        </w:tc>
        <w:tc>
          <w:tcPr>
            <w:tcW w:w="16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640" w:type="dxa"/>
            <w:vAlign w:val="bottom"/>
          </w:tcPr>
          <w:p>
            <w:pPr>
              <w:spacing w:after="0"/>
              <w:rPr>
                <w:sz w:val="16"/>
                <w:szCs w:val="16"/>
                <w:color w:val="auto"/>
              </w:rPr>
            </w:pPr>
          </w:p>
        </w:tc>
        <w:tc>
          <w:tcPr>
            <w:tcW w:w="1800" w:type="dxa"/>
            <w:vAlign w:val="bottom"/>
          </w:tcPr>
          <w:p>
            <w:pPr>
              <w:jc w:val="right"/>
              <w:ind w:right="161"/>
              <w:spacing w:after="0"/>
              <w:rPr>
                <w:sz w:val="20"/>
                <w:szCs w:val="20"/>
                <w:color w:val="auto"/>
              </w:rPr>
            </w:pPr>
            <w:r>
              <w:rPr>
                <w:rFonts w:ascii="Arial" w:cs="Arial" w:eastAsia="Arial" w:hAnsi="Arial"/>
                <w:sz w:val="16"/>
                <w:szCs w:val="16"/>
                <w:color w:val="auto"/>
              </w:rPr>
              <w:t>(11)</w:t>
            </w:r>
          </w:p>
        </w:tc>
        <w:tc>
          <w:tcPr>
            <w:tcW w:w="5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80" w:hanging="772"/>
        <w:spacing w:after="0"/>
        <w:tabs>
          <w:tab w:leader="none" w:pos="780" w:val="left"/>
        </w:tabs>
        <w:numPr>
          <w:ilvl w:val="0"/>
          <w:numId w:val="32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securities that are held to maturity.</w:t>
      </w:r>
    </w:p>
    <w:p>
      <w:pPr>
        <w:spacing w:after="0" w:line="2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sales in 2011 was predominantly due to a restructuring of investments within the trust to achieve a more broadly diversified asset mix. Within the fixed income portfolio, the allocation to U.S. Treasury debt-securities was reduced, while holdings of other fixed income securities, including corporate and municipal bonds, and investments in mortgage- and asset-backed securities, were increased. The international equity portfolio was restructured to invest in both developed and emerging market equity securities.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Consolidated Balance Sheets. We determine the cost of securities in the trusts on the basis of specific identification.</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Customer contribution amounts are determined by the CPUC using estimates of after-tax investment returns, decommissioning costs, and decommissioning cost escalation rates. Changes in investment returns and decommissioning costs may result in a change in future customer contributions.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impact of asset retirement obligations in Note 1. We provide additional information about SONGS in Notes 14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NOTE 7.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U.S. statutory federal income tax rates to the effective income tax rates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FEDERAL INCOME TAX RATES TO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66" w:lineRule="exact"/>
        <w:rPr>
          <w:sz w:val="20"/>
          <w:szCs w:val="20"/>
          <w:color w:val="auto"/>
        </w:rPr>
      </w:pPr>
    </w:p>
    <w:p>
      <w:pPr>
        <w:ind w:left="7940"/>
        <w:spacing w:after="0"/>
        <w:rPr>
          <w:sz w:val="20"/>
          <w:szCs w:val="20"/>
          <w:color w:val="auto"/>
        </w:rPr>
      </w:pPr>
      <w:r>
        <w:rPr>
          <w:rFonts w:ascii="Arial" w:cs="Arial" w:eastAsia="Arial" w:hAnsi="Arial"/>
          <w:sz w:val="14"/>
          <w:szCs w:val="14"/>
          <w:color w:val="auto"/>
        </w:rPr>
        <w:t>Years ended December 31,</w:t>
      </w:r>
    </w:p>
    <w:tbl>
      <w:tblPr>
        <w:tblLayout w:type="fixed"/>
        <w:tblInd w:w="0" w:type="dxa"/>
        <w:tblCellMar>
          <w:top w:w="0" w:type="dxa"/>
          <w:left w:w="0" w:type="dxa"/>
          <w:bottom w:w="0" w:type="dxa"/>
          <w:right w:w="0" w:type="dxa"/>
        </w:tblCellMar>
      </w:tblPr>
      <w:tr>
        <w:trPr>
          <w:trHeight w:val="190"/>
        </w:trPr>
        <w:tc>
          <w:tcPr>
            <w:tcW w:w="6220" w:type="dxa"/>
            <w:vAlign w:val="bottom"/>
            <w:gridSpan w:val="2"/>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color w:val="auto"/>
              </w:rPr>
              <w:t>2010</w:t>
            </w:r>
          </w:p>
        </w:tc>
        <w:tc>
          <w:tcPr>
            <w:tcW w:w="6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280" w:type="dxa"/>
            <w:vAlign w:val="bottom"/>
            <w:tcBorders>
              <w:top w:val="single" w:sz="8" w:color="auto"/>
            </w:tcBorders>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724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r>
      <w:tr>
        <w:trPr>
          <w:trHeight w:val="176"/>
        </w:trPr>
        <w:tc>
          <w:tcPr>
            <w:tcW w:w="7260" w:type="dxa"/>
            <w:vAlign w:val="bottom"/>
            <w:gridSpan w:val="3"/>
          </w:tcPr>
          <w:p>
            <w:pPr>
              <w:spacing w:after="0" w:line="176" w:lineRule="exact"/>
              <w:rPr>
                <w:sz w:val="20"/>
                <w:szCs w:val="20"/>
                <w:color w:val="auto"/>
              </w:rPr>
            </w:pPr>
            <w:r>
              <w:rPr>
                <w:rFonts w:ascii="Arial" w:cs="Arial" w:eastAsia="Arial" w:hAnsi="Arial"/>
                <w:sz w:val="16"/>
                <w:szCs w:val="16"/>
                <w:color w:val="auto"/>
              </w:rPr>
              <w:t>U.S. federal statutory income tax rate</w:t>
            </w:r>
          </w:p>
        </w:tc>
        <w:tc>
          <w:tcPr>
            <w:tcW w:w="4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35</w:t>
            </w:r>
          </w:p>
        </w:tc>
        <w:tc>
          <w:tcPr>
            <w:tcW w:w="64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35</w:t>
            </w:r>
          </w:p>
        </w:tc>
        <w:tc>
          <w:tcPr>
            <w:tcW w:w="66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35</w:t>
            </w: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7260" w:type="dxa"/>
            <w:vAlign w:val="bottom"/>
            <w:gridSpan w:val="3"/>
          </w:tcPr>
          <w:p>
            <w:pPr>
              <w:spacing w:after="0" w:line="176" w:lineRule="exact"/>
              <w:rPr>
                <w:sz w:val="20"/>
                <w:szCs w:val="20"/>
                <w:color w:val="auto"/>
              </w:rPr>
            </w:pPr>
            <w:r>
              <w:rPr>
                <w:rFonts w:ascii="Arial" w:cs="Arial" w:eastAsia="Arial" w:hAnsi="Arial"/>
                <w:sz w:val="16"/>
                <w:szCs w:val="16"/>
                <w:color w:val="auto"/>
              </w:rPr>
              <w:t>Utility depreciation</w:t>
            </w:r>
          </w:p>
        </w:tc>
        <w:tc>
          <w:tcPr>
            <w:tcW w:w="4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w:t>
            </w:r>
          </w:p>
        </w:tc>
        <w:tc>
          <w:tcPr>
            <w:tcW w:w="640" w:type="dxa"/>
            <w:vAlign w:val="bottom"/>
          </w:tcPr>
          <w:p>
            <w:pPr>
              <w:spacing w:after="0"/>
              <w:rPr>
                <w:sz w:val="15"/>
                <w:szCs w:val="15"/>
                <w:color w:val="auto"/>
              </w:rPr>
            </w:pPr>
          </w:p>
        </w:tc>
        <w:tc>
          <w:tcPr>
            <w:tcW w:w="10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6</w:t>
            </w:r>
          </w:p>
        </w:tc>
        <w:tc>
          <w:tcPr>
            <w:tcW w:w="660" w:type="dxa"/>
            <w:vAlign w:val="bottom"/>
          </w:tcPr>
          <w:p>
            <w:pPr>
              <w:spacing w:after="0"/>
              <w:rPr>
                <w:sz w:val="15"/>
                <w:szCs w:val="15"/>
                <w:color w:val="auto"/>
              </w:rPr>
            </w:pPr>
          </w:p>
        </w:tc>
        <w:tc>
          <w:tcPr>
            <w:tcW w:w="110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w:t>
            </w:r>
          </w:p>
        </w:tc>
        <w:tc>
          <w:tcPr>
            <w:tcW w:w="280" w:type="dxa"/>
            <w:vAlign w:val="bottom"/>
          </w:tcPr>
          <w:p>
            <w:pPr>
              <w:spacing w:after="0"/>
              <w:rPr>
                <w:sz w:val="15"/>
                <w:szCs w:val="15"/>
                <w:color w:val="auto"/>
              </w:rPr>
            </w:pPr>
          </w:p>
        </w:tc>
      </w:tr>
      <w:tr>
        <w:trPr>
          <w:trHeight w:val="176"/>
        </w:trPr>
        <w:tc>
          <w:tcPr>
            <w:tcW w:w="7260" w:type="dxa"/>
            <w:vAlign w:val="bottom"/>
            <w:gridSpan w:val="3"/>
          </w:tcPr>
          <w:p>
            <w:pPr>
              <w:spacing w:after="0" w:line="176" w:lineRule="exact"/>
              <w:rPr>
                <w:sz w:val="20"/>
                <w:szCs w:val="20"/>
                <w:color w:val="auto"/>
              </w:rPr>
            </w:pPr>
            <w:r>
              <w:rPr>
                <w:rFonts w:ascii="Arial" w:cs="Arial" w:eastAsia="Arial" w:hAnsi="Arial"/>
                <w:sz w:val="16"/>
                <w:szCs w:val="16"/>
                <w:color w:val="auto"/>
              </w:rPr>
              <w:t>State income taxes, net of federal income tax benefit</w:t>
            </w:r>
          </w:p>
        </w:tc>
        <w:tc>
          <w:tcPr>
            <w:tcW w:w="4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w:t>
            </w:r>
          </w:p>
        </w:tc>
        <w:tc>
          <w:tcPr>
            <w:tcW w:w="640" w:type="dxa"/>
            <w:vAlign w:val="bottom"/>
          </w:tcPr>
          <w:p>
            <w:pPr>
              <w:spacing w:after="0"/>
              <w:rPr>
                <w:sz w:val="15"/>
                <w:szCs w:val="15"/>
                <w:color w:val="auto"/>
              </w:rPr>
            </w:pPr>
          </w:p>
        </w:tc>
        <w:tc>
          <w:tcPr>
            <w:tcW w:w="10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110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w:t>
            </w:r>
          </w:p>
        </w:tc>
        <w:tc>
          <w:tcPr>
            <w:tcW w:w="280" w:type="dxa"/>
            <w:vAlign w:val="bottom"/>
          </w:tcPr>
          <w:p>
            <w:pPr>
              <w:spacing w:after="0"/>
              <w:rPr>
                <w:sz w:val="15"/>
                <w:szCs w:val="15"/>
                <w:color w:val="auto"/>
              </w:rPr>
            </w:pPr>
          </w:p>
        </w:tc>
      </w:tr>
      <w:tr>
        <w:trPr>
          <w:trHeight w:val="176"/>
        </w:trPr>
        <w:tc>
          <w:tcPr>
            <w:tcW w:w="7260" w:type="dxa"/>
            <w:vAlign w:val="bottom"/>
            <w:gridSpan w:val="3"/>
          </w:tcPr>
          <w:p>
            <w:pPr>
              <w:spacing w:after="0" w:line="176" w:lineRule="exact"/>
              <w:rPr>
                <w:sz w:val="20"/>
                <w:szCs w:val="20"/>
                <w:color w:val="auto"/>
              </w:rPr>
            </w:pPr>
            <w:r>
              <w:rPr>
                <w:rFonts w:ascii="Arial" w:cs="Arial" w:eastAsia="Arial" w:hAnsi="Arial"/>
                <w:sz w:val="16"/>
                <w:szCs w:val="16"/>
                <w:color w:val="auto"/>
              </w:rPr>
              <w:t>Tax credits</w:t>
            </w:r>
          </w:p>
        </w:tc>
        <w:tc>
          <w:tcPr>
            <w:tcW w:w="4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w:t>
            </w:r>
          </w:p>
        </w:tc>
        <w:tc>
          <w:tcPr>
            <w:tcW w:w="640" w:type="dxa"/>
            <w:vAlign w:val="bottom"/>
          </w:tcPr>
          <w:p>
            <w:pPr>
              <w:spacing w:after="0"/>
              <w:rPr>
                <w:sz w:val="15"/>
                <w:szCs w:val="15"/>
                <w:color w:val="auto"/>
              </w:rPr>
            </w:pPr>
          </w:p>
        </w:tc>
        <w:tc>
          <w:tcPr>
            <w:tcW w:w="10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(7)</w:t>
            </w:r>
          </w:p>
        </w:tc>
        <w:tc>
          <w:tcPr>
            <w:tcW w:w="660" w:type="dxa"/>
            <w:vAlign w:val="bottom"/>
          </w:tcPr>
          <w:p>
            <w:pPr>
              <w:spacing w:after="0"/>
              <w:rPr>
                <w:sz w:val="15"/>
                <w:szCs w:val="15"/>
                <w:color w:val="auto"/>
              </w:rPr>
            </w:pPr>
          </w:p>
        </w:tc>
        <w:tc>
          <w:tcPr>
            <w:tcW w:w="11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r>
      <w:tr>
        <w:trPr>
          <w:trHeight w:val="176"/>
        </w:trPr>
        <w:tc>
          <w:tcPr>
            <w:tcW w:w="7260" w:type="dxa"/>
            <w:vAlign w:val="bottom"/>
            <w:gridSpan w:val="3"/>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4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(2)</w:t>
            </w:r>
          </w:p>
        </w:tc>
        <w:tc>
          <w:tcPr>
            <w:tcW w:w="640" w:type="dxa"/>
            <w:vAlign w:val="bottom"/>
          </w:tcPr>
          <w:p>
            <w:pPr>
              <w:spacing w:after="0"/>
              <w:rPr>
                <w:sz w:val="15"/>
                <w:szCs w:val="15"/>
                <w:color w:val="auto"/>
              </w:rPr>
            </w:pPr>
          </w:p>
        </w:tc>
        <w:tc>
          <w:tcPr>
            <w:tcW w:w="10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(3)</w:t>
            </w:r>
          </w:p>
        </w:tc>
        <w:tc>
          <w:tcPr>
            <w:tcW w:w="660" w:type="dxa"/>
            <w:vAlign w:val="bottom"/>
          </w:tcPr>
          <w:p>
            <w:pPr>
              <w:spacing w:after="0"/>
              <w:rPr>
                <w:sz w:val="15"/>
                <w:szCs w:val="15"/>
                <w:color w:val="auto"/>
              </w:rPr>
            </w:pPr>
          </w:p>
        </w:tc>
        <w:tc>
          <w:tcPr>
            <w:tcW w:w="11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r>
      <w:tr>
        <w:trPr>
          <w:trHeight w:val="176"/>
        </w:trPr>
        <w:tc>
          <w:tcPr>
            <w:tcW w:w="7260" w:type="dxa"/>
            <w:vAlign w:val="bottom"/>
            <w:gridSpan w:val="3"/>
          </w:tcPr>
          <w:p>
            <w:pPr>
              <w:spacing w:after="0" w:line="176" w:lineRule="exact"/>
              <w:rPr>
                <w:sz w:val="20"/>
                <w:szCs w:val="20"/>
                <w:color w:val="auto"/>
              </w:rPr>
            </w:pPr>
            <w:r>
              <w:rPr>
                <w:rFonts w:ascii="Arial" w:cs="Arial" w:eastAsia="Arial" w:hAnsi="Arial"/>
                <w:sz w:val="16"/>
                <w:szCs w:val="16"/>
                <w:color w:val="auto"/>
              </w:rPr>
              <w:t>Non-U.S. earnings taxed at lower statutory income tax rates</w:t>
            </w:r>
          </w:p>
        </w:tc>
        <w:tc>
          <w:tcPr>
            <w:tcW w:w="4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(8)</w:t>
            </w:r>
          </w:p>
        </w:tc>
        <w:tc>
          <w:tcPr>
            <w:tcW w:w="640" w:type="dxa"/>
            <w:vAlign w:val="bottom"/>
          </w:tcPr>
          <w:p>
            <w:pPr>
              <w:spacing w:after="0"/>
              <w:rPr>
                <w:sz w:val="15"/>
                <w:szCs w:val="15"/>
                <w:color w:val="auto"/>
              </w:rPr>
            </w:pPr>
          </w:p>
        </w:tc>
        <w:tc>
          <w:tcPr>
            <w:tcW w:w="10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(12)</w:t>
            </w:r>
          </w:p>
        </w:tc>
        <w:tc>
          <w:tcPr>
            <w:tcW w:w="660" w:type="dxa"/>
            <w:vAlign w:val="bottom"/>
          </w:tcPr>
          <w:p>
            <w:pPr>
              <w:spacing w:after="0"/>
              <w:rPr>
                <w:sz w:val="15"/>
                <w:szCs w:val="15"/>
                <w:color w:val="auto"/>
              </w:rPr>
            </w:pPr>
          </w:p>
        </w:tc>
        <w:tc>
          <w:tcPr>
            <w:tcW w:w="1100" w:type="dxa"/>
            <w:vAlign w:val="bottom"/>
          </w:tcPr>
          <w:p>
            <w:pPr>
              <w:jc w:val="right"/>
              <w:ind w:right="80"/>
              <w:spacing w:after="0" w:line="176" w:lineRule="exact"/>
              <w:rPr>
                <w:sz w:val="20"/>
                <w:szCs w:val="20"/>
                <w:color w:val="auto"/>
              </w:rPr>
            </w:pPr>
            <w:r>
              <w:rPr>
                <w:rFonts w:ascii="Arial" w:cs="Arial" w:eastAsia="Arial" w:hAnsi="Arial"/>
                <w:sz w:val="16"/>
                <w:szCs w:val="16"/>
                <w:color w:val="auto"/>
              </w:rPr>
              <w:t>(5)</w:t>
            </w:r>
          </w:p>
        </w:tc>
        <w:tc>
          <w:tcPr>
            <w:tcW w:w="280" w:type="dxa"/>
            <w:vAlign w:val="bottom"/>
          </w:tcPr>
          <w:p>
            <w:pPr>
              <w:spacing w:after="0"/>
              <w:rPr>
                <w:sz w:val="15"/>
                <w:szCs w:val="15"/>
                <w:color w:val="auto"/>
              </w:rPr>
            </w:pPr>
          </w:p>
        </w:tc>
      </w:tr>
      <w:tr>
        <w:trPr>
          <w:trHeight w:val="195"/>
        </w:trPr>
        <w:tc>
          <w:tcPr>
            <w:tcW w:w="7260" w:type="dxa"/>
            <w:vAlign w:val="bottom"/>
            <w:gridSpan w:val="3"/>
          </w:tcPr>
          <w:p>
            <w:pPr>
              <w:spacing w:after="0"/>
              <w:rPr>
                <w:sz w:val="20"/>
                <w:szCs w:val="20"/>
                <w:color w:val="auto"/>
              </w:rPr>
            </w:pPr>
            <w:r>
              <w:rPr>
                <w:rFonts w:ascii="Arial" w:cs="Arial" w:eastAsia="Arial" w:hAnsi="Arial"/>
                <w:sz w:val="16"/>
                <w:szCs w:val="16"/>
                <w:color w:val="auto"/>
              </w:rPr>
              <w:t>Adjustments to prior years’ tax issues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6"/>
                <w:szCs w:val="16"/>
                <w:color w:val="auto"/>
              </w:rPr>
            </w:pPr>
          </w:p>
        </w:tc>
      </w:tr>
    </w:tbl>
    <w:p>
      <w:pPr>
        <w:sectPr>
          <w:pgSz w:w="11900" w:h="16838" w:orient="portrait"/>
          <w:cols w:equalWidth="0" w:num="1">
            <w:col w:w="11420"/>
          </w:cols>
          <w:pgMar w:left="240" w:top="368" w:right="239" w:bottom="0" w:gutter="0" w:footer="0" w:header="0"/>
        </w:sectPr>
      </w:pPr>
    </w:p>
    <w:bookmarkStart w:id="227" w:name="page228"/>
    <w:bookmarkEnd w:id="227"/>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gridSpan w:val="2"/>
          </w:tcPr>
          <w:p>
            <w:pPr>
              <w:spacing w:after="0"/>
              <w:rPr>
                <w:sz w:val="20"/>
                <w:szCs w:val="20"/>
                <w:color w:val="auto"/>
              </w:rPr>
            </w:pPr>
            <w:r>
              <w:rPr>
                <w:rFonts w:ascii="Arial" w:cs="Arial" w:eastAsia="Arial" w:hAnsi="Arial"/>
                <w:sz w:val="16"/>
                <w:szCs w:val="16"/>
                <w:color w:val="auto"/>
              </w:rPr>
              <w:t>Utility repair allowance</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82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84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Self-developed software expenditures</w:t>
            </w:r>
          </w:p>
        </w:tc>
        <w:tc>
          <w:tcPr>
            <w:tcW w:w="14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w:t>
            </w:r>
          </w:p>
        </w:tc>
        <w:tc>
          <w:tcPr>
            <w:tcW w:w="820" w:type="dxa"/>
            <w:vAlign w:val="bottom"/>
          </w:tcPr>
          <w:p>
            <w:pPr>
              <w:spacing w:after="0"/>
              <w:rPr>
                <w:sz w:val="15"/>
                <w:szCs w:val="15"/>
                <w:color w:val="auto"/>
              </w:rPr>
            </w:pPr>
          </w:p>
        </w:tc>
        <w:tc>
          <w:tcPr>
            <w:tcW w:w="9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(5)</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(3)</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Mexican foreign exchange and inflation effects</w:t>
            </w:r>
          </w:p>
        </w:tc>
        <w:tc>
          <w:tcPr>
            <w:tcW w:w="14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Variable interest entities</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Noncontrolling interests</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Impact of change in income tax law</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Impact of impairment of an equity method investment</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9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(2)</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6220" w:type="dxa"/>
            <w:vAlign w:val="bottom"/>
            <w:gridSpan w:val="2"/>
          </w:tcPr>
          <w:p>
            <w:pPr>
              <w:spacing w:after="0"/>
              <w:rPr>
                <w:sz w:val="20"/>
                <w:szCs w:val="20"/>
                <w:color w:val="auto"/>
              </w:rPr>
            </w:pPr>
            <w:r>
              <w:rPr>
                <w:rFonts w:ascii="Arial" w:cs="Arial" w:eastAsia="Arial" w:hAnsi="Arial"/>
                <w:sz w:val="16"/>
                <w:szCs w:val="16"/>
                <w:color w:val="auto"/>
              </w:rPr>
              <w:t>Other, net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20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Effective income tax rate</w:t>
            </w:r>
          </w:p>
        </w:tc>
        <w:tc>
          <w:tcPr>
            <w:tcW w:w="144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21</w:t>
            </w:r>
          </w:p>
        </w:tc>
        <w:tc>
          <w:tcPr>
            <w:tcW w:w="82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13</w:t>
            </w:r>
          </w:p>
        </w:tc>
        <w:tc>
          <w:tcPr>
            <w:tcW w:w="84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29</w:t>
            </w:r>
          </w:p>
        </w:tc>
        <w:tc>
          <w:tcPr>
            <w:tcW w:w="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20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U.S. federal statutory income tax rate</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35</w:t>
            </w:r>
          </w:p>
        </w:tc>
        <w:tc>
          <w:tcPr>
            <w:tcW w:w="82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35</w:t>
            </w:r>
          </w:p>
        </w:tc>
        <w:tc>
          <w:tcPr>
            <w:tcW w:w="84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35</w:t>
            </w:r>
          </w:p>
        </w:tc>
        <w:tc>
          <w:tcPr>
            <w:tcW w:w="3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Depreciation</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State income taxes, net of federal income tax benefit</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14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(4)</w:t>
            </w:r>
          </w:p>
        </w:tc>
        <w:tc>
          <w:tcPr>
            <w:tcW w:w="820" w:type="dxa"/>
            <w:vAlign w:val="bottom"/>
          </w:tcPr>
          <w:p>
            <w:pPr>
              <w:spacing w:after="0"/>
              <w:rPr>
                <w:sz w:val="15"/>
                <w:szCs w:val="15"/>
                <w:color w:val="auto"/>
              </w:rPr>
            </w:pPr>
          </w:p>
        </w:tc>
        <w:tc>
          <w:tcPr>
            <w:tcW w:w="9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Adjustments to prior years’ tax issues</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9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Utility repair allowance</w:t>
            </w:r>
          </w:p>
        </w:tc>
        <w:tc>
          <w:tcPr>
            <w:tcW w:w="14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w:t>
            </w:r>
          </w:p>
        </w:tc>
        <w:tc>
          <w:tcPr>
            <w:tcW w:w="820" w:type="dxa"/>
            <w:vAlign w:val="bottom"/>
          </w:tcPr>
          <w:p>
            <w:pPr>
              <w:spacing w:after="0"/>
              <w:rPr>
                <w:sz w:val="15"/>
                <w:szCs w:val="15"/>
                <w:color w:val="auto"/>
              </w:rPr>
            </w:pPr>
          </w:p>
        </w:tc>
        <w:tc>
          <w:tcPr>
            <w:tcW w:w="9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(2)</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Self-developed software expenditures</w:t>
            </w:r>
          </w:p>
        </w:tc>
        <w:tc>
          <w:tcPr>
            <w:tcW w:w="14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w:t>
            </w:r>
          </w:p>
        </w:tc>
        <w:tc>
          <w:tcPr>
            <w:tcW w:w="820" w:type="dxa"/>
            <w:vAlign w:val="bottom"/>
          </w:tcPr>
          <w:p>
            <w:pPr>
              <w:spacing w:after="0"/>
              <w:rPr>
                <w:sz w:val="15"/>
                <w:szCs w:val="15"/>
                <w:color w:val="auto"/>
              </w:rPr>
            </w:pPr>
          </w:p>
        </w:tc>
        <w:tc>
          <w:tcPr>
            <w:tcW w:w="9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(2)</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Variable interest entity</w:t>
            </w:r>
          </w:p>
        </w:tc>
        <w:tc>
          <w:tcPr>
            <w:tcW w:w="14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Impact of change in income tax law</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6220" w:type="dxa"/>
            <w:vAlign w:val="bottom"/>
            <w:gridSpan w:val="2"/>
          </w:tcPr>
          <w:p>
            <w:pPr>
              <w:spacing w:after="0"/>
              <w:rPr>
                <w:sz w:val="20"/>
                <w:szCs w:val="20"/>
                <w:color w:val="auto"/>
              </w:rPr>
            </w:pPr>
            <w:r>
              <w:rPr>
                <w:rFonts w:ascii="Arial" w:cs="Arial" w:eastAsia="Arial" w:hAnsi="Arial"/>
                <w:sz w:val="16"/>
                <w:szCs w:val="16"/>
                <w:color w:val="auto"/>
              </w:rPr>
              <w:t>Other, net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20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Effective income tax rate</w:t>
            </w:r>
          </w:p>
        </w:tc>
        <w:tc>
          <w:tcPr>
            <w:tcW w:w="144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34</w:t>
            </w:r>
          </w:p>
        </w:tc>
        <w:tc>
          <w:tcPr>
            <w:tcW w:w="82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33</w:t>
            </w:r>
          </w:p>
        </w:tc>
        <w:tc>
          <w:tcPr>
            <w:tcW w:w="84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20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U.S. federal statutory income tax rate</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35</w:t>
            </w:r>
          </w:p>
        </w:tc>
        <w:tc>
          <w:tcPr>
            <w:tcW w:w="82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35</w:t>
            </w:r>
          </w:p>
        </w:tc>
        <w:tc>
          <w:tcPr>
            <w:tcW w:w="84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35</w:t>
            </w:r>
          </w:p>
        </w:tc>
        <w:tc>
          <w:tcPr>
            <w:tcW w:w="3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Depreciation</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6</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State income taxes, net of federal income tax benefit</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Self-developed software expenditures</w:t>
            </w:r>
          </w:p>
        </w:tc>
        <w:tc>
          <w:tcPr>
            <w:tcW w:w="14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(7)</w:t>
            </w:r>
          </w:p>
        </w:tc>
        <w:tc>
          <w:tcPr>
            <w:tcW w:w="820" w:type="dxa"/>
            <w:vAlign w:val="bottom"/>
          </w:tcPr>
          <w:p>
            <w:pPr>
              <w:spacing w:after="0"/>
              <w:rPr>
                <w:sz w:val="15"/>
                <w:szCs w:val="15"/>
                <w:color w:val="auto"/>
              </w:rPr>
            </w:pPr>
          </w:p>
        </w:tc>
        <w:tc>
          <w:tcPr>
            <w:tcW w:w="9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(6)</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14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(2)</w:t>
            </w:r>
          </w:p>
        </w:tc>
        <w:tc>
          <w:tcPr>
            <w:tcW w:w="820" w:type="dxa"/>
            <w:vAlign w:val="bottom"/>
          </w:tcPr>
          <w:p>
            <w:pPr>
              <w:spacing w:after="0"/>
              <w:rPr>
                <w:sz w:val="15"/>
                <w:szCs w:val="15"/>
                <w:color w:val="auto"/>
              </w:rPr>
            </w:pPr>
          </w:p>
        </w:tc>
        <w:tc>
          <w:tcPr>
            <w:tcW w:w="9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w:t>
            </w:r>
          </w:p>
        </w:tc>
        <w:tc>
          <w:tcPr>
            <w:tcW w:w="84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Impact of change in income tax law</w:t>
            </w:r>
          </w:p>
        </w:tc>
        <w:tc>
          <w:tcPr>
            <w:tcW w:w="1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9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w:t>
            </w:r>
          </w:p>
        </w:tc>
        <w:tc>
          <w:tcPr>
            <w:tcW w:w="84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6220" w:type="dxa"/>
            <w:vAlign w:val="bottom"/>
            <w:gridSpan w:val="2"/>
          </w:tcPr>
          <w:p>
            <w:pPr>
              <w:spacing w:after="0"/>
              <w:rPr>
                <w:sz w:val="20"/>
                <w:szCs w:val="20"/>
                <w:color w:val="auto"/>
              </w:rPr>
            </w:pPr>
            <w:r>
              <w:rPr>
                <w:rFonts w:ascii="Arial" w:cs="Arial" w:eastAsia="Arial" w:hAnsi="Arial"/>
                <w:sz w:val="16"/>
                <w:szCs w:val="16"/>
                <w:color w:val="auto"/>
              </w:rPr>
              <w:t>Other, net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20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Effective income tax rate</w:t>
            </w:r>
          </w:p>
        </w:tc>
        <w:tc>
          <w:tcPr>
            <w:tcW w:w="144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33</w:t>
            </w:r>
          </w:p>
        </w:tc>
        <w:tc>
          <w:tcPr>
            <w:tcW w:w="82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38</w:t>
            </w:r>
          </w:p>
        </w:tc>
        <w:tc>
          <w:tcPr>
            <w:tcW w:w="84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34</w:t>
            </w:r>
          </w:p>
        </w:tc>
        <w:tc>
          <w:tcPr>
            <w:tcW w:w="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taxes are not recorded to deferred income tax expense, but rather to a regulatory asset or liability. As a result, changes in the relative size of these items compared to pretax income, from period to period, can cause variations in the effective income tax rate. The following items are subject to flow-through treatment:</w:t>
      </w:r>
    </w:p>
    <w:p>
      <w:pPr>
        <w:spacing w:after="0" w:line="217" w:lineRule="exact"/>
        <w:rPr>
          <w:sz w:val="20"/>
          <w:szCs w:val="20"/>
          <w:color w:val="auto"/>
        </w:rPr>
      </w:pPr>
    </w:p>
    <w:p>
      <w:pPr>
        <w:ind w:left="340" w:hanging="188"/>
        <w:spacing w:after="0"/>
        <w:tabs>
          <w:tab w:leader="none" w:pos="3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self-developed software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assets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geographic components of Income Before Income Taxes and Equity Earnings of Certain Unconsolidated Subsidiaries at Sempra Energy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color w:val="auto"/>
              </w:rPr>
              <w:t>Years ended December 31,</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9"/>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spacing w:after="0"/>
              <w:rPr>
                <w:sz w:val="14"/>
                <w:szCs w:val="14"/>
                <w:color w:val="auto"/>
              </w:rPr>
            </w:pPr>
          </w:p>
        </w:tc>
        <w:tc>
          <w:tcPr>
            <w:tcW w:w="1220" w:type="dxa"/>
            <w:vAlign w:val="bottom"/>
          </w:tcPr>
          <w:p>
            <w:pPr>
              <w:jc w:val="right"/>
              <w:ind w:right="641"/>
              <w:spacing w:after="0"/>
              <w:rPr>
                <w:sz w:val="20"/>
                <w:szCs w:val="20"/>
                <w:color w:val="auto"/>
              </w:rPr>
            </w:pPr>
            <w:r>
              <w:rPr>
                <w:rFonts w:ascii="Arial" w:cs="Arial" w:eastAsia="Arial" w:hAnsi="Arial"/>
                <w:sz w:val="14"/>
                <w:szCs w:val="14"/>
                <w:color w:val="auto"/>
              </w:rPr>
              <w:t>2011</w:t>
            </w:r>
          </w:p>
        </w:tc>
        <w:tc>
          <w:tcPr>
            <w:tcW w:w="540" w:type="dxa"/>
            <w:vAlign w:val="bottom"/>
          </w:tcPr>
          <w:p>
            <w:pPr>
              <w:spacing w:after="0"/>
              <w:rPr>
                <w:sz w:val="14"/>
                <w:szCs w:val="14"/>
                <w:color w:val="auto"/>
              </w:rPr>
            </w:pPr>
          </w:p>
        </w:tc>
        <w:tc>
          <w:tcPr>
            <w:tcW w:w="1360" w:type="dxa"/>
            <w:vAlign w:val="bottom"/>
          </w:tcPr>
          <w:p>
            <w:pPr>
              <w:jc w:val="right"/>
              <w:ind w:right="761"/>
              <w:spacing w:after="0"/>
              <w:rPr>
                <w:sz w:val="20"/>
                <w:szCs w:val="20"/>
                <w:color w:val="auto"/>
              </w:rPr>
            </w:pPr>
            <w:r>
              <w:rPr>
                <w:rFonts w:ascii="Arial" w:cs="Arial" w:eastAsia="Arial" w:hAnsi="Arial"/>
                <w:sz w:val="14"/>
                <w:szCs w:val="14"/>
                <w:color w:val="auto"/>
              </w:rPr>
              <w:t>2010</w:t>
            </w:r>
          </w:p>
        </w:tc>
        <w:tc>
          <w:tcPr>
            <w:tcW w:w="400" w:type="dxa"/>
            <w:vAlign w:val="bottom"/>
          </w:tcPr>
          <w:p>
            <w:pPr>
              <w:spacing w:after="0"/>
              <w:rPr>
                <w:sz w:val="14"/>
                <w:szCs w:val="14"/>
                <w:color w:val="auto"/>
              </w:rPr>
            </w:pPr>
          </w:p>
        </w:tc>
        <w:tc>
          <w:tcPr>
            <w:tcW w:w="1260" w:type="dxa"/>
            <w:vAlign w:val="bottom"/>
          </w:tcPr>
          <w:p>
            <w:pPr>
              <w:jc w:val="right"/>
              <w:ind w:right="66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10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U.S.</w:t>
            </w:r>
          </w:p>
        </w:tc>
        <w:tc>
          <w:tcPr>
            <w:tcW w:w="520" w:type="dxa"/>
            <w:vAlign w:val="bottom"/>
            <w:tcBorders>
              <w:top w:val="single" w:sz="8" w:color="auto"/>
            </w:tcBorders>
          </w:tcPr>
          <w:p>
            <w:pPr>
              <w:jc w:val="right"/>
              <w:ind w:right="119"/>
              <w:spacing w:after="0" w:line="164" w:lineRule="exact"/>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1,009</w:t>
            </w:r>
          </w:p>
        </w:tc>
        <w:tc>
          <w:tcPr>
            <w:tcW w:w="540" w:type="dxa"/>
            <w:vAlign w:val="bottom"/>
            <w:tcBorders>
              <w:top w:val="single" w:sz="8" w:color="auto"/>
            </w:tcBorders>
          </w:tcPr>
          <w:p>
            <w:pPr>
              <w:jc w:val="right"/>
              <w:ind w:right="122"/>
              <w:spacing w:after="0" w:line="164" w:lineRule="exact"/>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81"/>
              <w:spacing w:after="0" w:line="164" w:lineRule="exact"/>
              <w:rPr>
                <w:sz w:val="20"/>
                <w:szCs w:val="20"/>
                <w:color w:val="auto"/>
              </w:rPr>
            </w:pPr>
            <w:r>
              <w:rPr>
                <w:rFonts w:ascii="Arial" w:cs="Arial" w:eastAsia="Arial" w:hAnsi="Arial"/>
                <w:sz w:val="16"/>
                <w:szCs w:val="16"/>
                <w:color w:val="auto"/>
              </w:rPr>
              <w:t>447</w:t>
            </w:r>
          </w:p>
        </w:tc>
        <w:tc>
          <w:tcPr>
            <w:tcW w:w="400" w:type="dxa"/>
            <w:vAlign w:val="bottom"/>
            <w:tcBorders>
              <w:top w:val="single" w:sz="8" w:color="auto"/>
            </w:tcBorders>
          </w:tcPr>
          <w:p>
            <w:pPr>
              <w:jc w:val="right"/>
              <w:ind w:right="139"/>
              <w:spacing w:after="0" w:line="164"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1,007</w:t>
            </w:r>
          </w:p>
        </w:tc>
      </w:tr>
      <w:tr>
        <w:trPr>
          <w:trHeight w:val="194"/>
        </w:trPr>
        <w:tc>
          <w:tcPr>
            <w:tcW w:w="6120" w:type="dxa"/>
            <w:vAlign w:val="bottom"/>
            <w:gridSpan w:val="2"/>
          </w:tcPr>
          <w:p>
            <w:pPr>
              <w:spacing w:after="0"/>
              <w:rPr>
                <w:sz w:val="20"/>
                <w:szCs w:val="20"/>
                <w:color w:val="auto"/>
              </w:rPr>
            </w:pPr>
            <w:r>
              <w:rPr>
                <w:rFonts w:ascii="Arial" w:cs="Arial" w:eastAsia="Arial" w:hAnsi="Arial"/>
                <w:sz w:val="16"/>
                <w:szCs w:val="16"/>
                <w:color w:val="auto"/>
              </w:rPr>
              <w:t>Non-U.S.</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339</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176"/>
        </w:trPr>
        <w:tc>
          <w:tcPr>
            <w:tcW w:w="612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5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1,721</w:t>
            </w:r>
          </w:p>
        </w:tc>
        <w:tc>
          <w:tcPr>
            <w:tcW w:w="540" w:type="dxa"/>
            <w:vAlign w:val="bottom"/>
          </w:tcPr>
          <w:p>
            <w:pPr>
              <w:jc w:val="right"/>
              <w:ind w:right="122"/>
              <w:spacing w:after="0" w:line="176"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81"/>
              <w:spacing w:after="0" w:line="176" w:lineRule="exact"/>
              <w:rPr>
                <w:sz w:val="20"/>
                <w:szCs w:val="20"/>
                <w:color w:val="auto"/>
              </w:rPr>
            </w:pPr>
            <w:r>
              <w:rPr>
                <w:rFonts w:ascii="Arial" w:cs="Arial" w:eastAsia="Arial" w:hAnsi="Arial"/>
                <w:sz w:val="16"/>
                <w:szCs w:val="16"/>
                <w:color w:val="auto"/>
              </w:rPr>
              <w:t>786</w:t>
            </w:r>
          </w:p>
        </w:tc>
        <w:tc>
          <w:tcPr>
            <w:tcW w:w="4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1,476</w:t>
            </w:r>
          </w:p>
        </w:tc>
      </w:tr>
      <w:tr>
        <w:trPr>
          <w:trHeight w:val="27"/>
        </w:trPr>
        <w:tc>
          <w:tcPr>
            <w:tcW w:w="20" w:type="dxa"/>
            <w:vAlign w:val="bottom"/>
          </w:tcPr>
          <w:p>
            <w:pPr>
              <w:spacing w:after="0"/>
              <w:rPr>
                <w:sz w:val="2"/>
                <w:szCs w:val="2"/>
                <w:color w:val="auto"/>
              </w:rPr>
            </w:pPr>
          </w:p>
        </w:tc>
        <w:tc>
          <w:tcPr>
            <w:tcW w:w="6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59"/>
              <w:spacing w:after="0" w:line="159" w:lineRule="exact"/>
              <w:rPr>
                <w:sz w:val="20"/>
                <w:szCs w:val="20"/>
                <w:color w:val="auto"/>
              </w:rPr>
            </w:pPr>
            <w:r>
              <w:rPr>
                <w:rFonts w:ascii="Arial" w:cs="Arial" w:eastAsia="Arial" w:hAnsi="Arial"/>
                <w:sz w:val="14"/>
                <w:szCs w:val="14"/>
                <w:color w:val="auto"/>
              </w:rPr>
              <w:t>Years ended December 31,</w:t>
            </w: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8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586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1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60"/>
              <w:spacing w:after="0" w:line="176" w:lineRule="exact"/>
              <w:rPr>
                <w:sz w:val="20"/>
                <w:szCs w:val="20"/>
                <w:color w:val="auto"/>
              </w:rPr>
            </w:pPr>
            <w:r>
              <w:rPr>
                <w:rFonts w:ascii="Arial" w:cs="Arial" w:eastAsia="Arial" w:hAnsi="Arial"/>
                <w:sz w:val="16"/>
                <w:szCs w:val="16"/>
                <w:color w:val="auto"/>
              </w:rPr>
              <w:t>U.S. Federal</w:t>
            </w:r>
          </w:p>
        </w:tc>
        <w:tc>
          <w:tcPr>
            <w:tcW w:w="1300" w:type="dxa"/>
            <w:vAlign w:val="bottom"/>
          </w:tcPr>
          <w:p>
            <w:pPr>
              <w:jc w:val="right"/>
              <w:ind w:right="761"/>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580" w:type="dxa"/>
            <w:vAlign w:val="bottom"/>
          </w:tcPr>
          <w:p>
            <w:pPr>
              <w:jc w:val="right"/>
              <w:ind w:right="61"/>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27</w:t>
            </w:r>
          </w:p>
        </w:tc>
        <w:tc>
          <w:tcPr>
            <w:tcW w:w="4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39</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60"/>
              <w:spacing w:after="0" w:line="176" w:lineRule="exact"/>
              <w:rPr>
                <w:sz w:val="20"/>
                <w:szCs w:val="20"/>
                <w:color w:val="auto"/>
              </w:rPr>
            </w:pPr>
            <w:r>
              <w:rPr>
                <w:rFonts w:ascii="Arial" w:cs="Arial" w:eastAsia="Arial" w:hAnsi="Arial"/>
                <w:sz w:val="16"/>
                <w:szCs w:val="16"/>
                <w:color w:val="auto"/>
              </w:rPr>
              <w:t>U.S. State</w:t>
            </w:r>
          </w:p>
        </w:tc>
        <w:tc>
          <w:tcPr>
            <w:tcW w:w="13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580" w:type="dxa"/>
            <w:vAlign w:val="bottom"/>
          </w:tcPr>
          <w:p>
            <w:pPr>
              <w:spacing w:after="0"/>
              <w:rPr>
                <w:sz w:val="15"/>
                <w:szCs w:val="15"/>
                <w:color w:val="auto"/>
              </w:rPr>
            </w:pPr>
          </w:p>
        </w:tc>
        <w:tc>
          <w:tcPr>
            <w:tcW w:w="14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w:t>
            </w:r>
          </w:p>
        </w:tc>
        <w:tc>
          <w:tcPr>
            <w:tcW w:w="42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840" w:type="dxa"/>
            <w:vAlign w:val="bottom"/>
          </w:tcPr>
          <w:p>
            <w:pPr>
              <w:ind w:left="160"/>
              <w:spacing w:after="0"/>
              <w:rPr>
                <w:sz w:val="20"/>
                <w:szCs w:val="20"/>
                <w:color w:val="auto"/>
              </w:rPr>
            </w:pPr>
            <w:r>
              <w:rPr>
                <w:rFonts w:ascii="Arial" w:cs="Arial" w:eastAsia="Arial" w:hAnsi="Arial"/>
                <w:sz w:val="16"/>
                <w:szCs w:val="16"/>
                <w:color w:val="auto"/>
              </w:rPr>
              <w:t>Non-U.S.</w:t>
            </w:r>
          </w:p>
        </w:tc>
        <w:tc>
          <w:tcPr>
            <w:tcW w:w="1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5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840" w:type="dxa"/>
            <w:vAlign w:val="bottom"/>
          </w:tcPr>
          <w:p>
            <w:pPr>
              <w:ind w:left="340"/>
              <w:spacing w:after="0" w:line="176" w:lineRule="exact"/>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221</w:t>
            </w: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54</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127</w:t>
            </w:r>
          </w:p>
        </w:tc>
        <w:tc>
          <w:tcPr>
            <w:tcW w:w="20" w:type="dxa"/>
            <w:vAlign w:val="bottom"/>
          </w:tcPr>
          <w:p>
            <w:pPr>
              <w:spacing w:after="0"/>
              <w:rPr>
                <w:sz w:val="15"/>
                <w:szCs w:val="15"/>
                <w:color w:val="auto"/>
              </w:rPr>
            </w:pPr>
          </w:p>
        </w:tc>
      </w:tr>
      <w:tr>
        <w:trPr>
          <w:trHeight w:val="164"/>
        </w:trPr>
        <w:tc>
          <w:tcPr>
            <w:tcW w:w="5860" w:type="dxa"/>
            <w:vAlign w:val="bottom"/>
            <w:gridSpan w:val="2"/>
          </w:tcPr>
          <w:p>
            <w:pPr>
              <w:spacing w:after="0" w:line="164" w:lineRule="exact"/>
              <w:rPr>
                <w:sz w:val="20"/>
                <w:szCs w:val="20"/>
                <w:color w:val="auto"/>
              </w:rPr>
            </w:pPr>
            <w:r>
              <w:rPr>
                <w:rFonts w:ascii="Arial" w:cs="Arial" w:eastAsia="Arial" w:hAnsi="Arial"/>
                <w:sz w:val="16"/>
                <w:szCs w:val="16"/>
                <w:color w:val="auto"/>
              </w:rPr>
              <w:t>Deferred:</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60"/>
              <w:spacing w:after="0" w:line="176" w:lineRule="exact"/>
              <w:rPr>
                <w:sz w:val="20"/>
                <w:szCs w:val="20"/>
                <w:color w:val="auto"/>
              </w:rPr>
            </w:pPr>
            <w:r>
              <w:rPr>
                <w:rFonts w:ascii="Arial" w:cs="Arial" w:eastAsia="Arial" w:hAnsi="Arial"/>
                <w:sz w:val="16"/>
                <w:szCs w:val="16"/>
                <w:color w:val="auto"/>
              </w:rPr>
              <w:t>U.S. Federal</w:t>
            </w:r>
          </w:p>
        </w:tc>
        <w:tc>
          <w:tcPr>
            <w:tcW w:w="13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146</w:t>
            </w:r>
          </w:p>
        </w:tc>
        <w:tc>
          <w:tcPr>
            <w:tcW w:w="580" w:type="dxa"/>
            <w:vAlign w:val="bottom"/>
          </w:tcPr>
          <w:p>
            <w:pPr>
              <w:spacing w:after="0"/>
              <w:rPr>
                <w:sz w:val="15"/>
                <w:szCs w:val="15"/>
                <w:color w:val="auto"/>
              </w:rPr>
            </w:pPr>
          </w:p>
        </w:tc>
        <w:tc>
          <w:tcPr>
            <w:tcW w:w="14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(11)</w:t>
            </w:r>
          </w:p>
        </w:tc>
        <w:tc>
          <w:tcPr>
            <w:tcW w:w="42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216</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60"/>
              <w:spacing w:after="0" w:line="176" w:lineRule="exact"/>
              <w:rPr>
                <w:sz w:val="20"/>
                <w:szCs w:val="20"/>
                <w:color w:val="auto"/>
              </w:rPr>
            </w:pPr>
            <w:r>
              <w:rPr>
                <w:rFonts w:ascii="Arial" w:cs="Arial" w:eastAsia="Arial" w:hAnsi="Arial"/>
                <w:sz w:val="16"/>
                <w:szCs w:val="16"/>
                <w:color w:val="auto"/>
              </w:rPr>
              <w:t>U.S. State</w:t>
            </w:r>
          </w:p>
        </w:tc>
        <w:tc>
          <w:tcPr>
            <w:tcW w:w="13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580" w:type="dxa"/>
            <w:vAlign w:val="bottom"/>
          </w:tcPr>
          <w:p>
            <w:pPr>
              <w:spacing w:after="0"/>
              <w:rPr>
                <w:sz w:val="15"/>
                <w:szCs w:val="15"/>
                <w:color w:val="auto"/>
              </w:rPr>
            </w:pPr>
          </w:p>
        </w:tc>
        <w:tc>
          <w:tcPr>
            <w:tcW w:w="14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36</w:t>
            </w:r>
          </w:p>
        </w:tc>
        <w:tc>
          <w:tcPr>
            <w:tcW w:w="42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840" w:type="dxa"/>
            <w:vAlign w:val="bottom"/>
          </w:tcPr>
          <w:p>
            <w:pPr>
              <w:ind w:left="160"/>
              <w:spacing w:after="0"/>
              <w:rPr>
                <w:sz w:val="20"/>
                <w:szCs w:val="20"/>
                <w:color w:val="auto"/>
              </w:rPr>
            </w:pPr>
            <w:r>
              <w:rPr>
                <w:rFonts w:ascii="Arial" w:cs="Arial" w:eastAsia="Arial" w:hAnsi="Arial"/>
                <w:sz w:val="16"/>
                <w:szCs w:val="16"/>
                <w:color w:val="auto"/>
              </w:rPr>
              <w:t>Non-U.S.</w:t>
            </w:r>
          </w:p>
        </w:tc>
        <w:tc>
          <w:tcPr>
            <w:tcW w:w="1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5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840" w:type="dxa"/>
            <w:vAlign w:val="bottom"/>
          </w:tcPr>
          <w:p>
            <w:pPr>
              <w:ind w:left="340"/>
              <w:spacing w:after="0" w:line="176" w:lineRule="exact"/>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147</w:t>
            </w: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52</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298</w:t>
            </w:r>
          </w:p>
        </w:tc>
        <w:tc>
          <w:tcPr>
            <w:tcW w:w="20" w:type="dxa"/>
            <w:vAlign w:val="bottom"/>
          </w:tcPr>
          <w:p>
            <w:pPr>
              <w:spacing w:after="0"/>
              <w:rPr>
                <w:sz w:val="15"/>
                <w:szCs w:val="15"/>
                <w:color w:val="auto"/>
              </w:rPr>
            </w:pPr>
          </w:p>
        </w:tc>
      </w:tr>
      <w:tr>
        <w:trPr>
          <w:trHeight w:val="183"/>
        </w:trPr>
        <w:tc>
          <w:tcPr>
            <w:tcW w:w="5860" w:type="dxa"/>
            <w:vAlign w:val="bottom"/>
            <w:gridSpan w:val="2"/>
          </w:tcPr>
          <w:p>
            <w:pPr>
              <w:spacing w:after="0" w:line="176" w:lineRule="exact"/>
              <w:rPr>
                <w:sz w:val="20"/>
                <w:szCs w:val="20"/>
                <w:color w:val="auto"/>
              </w:rPr>
            </w:pPr>
            <w:r>
              <w:rPr>
                <w:rFonts w:ascii="Arial" w:cs="Arial" w:eastAsia="Arial" w:hAnsi="Arial"/>
                <w:sz w:val="16"/>
                <w:szCs w:val="16"/>
                <w:color w:val="auto"/>
              </w:rPr>
              <w:t>Deferred investment tax credits</w:t>
            </w:r>
          </w:p>
        </w:tc>
        <w:tc>
          <w:tcPr>
            <w:tcW w:w="1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(4)</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income tax expense</w:t>
            </w:r>
          </w:p>
        </w:tc>
        <w:tc>
          <w:tcPr>
            <w:tcW w:w="1300" w:type="dxa"/>
            <w:vAlign w:val="bottom"/>
            <w:tcBorders>
              <w:bottom w:val="single" w:sz="8" w:color="auto"/>
            </w:tcBorders>
          </w:tcPr>
          <w:p>
            <w:pPr>
              <w:jc w:val="right"/>
              <w:ind w:right="761"/>
              <w:spacing w:after="0" w:line="176"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366</w:t>
            </w:r>
          </w:p>
        </w:tc>
        <w:tc>
          <w:tcPr>
            <w:tcW w:w="580" w:type="dxa"/>
            <w:vAlign w:val="bottom"/>
            <w:tcBorders>
              <w:bottom w:val="single" w:sz="8" w:color="auto"/>
            </w:tcBorders>
          </w:tcPr>
          <w:p>
            <w:pPr>
              <w:jc w:val="right"/>
              <w:ind w:right="61"/>
              <w:spacing w:after="0" w:line="176"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102</w:t>
            </w:r>
          </w:p>
        </w:tc>
        <w:tc>
          <w:tcPr>
            <w:tcW w:w="4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422</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84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586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1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60"/>
              <w:spacing w:after="0" w:line="176" w:lineRule="exact"/>
              <w:rPr>
                <w:sz w:val="20"/>
                <w:szCs w:val="20"/>
                <w:color w:val="auto"/>
              </w:rPr>
            </w:pPr>
            <w:r>
              <w:rPr>
                <w:rFonts w:ascii="Arial" w:cs="Arial" w:eastAsia="Arial" w:hAnsi="Arial"/>
                <w:sz w:val="16"/>
                <w:szCs w:val="16"/>
                <w:color w:val="auto"/>
              </w:rPr>
              <w:t>U.S. Federal</w:t>
            </w:r>
          </w:p>
        </w:tc>
        <w:tc>
          <w:tcPr>
            <w:tcW w:w="1300" w:type="dxa"/>
            <w:vAlign w:val="bottom"/>
          </w:tcPr>
          <w:p>
            <w:pPr>
              <w:jc w:val="right"/>
              <w:ind w:right="761"/>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580" w:type="dxa"/>
            <w:vAlign w:val="bottom"/>
          </w:tcPr>
          <w:p>
            <w:pPr>
              <w:jc w:val="right"/>
              <w:ind w:right="61"/>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69</w:t>
            </w:r>
          </w:p>
        </w:tc>
        <w:tc>
          <w:tcPr>
            <w:tcW w:w="4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840" w:type="dxa"/>
            <w:vAlign w:val="bottom"/>
          </w:tcPr>
          <w:p>
            <w:pPr>
              <w:ind w:left="160"/>
              <w:spacing w:after="0"/>
              <w:rPr>
                <w:sz w:val="20"/>
                <w:szCs w:val="20"/>
                <w:color w:val="auto"/>
              </w:rPr>
            </w:pPr>
            <w:r>
              <w:rPr>
                <w:rFonts w:ascii="Arial" w:cs="Arial" w:eastAsia="Arial" w:hAnsi="Arial"/>
                <w:sz w:val="16"/>
                <w:szCs w:val="16"/>
                <w:color w:val="auto"/>
              </w:rPr>
              <w:t>U.S. State</w:t>
            </w:r>
          </w:p>
        </w:tc>
        <w:tc>
          <w:tcPr>
            <w:tcW w:w="1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52</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840" w:type="dxa"/>
            <w:vAlign w:val="bottom"/>
          </w:tcPr>
          <w:p>
            <w:pPr>
              <w:ind w:left="340"/>
              <w:spacing w:after="0" w:line="176" w:lineRule="exact"/>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w:t>
            </w: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121</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104</w:t>
            </w:r>
          </w:p>
        </w:tc>
        <w:tc>
          <w:tcPr>
            <w:tcW w:w="20" w:type="dxa"/>
            <w:vAlign w:val="bottom"/>
          </w:tcPr>
          <w:p>
            <w:pPr>
              <w:spacing w:after="0"/>
              <w:rPr>
                <w:sz w:val="15"/>
                <w:szCs w:val="15"/>
                <w:color w:val="auto"/>
              </w:rPr>
            </w:pPr>
          </w:p>
        </w:tc>
      </w:tr>
      <w:tr>
        <w:trPr>
          <w:trHeight w:val="164"/>
        </w:trPr>
        <w:tc>
          <w:tcPr>
            <w:tcW w:w="5860" w:type="dxa"/>
            <w:vAlign w:val="bottom"/>
            <w:gridSpan w:val="2"/>
          </w:tcPr>
          <w:p>
            <w:pPr>
              <w:spacing w:after="0" w:line="164" w:lineRule="exact"/>
              <w:rPr>
                <w:sz w:val="20"/>
                <w:szCs w:val="20"/>
                <w:color w:val="auto"/>
              </w:rPr>
            </w:pPr>
            <w:r>
              <w:rPr>
                <w:rFonts w:ascii="Arial" w:cs="Arial" w:eastAsia="Arial" w:hAnsi="Arial"/>
                <w:sz w:val="16"/>
                <w:szCs w:val="16"/>
                <w:color w:val="auto"/>
              </w:rPr>
              <w:t>Deferred:</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60"/>
              <w:spacing w:after="0" w:line="176" w:lineRule="exact"/>
              <w:rPr>
                <w:sz w:val="20"/>
                <w:szCs w:val="20"/>
                <w:color w:val="auto"/>
              </w:rPr>
            </w:pPr>
            <w:r>
              <w:rPr>
                <w:rFonts w:ascii="Arial" w:cs="Arial" w:eastAsia="Arial" w:hAnsi="Arial"/>
                <w:sz w:val="16"/>
                <w:szCs w:val="16"/>
                <w:color w:val="auto"/>
              </w:rPr>
              <w:t>U.S. Federal</w:t>
            </w:r>
          </w:p>
        </w:tc>
        <w:tc>
          <w:tcPr>
            <w:tcW w:w="13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253</w:t>
            </w:r>
          </w:p>
        </w:tc>
        <w:tc>
          <w:tcPr>
            <w:tcW w:w="580" w:type="dxa"/>
            <w:vAlign w:val="bottom"/>
          </w:tcPr>
          <w:p>
            <w:pPr>
              <w:spacing w:after="0"/>
              <w:rPr>
                <w:sz w:val="15"/>
                <w:szCs w:val="15"/>
                <w:color w:val="auto"/>
              </w:rPr>
            </w:pPr>
          </w:p>
        </w:tc>
        <w:tc>
          <w:tcPr>
            <w:tcW w:w="14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75</w:t>
            </w:r>
          </w:p>
        </w:tc>
        <w:tc>
          <w:tcPr>
            <w:tcW w:w="42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840" w:type="dxa"/>
            <w:vAlign w:val="bottom"/>
          </w:tcPr>
          <w:p>
            <w:pPr>
              <w:ind w:left="160"/>
              <w:spacing w:after="0"/>
              <w:rPr>
                <w:sz w:val="20"/>
                <w:szCs w:val="20"/>
                <w:color w:val="auto"/>
              </w:rPr>
            </w:pPr>
            <w:r>
              <w:rPr>
                <w:rFonts w:ascii="Arial" w:cs="Arial" w:eastAsia="Arial" w:hAnsi="Arial"/>
                <w:sz w:val="16"/>
                <w:szCs w:val="16"/>
                <w:color w:val="auto"/>
              </w:rPr>
              <w:t>U.S. State</w:t>
            </w:r>
          </w:p>
        </w:tc>
        <w:tc>
          <w:tcPr>
            <w:tcW w:w="1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c>
          <w:tcPr>
            <w:tcW w:w="580" w:type="dxa"/>
            <w:vAlign w:val="bottom"/>
          </w:tcPr>
          <w:p>
            <w:pPr>
              <w:spacing w:after="0"/>
              <w:rPr>
                <w:sz w:val="16"/>
                <w:szCs w:val="16"/>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183"/>
        </w:trPr>
        <w:tc>
          <w:tcPr>
            <w:tcW w:w="20" w:type="dxa"/>
            <w:vAlign w:val="bottom"/>
          </w:tcPr>
          <w:p>
            <w:pPr>
              <w:spacing w:after="0"/>
              <w:rPr>
                <w:sz w:val="15"/>
                <w:szCs w:val="15"/>
                <w:color w:val="auto"/>
              </w:rPr>
            </w:pPr>
          </w:p>
        </w:tc>
        <w:tc>
          <w:tcPr>
            <w:tcW w:w="5840" w:type="dxa"/>
            <w:vAlign w:val="bottom"/>
          </w:tcPr>
          <w:p>
            <w:pPr>
              <w:ind w:left="340"/>
              <w:spacing w:after="0" w:line="176" w:lineRule="exact"/>
              <w:rPr>
                <w:sz w:val="20"/>
                <w:szCs w:val="20"/>
                <w:color w:val="auto"/>
              </w:rPr>
            </w:pPr>
            <w:r>
              <w:rPr>
                <w:rFonts w:ascii="Arial" w:cs="Arial" w:eastAsia="Arial" w:hAnsi="Arial"/>
                <w:sz w:val="16"/>
                <w:szCs w:val="16"/>
                <w:color w:val="auto"/>
              </w:rPr>
              <w:t>Total</w:t>
            </w:r>
          </w:p>
        </w:tc>
        <w:tc>
          <w:tcPr>
            <w:tcW w:w="13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289</w:t>
            </w:r>
          </w:p>
        </w:tc>
        <w:tc>
          <w:tcPr>
            <w:tcW w:w="58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54</w:t>
            </w:r>
          </w:p>
        </w:tc>
        <w:tc>
          <w:tcPr>
            <w:tcW w:w="4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73</w:t>
            </w:r>
          </w:p>
        </w:tc>
        <w:tc>
          <w:tcPr>
            <w:tcW w:w="20" w:type="dxa"/>
            <w:vAlign w:val="bottom"/>
          </w:tcPr>
          <w:p>
            <w:pPr>
              <w:spacing w:after="0"/>
              <w:rPr>
                <w:sz w:val="15"/>
                <w:szCs w:val="15"/>
                <w:color w:val="auto"/>
              </w:rPr>
            </w:pPr>
          </w:p>
        </w:tc>
      </w:tr>
      <w:tr>
        <w:trPr>
          <w:trHeight w:val="183"/>
        </w:trPr>
        <w:tc>
          <w:tcPr>
            <w:tcW w:w="5860" w:type="dxa"/>
            <w:vAlign w:val="bottom"/>
            <w:gridSpan w:val="2"/>
          </w:tcPr>
          <w:p>
            <w:pPr>
              <w:spacing w:after="0" w:line="176" w:lineRule="exact"/>
              <w:rPr>
                <w:sz w:val="20"/>
                <w:szCs w:val="20"/>
                <w:color w:val="auto"/>
              </w:rPr>
            </w:pPr>
            <w:r>
              <w:rPr>
                <w:rFonts w:ascii="Arial" w:cs="Arial" w:eastAsia="Arial" w:hAnsi="Arial"/>
                <w:sz w:val="16"/>
                <w:szCs w:val="16"/>
                <w:color w:val="auto"/>
              </w:rPr>
              <w:t>Deferred investment tax credits</w:t>
            </w:r>
          </w:p>
        </w:tc>
        <w:tc>
          <w:tcPr>
            <w:tcW w:w="1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5840" w:type="dxa"/>
            <w:vAlign w:val="bottom"/>
          </w:tcPr>
          <w:p>
            <w:pPr>
              <w:ind w:left="340"/>
              <w:spacing w:after="0"/>
              <w:rPr>
                <w:sz w:val="20"/>
                <w:szCs w:val="20"/>
                <w:color w:val="auto"/>
              </w:rPr>
            </w:pPr>
            <w:r>
              <w:rPr>
                <w:rFonts w:ascii="Arial" w:cs="Arial" w:eastAsia="Arial" w:hAnsi="Arial"/>
                <w:sz w:val="16"/>
                <w:szCs w:val="16"/>
                <w:color w:val="auto"/>
              </w:rPr>
              <w:t>Total income tax expense</w:t>
            </w:r>
          </w:p>
        </w:tc>
        <w:tc>
          <w:tcPr>
            <w:tcW w:w="130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237</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173</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6"/>
                <w:szCs w:val="16"/>
                <w:color w:val="auto"/>
              </w:rPr>
            </w:pPr>
          </w:p>
        </w:tc>
      </w:tr>
    </w:tbl>
    <w:p>
      <w:pPr>
        <w:sectPr>
          <w:pgSz w:w="11900" w:h="16930" w:orient="portrait"/>
          <w:cols w:equalWidth="0" w:num="1">
            <w:col w:w="11420"/>
          </w:cols>
          <w:pgMar w:left="240" w:top="120" w:right="239" w:bottom="0" w:gutter="0" w:footer="0" w:header="0"/>
        </w:sectPr>
      </w:pPr>
    </w:p>
    <w:bookmarkStart w:id="228" w:name="page229"/>
    <w:bookmarkEnd w:id="2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SoCalGas</w:t>
            </w:r>
          </w:p>
        </w:tc>
        <w:tc>
          <w:tcPr>
            <w:tcW w:w="10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6"/>
                <w:szCs w:val="16"/>
                <w:color w:val="auto"/>
              </w:rPr>
              <w:t>Current:</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860" w:type="dxa"/>
            <w:vAlign w:val="bottom"/>
          </w:tcPr>
          <w:p>
            <w:pPr>
              <w:ind w:left="180"/>
              <w:spacing w:after="0" w:line="176" w:lineRule="exact"/>
              <w:rPr>
                <w:sz w:val="20"/>
                <w:szCs w:val="20"/>
                <w:color w:val="auto"/>
              </w:rPr>
            </w:pPr>
            <w:r>
              <w:rPr>
                <w:rFonts w:ascii="Arial" w:cs="Arial" w:eastAsia="Arial" w:hAnsi="Arial"/>
                <w:sz w:val="16"/>
                <w:szCs w:val="16"/>
                <w:color w:val="auto"/>
              </w:rPr>
              <w:t>U.S. Federal</w:t>
            </w:r>
          </w:p>
        </w:tc>
        <w:tc>
          <w:tcPr>
            <w:tcW w:w="100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(6)</w:t>
            </w:r>
          </w:p>
        </w:tc>
        <w:tc>
          <w:tcPr>
            <w:tcW w:w="82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43</w:t>
            </w:r>
          </w:p>
        </w:tc>
        <w:tc>
          <w:tcPr>
            <w:tcW w:w="80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20" w:type="dxa"/>
            <w:vAlign w:val="bottom"/>
          </w:tcPr>
          <w:p>
            <w:pPr>
              <w:spacing w:after="0"/>
              <w:rPr>
                <w:sz w:val="15"/>
                <w:szCs w:val="15"/>
                <w:color w:val="auto"/>
              </w:rPr>
            </w:pPr>
          </w:p>
        </w:tc>
      </w:tr>
      <w:tr>
        <w:trPr>
          <w:trHeight w:val="194"/>
        </w:trPr>
        <w:tc>
          <w:tcPr>
            <w:tcW w:w="5860" w:type="dxa"/>
            <w:vAlign w:val="bottom"/>
          </w:tcPr>
          <w:p>
            <w:pPr>
              <w:ind w:left="180"/>
              <w:spacing w:after="0"/>
              <w:rPr>
                <w:sz w:val="20"/>
                <w:szCs w:val="20"/>
                <w:color w:val="auto"/>
              </w:rPr>
            </w:pPr>
            <w:r>
              <w:rPr>
                <w:rFonts w:ascii="Arial" w:cs="Arial" w:eastAsia="Arial" w:hAnsi="Arial"/>
                <w:sz w:val="16"/>
                <w:szCs w:val="16"/>
                <w:color w:val="auto"/>
              </w:rPr>
              <w:t>U.S. State</w:t>
            </w: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w:t>
            </w:r>
          </w:p>
        </w:tc>
        <w:tc>
          <w:tcPr>
            <w:tcW w:w="8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26</w:t>
            </w:r>
          </w:p>
        </w:tc>
        <w:tc>
          <w:tcPr>
            <w:tcW w:w="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r>
      <w:tr>
        <w:trPr>
          <w:trHeight w:val="183"/>
        </w:trPr>
        <w:tc>
          <w:tcPr>
            <w:tcW w:w="5860" w:type="dxa"/>
            <w:vAlign w:val="bottom"/>
          </w:tcPr>
          <w:p>
            <w:pPr>
              <w:ind w:left="360"/>
              <w:spacing w:after="0" w:line="176" w:lineRule="exact"/>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13</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69</w:t>
            </w:r>
          </w:p>
        </w:tc>
        <w:tc>
          <w:tcPr>
            <w:tcW w:w="8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5"/>
                <w:szCs w:val="15"/>
                <w:color w:val="auto"/>
              </w:rPr>
            </w:pPr>
          </w:p>
        </w:tc>
      </w:tr>
      <w:tr>
        <w:trPr>
          <w:trHeight w:val="164"/>
        </w:trPr>
        <w:tc>
          <w:tcPr>
            <w:tcW w:w="5860" w:type="dxa"/>
            <w:vAlign w:val="bottom"/>
          </w:tcPr>
          <w:p>
            <w:pPr>
              <w:spacing w:after="0" w:line="164" w:lineRule="exact"/>
              <w:rPr>
                <w:sz w:val="20"/>
                <w:szCs w:val="20"/>
                <w:color w:val="auto"/>
              </w:rPr>
            </w:pPr>
            <w:r>
              <w:rPr>
                <w:rFonts w:ascii="Arial" w:cs="Arial" w:eastAsia="Arial" w:hAnsi="Arial"/>
                <w:sz w:val="16"/>
                <w:szCs w:val="16"/>
                <w:color w:val="auto"/>
              </w:rPr>
              <w:t>Deferred:</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5860" w:type="dxa"/>
            <w:vAlign w:val="bottom"/>
          </w:tcPr>
          <w:p>
            <w:pPr>
              <w:ind w:left="180"/>
              <w:spacing w:after="0" w:line="176" w:lineRule="exact"/>
              <w:rPr>
                <w:sz w:val="20"/>
                <w:szCs w:val="20"/>
                <w:color w:val="auto"/>
              </w:rPr>
            </w:pPr>
            <w:r>
              <w:rPr>
                <w:rFonts w:ascii="Arial" w:cs="Arial" w:eastAsia="Arial" w:hAnsi="Arial"/>
                <w:sz w:val="16"/>
                <w:szCs w:val="16"/>
                <w:color w:val="auto"/>
              </w:rPr>
              <w:t>U.S. Federal</w:t>
            </w:r>
          </w:p>
        </w:tc>
        <w:tc>
          <w:tcPr>
            <w:tcW w:w="1000" w:type="dxa"/>
            <w:vAlign w:val="bottom"/>
          </w:tcPr>
          <w:p>
            <w:pPr>
              <w:spacing w:after="0"/>
              <w:rPr>
                <w:sz w:val="15"/>
                <w:szCs w:val="15"/>
                <w:color w:val="auto"/>
              </w:rPr>
            </w:pPr>
          </w:p>
        </w:tc>
        <w:tc>
          <w:tcPr>
            <w:tcW w:w="10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128</w:t>
            </w:r>
          </w:p>
        </w:tc>
        <w:tc>
          <w:tcPr>
            <w:tcW w:w="820" w:type="dxa"/>
            <w:vAlign w:val="bottom"/>
          </w:tcPr>
          <w:p>
            <w:pPr>
              <w:spacing w:after="0"/>
              <w:rPr>
                <w:sz w:val="15"/>
                <w:szCs w:val="15"/>
                <w:color w:val="auto"/>
              </w:rPr>
            </w:pPr>
          </w:p>
        </w:tc>
        <w:tc>
          <w:tcPr>
            <w:tcW w:w="10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108</w:t>
            </w:r>
          </w:p>
        </w:tc>
        <w:tc>
          <w:tcPr>
            <w:tcW w:w="8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20" w:type="dxa"/>
            <w:vAlign w:val="bottom"/>
          </w:tcPr>
          <w:p>
            <w:pPr>
              <w:spacing w:after="0"/>
              <w:rPr>
                <w:sz w:val="15"/>
                <w:szCs w:val="15"/>
                <w:color w:val="auto"/>
              </w:rPr>
            </w:pPr>
          </w:p>
        </w:tc>
      </w:tr>
      <w:tr>
        <w:trPr>
          <w:trHeight w:val="194"/>
        </w:trPr>
        <w:tc>
          <w:tcPr>
            <w:tcW w:w="5860" w:type="dxa"/>
            <w:vAlign w:val="bottom"/>
          </w:tcPr>
          <w:p>
            <w:pPr>
              <w:ind w:left="180"/>
              <w:spacing w:after="0"/>
              <w:rPr>
                <w:sz w:val="20"/>
                <w:szCs w:val="20"/>
                <w:color w:val="auto"/>
              </w:rPr>
            </w:pPr>
            <w:r>
              <w:rPr>
                <w:rFonts w:ascii="Arial" w:cs="Arial" w:eastAsia="Arial" w:hAnsi="Arial"/>
                <w:sz w:val="16"/>
                <w:szCs w:val="16"/>
                <w:color w:val="auto"/>
              </w:rPr>
              <w:t>U.S. State</w:t>
            </w: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8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w:t>
            </w:r>
          </w:p>
        </w:tc>
        <w:tc>
          <w:tcPr>
            <w:tcW w:w="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6"/>
                <w:szCs w:val="16"/>
                <w:color w:val="auto"/>
              </w:rPr>
            </w:pPr>
          </w:p>
        </w:tc>
      </w:tr>
      <w:tr>
        <w:trPr>
          <w:trHeight w:val="183"/>
        </w:trPr>
        <w:tc>
          <w:tcPr>
            <w:tcW w:w="5860" w:type="dxa"/>
            <w:vAlign w:val="bottom"/>
          </w:tcPr>
          <w:p>
            <w:pPr>
              <w:ind w:left="360"/>
              <w:spacing w:after="0" w:line="176" w:lineRule="exact"/>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133</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110</w:t>
            </w:r>
          </w:p>
        </w:tc>
        <w:tc>
          <w:tcPr>
            <w:tcW w:w="8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73</w:t>
            </w:r>
          </w:p>
        </w:tc>
        <w:tc>
          <w:tcPr>
            <w:tcW w:w="20" w:type="dxa"/>
            <w:vAlign w:val="bottom"/>
          </w:tcPr>
          <w:p>
            <w:pPr>
              <w:spacing w:after="0"/>
              <w:rPr>
                <w:sz w:val="15"/>
                <w:szCs w:val="15"/>
                <w:color w:val="auto"/>
              </w:rPr>
            </w:pPr>
          </w:p>
        </w:tc>
      </w:tr>
      <w:tr>
        <w:trPr>
          <w:trHeight w:val="183"/>
        </w:trPr>
        <w:tc>
          <w:tcPr>
            <w:tcW w:w="5860" w:type="dxa"/>
            <w:vAlign w:val="bottom"/>
          </w:tcPr>
          <w:p>
            <w:pPr>
              <w:spacing w:after="0" w:line="176" w:lineRule="exact"/>
              <w:rPr>
                <w:sz w:val="20"/>
                <w:szCs w:val="20"/>
                <w:color w:val="auto"/>
              </w:rPr>
            </w:pPr>
            <w:r>
              <w:rPr>
                <w:rFonts w:ascii="Arial" w:cs="Arial" w:eastAsia="Arial" w:hAnsi="Arial"/>
                <w:sz w:val="16"/>
                <w:szCs w:val="16"/>
                <w:color w:val="auto"/>
              </w:rPr>
              <w:t>Deferred investment tax credits</w:t>
            </w: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(3)</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(3)</w:t>
            </w:r>
          </w:p>
        </w:tc>
        <w:tc>
          <w:tcPr>
            <w:tcW w:w="8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5"/>
                <w:szCs w:val="15"/>
                <w:color w:val="auto"/>
              </w:rPr>
            </w:pPr>
          </w:p>
        </w:tc>
      </w:tr>
      <w:tr>
        <w:trPr>
          <w:trHeight w:val="183"/>
        </w:trPr>
        <w:tc>
          <w:tcPr>
            <w:tcW w:w="586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 income tax expense</w:t>
            </w:r>
          </w:p>
        </w:tc>
        <w:tc>
          <w:tcPr>
            <w:tcW w:w="100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143</w:t>
            </w:r>
          </w:p>
        </w:tc>
        <w:tc>
          <w:tcPr>
            <w:tcW w:w="82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176</w:t>
            </w:r>
          </w:p>
        </w:tc>
        <w:tc>
          <w:tcPr>
            <w:tcW w:w="800" w:type="dxa"/>
            <w:vAlign w:val="bottom"/>
            <w:tcBorders>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144</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We show the components of deferred income taxes at December 31 for Sempra Energy, SDG&amp;E and SoCalGas in the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 FOR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December 31,</w:t>
            </w:r>
          </w:p>
        </w:tc>
        <w:tc>
          <w:tcPr>
            <w:tcW w:w="9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8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8420" w:type="dxa"/>
            <w:vAlign w:val="bottom"/>
          </w:tcPr>
          <w:p>
            <w:pPr>
              <w:spacing w:after="0" w:line="164" w:lineRule="exact"/>
              <w:rPr>
                <w:sz w:val="20"/>
                <w:szCs w:val="20"/>
                <w:color w:val="auto"/>
              </w:rPr>
            </w:pPr>
            <w:r>
              <w:rPr>
                <w:rFonts w:ascii="Arial" w:cs="Arial" w:eastAsia="Arial" w:hAnsi="Arial"/>
                <w:sz w:val="16"/>
                <w:szCs w:val="16"/>
                <w:color w:val="auto"/>
              </w:rPr>
              <w:t>Deferred income tax liabilities:</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Differences in financial and tax bases of depreciable and amortizable assets</w:t>
            </w:r>
          </w:p>
        </w:tc>
        <w:tc>
          <w:tcPr>
            <w:tcW w:w="960" w:type="dxa"/>
            <w:vAlign w:val="bottom"/>
          </w:tcPr>
          <w:p>
            <w:pPr>
              <w:jc w:val="right"/>
              <w:ind w:right="482"/>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2,394</w:t>
            </w:r>
          </w:p>
        </w:tc>
        <w:tc>
          <w:tcPr>
            <w:tcW w:w="3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1,965</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Regulatory balancing accounts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456</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535</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Unrealized revenue</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13</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Loss on reacquired debt</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12</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Property taxes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43</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Difference in financial and tax bases of partnership interests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152</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Other deferred income tax liabilities</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183"/>
        </w:trPr>
        <w:tc>
          <w:tcPr>
            <w:tcW w:w="20" w:type="dxa"/>
            <w:vAlign w:val="bottom"/>
          </w:tcPr>
          <w:p>
            <w:pPr>
              <w:spacing w:after="0"/>
              <w:rPr>
                <w:sz w:val="15"/>
                <w:szCs w:val="15"/>
                <w:color w:val="auto"/>
              </w:rPr>
            </w:pPr>
          </w:p>
        </w:tc>
        <w:tc>
          <w:tcPr>
            <w:tcW w:w="8420" w:type="dxa"/>
            <w:vAlign w:val="bottom"/>
          </w:tcPr>
          <w:p>
            <w:pPr>
              <w:ind w:left="340"/>
              <w:spacing w:after="0" w:line="176" w:lineRule="exact"/>
              <w:rPr>
                <w:sz w:val="20"/>
                <w:szCs w:val="20"/>
                <w:color w:val="auto"/>
              </w:rPr>
            </w:pPr>
            <w:r>
              <w:rPr>
                <w:rFonts w:ascii="Arial" w:cs="Arial" w:eastAsia="Arial" w:hAnsi="Arial"/>
                <w:sz w:val="16"/>
                <w:szCs w:val="16"/>
                <w:color w:val="auto"/>
              </w:rPr>
              <w:t>Total deferred income tax liabilities</w:t>
            </w: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3,100</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2,648</w:t>
            </w:r>
          </w:p>
        </w:tc>
      </w:tr>
      <w:tr>
        <w:trPr>
          <w:trHeight w:val="164"/>
        </w:trPr>
        <w:tc>
          <w:tcPr>
            <w:tcW w:w="8440" w:type="dxa"/>
            <w:vAlign w:val="bottom"/>
            <w:gridSpan w:val="2"/>
          </w:tcPr>
          <w:p>
            <w:pPr>
              <w:spacing w:after="0" w:line="164" w:lineRule="exact"/>
              <w:rPr>
                <w:sz w:val="20"/>
                <w:szCs w:val="20"/>
                <w:color w:val="auto"/>
              </w:rPr>
            </w:pPr>
            <w:r>
              <w:rPr>
                <w:rFonts w:ascii="Arial" w:cs="Arial" w:eastAsia="Arial" w:hAnsi="Arial"/>
                <w:sz w:val="16"/>
                <w:szCs w:val="16"/>
                <w:color w:val="auto"/>
              </w:rPr>
              <w:t>Deferred income tax assets:</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Investment tax credits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22</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Equity losses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16</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Net operating losses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811</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Compensation-related items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140</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158</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Postretirement benefits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361</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467</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Difference in financial and tax bases of partnership interests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83</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Other deferred income tax assets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34</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State income taxes</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58</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r>
      <w:tr>
        <w:trPr>
          <w:trHeight w:val="176"/>
        </w:trPr>
        <w:tc>
          <w:tcPr>
            <w:tcW w:w="20" w:type="dxa"/>
            <w:vAlign w:val="bottom"/>
          </w:tcPr>
          <w:p>
            <w:pPr>
              <w:spacing w:after="0"/>
              <w:rPr>
                <w:sz w:val="15"/>
                <w:szCs w:val="15"/>
                <w:color w:val="auto"/>
              </w:rPr>
            </w:pPr>
          </w:p>
        </w:tc>
        <w:tc>
          <w:tcPr>
            <w:tcW w:w="8420" w:type="dxa"/>
            <w:vAlign w:val="bottom"/>
          </w:tcPr>
          <w:p>
            <w:pPr>
              <w:ind w:left="160"/>
              <w:spacing w:after="0" w:line="176" w:lineRule="exact"/>
              <w:rPr>
                <w:sz w:val="20"/>
                <w:szCs w:val="20"/>
                <w:color w:val="auto"/>
              </w:rPr>
            </w:pPr>
            <w:r>
              <w:rPr>
                <w:rFonts w:ascii="Arial" w:cs="Arial" w:eastAsia="Arial" w:hAnsi="Arial"/>
                <w:sz w:val="16"/>
                <w:szCs w:val="16"/>
                <w:color w:val="auto"/>
              </w:rPr>
              <w:t>Bad debt allowance</w:t>
            </w:r>
          </w:p>
        </w:tc>
        <w:tc>
          <w:tcPr>
            <w:tcW w:w="960" w:type="dxa"/>
            <w:vAlign w:val="bottom"/>
          </w:tcPr>
          <w:p>
            <w:pPr>
              <w:spacing w:after="0"/>
              <w:rPr>
                <w:sz w:val="15"/>
                <w:szCs w:val="15"/>
                <w:color w:val="auto"/>
              </w:rPr>
            </w:pPr>
          </w:p>
        </w:tc>
        <w:tc>
          <w:tcPr>
            <w:tcW w:w="6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8</w:t>
            </w:r>
          </w:p>
        </w:tc>
        <w:tc>
          <w:tcPr>
            <w:tcW w:w="3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94"/>
        </w:trPr>
        <w:tc>
          <w:tcPr>
            <w:tcW w:w="20" w:type="dxa"/>
            <w:vAlign w:val="bottom"/>
          </w:tcPr>
          <w:p>
            <w:pPr>
              <w:spacing w:after="0"/>
              <w:rPr>
                <w:sz w:val="16"/>
                <w:szCs w:val="16"/>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Litigation and other accruals not yet deductible</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r>
      <w:tr>
        <w:trPr>
          <w:trHeight w:val="164"/>
        </w:trPr>
        <w:tc>
          <w:tcPr>
            <w:tcW w:w="20" w:type="dxa"/>
            <w:vAlign w:val="bottom"/>
          </w:tcPr>
          <w:p>
            <w:pPr>
              <w:spacing w:after="0"/>
              <w:rPr>
                <w:sz w:val="14"/>
                <w:szCs w:val="14"/>
                <w:color w:val="auto"/>
              </w:rPr>
            </w:pPr>
          </w:p>
        </w:tc>
        <w:tc>
          <w:tcPr>
            <w:tcW w:w="8420" w:type="dxa"/>
            <w:vAlign w:val="bottom"/>
          </w:tcPr>
          <w:p>
            <w:pPr>
              <w:ind w:left="340"/>
              <w:spacing w:after="0" w:line="164" w:lineRule="exact"/>
              <w:rPr>
                <w:sz w:val="20"/>
                <w:szCs w:val="20"/>
                <w:color w:val="auto"/>
              </w:rPr>
            </w:pPr>
            <w:r>
              <w:rPr>
                <w:rFonts w:ascii="Arial" w:cs="Arial" w:eastAsia="Arial" w:hAnsi="Arial"/>
                <w:sz w:val="16"/>
                <w:szCs w:val="16"/>
                <w:color w:val="auto"/>
              </w:rPr>
              <w:t>Deferred income tax assets before valuation allowances</w:t>
            </w:r>
          </w:p>
        </w:tc>
        <w:tc>
          <w:tcPr>
            <w:tcW w:w="960" w:type="dxa"/>
            <w:vAlign w:val="bottom"/>
          </w:tcPr>
          <w:p>
            <w:pPr>
              <w:spacing w:after="0"/>
              <w:rPr>
                <w:sz w:val="14"/>
                <w:szCs w:val="14"/>
                <w:color w:val="auto"/>
              </w:rPr>
            </w:pPr>
          </w:p>
        </w:tc>
        <w:tc>
          <w:tcPr>
            <w:tcW w:w="660" w:type="dxa"/>
            <w:vAlign w:val="bottom"/>
          </w:tcPr>
          <w:p>
            <w:pPr>
              <w:jc w:val="right"/>
              <w:ind w:right="99"/>
              <w:spacing w:after="0" w:line="164" w:lineRule="exact"/>
              <w:rPr>
                <w:sz w:val="20"/>
                <w:szCs w:val="20"/>
                <w:color w:val="auto"/>
              </w:rPr>
            </w:pPr>
            <w:r>
              <w:rPr>
                <w:rFonts w:ascii="Arial" w:cs="Arial" w:eastAsia="Arial" w:hAnsi="Arial"/>
                <w:sz w:val="16"/>
                <w:szCs w:val="16"/>
                <w:color w:val="auto"/>
              </w:rPr>
              <w:t>1,455</w:t>
            </w:r>
          </w:p>
        </w:tc>
        <w:tc>
          <w:tcPr>
            <w:tcW w:w="38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1,224</w:t>
            </w:r>
          </w:p>
        </w:tc>
      </w:tr>
      <w:tr>
        <w:trPr>
          <w:trHeight w:val="194"/>
        </w:trPr>
        <w:tc>
          <w:tcPr>
            <w:tcW w:w="20" w:type="dxa"/>
            <w:vAlign w:val="bottom"/>
          </w:tcPr>
          <w:p>
            <w:pPr>
              <w:spacing w:after="0"/>
              <w:rPr>
                <w:sz w:val="16"/>
                <w:szCs w:val="16"/>
                <w:color w:val="auto"/>
              </w:rPr>
            </w:pPr>
          </w:p>
        </w:tc>
        <w:tc>
          <w:tcPr>
            <w:tcW w:w="8420" w:type="dxa"/>
            <w:vAlign w:val="bottom"/>
          </w:tcPr>
          <w:p>
            <w:pPr>
              <w:ind w:left="340"/>
              <w:spacing w:after="0"/>
              <w:rPr>
                <w:sz w:val="20"/>
                <w:szCs w:val="20"/>
                <w:color w:val="auto"/>
              </w:rPr>
            </w:pPr>
            <w:r>
              <w:rPr>
                <w:rFonts w:ascii="Arial" w:cs="Arial" w:eastAsia="Arial" w:hAnsi="Arial"/>
                <w:sz w:val="16"/>
                <w:szCs w:val="16"/>
                <w:color w:val="auto"/>
              </w:rPr>
              <w:t>Less: valuation allowances</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183"/>
        </w:trPr>
        <w:tc>
          <w:tcPr>
            <w:tcW w:w="20" w:type="dxa"/>
            <w:vAlign w:val="bottom"/>
          </w:tcPr>
          <w:p>
            <w:pPr>
              <w:spacing w:after="0"/>
              <w:rPr>
                <w:sz w:val="15"/>
                <w:szCs w:val="15"/>
                <w:color w:val="auto"/>
              </w:rPr>
            </w:pPr>
          </w:p>
        </w:tc>
        <w:tc>
          <w:tcPr>
            <w:tcW w:w="8420" w:type="dxa"/>
            <w:vAlign w:val="bottom"/>
          </w:tcPr>
          <w:p>
            <w:pPr>
              <w:ind w:left="520"/>
              <w:spacing w:after="0" w:line="176" w:lineRule="exact"/>
              <w:rPr>
                <w:sz w:val="20"/>
                <w:szCs w:val="20"/>
                <w:color w:val="auto"/>
              </w:rPr>
            </w:pPr>
            <w:r>
              <w:rPr>
                <w:rFonts w:ascii="Arial" w:cs="Arial" w:eastAsia="Arial" w:hAnsi="Arial"/>
                <w:sz w:val="16"/>
                <w:szCs w:val="16"/>
                <w:color w:val="auto"/>
              </w:rPr>
              <w:t>Total deferred income tax assets</w:t>
            </w: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1,373</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1,162</w:t>
            </w:r>
          </w:p>
        </w:tc>
      </w:tr>
      <w:tr>
        <w:trPr>
          <w:trHeight w:val="195"/>
        </w:trPr>
        <w:tc>
          <w:tcPr>
            <w:tcW w:w="8440" w:type="dxa"/>
            <w:vAlign w:val="bottom"/>
            <w:gridSpan w:val="2"/>
          </w:tcPr>
          <w:p>
            <w:pPr>
              <w:spacing w:after="0"/>
              <w:rPr>
                <w:sz w:val="20"/>
                <w:szCs w:val="20"/>
                <w:color w:val="auto"/>
              </w:rPr>
            </w:pPr>
            <w:r>
              <w:rPr>
                <w:rFonts w:ascii="Arial" w:cs="Arial" w:eastAsia="Arial" w:hAnsi="Arial"/>
                <w:sz w:val="16"/>
                <w:szCs w:val="16"/>
                <w:color w:val="auto"/>
              </w:rPr>
              <w:t>Net deferred income tax liability</w:t>
            </w:r>
          </w:p>
        </w:tc>
        <w:tc>
          <w:tcPr>
            <w:tcW w:w="9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1,727</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200"/>
        <w:spacing w:after="0" w:line="277" w:lineRule="auto"/>
        <w:rPr>
          <w:sz w:val="20"/>
          <w:szCs w:val="20"/>
          <w:color w:val="auto"/>
        </w:rPr>
      </w:pPr>
      <w:r>
        <w:rPr>
          <w:rFonts w:ascii="Arial" w:cs="Arial" w:eastAsia="Arial" w:hAnsi="Arial"/>
          <w:sz w:val="14"/>
          <w:szCs w:val="14"/>
          <w:i w:val="1"/>
          <w:iCs w:val="1"/>
          <w:color w:val="auto"/>
        </w:rPr>
        <w:t>Our policy is to show deferred taxes of VIEs on a net basis, including valuation allowances. See table “Amounts Associated with Otay Mesa VIE” in Note 1 for further information on VIEs.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 FOR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5820" w:type="dxa"/>
        <w:tblCellMar>
          <w:top w:w="0" w:type="dxa"/>
          <w:left w:w="0" w:type="dxa"/>
          <w:bottom w:w="0" w:type="dxa"/>
          <w:right w:w="0" w:type="dxa"/>
        </w:tblCellMar>
      </w:tblPr>
      <w:tr>
        <w:trPr>
          <w:trHeight w:val="165"/>
        </w:trPr>
        <w:tc>
          <w:tcPr>
            <w:tcW w:w="8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788"/>
              <w:spacing w:after="0" w:line="159" w:lineRule="exact"/>
              <w:rPr>
                <w:sz w:val="20"/>
                <w:szCs w:val="20"/>
                <w:color w:val="auto"/>
              </w:rPr>
            </w:pPr>
            <w:r>
              <w:rPr>
                <w:rFonts w:ascii="Arial" w:cs="Arial" w:eastAsia="Arial" w:hAnsi="Arial"/>
                <w:sz w:val="14"/>
                <w:szCs w:val="14"/>
                <w:color w:val="auto"/>
              </w:rPr>
              <w:t>SDG&amp;E</w:t>
            </w:r>
          </w:p>
        </w:tc>
        <w:tc>
          <w:tcPr>
            <w:tcW w:w="9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828"/>
              <w:spacing w:after="0" w:line="159" w:lineRule="exact"/>
              <w:rPr>
                <w:sz w:val="20"/>
                <w:szCs w:val="20"/>
                <w:color w:val="auto"/>
              </w:rPr>
            </w:pPr>
            <w:r>
              <w:rPr>
                <w:rFonts w:ascii="Arial" w:cs="Arial" w:eastAsia="Arial" w:hAnsi="Arial"/>
                <w:sz w:val="14"/>
                <w:szCs w:val="14"/>
                <w:color w:val="auto"/>
              </w:rPr>
              <w:t>SoCalGas</w:t>
            </w:r>
          </w:p>
        </w:tc>
      </w:tr>
      <w:tr>
        <w:trPr>
          <w:trHeight w:val="169"/>
        </w:trPr>
        <w:tc>
          <w:tcPr>
            <w:tcW w:w="8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color w:val="auto"/>
              </w:rPr>
              <w:t>December 31,</w:t>
            </w:r>
          </w:p>
        </w:tc>
        <w:tc>
          <w:tcPr>
            <w:tcW w:w="9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color w:val="auto"/>
              </w:rPr>
              <w:t>December 31,</w:t>
            </w:r>
          </w:p>
        </w:tc>
      </w:tr>
      <w:tr>
        <w:trPr>
          <w:trHeight w:val="191"/>
        </w:trPr>
        <w:tc>
          <w:tcPr>
            <w:tcW w:w="880" w:type="dxa"/>
            <w:vAlign w:val="bottom"/>
          </w:tcPr>
          <w:p>
            <w:pPr>
              <w:jc w:val="right"/>
              <w:spacing w:after="0"/>
              <w:rPr>
                <w:sz w:val="20"/>
                <w:szCs w:val="20"/>
                <w:color w:val="auto"/>
              </w:rPr>
            </w:pPr>
            <w:r>
              <w:rPr>
                <w:rFonts w:ascii="Arial" w:cs="Arial" w:eastAsia="Arial" w:hAnsi="Arial"/>
                <w:sz w:val="14"/>
                <w:szCs w:val="14"/>
                <w:color w:val="auto"/>
              </w:rPr>
              <w:t>2011</w:t>
            </w:r>
          </w:p>
        </w:tc>
        <w:tc>
          <w:tcPr>
            <w:tcW w:w="1880" w:type="dxa"/>
            <w:vAlign w:val="bottom"/>
          </w:tcPr>
          <w:p>
            <w:pPr>
              <w:jc w:val="right"/>
              <w:ind w:right="468"/>
              <w:spacing w:after="0"/>
              <w:rPr>
                <w:sz w:val="20"/>
                <w:szCs w:val="20"/>
                <w:color w:val="auto"/>
              </w:rPr>
            </w:pPr>
            <w:r>
              <w:rPr>
                <w:rFonts w:ascii="Arial" w:cs="Arial" w:eastAsia="Arial" w:hAnsi="Arial"/>
                <w:sz w:val="14"/>
                <w:szCs w:val="14"/>
                <w:color w:val="auto"/>
              </w:rPr>
              <w:t>2010</w:t>
            </w:r>
          </w:p>
        </w:tc>
        <w:tc>
          <w:tcPr>
            <w:tcW w:w="920" w:type="dxa"/>
            <w:vAlign w:val="bottom"/>
          </w:tcPr>
          <w:p>
            <w:pPr>
              <w:jc w:val="right"/>
              <w:spacing w:after="0"/>
              <w:rPr>
                <w:sz w:val="20"/>
                <w:szCs w:val="20"/>
                <w:color w:val="auto"/>
              </w:rPr>
            </w:pPr>
            <w:r>
              <w:rPr>
                <w:rFonts w:ascii="Arial" w:cs="Arial" w:eastAsia="Arial" w:hAnsi="Arial"/>
                <w:sz w:val="14"/>
                <w:szCs w:val="14"/>
                <w:color w:val="auto"/>
              </w:rPr>
              <w:t>2011</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p>
      <w:pPr>
        <w:spacing w:after="0" w:line="229" w:lineRule="auto"/>
        <w:rPr>
          <w:sz w:val="20"/>
          <w:szCs w:val="20"/>
          <w:color w:val="auto"/>
        </w:rPr>
      </w:pPr>
      <w:r>
        <w:rPr>
          <w:rFonts w:ascii="Arial" w:cs="Arial" w:eastAsia="Arial" w:hAnsi="Arial"/>
          <w:sz w:val="16"/>
          <w:szCs w:val="16"/>
          <w:color w:val="auto"/>
        </w:rPr>
        <w:t>Deferred income tax liabilities:</w:t>
      </w:r>
    </w:p>
    <w:p>
      <w:pPr>
        <w:ind w:left="180"/>
        <w:spacing w:after="0" w:line="229" w:lineRule="auto"/>
        <w:rPr>
          <w:sz w:val="20"/>
          <w:szCs w:val="20"/>
          <w:color w:val="auto"/>
        </w:rPr>
      </w:pPr>
      <w:r>
        <w:rPr>
          <w:rFonts w:ascii="Arial" w:cs="Arial" w:eastAsia="Arial" w:hAnsi="Arial"/>
          <w:sz w:val="16"/>
          <w:szCs w:val="16"/>
          <w:color w:val="auto"/>
        </w:rPr>
        <w:t>Differences in financial and tax bases of</w:t>
      </w:r>
    </w:p>
    <w:p>
      <w:pPr>
        <w:ind w:left="360"/>
        <w:spacing w:after="0" w:line="229" w:lineRule="auto"/>
        <w:rPr>
          <w:sz w:val="20"/>
          <w:szCs w:val="20"/>
          <w:color w:val="auto"/>
        </w:rPr>
      </w:pPr>
      <w:r>
        <w:rPr>
          <w:rFonts w:ascii="Arial" w:cs="Arial" w:eastAsia="Arial" w:hAnsi="Arial"/>
          <w:sz w:val="16"/>
          <w:szCs w:val="16"/>
          <w:color w:val="auto"/>
        </w:rPr>
        <w:t>utility plant and other assets</w:t>
      </w:r>
    </w:p>
    <w:p>
      <w:pPr>
        <w:ind w:left="180"/>
        <w:spacing w:after="0" w:line="229" w:lineRule="auto"/>
        <w:rPr>
          <w:sz w:val="20"/>
          <w:szCs w:val="20"/>
          <w:color w:val="auto"/>
        </w:rPr>
      </w:pPr>
      <w:r>
        <w:rPr>
          <w:rFonts w:ascii="Arial" w:cs="Arial" w:eastAsia="Arial" w:hAnsi="Arial"/>
          <w:sz w:val="16"/>
          <w:szCs w:val="16"/>
          <w:color w:val="auto"/>
        </w:rPr>
        <w:t>Regulatory balancing accounts</w:t>
      </w:r>
    </w:p>
    <w:p>
      <w:pPr>
        <w:ind w:left="180"/>
        <w:spacing w:after="0" w:line="229" w:lineRule="auto"/>
        <w:rPr>
          <w:sz w:val="20"/>
          <w:szCs w:val="20"/>
          <w:color w:val="auto"/>
        </w:rPr>
      </w:pPr>
      <w:r>
        <w:rPr>
          <w:rFonts w:ascii="Arial" w:cs="Arial" w:eastAsia="Arial" w:hAnsi="Arial"/>
          <w:sz w:val="16"/>
          <w:szCs w:val="16"/>
          <w:color w:val="auto"/>
        </w:rPr>
        <w:t>Loss on reacquired debt</w:t>
      </w:r>
    </w:p>
    <w:p>
      <w:pPr>
        <w:ind w:left="180"/>
        <w:spacing w:after="0"/>
        <w:rPr>
          <w:sz w:val="20"/>
          <w:szCs w:val="20"/>
          <w:color w:val="auto"/>
        </w:rPr>
      </w:pPr>
      <w:r>
        <w:rPr>
          <w:rFonts w:ascii="Arial" w:cs="Arial" w:eastAsia="Arial" w:hAnsi="Arial"/>
          <w:sz w:val="16"/>
          <w:szCs w:val="16"/>
          <w:color w:val="auto"/>
        </w:rPr>
        <w:t>Property taxes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deferred income tax liabilities</w:t>
      </w:r>
    </w:p>
    <w:p>
      <w:pPr>
        <w:spacing w:after="0" w:line="229" w:lineRule="auto"/>
        <w:rPr>
          <w:sz w:val="20"/>
          <w:szCs w:val="20"/>
          <w:color w:val="auto"/>
        </w:rPr>
      </w:pPr>
      <w:r>
        <w:rPr>
          <w:rFonts w:ascii="Arial" w:cs="Arial" w:eastAsia="Arial" w:hAnsi="Arial"/>
          <w:sz w:val="16"/>
          <w:szCs w:val="16"/>
          <w:color w:val="auto"/>
        </w:rPr>
        <w:t>Deferred income tax assets:</w:t>
      </w:r>
    </w:p>
    <w:p>
      <w:pPr>
        <w:ind w:left="180"/>
        <w:spacing w:after="0" w:line="229" w:lineRule="auto"/>
        <w:rPr>
          <w:sz w:val="20"/>
          <w:szCs w:val="20"/>
          <w:color w:val="auto"/>
        </w:rPr>
      </w:pPr>
      <w:r>
        <w:rPr>
          <w:rFonts w:ascii="Arial" w:cs="Arial" w:eastAsia="Arial" w:hAnsi="Arial"/>
          <w:sz w:val="16"/>
          <w:szCs w:val="16"/>
          <w:color w:val="auto"/>
        </w:rPr>
        <w:t>Postretirement benefits</w:t>
      </w:r>
    </w:p>
    <w:p>
      <w:pPr>
        <w:ind w:left="180"/>
        <w:spacing w:after="0" w:line="229" w:lineRule="auto"/>
        <w:rPr>
          <w:sz w:val="20"/>
          <w:szCs w:val="20"/>
          <w:color w:val="auto"/>
        </w:rPr>
      </w:pPr>
      <w:r>
        <w:rPr>
          <w:rFonts w:ascii="Arial" w:cs="Arial" w:eastAsia="Arial" w:hAnsi="Arial"/>
          <w:sz w:val="16"/>
          <w:szCs w:val="16"/>
          <w:color w:val="auto"/>
        </w:rPr>
        <w:t>Investment tax credits</w:t>
      </w:r>
    </w:p>
    <w:p>
      <w:pPr>
        <w:ind w:left="180"/>
        <w:spacing w:after="0" w:line="229" w:lineRule="auto"/>
        <w:rPr>
          <w:sz w:val="20"/>
          <w:szCs w:val="20"/>
          <w:color w:val="auto"/>
        </w:rPr>
      </w:pPr>
      <w:r>
        <w:rPr>
          <w:rFonts w:ascii="Arial" w:cs="Arial" w:eastAsia="Arial" w:hAnsi="Arial"/>
          <w:sz w:val="16"/>
          <w:szCs w:val="16"/>
          <w:color w:val="auto"/>
        </w:rPr>
        <w:t>Compensation-related items</w:t>
      </w:r>
    </w:p>
    <w:p>
      <w:pPr>
        <w:ind w:left="180"/>
        <w:spacing w:after="0" w:line="229" w:lineRule="auto"/>
        <w:rPr>
          <w:sz w:val="20"/>
          <w:szCs w:val="20"/>
          <w:color w:val="auto"/>
        </w:rPr>
      </w:pPr>
      <w:r>
        <w:rPr>
          <w:rFonts w:ascii="Arial" w:cs="Arial" w:eastAsia="Arial" w:hAnsi="Arial"/>
          <w:sz w:val="16"/>
          <w:szCs w:val="16"/>
          <w:color w:val="auto"/>
        </w:rPr>
        <w:t>State income taxes</w:t>
      </w:r>
    </w:p>
    <w:p>
      <w:pPr>
        <w:ind w:left="180" w:right="1560"/>
        <w:spacing w:after="0" w:line="242" w:lineRule="auto"/>
        <w:rPr>
          <w:sz w:val="20"/>
          <w:szCs w:val="20"/>
          <w:color w:val="auto"/>
        </w:rPr>
      </w:pPr>
      <w:r>
        <w:rPr>
          <w:rFonts w:ascii="Arial" w:cs="Arial" w:eastAsia="Arial" w:hAnsi="Arial"/>
          <w:sz w:val="16"/>
          <w:szCs w:val="16"/>
          <w:color w:val="auto"/>
        </w:rPr>
        <w:t>Litigation and other accruals not yet deductible Hedging transaction</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deferred income tax assets</w:t>
      </w:r>
    </w:p>
    <w:p>
      <w:pPr>
        <w:spacing w:after="0"/>
        <w:rPr>
          <w:sz w:val="20"/>
          <w:szCs w:val="20"/>
          <w:color w:val="auto"/>
        </w:rPr>
      </w:pPr>
      <w:r>
        <w:rPr>
          <w:rFonts w:ascii="Arial" w:cs="Arial" w:eastAsia="Arial" w:hAnsi="Arial"/>
          <w:sz w:val="16"/>
          <w:szCs w:val="16"/>
          <w:color w:val="auto"/>
        </w:rPr>
        <w:t>Net deferred income tax liability</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20" w:type="dxa"/>
            <w:vAlign w:val="bottom"/>
            <w:gridSpan w:val="2"/>
          </w:tcPr>
          <w:p>
            <w:pPr>
              <w:jc w:val="right"/>
              <w:ind w:right="3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1,152</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982</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632</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230</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230</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236</w:t>
            </w:r>
          </w:p>
        </w:tc>
        <w:tc>
          <w:tcPr>
            <w:tcW w:w="6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316</w:t>
            </w: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6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6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r>
      <w:tr>
        <w:trPr>
          <w:trHeight w:val="194"/>
        </w:trPr>
        <w:tc>
          <w:tcPr>
            <w:tcW w:w="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1,436</w:t>
            </w: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1,261</w:t>
            </w: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891</w:t>
            </w: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822</w:t>
            </w:r>
          </w:p>
        </w:tc>
      </w:tr>
      <w:tr>
        <w:trPr>
          <w:trHeight w:val="34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w:t>
            </w:r>
          </w:p>
        </w:tc>
        <w:tc>
          <w:tcPr>
            <w:tcW w:w="6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6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39</w:t>
            </w:r>
          </w:p>
        </w:tc>
        <w:tc>
          <w:tcPr>
            <w:tcW w:w="6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6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192</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6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6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r>
      <w:tr>
        <w:trPr>
          <w:trHeight w:val="194"/>
        </w:trPr>
        <w:tc>
          <w:tcPr>
            <w:tcW w:w="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207</w:t>
            </w: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389</w:t>
            </w: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271</w:t>
            </w: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387</w:t>
            </w:r>
          </w:p>
        </w:tc>
      </w:tr>
      <w:tr>
        <w:trPr>
          <w:trHeight w:val="195"/>
        </w:trPr>
        <w:tc>
          <w:tcPr>
            <w:tcW w:w="20" w:type="dxa"/>
            <w:vAlign w:val="bottom"/>
          </w:tcPr>
          <w:p>
            <w:pPr>
              <w:spacing w:after="0"/>
              <w:rPr>
                <w:sz w:val="16"/>
                <w:szCs w:val="16"/>
                <w:color w:val="auto"/>
              </w:rPr>
            </w:pP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1,229</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872</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620</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00" w:space="720"/>
            <w:col w:w="5600"/>
          </w:cols>
          <w:pgMar w:left="240" w:top="120" w:right="239" w:bottom="0" w:gutter="0" w:footer="0" w:header="0"/>
          <w:type w:val="continuous"/>
        </w:sectPr>
      </w:pPr>
    </w:p>
    <w:p>
      <w:pPr>
        <w:ind w:right="200"/>
        <w:spacing w:after="0" w:line="277" w:lineRule="auto"/>
        <w:rPr>
          <w:sz w:val="20"/>
          <w:szCs w:val="20"/>
          <w:color w:val="auto"/>
        </w:rPr>
      </w:pPr>
      <w:r>
        <w:rPr>
          <w:rFonts w:ascii="Arial" w:cs="Arial" w:eastAsia="Arial" w:hAnsi="Arial"/>
          <w:sz w:val="14"/>
          <w:szCs w:val="14"/>
          <w:i w:val="1"/>
          <w:iCs w:val="1"/>
          <w:color w:val="auto"/>
        </w:rPr>
        <w:t>Our policy is to show deferred taxes of VIEs on a net basis, including valuation allowances. See table “Amounts Associated with Otay Mesa VIE” in Note 1 for further information on VIEs.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income tax liabilities are recorded on the Consolidated Balance Sheets at December 31 as follows: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Sempra Energy</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39"/>
              <w:spacing w:after="0" w:line="157" w:lineRule="exact"/>
              <w:rPr>
                <w:sz w:val="20"/>
                <w:szCs w:val="20"/>
                <w:color w:val="auto"/>
              </w:rPr>
            </w:pPr>
            <w:r>
              <w:rPr>
                <w:rFonts w:ascii="Arial" w:cs="Arial" w:eastAsia="Arial" w:hAnsi="Arial"/>
                <w:sz w:val="14"/>
                <w:szCs w:val="14"/>
                <w:color w:val="auto"/>
              </w:rPr>
              <w:t>Consolidated</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59"/>
              <w:spacing w:after="0" w:line="157" w:lineRule="exact"/>
              <w:rPr>
                <w:sz w:val="20"/>
                <w:szCs w:val="20"/>
                <w:color w:val="auto"/>
              </w:rPr>
            </w:pPr>
            <w:r>
              <w:rPr>
                <w:rFonts w:ascii="Arial" w:cs="Arial" w:eastAsia="Arial" w:hAnsi="Arial"/>
                <w:sz w:val="14"/>
                <w:szCs w:val="14"/>
                <w:color w:val="auto"/>
              </w:rPr>
              <w:t>SDG&amp;E</w:t>
            </w: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39"/>
              <w:spacing w:after="0" w:line="157" w:lineRule="exact"/>
              <w:rPr>
                <w:sz w:val="20"/>
                <w:szCs w:val="20"/>
                <w:color w:val="auto"/>
              </w:rPr>
            </w:pPr>
            <w:r>
              <w:rPr>
                <w:rFonts w:ascii="Arial" w:cs="Arial" w:eastAsia="Arial" w:hAnsi="Arial"/>
                <w:sz w:val="14"/>
                <w:szCs w:val="14"/>
                <w:color w:val="auto"/>
              </w:rPr>
              <w:t>SoCalGas</w:t>
            </w:r>
          </w:p>
        </w:tc>
        <w:tc>
          <w:tcPr>
            <w:tcW w:w="10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2010</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2010</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2780" w:type="dxa"/>
            <w:vAlign w:val="bottom"/>
          </w:tcPr>
          <w:p>
            <w:pPr>
              <w:spacing w:after="0" w:line="164" w:lineRule="exact"/>
              <w:rPr>
                <w:sz w:val="20"/>
                <w:szCs w:val="20"/>
                <w:color w:val="auto"/>
              </w:rPr>
            </w:pPr>
            <w:r>
              <w:rPr>
                <w:rFonts w:ascii="Arial" w:cs="Arial" w:eastAsia="Arial" w:hAnsi="Arial"/>
                <w:sz w:val="16"/>
                <w:szCs w:val="16"/>
                <w:color w:val="auto"/>
              </w:rPr>
              <w:t>Current (asset) liability</w:t>
            </w:r>
          </w:p>
        </w:tc>
        <w:tc>
          <w:tcPr>
            <w:tcW w:w="900" w:type="dxa"/>
            <w:vAlign w:val="bottom"/>
          </w:tcPr>
          <w:p>
            <w:pPr>
              <w:jc w:val="right"/>
              <w:ind w:right="745"/>
              <w:spacing w:after="0" w:line="164"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4" w:lineRule="exact"/>
              <w:rPr>
                <w:sz w:val="20"/>
                <w:szCs w:val="20"/>
                <w:color w:val="auto"/>
              </w:rPr>
            </w:pPr>
            <w:r>
              <w:rPr>
                <w:rFonts w:ascii="Arial" w:cs="Arial" w:eastAsia="Arial" w:hAnsi="Arial"/>
                <w:sz w:val="16"/>
                <w:szCs w:val="16"/>
                <w:color w:val="auto"/>
              </w:rPr>
              <w:t>173</w:t>
            </w:r>
          </w:p>
        </w:tc>
        <w:tc>
          <w:tcPr>
            <w:tcW w:w="560" w:type="dxa"/>
            <w:vAlign w:val="bottom"/>
          </w:tcPr>
          <w:p>
            <w:pPr>
              <w:jc w:val="right"/>
              <w:ind w:right="359"/>
              <w:spacing w:after="0" w:line="164"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39"/>
              <w:spacing w:after="0" w:line="164" w:lineRule="exact"/>
              <w:rPr>
                <w:sz w:val="20"/>
                <w:szCs w:val="20"/>
                <w:color w:val="auto"/>
              </w:rPr>
            </w:pPr>
            <w:r>
              <w:rPr>
                <w:rFonts w:ascii="Arial" w:cs="Arial" w:eastAsia="Arial" w:hAnsi="Arial"/>
                <w:sz w:val="16"/>
                <w:szCs w:val="16"/>
                <w:color w:val="auto"/>
              </w:rPr>
              <w:t>(75)$</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62</w:t>
            </w:r>
          </w:p>
        </w:tc>
        <w:tc>
          <w:tcPr>
            <w:tcW w:w="34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39"/>
              <w:spacing w:after="0" w:line="164" w:lineRule="exact"/>
              <w:rPr>
                <w:sz w:val="20"/>
                <w:szCs w:val="20"/>
                <w:color w:val="auto"/>
              </w:rPr>
            </w:pPr>
            <w:r>
              <w:rPr>
                <w:rFonts w:ascii="Arial" w:cs="Arial" w:eastAsia="Arial" w:hAnsi="Arial"/>
                <w:sz w:val="16"/>
                <w:szCs w:val="16"/>
                <w:color w:val="auto"/>
              </w:rPr>
              <w:t>(129)$</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44</w:t>
            </w:r>
          </w:p>
        </w:tc>
        <w:tc>
          <w:tcPr>
            <w:tcW w:w="460" w:type="dxa"/>
            <w:vAlign w:val="bottom"/>
          </w:tcPr>
          <w:p>
            <w:pPr>
              <w:jc w:val="right"/>
              <w:ind w:right="279"/>
              <w:spacing w:after="0" w:line="164"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64" w:lineRule="exact"/>
              <w:rPr>
                <w:sz w:val="20"/>
                <w:szCs w:val="20"/>
                <w:color w:val="auto"/>
              </w:rPr>
            </w:pPr>
            <w:r>
              <w:rPr>
                <w:rFonts w:ascii="Arial" w:cs="Arial" w:eastAsia="Arial" w:hAnsi="Arial"/>
                <w:sz w:val="16"/>
                <w:szCs w:val="16"/>
                <w:color w:val="auto"/>
              </w:rPr>
              <w:t>17</w:t>
            </w:r>
          </w:p>
        </w:tc>
      </w:tr>
      <w:tr>
        <w:trPr>
          <w:trHeight w:val="194"/>
        </w:trPr>
        <w:tc>
          <w:tcPr>
            <w:tcW w:w="2800" w:type="dxa"/>
            <w:vAlign w:val="bottom"/>
            <w:gridSpan w:val="2"/>
          </w:tcPr>
          <w:p>
            <w:pPr>
              <w:spacing w:after="0"/>
              <w:rPr>
                <w:sz w:val="20"/>
                <w:szCs w:val="20"/>
                <w:color w:val="auto"/>
              </w:rPr>
            </w:pPr>
            <w:r>
              <w:rPr>
                <w:rFonts w:ascii="Arial" w:cs="Arial" w:eastAsia="Arial" w:hAnsi="Arial"/>
                <w:sz w:val="16"/>
                <w:szCs w:val="16"/>
                <w:color w:val="auto"/>
              </w:rPr>
              <w:t>Noncurrent liability</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r>
      <w:tr>
        <w:trPr>
          <w:trHeight w:val="176"/>
        </w:trPr>
        <w:tc>
          <w:tcPr>
            <w:tcW w:w="280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900" w:type="dxa"/>
            <w:vAlign w:val="bottom"/>
          </w:tcPr>
          <w:p>
            <w:pPr>
              <w:jc w:val="right"/>
              <w:ind w:right="74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1,727</w:t>
            </w:r>
          </w:p>
        </w:tc>
        <w:tc>
          <w:tcPr>
            <w:tcW w:w="560" w:type="dxa"/>
            <w:vAlign w:val="bottom"/>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1,486</w:t>
            </w:r>
          </w:p>
        </w:tc>
        <w:tc>
          <w:tcPr>
            <w:tcW w:w="3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1,229</w:t>
            </w:r>
          </w:p>
        </w:tc>
        <w:tc>
          <w:tcPr>
            <w:tcW w:w="3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872</w:t>
            </w:r>
          </w:p>
        </w:tc>
        <w:tc>
          <w:tcPr>
            <w:tcW w:w="3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620</w:t>
            </w:r>
          </w:p>
        </w:tc>
        <w:tc>
          <w:tcPr>
            <w:tcW w:w="460" w:type="dxa"/>
            <w:vAlign w:val="bottom"/>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435</w:t>
            </w:r>
          </w:p>
        </w:tc>
      </w:tr>
      <w:tr>
        <w:trPr>
          <w:trHeight w:val="27"/>
        </w:trPr>
        <w:tc>
          <w:tcPr>
            <w:tcW w:w="20" w:type="dxa"/>
            <w:vAlign w:val="bottom"/>
          </w:tcPr>
          <w:p>
            <w:pPr>
              <w:spacing w:after="0"/>
              <w:rPr>
                <w:sz w:val="2"/>
                <w:szCs w:val="2"/>
                <w:color w:val="auto"/>
              </w:rPr>
            </w:pPr>
          </w:p>
        </w:tc>
        <w:tc>
          <w:tcPr>
            <w:tcW w:w="27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ectPr>
          <w:pgSz w:w="11900" w:h="16838" w:orient="portrait"/>
          <w:cols w:equalWidth="0" w:num="1">
            <w:col w:w="11420"/>
          </w:cols>
          <w:pgMar w:left="240" w:top="120" w:right="239" w:bottom="0" w:gutter="0" w:footer="0" w:header="0"/>
          <w:type w:val="continuous"/>
        </w:sectPr>
      </w:pPr>
    </w:p>
    <w:bookmarkStart w:id="229" w:name="page230"/>
    <w:bookmarkEnd w:id="229"/>
    <w:p>
      <w:pPr>
        <w:spacing w:after="0" w:line="8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At December 31, 2011, Sempra Energy has recorded a valuation allowance against a portion of its total deferred income tax assets, as shown above in the “Deferred Income Taxes for Sempra Energy Consolidated” table. A valuation allowance is recorded when, based on more-likely-than-not criteria, negative evidence outweighs positive evidence with regard to our ability to realize a deferred tax asset in the future. Of the valuation allowances recorded to date, the negative evidence outweighs the positive evidence primarily due to cumulative pretax losses in various U.S. state and non-U.S. jurisdictions resulting in net operating losses (NOLs), as discussed below, that we currently do not believe will be realized. At both Sempra Energy and SDG&amp;E, deferred income taxes for variable interest entities are shown on a net basis. Therefore, a valuation allowance of $116 million related to variable interest entities is not reflected in the tables above. Of Sempra Energy’s total valuation allowance of $82 million, $14 million is related to non-U.S. NOLs, $8 million to other future non-U.S. deductions, and $60 million to U.S. state NOLs. The total valuation allowance increased by $20 million during 2011 when compared to 2010, primarily due to the increase in the valuation allowance established for U.S. state NOLs. We believe that it is more likely than not that the remainder of the total deferred income tax asset is realizable.</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At December 31, 2011, Sempra Energy’s non-U.S. subsidiaries had $52 million of unused NOLs available to utilize in the future to reduce Sempra Energy’s future non-U.S. income tax expense, which is in Denmark, Mexico, the Netherlands and Spain. The carryforward periods for our non-U.S. unused NOLs are as follows: $7 million does not expire and $45 million expires between 2012 and 2026. As of December 31, 2011, our Mexican subsidiaries have NOLs of $176 million, of which $163 million have been utilized on a consolidated level. These NOLs are subject to recapture between 2012 and 2016 if the Mexican subsidiary that generated them does not have sufficient taxable income itself to realize them within 5 years. These NOLs expire between 2016 and 2021. Sempra Energy’s U.S. subsidiaries had $768 million of unused U.S. state NOLs, primarily in Alabama, Connecticut, District of Columbia, Indiana, Louisiana, Minnesota, New Jersey, New York and Oklahoma. These U.S. state NOLs expire between 2012 and 2031. We have not recorded income tax benefits on a portion of Sempra Energy’s total NOLs because they were incurred in jurisdictions where we currently believe they will not be realized, as discussed above. Sempra Energy’s consolidated U.S. subsidiaries had $1.8 billion of unused U.S. federal consolidated NOLs and $798 million of unused California combined NOLs. We have recorded income tax benefits on these NOLs, in total, because they were incurred in jurisdictions where we currently believe they will be realized.</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December 31, 2011, Sempra Energy had not recognized a U.S. deferred income tax liability related to a $2.6 billion basis difference between its financial statement and tax investment amount in its non-U.S. subsidiaries. This basis difference consists of $2.6 billion of cumulative undistributed earnings that we expect to reinvest indefinitely outside of the U.S., which includes the $0.3 billion gain related to the remeasurement of equity method investments in Chilquinta Energía and Luz del Sur, as we discuss in Note 3. These cumulative undistributed earnings have previously been reinvested or will be reinvested in active non-U.S. operations, thus we do not intend to use these earnings as a source of funding for U.S. operations. It is not practical to determine the amount of U.S. income taxes that might be payable if the cumulative undistributed earnings were eventually distributed or the investments were sold. U.S. deferred income taxes would be recorded on $2.6 billion of the basis difference related to cumulative undistributed earnings if we no longer intend to indefinitely reinvest all, or a part, of the cumulative undistributed earnings.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unrecognized income tax benefits: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UNRECOGNIZED INCOME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Sempra Energy</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Consolidated</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SDG&amp;E</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SoCalGas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2009</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69"/>
        </w:trPr>
        <w:tc>
          <w:tcPr>
            <w:tcW w:w="280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8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72</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97</w:t>
            </w: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94</w:t>
            </w:r>
          </w:p>
        </w:tc>
        <w:tc>
          <w:tcPr>
            <w:tcW w:w="180" w:type="dxa"/>
            <w:vAlign w:val="bottom"/>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7</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w:t>
            </w:r>
          </w:p>
        </w:tc>
        <w:tc>
          <w:tcPr>
            <w:tcW w:w="2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14</w:t>
            </w:r>
          </w:p>
        </w:tc>
        <w:tc>
          <w:tcPr>
            <w:tcW w:w="2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ind w:left="520"/>
              <w:spacing w:after="0" w:line="142" w:lineRule="exact"/>
              <w:rPr>
                <w:sz w:val="20"/>
                <w:szCs w:val="20"/>
                <w:color w:val="auto"/>
              </w:rPr>
            </w:pPr>
            <w:r>
              <w:rPr>
                <w:rFonts w:ascii="Arial" w:cs="Arial" w:eastAsia="Arial" w:hAnsi="Arial"/>
                <w:sz w:val="14"/>
                <w:szCs w:val="14"/>
                <w:color w:val="auto"/>
              </w:rPr>
              <w:t>― $</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8</w:t>
            </w:r>
          </w:p>
        </w:tc>
        <w:tc>
          <w:tcPr>
            <w:tcW w:w="2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7"/>
        </w:trPr>
        <w:tc>
          <w:tcPr>
            <w:tcW w:w="2800" w:type="dxa"/>
            <w:vAlign w:val="bottom"/>
          </w:tcPr>
          <w:p>
            <w:pPr>
              <w:spacing w:after="0"/>
              <w:rPr>
                <w:sz w:val="20"/>
                <w:szCs w:val="20"/>
                <w:color w:val="auto"/>
              </w:rPr>
            </w:pPr>
            <w:r>
              <w:rPr>
                <w:rFonts w:ascii="Arial" w:cs="Arial" w:eastAsia="Arial" w:hAnsi="Arial"/>
                <w:sz w:val="14"/>
                <w:szCs w:val="14"/>
                <w:color w:val="auto"/>
              </w:rPr>
              <w:t>Of the total, amounts related to tax</w:t>
            </w:r>
          </w:p>
        </w:tc>
        <w:tc>
          <w:tcPr>
            <w:tcW w:w="6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20"/>
              <w:spacing w:after="0"/>
              <w:rPr>
                <w:sz w:val="20"/>
                <w:szCs w:val="20"/>
                <w:color w:val="auto"/>
              </w:rPr>
            </w:pPr>
            <w:r>
              <w:rPr>
                <w:rFonts w:ascii="Arial" w:cs="Arial" w:eastAsia="Arial" w:hAnsi="Arial"/>
                <w:sz w:val="14"/>
                <w:szCs w:val="14"/>
                <w:color w:val="auto"/>
              </w:rPr>
              <w:t>positions that, if recognized, in</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20"/>
              <w:spacing w:after="0"/>
              <w:rPr>
                <w:sz w:val="20"/>
                <w:szCs w:val="20"/>
                <w:color w:val="auto"/>
              </w:rPr>
            </w:pPr>
            <w:r>
              <w:rPr>
                <w:rFonts w:ascii="Arial" w:cs="Arial" w:eastAsia="Arial" w:hAnsi="Arial"/>
                <w:sz w:val="14"/>
                <w:szCs w:val="14"/>
                <w:color w:val="auto"/>
              </w:rPr>
              <w:t>future years, would:</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80"/>
              <w:spacing w:after="0"/>
              <w:rPr>
                <w:sz w:val="20"/>
                <w:szCs w:val="20"/>
                <w:color w:val="auto"/>
              </w:rPr>
            </w:pPr>
            <w:r>
              <w:rPr>
                <w:rFonts w:ascii="Arial" w:cs="Arial" w:eastAsia="Arial" w:hAnsi="Arial"/>
                <w:sz w:val="14"/>
                <w:szCs w:val="14"/>
                <w:color w:val="auto"/>
              </w:rPr>
              <w:t>decrease the effective tax rate</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w w:val="97"/>
              </w:rPr>
              <w:t>(72)$</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(76)$</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(76)$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(5)$</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(13)$</w:t>
            </w:r>
          </w:p>
        </w:tc>
        <w:tc>
          <w:tcPr>
            <w:tcW w:w="800" w:type="dxa"/>
            <w:vAlign w:val="bottom"/>
          </w:tcPr>
          <w:p>
            <w:pPr>
              <w:ind w:left="520"/>
              <w:spacing w:after="0"/>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4"/>
        </w:trPr>
        <w:tc>
          <w:tcPr>
            <w:tcW w:w="2800" w:type="dxa"/>
            <w:vAlign w:val="bottom"/>
            <w:tcBorders>
              <w:bottom w:val="single" w:sz="8" w:color="auto"/>
            </w:tcBorders>
          </w:tcPr>
          <w:p>
            <w:pPr>
              <w:ind w:left="280"/>
              <w:spacing w:after="0" w:line="157" w:lineRule="exact"/>
              <w:rPr>
                <w:sz w:val="20"/>
                <w:szCs w:val="20"/>
                <w:color w:val="auto"/>
              </w:rPr>
            </w:pPr>
            <w:r>
              <w:rPr>
                <w:rFonts w:ascii="Arial" w:cs="Arial" w:eastAsia="Arial" w:hAnsi="Arial"/>
                <w:sz w:val="14"/>
                <w:szCs w:val="14"/>
                <w:color w:val="auto"/>
              </w:rPr>
              <w:t>increase the effective tax rate</w:t>
            </w: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13</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520"/>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the changes in unrecognized income tax benefits for the years ended December 31: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UNRECOGNIZED INCOME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60"/>
              <w:spacing w:after="0" w:line="157" w:lineRule="exact"/>
              <w:rPr>
                <w:sz w:val="20"/>
                <w:szCs w:val="20"/>
                <w:color w:val="auto"/>
              </w:rPr>
            </w:pPr>
            <w:r>
              <w:rPr>
                <w:rFonts w:ascii="Arial" w:cs="Arial" w:eastAsia="Arial" w:hAnsi="Arial"/>
                <w:sz w:val="14"/>
                <w:szCs w:val="14"/>
                <w:color w:val="auto"/>
              </w:rPr>
              <w:t>2011</w:t>
            </w: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40"/>
              <w:spacing w:after="0" w:line="157" w:lineRule="exact"/>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39"/>
              <w:spacing w:after="0" w:line="157" w:lineRule="exact"/>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490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January 1</w:t>
            </w:r>
          </w:p>
        </w:tc>
        <w:tc>
          <w:tcPr>
            <w:tcW w:w="1600" w:type="dxa"/>
            <w:vAlign w:val="bottom"/>
          </w:tcPr>
          <w:p>
            <w:pPr>
              <w:jc w:val="right"/>
              <w:ind w:right="900"/>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97</w:t>
            </w:r>
          </w:p>
        </w:tc>
        <w:tc>
          <w:tcPr>
            <w:tcW w:w="1320" w:type="dxa"/>
            <w:vAlign w:val="bottom"/>
          </w:tcPr>
          <w:p>
            <w:pPr>
              <w:jc w:val="right"/>
              <w:ind w:right="940"/>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94</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104</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Increase in prior period tax positions</w:t>
            </w:r>
          </w:p>
        </w:tc>
        <w:tc>
          <w:tcPr>
            <w:tcW w:w="16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7</w:t>
            </w:r>
          </w:p>
        </w:tc>
        <w:tc>
          <w:tcPr>
            <w:tcW w:w="1320" w:type="dxa"/>
            <w:vAlign w:val="bottom"/>
          </w:tcPr>
          <w:p>
            <w:pPr>
              <w:spacing w:after="0"/>
              <w:rPr>
                <w:sz w:val="15"/>
                <w:szCs w:val="15"/>
                <w:color w:val="auto"/>
              </w:rPr>
            </w:pP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29</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Decrease in prior period tax positions</w:t>
            </w:r>
          </w:p>
        </w:tc>
        <w:tc>
          <w:tcPr>
            <w:tcW w:w="1600" w:type="dxa"/>
            <w:vAlign w:val="bottom"/>
          </w:tcPr>
          <w:p>
            <w:pPr>
              <w:spacing w:after="0"/>
              <w:rPr>
                <w:sz w:val="15"/>
                <w:szCs w:val="15"/>
                <w:color w:val="auto"/>
              </w:rPr>
            </w:pPr>
          </w:p>
        </w:tc>
        <w:tc>
          <w:tcPr>
            <w:tcW w:w="8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(26)</w:t>
            </w:r>
          </w:p>
        </w:tc>
        <w:tc>
          <w:tcPr>
            <w:tcW w:w="1320" w:type="dxa"/>
            <w:vAlign w:val="bottom"/>
          </w:tcPr>
          <w:p>
            <w:pPr>
              <w:spacing w:after="0"/>
              <w:rPr>
                <w:sz w:val="15"/>
                <w:szCs w:val="15"/>
                <w:color w:val="auto"/>
              </w:rPr>
            </w:pPr>
          </w:p>
        </w:tc>
        <w:tc>
          <w:tcPr>
            <w:tcW w:w="8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Increase in current period tax positions</w:t>
            </w:r>
          </w:p>
        </w:tc>
        <w:tc>
          <w:tcPr>
            <w:tcW w:w="16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3</w:t>
            </w:r>
          </w:p>
        </w:tc>
        <w:tc>
          <w:tcPr>
            <w:tcW w:w="1320" w:type="dxa"/>
            <w:vAlign w:val="bottom"/>
          </w:tcPr>
          <w:p>
            <w:pPr>
              <w:spacing w:after="0"/>
              <w:rPr>
                <w:sz w:val="15"/>
                <w:szCs w:val="15"/>
                <w:color w:val="auto"/>
              </w:rPr>
            </w:pP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5</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Settlements with taxing authorities</w:t>
            </w:r>
          </w:p>
        </w:tc>
        <w:tc>
          <w:tcPr>
            <w:tcW w:w="1600" w:type="dxa"/>
            <w:vAlign w:val="bottom"/>
          </w:tcPr>
          <w:p>
            <w:pPr>
              <w:spacing w:after="0"/>
              <w:rPr>
                <w:sz w:val="15"/>
                <w:szCs w:val="15"/>
                <w:color w:val="auto"/>
              </w:rPr>
            </w:pPr>
          </w:p>
        </w:tc>
        <w:tc>
          <w:tcPr>
            <w:tcW w:w="8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(9)</w:t>
            </w:r>
          </w:p>
        </w:tc>
        <w:tc>
          <w:tcPr>
            <w:tcW w:w="1320" w:type="dxa"/>
            <w:vAlign w:val="bottom"/>
          </w:tcPr>
          <w:p>
            <w:pPr>
              <w:spacing w:after="0"/>
              <w:rPr>
                <w:sz w:val="15"/>
                <w:szCs w:val="15"/>
                <w:color w:val="auto"/>
              </w:rPr>
            </w:pPr>
          </w:p>
        </w:tc>
        <w:tc>
          <w:tcPr>
            <w:tcW w:w="8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(9)</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r>
      <w:tr>
        <w:trPr>
          <w:trHeight w:val="194"/>
        </w:trPr>
        <w:tc>
          <w:tcPr>
            <w:tcW w:w="20" w:type="dxa"/>
            <w:vAlign w:val="bottom"/>
          </w:tcPr>
          <w:p>
            <w:pPr>
              <w:spacing w:after="0"/>
              <w:rPr>
                <w:sz w:val="16"/>
                <w:szCs w:val="16"/>
                <w:color w:val="auto"/>
              </w:rPr>
            </w:pPr>
          </w:p>
        </w:tc>
        <w:tc>
          <w:tcPr>
            <w:tcW w:w="4900" w:type="dxa"/>
            <w:vAlign w:val="bottom"/>
          </w:tcPr>
          <w:p>
            <w:pPr>
              <w:ind w:left="160"/>
              <w:spacing w:after="0"/>
              <w:rPr>
                <w:sz w:val="20"/>
                <w:szCs w:val="20"/>
                <w:color w:val="auto"/>
              </w:rPr>
            </w:pPr>
            <w:r>
              <w:rPr>
                <w:rFonts w:ascii="Arial" w:cs="Arial" w:eastAsia="Arial" w:hAnsi="Arial"/>
                <w:sz w:val="16"/>
                <w:szCs w:val="16"/>
                <w:color w:val="auto"/>
              </w:rPr>
              <w:t>Expirations of statutes of limitations</w:t>
            </w:r>
          </w:p>
        </w:tc>
        <w:tc>
          <w:tcPr>
            <w:tcW w:w="1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83"/>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December 31</w:t>
            </w:r>
          </w:p>
        </w:tc>
        <w:tc>
          <w:tcPr>
            <w:tcW w:w="1600" w:type="dxa"/>
            <w:vAlign w:val="bottom"/>
          </w:tcPr>
          <w:p>
            <w:pPr>
              <w:jc w:val="right"/>
              <w:ind w:right="900"/>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72</w:t>
            </w:r>
          </w:p>
        </w:tc>
        <w:tc>
          <w:tcPr>
            <w:tcW w:w="1320" w:type="dxa"/>
            <w:vAlign w:val="bottom"/>
          </w:tcPr>
          <w:p>
            <w:pPr>
              <w:jc w:val="right"/>
              <w:ind w:right="940"/>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97</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94</w:t>
            </w:r>
          </w:p>
        </w:tc>
      </w:tr>
      <w:tr>
        <w:trPr>
          <w:trHeight w:val="191"/>
        </w:trPr>
        <w:tc>
          <w:tcPr>
            <w:tcW w:w="20" w:type="dxa"/>
            <w:vAlign w:val="bottom"/>
          </w:tcPr>
          <w:p>
            <w:pPr>
              <w:spacing w:after="0"/>
              <w:rPr>
                <w:sz w:val="16"/>
                <w:szCs w:val="16"/>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SDG&amp;E:</w:t>
            </w:r>
          </w:p>
        </w:tc>
        <w:tc>
          <w:tcPr>
            <w:tcW w:w="16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January 1</w:t>
            </w:r>
          </w:p>
        </w:tc>
        <w:tc>
          <w:tcPr>
            <w:tcW w:w="1600" w:type="dxa"/>
            <w:vAlign w:val="bottom"/>
          </w:tcPr>
          <w:p>
            <w:pPr>
              <w:jc w:val="right"/>
              <w:ind w:right="900"/>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5</w:t>
            </w:r>
          </w:p>
        </w:tc>
        <w:tc>
          <w:tcPr>
            <w:tcW w:w="1320" w:type="dxa"/>
            <w:vAlign w:val="bottom"/>
          </w:tcPr>
          <w:p>
            <w:pPr>
              <w:jc w:val="right"/>
              <w:ind w:right="940"/>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14</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Increase in prior period tax positions</w:t>
            </w:r>
          </w:p>
        </w:tc>
        <w:tc>
          <w:tcPr>
            <w:tcW w:w="16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Decrease in prior period tax positions</w:t>
            </w:r>
          </w:p>
        </w:tc>
        <w:tc>
          <w:tcPr>
            <w:tcW w:w="16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8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Increase in current period tax positions</w:t>
            </w:r>
          </w:p>
        </w:tc>
        <w:tc>
          <w:tcPr>
            <w:tcW w:w="16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2</w:t>
            </w:r>
          </w:p>
        </w:tc>
        <w:tc>
          <w:tcPr>
            <w:tcW w:w="1320" w:type="dxa"/>
            <w:vAlign w:val="bottom"/>
          </w:tcPr>
          <w:p>
            <w:pPr>
              <w:spacing w:after="0"/>
              <w:rPr>
                <w:sz w:val="15"/>
                <w:szCs w:val="15"/>
                <w:color w:val="auto"/>
              </w:rPr>
            </w:pP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3</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94"/>
        </w:trPr>
        <w:tc>
          <w:tcPr>
            <w:tcW w:w="20" w:type="dxa"/>
            <w:vAlign w:val="bottom"/>
          </w:tcPr>
          <w:p>
            <w:pPr>
              <w:spacing w:after="0"/>
              <w:rPr>
                <w:sz w:val="16"/>
                <w:szCs w:val="16"/>
                <w:color w:val="auto"/>
              </w:rPr>
            </w:pPr>
          </w:p>
        </w:tc>
        <w:tc>
          <w:tcPr>
            <w:tcW w:w="4900" w:type="dxa"/>
            <w:vAlign w:val="bottom"/>
          </w:tcPr>
          <w:p>
            <w:pPr>
              <w:ind w:left="160"/>
              <w:spacing w:after="0"/>
              <w:rPr>
                <w:sz w:val="20"/>
                <w:szCs w:val="20"/>
                <w:color w:val="auto"/>
              </w:rPr>
            </w:pPr>
            <w:r>
              <w:rPr>
                <w:rFonts w:ascii="Arial" w:cs="Arial" w:eastAsia="Arial" w:hAnsi="Arial"/>
                <w:sz w:val="16"/>
                <w:szCs w:val="16"/>
                <w:color w:val="auto"/>
              </w:rPr>
              <w:t>Settlements with taxing authorities</w:t>
            </w:r>
          </w:p>
        </w:tc>
        <w:tc>
          <w:tcPr>
            <w:tcW w:w="1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83"/>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December 31</w:t>
            </w:r>
          </w:p>
        </w:tc>
        <w:tc>
          <w:tcPr>
            <w:tcW w:w="1600" w:type="dxa"/>
            <w:vAlign w:val="bottom"/>
          </w:tcPr>
          <w:p>
            <w:pPr>
              <w:jc w:val="right"/>
              <w:ind w:right="900"/>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7</w:t>
            </w:r>
          </w:p>
        </w:tc>
        <w:tc>
          <w:tcPr>
            <w:tcW w:w="1320" w:type="dxa"/>
            <w:vAlign w:val="bottom"/>
          </w:tcPr>
          <w:p>
            <w:pPr>
              <w:jc w:val="right"/>
              <w:ind w:right="940"/>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5</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r>
      <w:tr>
        <w:trPr>
          <w:trHeight w:val="191"/>
        </w:trPr>
        <w:tc>
          <w:tcPr>
            <w:tcW w:w="20" w:type="dxa"/>
            <w:vAlign w:val="bottom"/>
          </w:tcPr>
          <w:p>
            <w:pPr>
              <w:spacing w:after="0"/>
              <w:rPr>
                <w:sz w:val="16"/>
                <w:szCs w:val="16"/>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SoCalGas:</w:t>
            </w:r>
          </w:p>
        </w:tc>
        <w:tc>
          <w:tcPr>
            <w:tcW w:w="16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January 1</w:t>
            </w:r>
          </w:p>
        </w:tc>
        <w:tc>
          <w:tcPr>
            <w:tcW w:w="1600" w:type="dxa"/>
            <w:vAlign w:val="bottom"/>
          </w:tcPr>
          <w:p>
            <w:pPr>
              <w:jc w:val="right"/>
              <w:ind w:right="900"/>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8</w:t>
            </w:r>
          </w:p>
        </w:tc>
        <w:tc>
          <w:tcPr>
            <w:tcW w:w="1320" w:type="dxa"/>
            <w:vAlign w:val="bottom"/>
          </w:tcPr>
          <w:p>
            <w:pPr>
              <w:jc w:val="right"/>
              <w:ind w:right="940"/>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11</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Increase in prior period tax positions</w:t>
            </w:r>
          </w:p>
        </w:tc>
        <w:tc>
          <w:tcPr>
            <w:tcW w:w="16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2</w:t>
            </w:r>
          </w:p>
        </w:tc>
        <w:tc>
          <w:tcPr>
            <w:tcW w:w="1320" w:type="dxa"/>
            <w:vAlign w:val="bottom"/>
          </w:tcPr>
          <w:p>
            <w:pPr>
              <w:spacing w:after="0"/>
              <w:rPr>
                <w:sz w:val="15"/>
                <w:szCs w:val="15"/>
                <w:color w:val="auto"/>
              </w:rPr>
            </w:pP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5</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4900" w:type="dxa"/>
            <w:vAlign w:val="bottom"/>
          </w:tcPr>
          <w:p>
            <w:pPr>
              <w:ind w:left="160"/>
              <w:spacing w:after="0" w:line="176" w:lineRule="exact"/>
              <w:rPr>
                <w:sz w:val="20"/>
                <w:szCs w:val="20"/>
                <w:color w:val="auto"/>
              </w:rPr>
            </w:pPr>
            <w:r>
              <w:rPr>
                <w:rFonts w:ascii="Arial" w:cs="Arial" w:eastAsia="Arial" w:hAnsi="Arial"/>
                <w:sz w:val="16"/>
                <w:szCs w:val="16"/>
                <w:color w:val="auto"/>
              </w:rPr>
              <w:t>Settlements with taxing authorities</w:t>
            </w:r>
          </w:p>
        </w:tc>
        <w:tc>
          <w:tcPr>
            <w:tcW w:w="1600" w:type="dxa"/>
            <w:vAlign w:val="bottom"/>
          </w:tcPr>
          <w:p>
            <w:pPr>
              <w:spacing w:after="0"/>
              <w:rPr>
                <w:sz w:val="15"/>
                <w:szCs w:val="15"/>
                <w:color w:val="auto"/>
              </w:rPr>
            </w:pPr>
          </w:p>
        </w:tc>
        <w:tc>
          <w:tcPr>
            <w:tcW w:w="8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(10)</w:t>
            </w:r>
          </w:p>
        </w:tc>
        <w:tc>
          <w:tcPr>
            <w:tcW w:w="1320" w:type="dxa"/>
            <w:vAlign w:val="bottom"/>
          </w:tcPr>
          <w:p>
            <w:pPr>
              <w:spacing w:after="0"/>
              <w:rPr>
                <w:sz w:val="15"/>
                <w:szCs w:val="15"/>
                <w:color w:val="auto"/>
              </w:rPr>
            </w:pP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20" w:type="dxa"/>
            <w:vAlign w:val="bottom"/>
          </w:tcPr>
          <w:p>
            <w:pPr>
              <w:spacing w:after="0"/>
              <w:rPr>
                <w:sz w:val="16"/>
                <w:szCs w:val="16"/>
                <w:color w:val="auto"/>
              </w:rPr>
            </w:pPr>
          </w:p>
        </w:tc>
        <w:tc>
          <w:tcPr>
            <w:tcW w:w="4900" w:type="dxa"/>
            <w:vAlign w:val="bottom"/>
          </w:tcPr>
          <w:p>
            <w:pPr>
              <w:ind w:left="160"/>
              <w:spacing w:after="0"/>
              <w:rPr>
                <w:sz w:val="20"/>
                <w:szCs w:val="20"/>
                <w:color w:val="auto"/>
              </w:rPr>
            </w:pPr>
            <w:r>
              <w:rPr>
                <w:rFonts w:ascii="Arial" w:cs="Arial" w:eastAsia="Arial" w:hAnsi="Arial"/>
                <w:sz w:val="16"/>
                <w:szCs w:val="16"/>
                <w:color w:val="auto"/>
              </w:rPr>
              <w:t>Expirations of statutes of limitations</w:t>
            </w:r>
          </w:p>
        </w:tc>
        <w:tc>
          <w:tcPr>
            <w:tcW w:w="1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w:t>
            </w: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76"/>
        </w:trPr>
        <w:tc>
          <w:tcPr>
            <w:tcW w:w="492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December 31</w:t>
            </w:r>
          </w:p>
        </w:tc>
        <w:tc>
          <w:tcPr>
            <w:tcW w:w="1600" w:type="dxa"/>
            <w:vAlign w:val="bottom"/>
          </w:tcPr>
          <w:p>
            <w:pPr>
              <w:jc w:val="right"/>
              <w:ind w:right="900"/>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940"/>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8</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27"/>
        </w:trPr>
        <w:tc>
          <w:tcPr>
            <w:tcW w:w="20" w:type="dxa"/>
            <w:vAlign w:val="bottom"/>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reasonably possible that within the next 12 months unrecognized income tax benefits could decrease due to the following:</w:t>
      </w:r>
    </w:p>
    <w:p>
      <w:pPr>
        <w:spacing w:after="0" w:line="221" w:lineRule="exact"/>
        <w:rPr>
          <w:sz w:val="20"/>
          <w:szCs w:val="20"/>
          <w:color w:val="auto"/>
        </w:rPr>
      </w:pPr>
    </w:p>
    <w:p>
      <w:pPr>
        <w:ind w:right="4480"/>
        <w:spacing w:after="0" w:line="243" w:lineRule="auto"/>
        <w:rPr>
          <w:sz w:val="20"/>
          <w:szCs w:val="20"/>
          <w:color w:val="auto"/>
        </w:rPr>
      </w:pPr>
      <w:r>
        <w:rPr>
          <w:rFonts w:ascii="Arial" w:cs="Arial" w:eastAsia="Arial" w:hAnsi="Arial"/>
          <w:sz w:val="16"/>
          <w:szCs w:val="16"/>
          <w:b w:val="1"/>
          <w:bCs w:val="1"/>
          <w:color w:val="auto"/>
        </w:rPr>
        <w:t xml:space="preserve">POSSIBLE DECREASES IN UNRECOGNIZED INCOME TAX BENEFITS WITHIN 12 MONTHS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left="5"/>
              <w:spacing w:after="0" w:line="159" w:lineRule="exact"/>
              <w:rPr>
                <w:sz w:val="20"/>
                <w:szCs w:val="20"/>
                <w:color w:val="auto"/>
              </w:rPr>
            </w:pPr>
            <w:r>
              <w:rPr>
                <w:rFonts w:ascii="Arial" w:cs="Arial" w:eastAsia="Arial" w:hAnsi="Arial"/>
                <w:sz w:val="14"/>
                <w:szCs w:val="14"/>
                <w:color w:val="auto"/>
              </w:rPr>
              <w:t>At December 31,</w:t>
            </w: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3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6360" w:type="dxa"/>
            <w:vAlign w:val="bottom"/>
            <w:gridSpan w:val="2"/>
          </w:tcPr>
          <w:p>
            <w:pPr>
              <w:spacing w:after="0" w:line="176" w:lineRule="exact"/>
              <w:rPr>
                <w:sz w:val="20"/>
                <w:szCs w:val="20"/>
                <w:color w:val="auto"/>
              </w:rPr>
            </w:pPr>
            <w:r>
              <w:rPr>
                <w:rFonts w:ascii="Arial" w:cs="Arial" w:eastAsia="Arial" w:hAnsi="Arial"/>
                <w:sz w:val="16"/>
                <w:szCs w:val="16"/>
                <w:color w:val="auto"/>
              </w:rPr>
              <w:t>Expiration of statutes of limitations on tax assessments</w:t>
            </w:r>
          </w:p>
        </w:tc>
        <w:tc>
          <w:tcPr>
            <w:tcW w:w="1240" w:type="dxa"/>
            <w:vAlign w:val="bottom"/>
          </w:tcPr>
          <w:p>
            <w:pPr>
              <w:jc w:val="right"/>
              <w:ind w:right="743"/>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(7)</w:t>
            </w:r>
          </w:p>
        </w:tc>
        <w:tc>
          <w:tcPr>
            <w:tcW w:w="1280" w:type="dxa"/>
            <w:vAlign w:val="bottom"/>
          </w:tcPr>
          <w:p>
            <w:pPr>
              <w:jc w:val="right"/>
              <w:ind w:right="945"/>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(6)</w:t>
            </w:r>
          </w:p>
        </w:tc>
        <w:tc>
          <w:tcPr>
            <w:tcW w:w="3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195"/>
        </w:trPr>
        <w:tc>
          <w:tcPr>
            <w:tcW w:w="6360" w:type="dxa"/>
            <w:vAlign w:val="bottom"/>
            <w:gridSpan w:val="2"/>
          </w:tcPr>
          <w:p>
            <w:pPr>
              <w:spacing w:after="0"/>
              <w:rPr>
                <w:sz w:val="20"/>
                <w:szCs w:val="20"/>
                <w:color w:val="auto"/>
              </w:rPr>
            </w:pPr>
            <w:r>
              <w:rPr>
                <w:rFonts w:ascii="Arial" w:cs="Arial" w:eastAsia="Arial" w:hAnsi="Arial"/>
                <w:sz w:val="16"/>
                <w:szCs w:val="16"/>
                <w:color w:val="auto"/>
              </w:rPr>
              <w:t>Potential resolution of audit issues with various</w:t>
            </w: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ectPr>
          <w:pgSz w:w="11900" w:h="16918" w:orient="portrait"/>
          <w:cols w:equalWidth="0" w:num="1">
            <w:col w:w="11420"/>
          </w:cols>
          <w:pgMar w:left="240" w:top="125" w:right="239" w:bottom="0" w:gutter="0" w:footer="0" w:header="0"/>
        </w:sectPr>
      </w:pPr>
    </w:p>
    <w:bookmarkStart w:id="230" w:name="page231"/>
    <w:bookmarkEnd w:id="2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340" w:type="dxa"/>
            <w:vAlign w:val="bottom"/>
          </w:tcPr>
          <w:p>
            <w:pPr>
              <w:ind w:left="220"/>
              <w:spacing w:after="0"/>
              <w:rPr>
                <w:sz w:val="20"/>
                <w:szCs w:val="20"/>
                <w:color w:val="auto"/>
              </w:rPr>
            </w:pPr>
            <w:r>
              <w:rPr>
                <w:rFonts w:ascii="Arial" w:cs="Arial" w:eastAsia="Arial" w:hAnsi="Arial"/>
                <w:sz w:val="16"/>
                <w:szCs w:val="16"/>
                <w:color w:val="auto"/>
              </w:rPr>
              <w:t>U.S. federal, state and local and non-U.S. taxing authorities</w:t>
            </w:r>
          </w:p>
        </w:tc>
        <w:tc>
          <w:tcPr>
            <w:tcW w:w="9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w:t>
            </w:r>
          </w:p>
        </w:tc>
        <w:tc>
          <w:tcPr>
            <w:tcW w:w="7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94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ind w:left="540"/>
              <w:spacing w:after="0" w:line="176" w:lineRule="exact"/>
              <w:rPr>
                <w:sz w:val="20"/>
                <w:szCs w:val="20"/>
                <w:color w:val="auto"/>
              </w:rPr>
            </w:pPr>
            <w:r>
              <w:rPr>
                <w:rFonts w:ascii="Arial" w:cs="Arial" w:eastAsia="Arial" w:hAnsi="Arial"/>
                <w:sz w:val="16"/>
                <w:szCs w:val="16"/>
                <w:color w:val="auto"/>
              </w:rPr>
              <w:t>(7)</w:t>
            </w:r>
          </w:p>
        </w:tc>
        <w:tc>
          <w:tcPr>
            <w:tcW w:w="7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(41)</w:t>
            </w:r>
          </w:p>
        </w:tc>
        <w:tc>
          <w:tcPr>
            <w:tcW w:w="74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34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SDG&amp;E</w:t>
            </w:r>
          </w:p>
        </w:tc>
        <w:tc>
          <w:tcPr>
            <w:tcW w:w="940" w:type="dxa"/>
            <w:vAlign w:val="bottom"/>
            <w:tcBorders>
              <w:top w:val="single" w:sz="8" w:color="auto"/>
              <w:bottom w:val="single" w:sz="8" w:color="auto"/>
            </w:tcBorders>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ind w:left="540"/>
              <w:spacing w:after="0" w:line="176"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36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60" w:type="dxa"/>
            <w:vAlign w:val="bottom"/>
            <w:gridSpan w:val="2"/>
          </w:tcPr>
          <w:p>
            <w:pPr>
              <w:spacing w:after="0" w:line="176" w:lineRule="exact"/>
              <w:rPr>
                <w:sz w:val="20"/>
                <w:szCs w:val="20"/>
                <w:color w:val="auto"/>
              </w:rPr>
            </w:pPr>
            <w:r>
              <w:rPr>
                <w:rFonts w:ascii="Arial" w:cs="Arial" w:eastAsia="Arial" w:hAnsi="Arial"/>
                <w:sz w:val="16"/>
                <w:szCs w:val="16"/>
                <w:color w:val="auto"/>
              </w:rPr>
              <w:t>Expiration of statutes of limitations on tax assessments</w:t>
            </w:r>
          </w:p>
        </w:tc>
        <w:tc>
          <w:tcPr>
            <w:tcW w:w="94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ind w:left="540"/>
              <w:spacing w:after="0" w:line="176"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(5)</w:t>
            </w:r>
          </w:p>
        </w:tc>
        <w:tc>
          <w:tcPr>
            <w:tcW w:w="74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5"/>
        </w:trPr>
        <w:tc>
          <w:tcPr>
            <w:tcW w:w="6360" w:type="dxa"/>
            <w:vAlign w:val="bottom"/>
            <w:gridSpan w:val="2"/>
          </w:tcPr>
          <w:p>
            <w:pPr>
              <w:spacing w:after="0"/>
              <w:rPr>
                <w:sz w:val="20"/>
                <w:szCs w:val="20"/>
                <w:color w:val="auto"/>
              </w:rPr>
            </w:pPr>
            <w:r>
              <w:rPr>
                <w:rFonts w:ascii="Arial" w:cs="Arial" w:eastAsia="Arial" w:hAnsi="Arial"/>
                <w:sz w:val="16"/>
                <w:szCs w:val="16"/>
                <w:color w:val="auto"/>
              </w:rPr>
              <w:t>Potential resolution of audit issues with various</w:t>
            </w:r>
          </w:p>
        </w:tc>
        <w:tc>
          <w:tcPr>
            <w:tcW w:w="940" w:type="dxa"/>
            <w:vAlign w:val="bottom"/>
          </w:tcPr>
          <w:p>
            <w:pPr>
              <w:spacing w:after="0"/>
              <w:rPr>
                <w:sz w:val="16"/>
                <w:szCs w:val="16"/>
                <w:color w:val="auto"/>
              </w:rPr>
            </w:pPr>
          </w:p>
        </w:tc>
        <w:tc>
          <w:tcPr>
            <w:tcW w:w="90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9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6"/>
                <w:szCs w:val="16"/>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20"/>
              <w:spacing w:after="0" w:line="168" w:lineRule="exact"/>
              <w:rPr>
                <w:sz w:val="20"/>
                <w:szCs w:val="20"/>
                <w:color w:val="auto"/>
              </w:rPr>
            </w:pPr>
            <w:r>
              <w:rPr>
                <w:rFonts w:ascii="Arial" w:cs="Arial" w:eastAsia="Arial" w:hAnsi="Arial"/>
                <w:sz w:val="16"/>
                <w:szCs w:val="16"/>
                <w:color w:val="auto"/>
              </w:rPr>
              <w:t>U.S. federal, state and local taxing authorities</w:t>
            </w:r>
          </w:p>
        </w:tc>
        <w:tc>
          <w:tcPr>
            <w:tcW w:w="9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540"/>
              <w:spacing w:after="0" w:line="176"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(5)</w:t>
            </w:r>
          </w:p>
        </w:tc>
        <w:tc>
          <w:tcPr>
            <w:tcW w:w="740" w:type="dxa"/>
            <w:vAlign w:val="bottom"/>
            <w:tcBorders>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20"/>
              <w:spacing w:after="0" w:line="17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Amounts accrued for interest expense and penalties associated with unrecognized income tax benefits are included in income tax expense in the Consolidated Statements of Operations for the years ended December 31 as follows:</w:t>
      </w:r>
    </w:p>
    <w:p>
      <w:pPr>
        <w:spacing w:after="0" w:line="167" w:lineRule="exact"/>
        <w:rPr>
          <w:sz w:val="20"/>
          <w:szCs w:val="20"/>
          <w:color w:val="auto"/>
        </w:rPr>
      </w:pPr>
    </w:p>
    <w:p>
      <w:pPr>
        <w:ind w:right="3660"/>
        <w:spacing w:after="0" w:line="252" w:lineRule="auto"/>
        <w:rPr>
          <w:sz w:val="20"/>
          <w:szCs w:val="20"/>
          <w:color w:val="auto"/>
        </w:rPr>
      </w:pPr>
      <w:r>
        <w:rPr>
          <w:rFonts w:ascii="Arial" w:cs="Arial" w:eastAsia="Arial" w:hAnsi="Arial"/>
          <w:sz w:val="16"/>
          <w:szCs w:val="16"/>
          <w:b w:val="1"/>
          <w:bCs w:val="1"/>
          <w:color w:val="auto"/>
        </w:rPr>
        <w:t xml:space="preserve">INTEREST EXPENSE AND PENALTIES ASSOCIATED WITH UNRECOGNIZED INCOME TAX BENEFITS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2228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color w:val="auto"/>
              </w:rPr>
              <w:t>Sempra Energy</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4"/>
        </w:trPr>
        <w:tc>
          <w:tcPr>
            <w:tcW w:w="2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left="183"/>
              <w:spacing w:after="0" w:line="157" w:lineRule="exact"/>
              <w:rPr>
                <w:sz w:val="20"/>
                <w:szCs w:val="20"/>
                <w:color w:val="auto"/>
              </w:rPr>
            </w:pPr>
            <w:r>
              <w:rPr>
                <w:rFonts w:ascii="Arial" w:cs="Arial" w:eastAsia="Arial" w:hAnsi="Arial"/>
                <w:sz w:val="14"/>
                <w:szCs w:val="14"/>
                <w:color w:val="auto"/>
              </w:rPr>
              <w:t>Consolidated</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3"/>
              <w:spacing w:after="0" w:line="157" w:lineRule="exact"/>
              <w:rPr>
                <w:sz w:val="20"/>
                <w:szCs w:val="20"/>
                <w:color w:val="auto"/>
              </w:rPr>
            </w:pPr>
            <w:r>
              <w:rPr>
                <w:rFonts w:ascii="Arial" w:cs="Arial" w:eastAsia="Arial" w:hAnsi="Arial"/>
                <w:sz w:val="14"/>
                <w:szCs w:val="14"/>
                <w:color w:val="auto"/>
              </w:rPr>
              <w:t>SDG&amp;E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
              <w:spacing w:after="0" w:line="157" w:lineRule="exact"/>
              <w:rPr>
                <w:sz w:val="20"/>
                <w:szCs w:val="20"/>
                <w:color w:val="auto"/>
              </w:rPr>
            </w:pPr>
            <w:r>
              <w:rPr>
                <w:rFonts w:ascii="Arial" w:cs="Arial" w:eastAsia="Arial" w:hAnsi="Arial"/>
                <w:sz w:val="14"/>
                <w:szCs w:val="14"/>
                <w:color w:val="auto"/>
              </w:rPr>
              <w:t>SoCalGas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9"/>
        </w:trPr>
        <w:tc>
          <w:tcPr>
            <w:tcW w:w="2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2009</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2009</w:t>
            </w:r>
          </w:p>
        </w:tc>
      </w:tr>
      <w:tr>
        <w:trPr>
          <w:trHeight w:val="191"/>
        </w:trPr>
        <w:tc>
          <w:tcPr>
            <w:tcW w:w="2660" w:type="dxa"/>
            <w:vAlign w:val="bottom"/>
          </w:tcPr>
          <w:p>
            <w:pPr>
              <w:spacing w:after="0"/>
              <w:rPr>
                <w:sz w:val="20"/>
                <w:szCs w:val="20"/>
                <w:color w:val="auto"/>
              </w:rPr>
            </w:pPr>
            <w:r>
              <w:rPr>
                <w:rFonts w:ascii="Arial" w:cs="Arial" w:eastAsia="Arial" w:hAnsi="Arial"/>
                <w:sz w:val="16"/>
                <w:szCs w:val="16"/>
                <w:color w:val="auto"/>
              </w:rPr>
              <w:t>Interest expense (benefit)</w:t>
            </w:r>
          </w:p>
        </w:tc>
        <w:tc>
          <w:tcPr>
            <w:tcW w:w="660" w:type="dxa"/>
            <w:vAlign w:val="bottom"/>
          </w:tcPr>
          <w:p>
            <w:pPr>
              <w:jc w:val="right"/>
              <w:ind w:right="483"/>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60"/>
              <w:spacing w:after="0"/>
              <w:rPr>
                <w:sz w:val="20"/>
                <w:szCs w:val="20"/>
                <w:color w:val="auto"/>
              </w:rPr>
            </w:pPr>
            <w:r>
              <w:rPr>
                <w:rFonts w:ascii="Arial" w:cs="Arial" w:eastAsia="Arial" w:hAnsi="Arial"/>
                <w:sz w:val="16"/>
                <w:szCs w:val="16"/>
                <w:color w:val="auto"/>
              </w:rPr>
              <w:t>(3)$</w:t>
            </w: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ind w:left="520"/>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20"/>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540"/>
              <w:spacing w:after="0"/>
              <w:rPr>
                <w:sz w:val="20"/>
                <w:szCs w:val="20"/>
                <w:color w:val="auto"/>
              </w:rPr>
            </w:pPr>
            <w:r>
              <w:rPr>
                <w:rFonts w:ascii="Arial" w:cs="Arial" w:eastAsia="Arial" w:hAnsi="Arial"/>
                <w:sz w:val="16"/>
                <w:szCs w:val="16"/>
                <w:color w:val="auto"/>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4"/>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Penalties</w:t>
            </w: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accrued at December 31 on the Consolidated Balance Sheets for interest expense and penalties associated with unrecognized income tax benefits are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INTEREST EXPENSE AND PENALTIES ASSOCIATED WITH UNRECOGNIZED INCOME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3500" w:type="dxa"/>
            <w:vAlign w:val="bottom"/>
          </w:tcPr>
          <w:p>
            <w:pPr>
              <w:spacing w:after="0"/>
              <w:rPr>
                <w:sz w:val="14"/>
                <w:szCs w:val="14"/>
                <w:color w:val="auto"/>
              </w:rPr>
            </w:pPr>
          </w:p>
        </w:tc>
        <w:tc>
          <w:tcPr>
            <w:tcW w:w="2100" w:type="dxa"/>
            <w:vAlign w:val="bottom"/>
            <w:gridSpan w:val="2"/>
          </w:tcPr>
          <w:p>
            <w:pPr>
              <w:jc w:val="center"/>
              <w:ind w:left="227"/>
              <w:spacing w:after="0"/>
              <w:rPr>
                <w:sz w:val="20"/>
                <w:szCs w:val="20"/>
                <w:color w:val="auto"/>
              </w:rPr>
            </w:pPr>
            <w:r>
              <w:rPr>
                <w:rFonts w:ascii="Arial" w:cs="Arial" w:eastAsia="Arial" w:hAnsi="Arial"/>
                <w:sz w:val="14"/>
                <w:szCs w:val="14"/>
                <w:color w:val="auto"/>
              </w:rPr>
              <w:t>Sempra Energy</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4"/>
        </w:trPr>
        <w:tc>
          <w:tcPr>
            <w:tcW w:w="35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83"/>
              <w:spacing w:after="0" w:line="157" w:lineRule="exact"/>
              <w:rPr>
                <w:sz w:val="20"/>
                <w:szCs w:val="20"/>
                <w:color w:val="auto"/>
              </w:rPr>
            </w:pPr>
            <w:r>
              <w:rPr>
                <w:rFonts w:ascii="Arial" w:cs="Arial" w:eastAsia="Arial" w:hAnsi="Arial"/>
                <w:sz w:val="14"/>
                <w:szCs w:val="14"/>
                <w:color w:val="auto"/>
              </w:rPr>
              <w:t>Consolidated</w:t>
            </w: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9"/>
              <w:spacing w:after="0" w:line="157" w:lineRule="exact"/>
              <w:rPr>
                <w:sz w:val="20"/>
                <w:szCs w:val="20"/>
                <w:color w:val="auto"/>
              </w:rPr>
            </w:pPr>
            <w:r>
              <w:rPr>
                <w:rFonts w:ascii="Arial" w:cs="Arial" w:eastAsia="Arial" w:hAnsi="Arial"/>
                <w:sz w:val="14"/>
                <w:szCs w:val="14"/>
                <w:color w:val="auto"/>
              </w:rPr>
              <w:t>SDG&amp;E</w:t>
            </w: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SoCalGas</w:t>
            </w:r>
          </w:p>
        </w:tc>
        <w:tc>
          <w:tcPr>
            <w:tcW w:w="840" w:type="dxa"/>
            <w:vAlign w:val="bottom"/>
            <w:tcBorders>
              <w:bottom w:val="single" w:sz="8" w:color="auto"/>
            </w:tcBorders>
          </w:tcPr>
          <w:p>
            <w:pPr>
              <w:spacing w:after="0"/>
              <w:rPr>
                <w:sz w:val="14"/>
                <w:szCs w:val="14"/>
                <w:color w:val="auto"/>
              </w:rPr>
            </w:pPr>
          </w:p>
        </w:tc>
      </w:tr>
      <w:tr>
        <w:trPr>
          <w:trHeight w:val="169"/>
        </w:trPr>
        <w:tc>
          <w:tcPr>
            <w:tcW w:w="3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2010</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Interest expense (benefit)</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300"/>
              <w:spacing w:after="0"/>
              <w:rPr>
                <w:sz w:val="20"/>
                <w:szCs w:val="20"/>
                <w:color w:val="auto"/>
              </w:rPr>
            </w:pPr>
            <w:r>
              <w:rPr>
                <w:rFonts w:ascii="Arial" w:cs="Arial" w:eastAsia="Arial" w:hAnsi="Arial"/>
                <w:sz w:val="16"/>
                <w:szCs w:val="16"/>
                <w:color w:val="auto"/>
              </w:rPr>
              <w:t>3 $</w:t>
            </w:r>
          </w:p>
        </w:tc>
        <w:tc>
          <w:tcPr>
            <w:tcW w:w="300" w:type="dxa"/>
            <w:vAlign w:val="bottom"/>
          </w:tcPr>
          <w:p>
            <w:pPr>
              <w:jc w:val="right"/>
              <w:spacing w:after="0"/>
              <w:rPr>
                <w:sz w:val="20"/>
                <w:szCs w:val="20"/>
                <w:color w:val="auto"/>
              </w:rPr>
            </w:pPr>
            <w:r>
              <w:rPr>
                <w:rFonts w:ascii="Arial" w:cs="Arial" w:eastAsia="Arial" w:hAnsi="Arial"/>
                <w:sz w:val="16"/>
                <w:szCs w:val="16"/>
                <w:color w:val="auto"/>
              </w:rPr>
              <w:t>6</w:t>
            </w: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4"/>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Penalties</w:t>
            </w: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AUDITS</w:t>
      </w:r>
    </w:p>
    <w:p>
      <w:pPr>
        <w:spacing w:after="0" w:line="23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Sempra Energy is subject to U.S. federal income tax as well as to income tax of multiple state and non-U.S. jurisdictions. We remain subject to examination for U.S. federal tax years after 2006. We are subject to examination by major state tax jurisdictions for tax years after 2005. Certain major non-U.S. income tax returns from 2002 through the present are open to examination.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we have filed state refund claims for tax years back to 1998, and PE has filed state refund claims for tax years back to 1993. The pre-2006 tax years are closed to new issues; therefore, no additional tax may be assessed by the taxing authorities for these years.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SDG&amp;E and SoCalGas are subject to U.S. federal income tax as well as income tax of state jurisdictions. They remain subject to examination for U.S. federal years after 2006 and by major state tax jurisdictions for years after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8. EMPLOYEE BENEFIT PLANS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by applicable GAAP to:</w:t>
      </w:r>
    </w:p>
    <w:p>
      <w:pPr>
        <w:spacing w:after="0" w:line="225" w:lineRule="exact"/>
        <w:rPr>
          <w:sz w:val="20"/>
          <w:szCs w:val="20"/>
          <w:color w:val="auto"/>
        </w:rPr>
      </w:pPr>
    </w:p>
    <w:p>
      <w:pPr>
        <w:ind w:left="340" w:hanging="188"/>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recognize an asset for a plan’s overfunded status or a liability for a plan’s underfunded status in the statement of financial position;</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measure a plan’s assets and its obligations that determine its funded status as of the end of the fiscal year (with limited exceptions); and</w:t>
      </w:r>
    </w:p>
    <w:p>
      <w:pPr>
        <w:spacing w:after="0" w:line="9" w:lineRule="exact"/>
        <w:rPr>
          <w:rFonts w:ascii="Arial" w:cs="Arial" w:eastAsia="Arial" w:hAnsi="Arial"/>
          <w:sz w:val="18"/>
          <w:szCs w:val="18"/>
          <w:color w:val="auto"/>
        </w:rPr>
      </w:pPr>
    </w:p>
    <w:p>
      <w:pPr>
        <w:ind w:left="340" w:hanging="188"/>
        <w:spacing w:after="0" w:line="261" w:lineRule="auto"/>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recognize changes in the funded status of a defined benefit postretirement plan in the year in which the changes occur. Generally, those changes are reported in other comprehensive income and as a separate component of shareholders’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presented below covers the employee benefit plans of Sempra Energy and its principal subsidiaries, as detailed following.</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Sempra Energy has funded and unfunded noncontributory defined benefit plans, including separate plans for SDG&amp;E and SoCalGas, which collectively cover all domestic and certain foreign employees, and Sempra Energy’s board of directors. The plans generally provide defined benefits based on years of service and either final average or career salary.</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Chilquinta Energía, which was acquired by Sempra Energy in 2011, has an unfunded contributory defined benefit plan covering all employees hired before October 1, 1981 and an unfunded noncontributory termination indemnity obligation covering all employees. The plans generally provide defined benefits to retirees based on date of hire, years of service and final average salary.</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Sempra Energy also has other postretirement benefit plans (PBOP), including separate plans for SDG&amp;E and SoCalGas, which collectively cover all domestic and certain foreign employees, and Sempra Energy’s board of directors. The life insurance plans are both contributory and noncontributory, and the health care plans are contributory. Participants’ contributions are adjusted annually. Other postretirement benefits include medical benefits for retirees’ spouses.</w:t>
      </w:r>
    </w:p>
    <w:p>
      <w:pPr>
        <w:spacing w:after="0" w:line="14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Chilquinta Energía also has two noncontributory postretirement benefit plans which cover substantially all employees – a health care plan and an energy subsidy plan that provides for reduced energy rates. The health care plan includes benefits for retirees’ spouses and dependents.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Pension and other postretirement benefits costs and obligations are dependent on assumptions used in calculating such amounts. These assumptions include</w:t>
      </w:r>
    </w:p>
    <w:p>
      <w:pPr>
        <w:spacing w:after="0" w:line="248" w:lineRule="exact"/>
        <w:rPr>
          <w:sz w:val="20"/>
          <w:szCs w:val="20"/>
          <w:color w:val="auto"/>
        </w:rPr>
      </w:pPr>
    </w:p>
    <w:p>
      <w:pPr>
        <w:ind w:left="340" w:hanging="188"/>
        <w:spacing w:after="0"/>
        <w:tabs>
          <w:tab w:leader="none" w:pos="3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expected return on plan assets</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health-care cost trend rates</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mortality rates</w:t>
      </w:r>
    </w:p>
    <w:p>
      <w:pPr>
        <w:sectPr>
          <w:pgSz w:w="11900" w:h="16838" w:orient="portrait"/>
          <w:cols w:equalWidth="0" w:num="1">
            <w:col w:w="11420"/>
          </w:cols>
          <w:pgMar w:left="240" w:top="128" w:right="239" w:bottom="0" w:gutter="0" w:footer="0" w:header="0"/>
        </w:sectPr>
      </w:pPr>
    </w:p>
    <w:bookmarkStart w:id="231" w:name="page232"/>
    <w:bookmarkEnd w:id="231"/>
    <w:p>
      <w:pPr>
        <w:spacing w:after="0" w:line="62" w:lineRule="exact"/>
        <w:rPr>
          <w:sz w:val="20"/>
          <w:szCs w:val="20"/>
          <w:color w:val="auto"/>
        </w:rPr>
      </w:pPr>
    </w:p>
    <w:p>
      <w:pPr>
        <w:ind w:left="340" w:hanging="188"/>
        <w:spacing w:after="0"/>
        <w:tabs>
          <w:tab w:leader="none" w:pos="3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compensation increase rates</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payout elections (lump sum or annuity)</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review these assumptions on an annual basis prior to the beginning of each year and update them as appropriate. We consider current market conditions, including interest rates, in making these assumptions. We use a December 31 measurement date for all of our plans.</w:t>
      </w:r>
    </w:p>
    <w:p>
      <w:pPr>
        <w:spacing w:after="0" w:line="17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 support of its Supplemental Executive Retirement, Cash Balance Restoration and Deferred Compensation Plans, Sempra Energy maintains dedicated assets, including investments in life insurance contracts, which totaled $478 million and $442 million at December 31, 2011 and 2010,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 PLANS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Amendments Affecting 2011</w:t>
      </w:r>
    </w:p>
    <w:p>
      <w:pPr>
        <w:spacing w:after="0" w:line="20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Effective January 1, 2011, for certain postretirement health plans, the employer contribution was increased to maintain the grandfathered retiree plan status under the Patient Protection and Affordable Care Act (PPACA) discussed below. This increased the benefit obligation by approximately $4 million for Sempra Energy Consolidated, $2 million for SDG&amp;E, and $1 million for SoCalGas.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Obligations and Assets</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three tables provide a reconciliation of the changes in the plans’ projected benefit obligations and the fair value of assets during 2011 and 2010, and a statement of the funded status at December 31, 2011 and 2010: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PROJECTED BENEFIT OBLIGATION, FAIR VALUE OF ASSETS AND FUNDED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60" w:type="dxa"/>
            <w:vAlign w:val="bottom"/>
            <w:gridSpan w:val="4"/>
            <w:vMerge w:val="restart"/>
          </w:tcPr>
          <w:p>
            <w:pPr>
              <w:jc w:val="right"/>
              <w:ind w:right="800"/>
              <w:spacing w:after="0"/>
              <w:rPr>
                <w:sz w:val="20"/>
                <w:szCs w:val="20"/>
                <w:color w:val="auto"/>
              </w:rPr>
            </w:pPr>
            <w:r>
              <w:rPr>
                <w:rFonts w:ascii="Arial" w:cs="Arial" w:eastAsia="Arial" w:hAnsi="Arial"/>
                <w:sz w:val="14"/>
                <w:szCs w:val="14"/>
                <w:color w:val="auto"/>
              </w:rPr>
              <w:t>Other Postretirement</w:t>
            </w:r>
          </w:p>
        </w:tc>
        <w:tc>
          <w:tcPr>
            <w:tcW w:w="0" w:type="dxa"/>
            <w:vAlign w:val="bottom"/>
          </w:tcPr>
          <w:p>
            <w:pPr>
              <w:spacing w:after="0"/>
              <w:rPr>
                <w:sz w:val="1"/>
                <w:szCs w:val="1"/>
                <w:color w:val="auto"/>
              </w:rPr>
            </w:pPr>
          </w:p>
        </w:tc>
      </w:tr>
      <w:tr>
        <w:trPr>
          <w:trHeight w:val="138"/>
        </w:trPr>
        <w:tc>
          <w:tcPr>
            <w:tcW w:w="5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400" w:type="dxa"/>
            <w:vAlign w:val="bottom"/>
            <w:vMerge w:val="restart"/>
          </w:tcPr>
          <w:p>
            <w:pPr>
              <w:spacing w:after="0"/>
              <w:rPr>
                <w:sz w:val="20"/>
                <w:szCs w:val="20"/>
                <w:color w:val="auto"/>
              </w:rPr>
            </w:pPr>
            <w:r>
              <w:rPr>
                <w:rFonts w:ascii="Arial" w:cs="Arial" w:eastAsia="Arial" w:hAnsi="Arial"/>
                <w:sz w:val="16"/>
                <w:szCs w:val="16"/>
                <w:b w:val="1"/>
                <w:bCs w:val="1"/>
                <w:color w:val="auto"/>
              </w:rPr>
              <w:t>Sempra Energy Consolidated</w:t>
            </w:r>
          </w:p>
        </w:tc>
        <w:tc>
          <w:tcPr>
            <w:tcW w:w="460" w:type="dxa"/>
            <w:vAlign w:val="bottom"/>
          </w:tcPr>
          <w:p>
            <w:pPr>
              <w:spacing w:after="0"/>
              <w:rPr>
                <w:sz w:val="14"/>
                <w:szCs w:val="14"/>
                <w:color w:val="auto"/>
              </w:rPr>
            </w:pPr>
          </w:p>
        </w:tc>
        <w:tc>
          <w:tcPr>
            <w:tcW w:w="2680" w:type="dxa"/>
            <w:vAlign w:val="bottom"/>
            <w:gridSpan w:val="3"/>
          </w:tcPr>
          <w:p>
            <w:pPr>
              <w:jc w:val="right"/>
              <w:ind w:right="1079"/>
              <w:spacing w:after="0"/>
              <w:rPr>
                <w:sz w:val="20"/>
                <w:szCs w:val="20"/>
                <w:color w:val="auto"/>
              </w:rPr>
            </w:pPr>
            <w:r>
              <w:rPr>
                <w:rFonts w:ascii="Arial" w:cs="Arial" w:eastAsia="Arial" w:hAnsi="Arial"/>
                <w:sz w:val="14"/>
                <w:szCs w:val="14"/>
                <w:color w:val="auto"/>
              </w:rPr>
              <w:t>Pension Benefits</w:t>
            </w:r>
          </w:p>
        </w:tc>
        <w:tc>
          <w:tcPr>
            <w:tcW w:w="4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Benefits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00" w:type="dxa"/>
            <w:vAlign w:val="bottom"/>
          </w:tcPr>
          <w:p>
            <w:pPr>
              <w:spacing w:after="0" w:line="164" w:lineRule="exact"/>
              <w:rPr>
                <w:sz w:val="20"/>
                <w:szCs w:val="20"/>
                <w:color w:val="auto"/>
              </w:rPr>
            </w:pPr>
            <w:r>
              <w:rPr>
                <w:rFonts w:ascii="Arial" w:cs="Arial" w:eastAsia="Arial" w:hAnsi="Arial"/>
                <w:sz w:val="16"/>
                <w:szCs w:val="16"/>
                <w:color w:val="auto"/>
              </w:rPr>
              <w:t>CHANGE IN PROJECTED BENEFIT OBLIGATION:</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Net obligation at January 1</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3,124</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3,083</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1,139</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985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Service cost</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83</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83</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31</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Interest cost</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168</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167</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65</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Plan amendments</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1</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Impact of PPACA excise tax</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Actuarial loss (gain)</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224</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6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(42)</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15</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Benefit payments</w:t>
            </w:r>
          </w:p>
        </w:tc>
        <w:tc>
          <w:tcPr>
            <w:tcW w:w="460" w:type="dxa"/>
            <w:vAlign w:val="bottom"/>
          </w:tcPr>
          <w:p>
            <w:pPr>
              <w:spacing w:after="0"/>
              <w:rPr>
                <w:sz w:val="15"/>
                <w:szCs w:val="15"/>
                <w:color w:val="auto"/>
              </w:rPr>
            </w:pPr>
          </w:p>
        </w:tc>
        <w:tc>
          <w:tcPr>
            <w:tcW w:w="11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(177)</w:t>
            </w:r>
          </w:p>
        </w:tc>
        <w:tc>
          <w:tcPr>
            <w:tcW w:w="320" w:type="dxa"/>
            <w:vAlign w:val="bottom"/>
          </w:tcPr>
          <w:p>
            <w:pPr>
              <w:spacing w:after="0"/>
              <w:rPr>
                <w:sz w:val="15"/>
                <w:szCs w:val="15"/>
                <w:color w:val="auto"/>
              </w:rPr>
            </w:pPr>
          </w:p>
        </w:tc>
        <w:tc>
          <w:tcPr>
            <w:tcW w:w="12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(210)</w:t>
            </w:r>
          </w:p>
        </w:tc>
        <w:tc>
          <w:tcPr>
            <w:tcW w:w="440" w:type="dxa"/>
            <w:vAlign w:val="bottom"/>
          </w:tcPr>
          <w:p>
            <w:pPr>
              <w:spacing w:after="0"/>
              <w:rPr>
                <w:sz w:val="15"/>
                <w:szCs w:val="15"/>
                <w:color w:val="auto"/>
              </w:rPr>
            </w:pPr>
          </w:p>
        </w:tc>
        <w:tc>
          <w:tcPr>
            <w:tcW w:w="126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(59)</w:t>
            </w:r>
          </w:p>
        </w:tc>
        <w:tc>
          <w:tcPr>
            <w:tcW w:w="200" w:type="dxa"/>
            <w:vAlign w:val="bottom"/>
          </w:tcPr>
          <w:p>
            <w:pPr>
              <w:spacing w:after="0"/>
              <w:rPr>
                <w:sz w:val="15"/>
                <w:szCs w:val="15"/>
                <w:color w:val="auto"/>
              </w:rPr>
            </w:pPr>
          </w:p>
        </w:tc>
        <w:tc>
          <w:tcPr>
            <w:tcW w:w="10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Acquisitions</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20</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5</w:t>
            </w:r>
          </w:p>
        </w:tc>
        <w:tc>
          <w:tcPr>
            <w:tcW w:w="20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Foreign currency adjustments</w:t>
            </w:r>
          </w:p>
        </w:tc>
        <w:tc>
          <w:tcPr>
            <w:tcW w:w="460" w:type="dxa"/>
            <w:vAlign w:val="bottom"/>
          </w:tcPr>
          <w:p>
            <w:pPr>
              <w:spacing w:after="0"/>
              <w:rPr>
                <w:sz w:val="15"/>
                <w:szCs w:val="15"/>
                <w:color w:val="auto"/>
              </w:rPr>
            </w:pPr>
          </w:p>
        </w:tc>
        <w:tc>
          <w:tcPr>
            <w:tcW w:w="11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15"/>
                <w:szCs w:val="15"/>
                <w:color w:val="auto"/>
              </w:rPr>
            </w:pPr>
          </w:p>
        </w:tc>
        <w:tc>
          <w:tcPr>
            <w:tcW w:w="11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(34)</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400" w:type="dxa"/>
            <w:vAlign w:val="bottom"/>
          </w:tcPr>
          <w:p>
            <w:pPr>
              <w:spacing w:after="0"/>
              <w:rPr>
                <w:sz w:val="20"/>
                <w:szCs w:val="20"/>
                <w:color w:val="auto"/>
              </w:rPr>
            </w:pPr>
            <w:r>
              <w:rPr>
                <w:rFonts w:ascii="Arial" w:cs="Arial" w:eastAsia="Arial" w:hAnsi="Arial"/>
                <w:sz w:val="16"/>
                <w:szCs w:val="16"/>
                <w:color w:val="auto"/>
              </w:rPr>
              <w:t>Federal subsidy (Medicare Part D)</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line="176" w:lineRule="exact"/>
              <w:rPr>
                <w:sz w:val="20"/>
                <w:szCs w:val="20"/>
                <w:color w:val="auto"/>
              </w:rPr>
            </w:pPr>
            <w:r>
              <w:rPr>
                <w:rFonts w:ascii="Arial" w:cs="Arial" w:eastAsia="Arial" w:hAnsi="Arial"/>
                <w:sz w:val="16"/>
                <w:szCs w:val="16"/>
                <w:color w:val="auto"/>
              </w:rPr>
              <w:t>Net obligation at December 31</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3,406</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3,124</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1,160</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5400" w:type="dxa"/>
            <w:vAlign w:val="bottom"/>
          </w:tcPr>
          <w:p>
            <w:pPr>
              <w:spacing w:after="0"/>
              <w:rPr>
                <w:sz w:val="20"/>
                <w:szCs w:val="20"/>
                <w:color w:val="auto"/>
              </w:rPr>
            </w:pPr>
            <w:r>
              <w:rPr>
                <w:rFonts w:ascii="Arial" w:cs="Arial" w:eastAsia="Arial" w:hAnsi="Arial"/>
                <w:sz w:val="16"/>
                <w:szCs w:val="16"/>
                <w:color w:val="auto"/>
              </w:rPr>
              <w:t>CHANGE IN PLAN ASSETS: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Fair value of plan assets at January 1</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2,354</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2,130</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746</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658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Actual return on plan assets</w:t>
            </w:r>
          </w:p>
        </w:tc>
        <w:tc>
          <w:tcPr>
            <w:tcW w:w="460" w:type="dxa"/>
            <w:vAlign w:val="bottom"/>
          </w:tcPr>
          <w:p>
            <w:pPr>
              <w:spacing w:after="0"/>
              <w:rPr>
                <w:sz w:val="15"/>
                <w:szCs w:val="15"/>
                <w:color w:val="auto"/>
              </w:rPr>
            </w:pPr>
          </w:p>
        </w:tc>
        <w:tc>
          <w:tcPr>
            <w:tcW w:w="11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(23)</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275</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Employer contributions</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212</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159</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72</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5"/>
                <w:szCs w:val="15"/>
                <w:color w:val="auto"/>
              </w:rPr>
            </w:pPr>
          </w:p>
        </w:tc>
        <w:tc>
          <w:tcPr>
            <w:tcW w:w="112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2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15</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Benefit payments</w:t>
            </w:r>
          </w:p>
        </w:tc>
        <w:tc>
          <w:tcPr>
            <w:tcW w:w="460" w:type="dxa"/>
            <w:vAlign w:val="bottom"/>
          </w:tcPr>
          <w:p>
            <w:pPr>
              <w:spacing w:after="0"/>
              <w:rPr>
                <w:sz w:val="15"/>
                <w:szCs w:val="15"/>
                <w:color w:val="auto"/>
              </w:rPr>
            </w:pPr>
          </w:p>
        </w:tc>
        <w:tc>
          <w:tcPr>
            <w:tcW w:w="11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(177)</w:t>
            </w:r>
          </w:p>
        </w:tc>
        <w:tc>
          <w:tcPr>
            <w:tcW w:w="320" w:type="dxa"/>
            <w:vAlign w:val="bottom"/>
          </w:tcPr>
          <w:p>
            <w:pPr>
              <w:spacing w:after="0"/>
              <w:rPr>
                <w:sz w:val="15"/>
                <w:szCs w:val="15"/>
                <w:color w:val="auto"/>
              </w:rPr>
            </w:pPr>
          </w:p>
        </w:tc>
        <w:tc>
          <w:tcPr>
            <w:tcW w:w="12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(210)</w:t>
            </w:r>
          </w:p>
        </w:tc>
        <w:tc>
          <w:tcPr>
            <w:tcW w:w="440" w:type="dxa"/>
            <w:vAlign w:val="bottom"/>
          </w:tcPr>
          <w:p>
            <w:pPr>
              <w:spacing w:after="0"/>
              <w:rPr>
                <w:sz w:val="15"/>
                <w:szCs w:val="15"/>
                <w:color w:val="auto"/>
              </w:rPr>
            </w:pPr>
          </w:p>
        </w:tc>
        <w:tc>
          <w:tcPr>
            <w:tcW w:w="126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(59)</w:t>
            </w:r>
          </w:p>
        </w:tc>
        <w:tc>
          <w:tcPr>
            <w:tcW w:w="200" w:type="dxa"/>
            <w:vAlign w:val="bottom"/>
          </w:tcPr>
          <w:p>
            <w:pPr>
              <w:spacing w:after="0"/>
              <w:rPr>
                <w:sz w:val="15"/>
                <w:szCs w:val="15"/>
                <w:color w:val="auto"/>
              </w:rPr>
            </w:pPr>
          </w:p>
        </w:tc>
        <w:tc>
          <w:tcPr>
            <w:tcW w:w="10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4"/>
        </w:trPr>
        <w:tc>
          <w:tcPr>
            <w:tcW w:w="5400" w:type="dxa"/>
            <w:vAlign w:val="bottom"/>
          </w:tcPr>
          <w:p>
            <w:pPr>
              <w:spacing w:after="0"/>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16"/>
                <w:szCs w:val="16"/>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16"/>
                <w:szCs w:val="16"/>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400" w:type="dxa"/>
            <w:vAlign w:val="bottom"/>
          </w:tcPr>
          <w:p>
            <w:pPr>
              <w:spacing w:after="0" w:line="176" w:lineRule="exact"/>
              <w:rPr>
                <w:sz w:val="20"/>
                <w:szCs w:val="20"/>
                <w:color w:val="auto"/>
              </w:rPr>
            </w:pPr>
            <w:r>
              <w:rPr>
                <w:rFonts w:ascii="Arial" w:cs="Arial" w:eastAsia="Arial" w:hAnsi="Arial"/>
                <w:sz w:val="16"/>
                <w:szCs w:val="16"/>
                <w:color w:val="auto"/>
              </w:rPr>
              <w:t>Fair value of plan assets at December 31</w:t>
            </w:r>
          </w:p>
        </w:tc>
        <w:tc>
          <w:tcPr>
            <w:tcW w:w="4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2,332</w:t>
            </w: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2,354</w:t>
            </w:r>
          </w:p>
        </w:tc>
        <w:tc>
          <w:tcPr>
            <w:tcW w:w="4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778</w:t>
            </w: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line="176" w:lineRule="exact"/>
              <w:rPr>
                <w:sz w:val="20"/>
                <w:szCs w:val="20"/>
                <w:color w:val="auto"/>
              </w:rPr>
            </w:pPr>
            <w:r>
              <w:rPr>
                <w:rFonts w:ascii="Arial" w:cs="Arial" w:eastAsia="Arial" w:hAnsi="Arial"/>
                <w:sz w:val="16"/>
                <w:szCs w:val="16"/>
                <w:color w:val="auto"/>
              </w:rPr>
              <w:t>Funded status at December 31</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(1,074)</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(770)</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0"/>
              <w:spacing w:after="0" w:line="176" w:lineRule="exact"/>
              <w:rPr>
                <w:sz w:val="20"/>
                <w:szCs w:val="20"/>
                <w:color w:val="auto"/>
              </w:rPr>
            </w:pPr>
            <w:r>
              <w:rPr>
                <w:rFonts w:ascii="Arial" w:cs="Arial" w:eastAsia="Arial" w:hAnsi="Arial"/>
                <w:sz w:val="16"/>
                <w:szCs w:val="16"/>
                <w:color w:val="auto"/>
              </w:rPr>
              <w:t>(382)</w:t>
            </w: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Net recorded liability at December 31</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(1,074)</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(770)</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0"/>
              <w:spacing w:after="0" w:line="176" w:lineRule="exact"/>
              <w:rPr>
                <w:sz w:val="20"/>
                <w:szCs w:val="20"/>
                <w:color w:val="auto"/>
              </w:rPr>
            </w:pPr>
            <w:r>
              <w:rPr>
                <w:rFonts w:ascii="Arial" w:cs="Arial" w:eastAsia="Arial" w:hAnsi="Arial"/>
                <w:sz w:val="16"/>
                <w:szCs w:val="16"/>
                <w:color w:val="auto"/>
              </w:rPr>
              <w:t>(382)</w:t>
            </w: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20"/>
              <w:spacing w:after="0" w:line="176" w:lineRule="exact"/>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PROJECTED BENEFIT OBLIGATION, FAIR VALUE OF ASSETS AND FUNDED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Other Postretirement</w:t>
            </w:r>
          </w:p>
        </w:tc>
        <w:tc>
          <w:tcPr>
            <w:tcW w:w="0" w:type="dxa"/>
            <w:vAlign w:val="bottom"/>
          </w:tcPr>
          <w:p>
            <w:pPr>
              <w:spacing w:after="0"/>
              <w:rPr>
                <w:sz w:val="1"/>
                <w:szCs w:val="1"/>
                <w:color w:val="auto"/>
              </w:rPr>
            </w:pPr>
          </w:p>
        </w:tc>
      </w:tr>
      <w:tr>
        <w:trPr>
          <w:trHeight w:val="138"/>
        </w:trPr>
        <w:tc>
          <w:tcPr>
            <w:tcW w:w="5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SDG&amp;E</w:t>
            </w:r>
          </w:p>
        </w:tc>
        <w:tc>
          <w:tcPr>
            <w:tcW w:w="4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Pension Benefits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Benefits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0"/>
              <w:spacing w:after="0" w:line="157"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79"/>
              <w:spacing w:after="0" w:line="157" w:lineRule="exact"/>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0"/>
              <w:spacing w:after="0" w:line="157"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9"/>
              <w:spacing w:after="0" w:line="157"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tcPr>
          <w:p>
            <w:pPr>
              <w:spacing w:after="0" w:line="164" w:lineRule="exact"/>
              <w:rPr>
                <w:sz w:val="20"/>
                <w:szCs w:val="20"/>
                <w:color w:val="auto"/>
              </w:rPr>
            </w:pPr>
            <w:r>
              <w:rPr>
                <w:rFonts w:ascii="Arial" w:cs="Arial" w:eastAsia="Arial" w:hAnsi="Arial"/>
                <w:sz w:val="16"/>
                <w:szCs w:val="16"/>
                <w:color w:val="auto"/>
              </w:rPr>
              <w:t>CHANGE IN PROJECTED BENEFIT OBLIGATION:</w:t>
            </w: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Net obligation at January 1</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949</w:t>
            </w:r>
          </w:p>
        </w:tc>
        <w:tc>
          <w:tcPr>
            <w:tcW w:w="3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908</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175</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Service cost</w:t>
            </w:r>
          </w:p>
        </w:tc>
        <w:tc>
          <w:tcPr>
            <w:tcW w:w="460" w:type="dxa"/>
            <w:vAlign w:val="bottom"/>
          </w:tcPr>
          <w:p>
            <w:pPr>
              <w:spacing w:after="0"/>
              <w:rPr>
                <w:sz w:val="15"/>
                <w:szCs w:val="15"/>
                <w:color w:val="auto"/>
              </w:rPr>
            </w:pP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28</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27</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7</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Interest cost</w:t>
            </w:r>
          </w:p>
        </w:tc>
        <w:tc>
          <w:tcPr>
            <w:tcW w:w="460" w:type="dxa"/>
            <w:vAlign w:val="bottom"/>
          </w:tcPr>
          <w:p>
            <w:pPr>
              <w:spacing w:after="0"/>
              <w:rPr>
                <w:sz w:val="15"/>
                <w:szCs w:val="15"/>
                <w:color w:val="auto"/>
              </w:rPr>
            </w:pP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49</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47</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10</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Plan amendments</w:t>
            </w:r>
          </w:p>
        </w:tc>
        <w:tc>
          <w:tcPr>
            <w:tcW w:w="460" w:type="dxa"/>
            <w:vAlign w:val="bottom"/>
          </w:tcPr>
          <w:p>
            <w:pPr>
              <w:spacing w:after="0"/>
              <w:rPr>
                <w:sz w:val="15"/>
                <w:szCs w:val="15"/>
                <w:color w:val="auto"/>
              </w:rPr>
            </w:pP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Actuarial loss (gain)</w:t>
            </w:r>
          </w:p>
        </w:tc>
        <w:tc>
          <w:tcPr>
            <w:tcW w:w="460" w:type="dxa"/>
            <w:vAlign w:val="bottom"/>
          </w:tcPr>
          <w:p>
            <w:pPr>
              <w:spacing w:after="0"/>
              <w:rPr>
                <w:sz w:val="15"/>
                <w:szCs w:val="15"/>
                <w:color w:val="auto"/>
              </w:rPr>
            </w:pP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27</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w:t>
            </w:r>
          </w:p>
        </w:tc>
        <w:tc>
          <w:tcPr>
            <w:tcW w:w="440" w:type="dxa"/>
            <w:vAlign w:val="bottom"/>
          </w:tcPr>
          <w:p>
            <w:pPr>
              <w:spacing w:after="0"/>
              <w:rPr>
                <w:sz w:val="15"/>
                <w:szCs w:val="15"/>
                <w:color w:val="auto"/>
              </w:rPr>
            </w:pPr>
          </w:p>
        </w:tc>
        <w:tc>
          <w:tcPr>
            <w:tcW w:w="12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Transfer of liability (to) from other plans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(19)</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17</w:t>
            </w:r>
          </w:p>
        </w:tc>
        <w:tc>
          <w:tcPr>
            <w:tcW w:w="440" w:type="dxa"/>
            <w:vAlign w:val="bottom"/>
          </w:tcPr>
          <w:p>
            <w:pPr>
              <w:spacing w:after="0"/>
              <w:rPr>
                <w:sz w:val="15"/>
                <w:szCs w:val="15"/>
                <w:color w:val="auto"/>
              </w:rPr>
            </w:pPr>
          </w:p>
        </w:tc>
        <w:tc>
          <w:tcPr>
            <w:tcW w:w="12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5"/>
                <w:szCs w:val="15"/>
                <w:color w:val="auto"/>
              </w:rPr>
            </w:pP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7</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Arial" w:cs="Arial" w:eastAsia="Arial" w:hAnsi="Arial"/>
                <w:sz w:val="16"/>
                <w:szCs w:val="16"/>
                <w:color w:val="auto"/>
              </w:rPr>
              <w:t>Benefit payments</w:t>
            </w:r>
          </w:p>
        </w:tc>
        <w:tc>
          <w:tcPr>
            <w:tcW w:w="460" w:type="dxa"/>
            <w:vAlign w:val="bottom"/>
          </w:tcPr>
          <w:p>
            <w:pPr>
              <w:spacing w:after="0"/>
              <w:rPr>
                <w:sz w:val="16"/>
                <w:szCs w:val="16"/>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(51)</w:t>
            </w:r>
          </w:p>
        </w:tc>
        <w:tc>
          <w:tcPr>
            <w:tcW w:w="440" w:type="dxa"/>
            <w:vAlign w:val="bottom"/>
          </w:tcPr>
          <w:p>
            <w:pPr>
              <w:spacing w:after="0"/>
              <w:rPr>
                <w:sz w:val="16"/>
                <w:szCs w:val="16"/>
                <w:color w:val="auto"/>
              </w:rPr>
            </w:pP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5340" w:type="dxa"/>
            <w:vAlign w:val="bottom"/>
          </w:tcPr>
          <w:p>
            <w:pPr>
              <w:spacing w:after="0" w:line="176" w:lineRule="exact"/>
              <w:rPr>
                <w:sz w:val="20"/>
                <w:szCs w:val="20"/>
                <w:color w:val="auto"/>
              </w:rPr>
            </w:pPr>
            <w:r>
              <w:rPr>
                <w:rFonts w:ascii="Arial" w:cs="Arial" w:eastAsia="Arial" w:hAnsi="Arial"/>
                <w:sz w:val="16"/>
                <w:szCs w:val="16"/>
                <w:color w:val="auto"/>
              </w:rPr>
              <w:t>Net obligation at December 31</w:t>
            </w:r>
          </w:p>
        </w:tc>
        <w:tc>
          <w:tcPr>
            <w:tcW w:w="4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981</w:t>
            </w: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949</w:t>
            </w:r>
          </w:p>
        </w:tc>
        <w:tc>
          <w:tcPr>
            <w:tcW w:w="4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260"/>
              <w:spacing w:after="0" w:line="176" w:lineRule="exact"/>
              <w:rPr>
                <w:sz w:val="20"/>
                <w:szCs w:val="20"/>
                <w:color w:val="auto"/>
              </w:rPr>
            </w:pPr>
            <w:r>
              <w:rPr>
                <w:rFonts w:ascii="Arial" w:cs="Arial" w:eastAsia="Arial" w:hAnsi="Arial"/>
                <w:sz w:val="16"/>
                <w:szCs w:val="16"/>
                <w:color w:val="auto"/>
              </w:rPr>
              <w:t>182</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5340" w:type="dxa"/>
            <w:vAlign w:val="bottom"/>
          </w:tcPr>
          <w:p>
            <w:pPr>
              <w:spacing w:after="0"/>
              <w:rPr>
                <w:sz w:val="20"/>
                <w:szCs w:val="20"/>
                <w:color w:val="auto"/>
              </w:rPr>
            </w:pPr>
            <w:r>
              <w:rPr>
                <w:rFonts w:ascii="Arial" w:cs="Arial" w:eastAsia="Arial" w:hAnsi="Arial"/>
                <w:sz w:val="16"/>
                <w:szCs w:val="16"/>
                <w:color w:val="auto"/>
              </w:rPr>
              <w:t>CHANGE IN PLAN ASSETS: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Fair value of plan assets at January 1</w:t>
            </w:r>
          </w:p>
        </w:tc>
        <w:tc>
          <w:tcPr>
            <w:tcW w:w="460" w:type="dxa"/>
            <w:vAlign w:val="bottom"/>
          </w:tcPr>
          <w:p>
            <w:pPr>
              <w:spacing w:after="0"/>
              <w:rPr>
                <w:sz w:val="15"/>
                <w:szCs w:val="15"/>
                <w:color w:val="auto"/>
              </w:rPr>
            </w:pP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713</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615</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99</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Actual return on plan assets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(7)</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79</w:t>
            </w:r>
          </w:p>
        </w:tc>
        <w:tc>
          <w:tcPr>
            <w:tcW w:w="440" w:type="dxa"/>
            <w:vAlign w:val="bottom"/>
          </w:tcPr>
          <w:p>
            <w:pPr>
              <w:spacing w:after="0"/>
              <w:rPr>
                <w:sz w:val="15"/>
                <w:szCs w:val="15"/>
                <w:color w:val="auto"/>
              </w:rPr>
            </w:pPr>
          </w:p>
        </w:tc>
        <w:tc>
          <w:tcPr>
            <w:tcW w:w="12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Employer contributions</w:t>
            </w:r>
          </w:p>
        </w:tc>
        <w:tc>
          <w:tcPr>
            <w:tcW w:w="460" w:type="dxa"/>
            <w:vAlign w:val="bottom"/>
          </w:tcPr>
          <w:p>
            <w:pPr>
              <w:spacing w:after="0"/>
              <w:rPr>
                <w:sz w:val="15"/>
                <w:szCs w:val="15"/>
                <w:color w:val="auto"/>
              </w:rPr>
            </w:pP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69</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61</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15</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Transfer of assets (to) from other plans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(10)</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9</w:t>
            </w:r>
          </w:p>
        </w:tc>
        <w:tc>
          <w:tcPr>
            <w:tcW w:w="440" w:type="dxa"/>
            <w:vAlign w:val="bottom"/>
          </w:tcPr>
          <w:p>
            <w:pPr>
              <w:spacing w:after="0"/>
              <w:rPr>
                <w:sz w:val="15"/>
                <w:szCs w:val="15"/>
                <w:color w:val="auto"/>
              </w:rPr>
            </w:pPr>
          </w:p>
        </w:tc>
        <w:tc>
          <w:tcPr>
            <w:tcW w:w="12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5"/>
                <w:szCs w:val="15"/>
                <w:color w:val="auto"/>
              </w:rPr>
            </w:pPr>
          </w:p>
        </w:tc>
        <w:tc>
          <w:tcPr>
            <w:tcW w:w="11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7</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Arial" w:cs="Arial" w:eastAsia="Arial" w:hAnsi="Arial"/>
                <w:sz w:val="16"/>
                <w:szCs w:val="16"/>
                <w:color w:val="auto"/>
              </w:rPr>
              <w:t>Benefit payments</w:t>
            </w:r>
          </w:p>
        </w:tc>
        <w:tc>
          <w:tcPr>
            <w:tcW w:w="460" w:type="dxa"/>
            <w:vAlign w:val="bottom"/>
          </w:tcPr>
          <w:p>
            <w:pPr>
              <w:spacing w:after="0"/>
              <w:rPr>
                <w:sz w:val="16"/>
                <w:szCs w:val="16"/>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(51)</w:t>
            </w:r>
          </w:p>
        </w:tc>
        <w:tc>
          <w:tcPr>
            <w:tcW w:w="440" w:type="dxa"/>
            <w:vAlign w:val="bottom"/>
          </w:tcPr>
          <w:p>
            <w:pPr>
              <w:spacing w:after="0"/>
              <w:rPr>
                <w:sz w:val="16"/>
                <w:szCs w:val="16"/>
                <w:color w:val="auto"/>
              </w:rPr>
            </w:pP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5340" w:type="dxa"/>
            <w:vAlign w:val="bottom"/>
          </w:tcPr>
          <w:p>
            <w:pPr>
              <w:spacing w:after="0" w:line="176" w:lineRule="exact"/>
              <w:rPr>
                <w:sz w:val="20"/>
                <w:szCs w:val="20"/>
                <w:color w:val="auto"/>
              </w:rPr>
            </w:pPr>
            <w:r>
              <w:rPr>
                <w:rFonts w:ascii="Arial" w:cs="Arial" w:eastAsia="Arial" w:hAnsi="Arial"/>
                <w:sz w:val="16"/>
                <w:szCs w:val="16"/>
                <w:color w:val="auto"/>
              </w:rPr>
              <w:t>Fair value of plan assets at December 31</w:t>
            </w:r>
          </w:p>
        </w:tc>
        <w:tc>
          <w:tcPr>
            <w:tcW w:w="4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712</w:t>
            </w: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713</w:t>
            </w:r>
          </w:p>
        </w:tc>
        <w:tc>
          <w:tcPr>
            <w:tcW w:w="4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260"/>
              <w:spacing w:after="0" w:line="176" w:lineRule="exact"/>
              <w:rPr>
                <w:sz w:val="20"/>
                <w:szCs w:val="20"/>
                <w:color w:val="auto"/>
              </w:rPr>
            </w:pPr>
            <w:r>
              <w:rPr>
                <w:rFonts w:ascii="Arial" w:cs="Arial" w:eastAsia="Arial" w:hAnsi="Arial"/>
                <w:sz w:val="16"/>
                <w:szCs w:val="16"/>
                <w:color w:val="auto"/>
              </w:rPr>
              <w:t>106</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Funded status at December 31</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(269)</w:t>
            </w:r>
          </w:p>
        </w:tc>
        <w:tc>
          <w:tcPr>
            <w:tcW w:w="38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(236)</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0"/>
              <w:spacing w:after="0" w:line="176" w:lineRule="exact"/>
              <w:rPr>
                <w:sz w:val="20"/>
                <w:szCs w:val="20"/>
                <w:color w:val="auto"/>
              </w:rPr>
            </w:pPr>
            <w:r>
              <w:rPr>
                <w:rFonts w:ascii="Arial" w:cs="Arial" w:eastAsia="Arial" w:hAnsi="Arial"/>
                <w:sz w:val="16"/>
                <w:szCs w:val="16"/>
                <w:color w:val="auto"/>
              </w:rPr>
              <w:t>(76)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40" w:type="dxa"/>
            <w:vAlign w:val="bottom"/>
            <w:gridSpan w:val="3"/>
          </w:tcPr>
          <w:p>
            <w:pPr>
              <w:spacing w:after="0"/>
              <w:rPr>
                <w:sz w:val="20"/>
                <w:szCs w:val="20"/>
                <w:color w:val="auto"/>
              </w:rPr>
            </w:pPr>
            <w:r>
              <w:rPr>
                <w:rFonts w:ascii="Arial" w:cs="Arial" w:eastAsia="Arial" w:hAnsi="Arial"/>
                <w:sz w:val="16"/>
                <w:szCs w:val="16"/>
                <w:color w:val="auto"/>
              </w:rPr>
              <w:t>Net recorded liability at December 31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(269)</w:t>
            </w:r>
          </w:p>
        </w:tc>
        <w:tc>
          <w:tcPr>
            <w:tcW w:w="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(236)</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20"/>
              <w:spacing w:after="0"/>
              <w:rPr>
                <w:sz w:val="20"/>
                <w:szCs w:val="20"/>
                <w:color w:val="auto"/>
              </w:rPr>
            </w:pPr>
            <w:r>
              <w:rPr>
                <w:rFonts w:ascii="Arial" w:cs="Arial" w:eastAsia="Arial" w:hAnsi="Arial"/>
                <w:sz w:val="16"/>
                <w:szCs w:val="16"/>
                <w:color w:val="auto"/>
              </w:rPr>
              <w:t>(76)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530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gridSpan w:val="3"/>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20" w:type="dxa"/>
            <w:vAlign w:val="bottom"/>
            <w:gridSpan w:val="4"/>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PROJECTED BENEFIT OBLIGATION, FAIR VALUE OF ASSETS AND FUNDED STATUS</w:t>
            </w:r>
          </w:p>
        </w:tc>
        <w:tc>
          <w:tcPr>
            <w:tcW w:w="380" w:type="dxa"/>
            <w:vAlign w:val="bottom"/>
            <w:shd w:val="clear" w:color="auto" w:fill="C0C0C0"/>
          </w:tcPr>
          <w:p>
            <w:pPr>
              <w:spacing w:after="0"/>
              <w:rPr>
                <w:sz w:val="13"/>
                <w:szCs w:val="13"/>
                <w:color w:val="auto"/>
              </w:rPr>
            </w:pPr>
          </w:p>
        </w:tc>
        <w:tc>
          <w:tcPr>
            <w:tcW w:w="1200" w:type="dxa"/>
            <w:vAlign w:val="bottom"/>
            <w:shd w:val="clear" w:color="auto" w:fill="C0C0C0"/>
          </w:tcPr>
          <w:p>
            <w:pPr>
              <w:spacing w:after="0"/>
              <w:rPr>
                <w:sz w:val="13"/>
                <w:szCs w:val="13"/>
                <w:color w:val="auto"/>
              </w:rPr>
            </w:pPr>
          </w:p>
        </w:tc>
        <w:tc>
          <w:tcPr>
            <w:tcW w:w="440" w:type="dxa"/>
            <w:vAlign w:val="bottom"/>
            <w:shd w:val="clear" w:color="auto" w:fill="C0C0C0"/>
          </w:tcPr>
          <w:p>
            <w:pPr>
              <w:spacing w:after="0"/>
              <w:rPr>
                <w:sz w:val="13"/>
                <w:szCs w:val="13"/>
                <w:color w:val="auto"/>
              </w:rPr>
            </w:pPr>
          </w:p>
        </w:tc>
        <w:tc>
          <w:tcPr>
            <w:tcW w:w="1280" w:type="dxa"/>
            <w:vAlign w:val="bottom"/>
            <w:shd w:val="clear" w:color="auto" w:fill="C0C0C0"/>
          </w:tcPr>
          <w:p>
            <w:pPr>
              <w:spacing w:after="0"/>
              <w:rPr>
                <w:sz w:val="13"/>
                <w:szCs w:val="13"/>
                <w:color w:val="auto"/>
              </w:rPr>
            </w:pPr>
          </w:p>
        </w:tc>
        <w:tc>
          <w:tcPr>
            <w:tcW w:w="180" w:type="dxa"/>
            <w:vAlign w:val="bottom"/>
            <w:shd w:val="clear" w:color="auto" w:fill="C0C0C0"/>
          </w:tcPr>
          <w:p>
            <w:pPr>
              <w:spacing w:after="0"/>
              <w:rPr>
                <w:sz w:val="13"/>
                <w:szCs w:val="13"/>
                <w:color w:val="auto"/>
              </w:rPr>
            </w:pPr>
          </w:p>
        </w:tc>
        <w:tc>
          <w:tcPr>
            <w:tcW w:w="100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120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00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80" w:type="dxa"/>
            <w:vAlign w:val="bottom"/>
            <w:gridSpan w:val="4"/>
          </w:tcPr>
          <w:p>
            <w:pPr>
              <w:jc w:val="right"/>
              <w:ind w:right="820"/>
              <w:spacing w:after="0"/>
              <w:rPr>
                <w:sz w:val="20"/>
                <w:szCs w:val="20"/>
                <w:color w:val="auto"/>
              </w:rPr>
            </w:pPr>
            <w:r>
              <w:rPr>
                <w:rFonts w:ascii="Arial" w:cs="Arial" w:eastAsia="Arial" w:hAnsi="Arial"/>
                <w:sz w:val="14"/>
                <w:szCs w:val="14"/>
                <w:color w:val="auto"/>
              </w:rPr>
              <w:t>Other Postretirement</w:t>
            </w:r>
          </w:p>
        </w:tc>
        <w:tc>
          <w:tcPr>
            <w:tcW w:w="0" w:type="dxa"/>
            <w:vAlign w:val="bottom"/>
          </w:tcPr>
          <w:p>
            <w:pPr>
              <w:spacing w:after="0"/>
              <w:rPr>
                <w:sz w:val="1"/>
                <w:szCs w:val="1"/>
                <w:color w:val="auto"/>
              </w:rPr>
            </w:pPr>
          </w:p>
        </w:tc>
      </w:tr>
      <w:tr>
        <w:trPr>
          <w:trHeight w:val="162"/>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SoCalGas</w:t>
            </w:r>
          </w:p>
        </w:tc>
        <w:tc>
          <w:tcPr>
            <w:tcW w:w="4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Pension Benefits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Benefits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tcBorders>
              <w:bottom w:val="single" w:sz="8" w:color="auto"/>
            </w:tcBorders>
            <w:gridSpan w:val="3"/>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0"/>
              <w:spacing w:after="0" w:line="157"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99"/>
              <w:spacing w:after="0" w:line="157" w:lineRule="exact"/>
              <w:rPr>
                <w:sz w:val="20"/>
                <w:szCs w:val="20"/>
                <w:color w:val="auto"/>
              </w:rPr>
            </w:pPr>
            <w:r>
              <w:rPr>
                <w:rFonts w:ascii="Arial" w:cs="Arial" w:eastAsia="Arial" w:hAnsi="Arial"/>
                <w:sz w:val="14"/>
                <w:szCs w:val="14"/>
                <w:color w:val="auto"/>
                <w:w w:val="96"/>
              </w:rPr>
              <w:t>2010</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0"/>
              <w:spacing w:after="0" w:line="157"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9"/>
              <w:spacing w:after="0" w:line="157"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gridSpan w:val="3"/>
          </w:tcPr>
          <w:p>
            <w:pPr>
              <w:spacing w:after="0" w:line="164" w:lineRule="exact"/>
              <w:rPr>
                <w:sz w:val="20"/>
                <w:szCs w:val="20"/>
                <w:color w:val="auto"/>
              </w:rPr>
            </w:pPr>
            <w:r>
              <w:rPr>
                <w:rFonts w:ascii="Arial" w:cs="Arial" w:eastAsia="Arial" w:hAnsi="Arial"/>
                <w:sz w:val="16"/>
                <w:szCs w:val="16"/>
                <w:color w:val="auto"/>
              </w:rPr>
              <w:t>CHANGE IN PROJECTED BENEFIT OBLIGATION:</w:t>
            </w: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Net obligation at January 1</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1,786</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1,764</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920</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Service cost</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46</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46</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22</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Interest cost</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99</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98</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53</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Plan amendments</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Impact of PPACA excise tax</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Actuarial loss (gain)</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171</w:t>
            </w:r>
          </w:p>
        </w:tc>
        <w:tc>
          <w:tcPr>
            <w:tcW w:w="380" w:type="dxa"/>
            <w:vAlign w:val="bottom"/>
          </w:tcPr>
          <w:p>
            <w:pPr>
              <w:spacing w:after="0"/>
              <w:rPr>
                <w:sz w:val="15"/>
                <w:szCs w:val="15"/>
                <w:color w:val="auto"/>
              </w:rPr>
            </w:pPr>
          </w:p>
        </w:tc>
        <w:tc>
          <w:tcPr>
            <w:tcW w:w="12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(3)</w:t>
            </w:r>
          </w:p>
        </w:tc>
        <w:tc>
          <w:tcPr>
            <w:tcW w:w="440" w:type="dxa"/>
            <w:vAlign w:val="bottom"/>
          </w:tcPr>
          <w:p>
            <w:pPr>
              <w:spacing w:after="0"/>
              <w:rPr>
                <w:sz w:val="15"/>
                <w:szCs w:val="15"/>
                <w:color w:val="auto"/>
              </w:rPr>
            </w:pPr>
          </w:p>
        </w:tc>
        <w:tc>
          <w:tcPr>
            <w:tcW w:w="12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(46)</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9</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Benefit payments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(107)</w:t>
            </w:r>
          </w:p>
        </w:tc>
        <w:tc>
          <w:tcPr>
            <w:tcW w:w="380" w:type="dxa"/>
            <w:vAlign w:val="bottom"/>
          </w:tcPr>
          <w:p>
            <w:pPr>
              <w:spacing w:after="0"/>
              <w:rPr>
                <w:sz w:val="15"/>
                <w:szCs w:val="15"/>
                <w:color w:val="auto"/>
              </w:rPr>
            </w:pPr>
          </w:p>
        </w:tc>
        <w:tc>
          <w:tcPr>
            <w:tcW w:w="12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(126)</w:t>
            </w:r>
          </w:p>
        </w:tc>
        <w:tc>
          <w:tcPr>
            <w:tcW w:w="440" w:type="dxa"/>
            <w:vAlign w:val="bottom"/>
          </w:tcPr>
          <w:p>
            <w:pPr>
              <w:spacing w:after="0"/>
              <w:rPr>
                <w:sz w:val="15"/>
                <w:szCs w:val="15"/>
                <w:color w:val="auto"/>
              </w:rPr>
            </w:pPr>
          </w:p>
        </w:tc>
        <w:tc>
          <w:tcPr>
            <w:tcW w:w="12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(45)</w:t>
            </w:r>
          </w:p>
        </w:tc>
        <w:tc>
          <w:tcPr>
            <w:tcW w:w="18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(4)</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Transfer of liability from other plans</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26</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7</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20" w:type="dxa"/>
            <w:vAlign w:val="bottom"/>
            <w:gridSpan w:val="2"/>
          </w:tcPr>
          <w:p>
            <w:pPr>
              <w:spacing w:after="0"/>
              <w:rPr>
                <w:sz w:val="20"/>
                <w:szCs w:val="20"/>
                <w:color w:val="auto"/>
              </w:rPr>
            </w:pPr>
            <w:r>
              <w:rPr>
                <w:rFonts w:ascii="Arial" w:cs="Arial" w:eastAsia="Arial" w:hAnsi="Arial"/>
                <w:sz w:val="16"/>
                <w:szCs w:val="16"/>
                <w:color w:val="auto"/>
              </w:rPr>
              <w:t>Federal subsidy (Medicare Part D)</w:t>
            </w: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gridSpan w:val="2"/>
          </w:tcPr>
          <w:p>
            <w:pPr>
              <w:spacing w:after="0" w:line="176" w:lineRule="exact"/>
              <w:rPr>
                <w:sz w:val="20"/>
                <w:szCs w:val="20"/>
                <w:color w:val="auto"/>
              </w:rPr>
            </w:pPr>
            <w:r>
              <w:rPr>
                <w:rFonts w:ascii="Arial" w:cs="Arial" w:eastAsia="Arial" w:hAnsi="Arial"/>
                <w:sz w:val="16"/>
                <w:szCs w:val="16"/>
                <w:color w:val="auto"/>
              </w:rPr>
              <w:t>Net obligation at December 31</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40"/>
              <w:spacing w:after="0" w:line="176" w:lineRule="exact"/>
              <w:rPr>
                <w:sz w:val="20"/>
                <w:szCs w:val="20"/>
                <w:color w:val="auto"/>
              </w:rPr>
            </w:pPr>
            <w:r>
              <w:rPr>
                <w:rFonts w:ascii="Arial" w:cs="Arial" w:eastAsia="Arial" w:hAnsi="Arial"/>
                <w:sz w:val="16"/>
                <w:szCs w:val="16"/>
                <w:color w:val="auto"/>
              </w:rPr>
              <w:t>2,017</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1,786</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60"/>
              <w:spacing w:after="0" w:line="176" w:lineRule="exact"/>
              <w:rPr>
                <w:sz w:val="20"/>
                <w:szCs w:val="20"/>
                <w:color w:val="auto"/>
              </w:rPr>
            </w:pPr>
            <w:r>
              <w:rPr>
                <w:rFonts w:ascii="Arial" w:cs="Arial" w:eastAsia="Arial" w:hAnsi="Arial"/>
                <w:sz w:val="16"/>
                <w:szCs w:val="16"/>
                <w:color w:val="auto"/>
              </w:rPr>
              <w:t>921</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5340" w:type="dxa"/>
            <w:vAlign w:val="bottom"/>
            <w:gridSpan w:val="3"/>
          </w:tcPr>
          <w:p>
            <w:pPr>
              <w:spacing w:after="0"/>
              <w:rPr>
                <w:sz w:val="20"/>
                <w:szCs w:val="20"/>
                <w:color w:val="auto"/>
              </w:rPr>
            </w:pPr>
            <w:r>
              <w:rPr>
                <w:rFonts w:ascii="Arial" w:cs="Arial" w:eastAsia="Arial" w:hAnsi="Arial"/>
                <w:sz w:val="16"/>
                <w:szCs w:val="16"/>
                <w:color w:val="auto"/>
              </w:rPr>
              <w:t>CHANGE IN PLAN ASSETS: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Fair value of plan assets at January 1</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1,456</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1,332</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632</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Actual return on plan assets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(12)</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171</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4</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Employer contributions</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95</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71</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55</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Transfer of assets from other plans</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15</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7</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3</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15"/>
                <w:szCs w:val="15"/>
                <w:color w:val="auto"/>
              </w:rPr>
            </w:pP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(4)</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5"/>
                <w:szCs w:val="15"/>
                <w:color w:val="auto"/>
              </w:rPr>
            </w:pPr>
          </w:p>
        </w:tc>
        <w:tc>
          <w:tcPr>
            <w:tcW w:w="114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2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9</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20" w:type="dxa"/>
            <w:vAlign w:val="bottom"/>
            <w:gridSpan w:val="2"/>
          </w:tcPr>
          <w:p>
            <w:pPr>
              <w:spacing w:after="0"/>
              <w:rPr>
                <w:sz w:val="20"/>
                <w:szCs w:val="20"/>
                <w:color w:val="auto"/>
              </w:rPr>
            </w:pPr>
            <w:r>
              <w:rPr>
                <w:rFonts w:ascii="Arial" w:cs="Arial" w:eastAsia="Arial" w:hAnsi="Arial"/>
                <w:sz w:val="16"/>
                <w:szCs w:val="16"/>
                <w:color w:val="auto"/>
              </w:rPr>
              <w:t>Benefit payments</w:t>
            </w: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(107)</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(125)</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(45)</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gridSpan w:val="2"/>
          </w:tcPr>
          <w:p>
            <w:pPr>
              <w:spacing w:after="0" w:line="176" w:lineRule="exact"/>
              <w:rPr>
                <w:sz w:val="20"/>
                <w:szCs w:val="20"/>
                <w:color w:val="auto"/>
              </w:rPr>
            </w:pPr>
            <w:r>
              <w:rPr>
                <w:rFonts w:ascii="Arial" w:cs="Arial" w:eastAsia="Arial" w:hAnsi="Arial"/>
                <w:sz w:val="16"/>
                <w:szCs w:val="16"/>
                <w:color w:val="auto"/>
              </w:rPr>
              <w:t>Fair value of plan assets at December 31</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40"/>
              <w:spacing w:after="0" w:line="176" w:lineRule="exact"/>
              <w:rPr>
                <w:sz w:val="20"/>
                <w:szCs w:val="20"/>
                <w:color w:val="auto"/>
              </w:rPr>
            </w:pPr>
            <w:r>
              <w:rPr>
                <w:rFonts w:ascii="Arial" w:cs="Arial" w:eastAsia="Arial" w:hAnsi="Arial"/>
                <w:sz w:val="16"/>
                <w:szCs w:val="16"/>
                <w:color w:val="auto"/>
              </w:rPr>
              <w:t>1,443</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1,456</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60"/>
              <w:spacing w:after="0" w:line="176" w:lineRule="exact"/>
              <w:rPr>
                <w:sz w:val="20"/>
                <w:szCs w:val="20"/>
                <w:color w:val="auto"/>
              </w:rPr>
            </w:pPr>
            <w:r>
              <w:rPr>
                <w:rFonts w:ascii="Arial" w:cs="Arial" w:eastAsia="Arial" w:hAnsi="Arial"/>
                <w:sz w:val="16"/>
                <w:szCs w:val="16"/>
                <w:color w:val="auto"/>
              </w:rPr>
              <w:t>658</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gridSpan w:val="3"/>
          </w:tcPr>
          <w:p>
            <w:pPr>
              <w:spacing w:after="0" w:line="176" w:lineRule="exact"/>
              <w:rPr>
                <w:sz w:val="20"/>
                <w:szCs w:val="20"/>
                <w:color w:val="auto"/>
              </w:rPr>
            </w:pPr>
            <w:r>
              <w:rPr>
                <w:rFonts w:ascii="Arial" w:cs="Arial" w:eastAsia="Arial" w:hAnsi="Arial"/>
                <w:sz w:val="16"/>
                <w:szCs w:val="16"/>
                <w:color w:val="auto"/>
              </w:rPr>
              <w:t>Funded status at December 31</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(574)</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(330)</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(263)</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gridSpan w:val="2"/>
          </w:tcPr>
          <w:p>
            <w:pPr>
              <w:spacing w:after="0" w:line="176" w:lineRule="exact"/>
              <w:rPr>
                <w:sz w:val="20"/>
                <w:szCs w:val="20"/>
                <w:color w:val="auto"/>
              </w:rPr>
            </w:pPr>
            <w:r>
              <w:rPr>
                <w:rFonts w:ascii="Arial" w:cs="Arial" w:eastAsia="Arial" w:hAnsi="Arial"/>
                <w:sz w:val="16"/>
                <w:szCs w:val="16"/>
                <w:color w:val="auto"/>
              </w:rPr>
              <w:t>Net recorded liability at December 31</w:t>
            </w:r>
          </w:p>
        </w:tc>
        <w:tc>
          <w:tcPr>
            <w:tcW w:w="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(574)</w:t>
            </w:r>
          </w:p>
        </w:tc>
        <w:tc>
          <w:tcPr>
            <w:tcW w:w="380" w:type="dxa"/>
            <w:vAlign w:val="bottom"/>
            <w:tcBorders>
              <w:top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(330)</w:t>
            </w:r>
          </w:p>
        </w:tc>
        <w:tc>
          <w:tcPr>
            <w:tcW w:w="4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20"/>
              <w:spacing w:after="0" w:line="176" w:lineRule="exact"/>
              <w:rPr>
                <w:sz w:val="20"/>
                <w:szCs w:val="20"/>
                <w:color w:val="auto"/>
              </w:rPr>
            </w:pPr>
            <w:r>
              <w:rPr>
                <w:rFonts w:ascii="Arial" w:cs="Arial" w:eastAsia="Arial" w:hAnsi="Arial"/>
                <w:sz w:val="16"/>
                <w:szCs w:val="16"/>
                <w:color w:val="auto"/>
              </w:rPr>
              <w:t>(263)</w:t>
            </w:r>
          </w:p>
        </w:tc>
        <w:tc>
          <w:tcPr>
            <w:tcW w:w="1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gridSpan w:val="2"/>
          </w:tcPr>
          <w:p>
            <w:pPr>
              <w:jc w:val="right"/>
              <w:ind w:right="20"/>
              <w:spacing w:after="0" w:line="176" w:lineRule="exact"/>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actuarial losses for pension plans in 2011 were primarily due to a decrease in the weighted average discount rate and the rate used to convert monthly annuity-type benefits to a lump sum benefit payment.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actuarial gains for other postretirement plans in 2011 resulted from a decrease in assumed participation rates and claims costs and the impact of the adoption of the Employer Group Waiver Plan, partially offset by actuarial losses from a decrease in the weighted average discount rate. The Employer Group Waiver Plan is an alternative means of providing the existing pharmacy benefit.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actuarial losses in 2010 for other postretirement plans were primarily due to higher medical premiums and higher health care trend rates for the SoCalGas other postretirement benefit plans.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Assets and Liabilities</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assets and liabilities of the pension and other postretirement benefit plans are affected by changing market conditions as well as when actual plan experience is different than assumed. Such events result in investment gains and losses, which we defer and recognize in pension and other postretirement benefit costs over a period of years. Sempra Energy uses the asset smoothing method for its pension and other postretirement plans, except for the SDG&amp;E plans. This method develops an asset value that recognizes realized and unrealized investment gains and losses over a three-year period. This adjusted asset value, known as the market-related value of assets, is used in conjunction with an expected long-term rate of return to determine the expected return-on-assets component of net periodic cost. SoCalGas also uses the asset smoothing method.</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10-percent corridor accounting method is used at Sempra Energy, SDG&amp;E and SoCalGas. Under the corridor accounting method, if as of the beginning of a year, unrecognized net gain or loss exceeds 10 percent of the greater of the projected benefit obligation or the market-related value of plan assets, the excess is amortized over the average remaining service period of active participants. The asset smoothing and 10-percent corridor accounting methods help mitigate volatility of net periodic costs from year to year.</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recognize the overfunded or underfunded status of defined benefit pension and other postretirement plans as assets or liabilities, respectively; unrecognized changes in these assets and/or liabilities are normally recorded to other comprehensive income (loss) on the balance sheet. The Sempra Utilities and Mobile Gas record regulatory assets and liabilities that offset the funded pension and other postretirement plans’ assets or liabilities, as these costs are expected to be recovered in future utility rates based on agreements with regulatory agencies.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Sempra Utilities record annual pension and other postretirement net periodic benefit costs equal to the contributions to their plans as authorized by the CPUC. The annual contributions to the pension plans are limited to a minimum required funding amount as determined by the Internal Revenue Service. The annual contributions to the other postretirement plans are equal to the lesser of the maximum tax deductible amount or the net periodic cost calculated in accordance with GAAP for pension and other postretirement benefit plans. Mobile Gas records annual pension and other postretirement net periodic benefit costs based on an estimate of the net periodic cost at the beginning of the year calculated in accordance with GAAP for pension and other postretirement benefit plans, as authorized by the Alabama Public Service Commission. Any differences between booked net periodic benefit cost and amounts contributed to the pension and other postretirement plans for the Sempra Utilities are disclosed as regulatory adjustments in accordance with GAAP for regulated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net liability is included in the following captions on the Consolidated Balance Sheets at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3"/>
          </w:tcPr>
          <w:p>
            <w:pPr>
              <w:jc w:val="right"/>
              <w:ind w:right="722"/>
              <w:spacing w:after="0"/>
              <w:rPr>
                <w:sz w:val="20"/>
                <w:szCs w:val="20"/>
                <w:color w:val="auto"/>
              </w:rPr>
            </w:pPr>
            <w:r>
              <w:rPr>
                <w:rFonts w:ascii="Arial" w:cs="Arial" w:eastAsia="Arial" w:hAnsi="Arial"/>
                <w:sz w:val="14"/>
                <w:szCs w:val="14"/>
                <w:color w:val="auto"/>
              </w:rPr>
              <w:t>Other Postretirement</w:t>
            </w:r>
          </w:p>
        </w:tc>
        <w:tc>
          <w:tcPr>
            <w:tcW w:w="0" w:type="dxa"/>
            <w:vAlign w:val="bottom"/>
          </w:tcPr>
          <w:p>
            <w:pPr>
              <w:spacing w:after="0"/>
              <w:rPr>
                <w:sz w:val="1"/>
                <w:szCs w:val="1"/>
                <w:color w:val="auto"/>
              </w:rPr>
            </w:pPr>
          </w:p>
        </w:tc>
      </w:tr>
      <w:tr>
        <w:trPr>
          <w:trHeight w:val="162"/>
        </w:trPr>
        <w:tc>
          <w:tcPr>
            <w:tcW w:w="53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Pension Benefits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Benefits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3"/>
              <w:spacing w:after="0" w:line="157"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82"/>
              <w:spacing w:after="0" w:line="157" w:lineRule="exact"/>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4"/>
              <w:spacing w:after="0" w:line="157"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2"/>
              <w:spacing w:after="0" w:line="157"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53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line="176" w:lineRule="exact"/>
              <w:rPr>
                <w:sz w:val="20"/>
                <w:szCs w:val="20"/>
                <w:color w:val="auto"/>
              </w:rPr>
            </w:pPr>
            <w:r>
              <w:rPr>
                <w:rFonts w:ascii="Arial" w:cs="Arial" w:eastAsia="Arial" w:hAnsi="Arial"/>
                <w:sz w:val="16"/>
                <w:szCs w:val="16"/>
                <w:color w:val="auto"/>
              </w:rPr>
              <w:t>(31)</w:t>
            </w:r>
          </w:p>
        </w:tc>
        <w:tc>
          <w:tcPr>
            <w:tcW w:w="3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2"/>
              <w:spacing w:after="0" w:line="176" w:lineRule="exact"/>
              <w:rPr>
                <w:sz w:val="20"/>
                <w:szCs w:val="20"/>
                <w:color w:val="auto"/>
              </w:rPr>
            </w:pPr>
            <w:r>
              <w:rPr>
                <w:rFonts w:ascii="Arial" w:cs="Arial" w:eastAsia="Arial" w:hAnsi="Arial"/>
                <w:sz w:val="16"/>
                <w:szCs w:val="16"/>
                <w:color w:val="auto"/>
              </w:rPr>
              <w:t>(57)</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24"/>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Arial" w:cs="Arial" w:eastAsia="Arial" w:hAnsi="Arial"/>
                <w:sz w:val="16"/>
                <w:szCs w:val="16"/>
                <w:color w:val="auto"/>
              </w:rPr>
              <w:t>Noncurrent liabilities</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(1,043)</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(713)</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(380)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233" w:name="page234"/>
    <w:bookmarkEnd w:id="2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Net recorded liability</w:t>
            </w: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(1,074)</w:t>
            </w: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(770)</w:t>
            </w: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(382)</w:t>
            </w:r>
          </w:p>
        </w:tc>
        <w:tc>
          <w:tcPr>
            <w:tcW w:w="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r>
      <w:tr>
        <w:trPr>
          <w:trHeight w:val="164"/>
        </w:trPr>
        <w:tc>
          <w:tcPr>
            <w:tcW w:w="534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SDG&amp;E</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5340" w:type="dxa"/>
            <w:vAlign w:val="bottom"/>
            <w:gridSpan w:val="2"/>
          </w:tcPr>
          <w:p>
            <w:pPr>
              <w:spacing w:after="0" w:line="176" w:lineRule="exact"/>
              <w:rPr>
                <w:sz w:val="20"/>
                <w:szCs w:val="20"/>
                <w:color w:val="auto"/>
              </w:rPr>
            </w:pPr>
            <w:r>
              <w:rPr>
                <w:rFonts w:ascii="Arial" w:cs="Arial" w:eastAsia="Arial" w:hAnsi="Arial"/>
                <w:sz w:val="16"/>
                <w:szCs w:val="16"/>
                <w:color w:val="auto"/>
              </w:rPr>
              <w:t>Current liabilities</w:t>
            </w:r>
          </w:p>
        </w:tc>
        <w:tc>
          <w:tcPr>
            <w:tcW w:w="6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(3)</w:t>
            </w:r>
          </w:p>
        </w:tc>
        <w:tc>
          <w:tcPr>
            <w:tcW w:w="58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(3)</w:t>
            </w:r>
          </w:p>
        </w:tc>
        <w:tc>
          <w:tcPr>
            <w:tcW w:w="7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5340" w:type="dxa"/>
            <w:vAlign w:val="bottom"/>
            <w:gridSpan w:val="2"/>
          </w:tcPr>
          <w:p>
            <w:pPr>
              <w:spacing w:after="0"/>
              <w:rPr>
                <w:sz w:val="20"/>
                <w:szCs w:val="20"/>
                <w:color w:val="auto"/>
              </w:rPr>
            </w:pPr>
            <w:r>
              <w:rPr>
                <w:rFonts w:ascii="Arial" w:cs="Arial" w:eastAsia="Arial" w:hAnsi="Arial"/>
                <w:sz w:val="16"/>
                <w:szCs w:val="16"/>
                <w:color w:val="auto"/>
              </w:rPr>
              <w:t>Noncurrent liabilities</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(233)</w:t>
            </w: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183"/>
        </w:trPr>
        <w:tc>
          <w:tcPr>
            <w:tcW w:w="5340" w:type="dxa"/>
            <w:vAlign w:val="bottom"/>
            <w:gridSpan w:val="2"/>
          </w:tcPr>
          <w:p>
            <w:pPr>
              <w:spacing w:after="0" w:line="176" w:lineRule="exact"/>
              <w:rPr>
                <w:sz w:val="20"/>
                <w:szCs w:val="20"/>
                <w:color w:val="auto"/>
              </w:rPr>
            </w:pPr>
            <w:r>
              <w:rPr>
                <w:rFonts w:ascii="Arial" w:cs="Arial" w:eastAsia="Arial" w:hAnsi="Arial"/>
                <w:sz w:val="16"/>
                <w:szCs w:val="16"/>
                <w:color w:val="auto"/>
              </w:rPr>
              <w:t>Net recorded liability</w:t>
            </w:r>
          </w:p>
        </w:tc>
        <w:tc>
          <w:tcPr>
            <w:tcW w:w="6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(269)</w:t>
            </w:r>
          </w:p>
        </w:tc>
        <w:tc>
          <w:tcPr>
            <w:tcW w:w="58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(236)</w:t>
            </w:r>
          </w:p>
        </w:tc>
        <w:tc>
          <w:tcPr>
            <w:tcW w:w="7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(76)</w:t>
            </w:r>
          </w:p>
        </w:tc>
        <w:tc>
          <w:tcPr>
            <w:tcW w:w="60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(76)</w:t>
            </w:r>
          </w:p>
        </w:tc>
      </w:tr>
      <w:tr>
        <w:trPr>
          <w:trHeight w:val="164"/>
        </w:trPr>
        <w:tc>
          <w:tcPr>
            <w:tcW w:w="20" w:type="dxa"/>
            <w:vAlign w:val="bottom"/>
          </w:tcPr>
          <w:p>
            <w:pPr>
              <w:spacing w:after="0"/>
              <w:rPr>
                <w:sz w:val="14"/>
                <w:szCs w:val="14"/>
                <w:color w:val="auto"/>
              </w:rPr>
            </w:pPr>
          </w:p>
        </w:tc>
        <w:tc>
          <w:tcPr>
            <w:tcW w:w="53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6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76"/>
        </w:trPr>
        <w:tc>
          <w:tcPr>
            <w:tcW w:w="5340" w:type="dxa"/>
            <w:vAlign w:val="bottom"/>
            <w:gridSpan w:val="2"/>
          </w:tcPr>
          <w:p>
            <w:pPr>
              <w:spacing w:after="0" w:line="176" w:lineRule="exact"/>
              <w:rPr>
                <w:sz w:val="20"/>
                <w:szCs w:val="20"/>
                <w:color w:val="auto"/>
              </w:rPr>
            </w:pPr>
            <w:r>
              <w:rPr>
                <w:rFonts w:ascii="Arial" w:cs="Arial" w:eastAsia="Arial" w:hAnsi="Arial"/>
                <w:sz w:val="16"/>
                <w:szCs w:val="16"/>
                <w:color w:val="auto"/>
              </w:rPr>
              <w:t>Current liabilities</w:t>
            </w:r>
          </w:p>
        </w:tc>
        <w:tc>
          <w:tcPr>
            <w:tcW w:w="6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(4)</w:t>
            </w:r>
          </w:p>
        </w:tc>
        <w:tc>
          <w:tcPr>
            <w:tcW w:w="58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(5)</w:t>
            </w:r>
          </w:p>
        </w:tc>
        <w:tc>
          <w:tcPr>
            <w:tcW w:w="7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5340" w:type="dxa"/>
            <w:vAlign w:val="bottom"/>
            <w:gridSpan w:val="2"/>
          </w:tcPr>
          <w:p>
            <w:pPr>
              <w:spacing w:after="0"/>
              <w:rPr>
                <w:sz w:val="20"/>
                <w:szCs w:val="20"/>
                <w:color w:val="auto"/>
              </w:rPr>
            </w:pPr>
            <w:r>
              <w:rPr>
                <w:rFonts w:ascii="Arial" w:cs="Arial" w:eastAsia="Arial" w:hAnsi="Arial"/>
                <w:sz w:val="16"/>
                <w:szCs w:val="16"/>
                <w:color w:val="auto"/>
              </w:rPr>
              <w:t>Noncurrent liabilities</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(325)</w:t>
            </w: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(263)</w:t>
            </w: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176"/>
        </w:trPr>
        <w:tc>
          <w:tcPr>
            <w:tcW w:w="5340" w:type="dxa"/>
            <w:vAlign w:val="bottom"/>
            <w:gridSpan w:val="2"/>
          </w:tcPr>
          <w:p>
            <w:pPr>
              <w:spacing w:after="0" w:line="176" w:lineRule="exact"/>
              <w:rPr>
                <w:sz w:val="20"/>
                <w:szCs w:val="20"/>
                <w:color w:val="auto"/>
              </w:rPr>
            </w:pPr>
            <w:r>
              <w:rPr>
                <w:rFonts w:ascii="Arial" w:cs="Arial" w:eastAsia="Arial" w:hAnsi="Arial"/>
                <w:sz w:val="16"/>
                <w:szCs w:val="16"/>
                <w:color w:val="auto"/>
              </w:rPr>
              <w:t>Net recorded liability</w:t>
            </w:r>
          </w:p>
        </w:tc>
        <w:tc>
          <w:tcPr>
            <w:tcW w:w="6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(574)</w:t>
            </w:r>
          </w:p>
        </w:tc>
        <w:tc>
          <w:tcPr>
            <w:tcW w:w="58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(330)</w:t>
            </w:r>
          </w:p>
        </w:tc>
        <w:tc>
          <w:tcPr>
            <w:tcW w:w="7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(263)</w:t>
            </w:r>
          </w:p>
        </w:tc>
        <w:tc>
          <w:tcPr>
            <w:tcW w:w="60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(288)</w:t>
            </w:r>
          </w:p>
        </w:tc>
      </w:tr>
      <w:tr>
        <w:trPr>
          <w:trHeight w:val="27"/>
        </w:trPr>
        <w:tc>
          <w:tcPr>
            <w:tcW w:w="20" w:type="dxa"/>
            <w:vAlign w:val="bottom"/>
          </w:tcPr>
          <w:p>
            <w:pPr>
              <w:spacing w:after="0"/>
              <w:rPr>
                <w:sz w:val="2"/>
                <w:szCs w:val="2"/>
                <w:color w:val="auto"/>
              </w:rPr>
            </w:pPr>
          </w:p>
        </w:tc>
        <w:tc>
          <w:tcPr>
            <w:tcW w:w="5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Amounts recorded in Accumulated Other Comprehensive Income (Loss) as of December 31, 2011 and 2010, net of income tax effects and amounts recorded as regulatory assets, are as follows: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IN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60" w:type="dxa"/>
            <w:vAlign w:val="bottom"/>
            <w:gridSpan w:val="3"/>
            <w:vMerge w:val="restart"/>
          </w:tcPr>
          <w:p>
            <w:pPr>
              <w:jc w:val="center"/>
              <w:ind w:left="543"/>
              <w:spacing w:after="0"/>
              <w:rPr>
                <w:sz w:val="20"/>
                <w:szCs w:val="20"/>
                <w:color w:val="auto"/>
              </w:rPr>
            </w:pPr>
            <w:r>
              <w:rPr>
                <w:rFonts w:ascii="Arial" w:cs="Arial" w:eastAsia="Arial" w:hAnsi="Arial"/>
                <w:sz w:val="14"/>
                <w:szCs w:val="14"/>
                <w:color w:val="auto"/>
              </w:rPr>
              <w:t>Other Postretirement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color w:val="auto"/>
              </w:rPr>
              <w:t>Pension Benefits</w:t>
            </w: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jc w:val="center"/>
              <w:ind w:left="81"/>
              <w:spacing w:after="0"/>
              <w:rPr>
                <w:sz w:val="20"/>
                <w:szCs w:val="20"/>
                <w:color w:val="auto"/>
              </w:rPr>
            </w:pPr>
            <w:r>
              <w:rPr>
                <w:rFonts w:ascii="Arial" w:cs="Arial" w:eastAsia="Arial" w:hAnsi="Arial"/>
                <w:sz w:val="14"/>
                <w:szCs w:val="14"/>
                <w:color w:val="auto"/>
              </w:rPr>
              <w:t>Benefits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0"/>
              <w:spacing w:after="0" w:line="157" w:lineRule="exact"/>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3"/>
              <w:spacing w:after="0" w:line="157" w:lineRule="exact"/>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2"/>
              <w:spacing w:after="0" w:line="157" w:lineRule="exact"/>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gridSpan w:val="2"/>
          </w:tcPr>
          <w:p>
            <w:pPr>
              <w:spacing w:after="0" w:line="176" w:lineRule="exact"/>
              <w:rPr>
                <w:sz w:val="20"/>
                <w:szCs w:val="20"/>
                <w:color w:val="auto"/>
              </w:rPr>
            </w:pPr>
            <w:r>
              <w:rPr>
                <w:rFonts w:ascii="Arial" w:cs="Arial" w:eastAsia="Arial" w:hAnsi="Arial"/>
                <w:sz w:val="16"/>
                <w:szCs w:val="16"/>
                <w:color w:val="auto"/>
              </w:rPr>
              <w:t>Net actuarial loss</w:t>
            </w:r>
          </w:p>
        </w:tc>
        <w:tc>
          <w:tcPr>
            <w:tcW w:w="8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(92)</w:t>
            </w:r>
          </w:p>
        </w:tc>
        <w:tc>
          <w:tcPr>
            <w:tcW w:w="860" w:type="dxa"/>
            <w:vAlign w:val="bottom"/>
          </w:tcPr>
          <w:p>
            <w:pPr>
              <w:jc w:val="right"/>
              <w:ind w:right="540"/>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1260" w:type="dxa"/>
            <w:vAlign w:val="bottom"/>
          </w:tcPr>
          <w:p>
            <w:pPr>
              <w:jc w:val="right"/>
              <w:ind w:right="563"/>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ind w:left="220"/>
              <w:spacing w:after="0" w:line="176" w:lineRule="exact"/>
              <w:rPr>
                <w:sz w:val="20"/>
                <w:szCs w:val="20"/>
                <w:color w:val="auto"/>
              </w:rPr>
            </w:pPr>
            <w:r>
              <w:rPr>
                <w:rFonts w:ascii="Arial" w:cs="Arial" w:eastAsia="Arial" w:hAnsi="Arial"/>
                <w:sz w:val="16"/>
                <w:szCs w:val="16"/>
                <w:color w:val="auto"/>
              </w:rPr>
              <w:t>(8)</w:t>
            </w:r>
          </w:p>
        </w:tc>
        <w:tc>
          <w:tcPr>
            <w:tcW w:w="780" w:type="dxa"/>
            <w:vAlign w:val="bottom"/>
          </w:tcPr>
          <w:p>
            <w:pPr>
              <w:jc w:val="right"/>
              <w:ind w:right="602"/>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gridSpan w:val="2"/>
          </w:tcPr>
          <w:p>
            <w:pPr>
              <w:ind w:left="200"/>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5340" w:type="dxa"/>
            <w:vAlign w:val="bottom"/>
            <w:gridSpan w:val="2"/>
          </w:tcPr>
          <w:p>
            <w:pPr>
              <w:spacing w:after="0"/>
              <w:rPr>
                <w:sz w:val="20"/>
                <w:szCs w:val="20"/>
                <w:color w:val="auto"/>
              </w:rPr>
            </w:pPr>
            <w:r>
              <w:rPr>
                <w:rFonts w:ascii="Arial" w:cs="Arial" w:eastAsia="Arial" w:hAnsi="Arial"/>
                <w:sz w:val="16"/>
                <w:szCs w:val="16"/>
                <w:color w:val="auto"/>
              </w:rPr>
              <w:t>Prior service credit</w:t>
            </w:r>
          </w:p>
        </w:tc>
        <w:tc>
          <w:tcPr>
            <w:tcW w:w="880" w:type="dxa"/>
            <w:vAlign w:val="bottom"/>
          </w:tcPr>
          <w:p>
            <w:pPr>
              <w:spacing w:after="0"/>
              <w:rPr>
                <w:sz w:val="16"/>
                <w:szCs w:val="16"/>
                <w:color w:val="auto"/>
              </w:rPr>
            </w:pP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6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4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34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880" w:type="dxa"/>
            <w:vAlign w:val="bottom"/>
            <w:tcBorders>
              <w:top w:val="single" w:sz="8" w:color="auto"/>
            </w:tcBorders>
          </w:tcPr>
          <w:p>
            <w:pPr>
              <w:jc w:val="right"/>
              <w:ind w:right="400"/>
              <w:spacing w:after="0" w:line="176"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(91)</w:t>
            </w:r>
          </w:p>
        </w:tc>
        <w:tc>
          <w:tcPr>
            <w:tcW w:w="860" w:type="dxa"/>
            <w:vAlign w:val="bottom"/>
            <w:tcBorders>
              <w:top w:val="single" w:sz="8" w:color="auto"/>
            </w:tcBorders>
          </w:tcPr>
          <w:p>
            <w:pPr>
              <w:jc w:val="right"/>
              <w:ind w:right="540"/>
              <w:spacing w:after="0" w:line="176" w:lineRule="exact"/>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(84)</w:t>
            </w:r>
          </w:p>
        </w:tc>
        <w:tc>
          <w:tcPr>
            <w:tcW w:w="1260" w:type="dxa"/>
            <w:vAlign w:val="bottom"/>
            <w:tcBorders>
              <w:top w:val="single" w:sz="8" w:color="auto"/>
            </w:tcBorders>
          </w:tcPr>
          <w:p>
            <w:pPr>
              <w:jc w:val="right"/>
              <w:ind w:right="563"/>
              <w:spacing w:after="0" w:line="176"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ind w:left="220"/>
              <w:spacing w:after="0" w:line="176" w:lineRule="exact"/>
              <w:rPr>
                <w:sz w:val="20"/>
                <w:szCs w:val="20"/>
                <w:color w:val="auto"/>
              </w:rPr>
            </w:pPr>
            <w:r>
              <w:rPr>
                <w:rFonts w:ascii="Arial" w:cs="Arial" w:eastAsia="Arial" w:hAnsi="Arial"/>
                <w:sz w:val="16"/>
                <w:szCs w:val="16"/>
                <w:color w:val="auto"/>
              </w:rPr>
              <w:t>(8)</w:t>
            </w:r>
          </w:p>
        </w:tc>
        <w:tc>
          <w:tcPr>
            <w:tcW w:w="780" w:type="dxa"/>
            <w:vAlign w:val="bottom"/>
            <w:tcBorders>
              <w:top w:val="single" w:sz="8" w:color="auto"/>
            </w:tcBorders>
          </w:tcPr>
          <w:p>
            <w:pPr>
              <w:jc w:val="right"/>
              <w:ind w:right="602"/>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200"/>
              <w:spacing w:after="0" w:line="176" w:lineRule="exact"/>
              <w:rPr>
                <w:sz w:val="20"/>
                <w:szCs w:val="20"/>
                <w:color w:val="auto"/>
              </w:rPr>
            </w:pPr>
            <w:r>
              <w:rPr>
                <w:rFonts w:ascii="Arial" w:cs="Arial" w:eastAsia="Arial" w:hAnsi="Arial"/>
                <w:sz w:val="16"/>
                <w:szCs w:val="16"/>
                <w:color w:val="auto"/>
                <w:w w:val="91"/>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SDG&amp;E</w:t>
            </w:r>
          </w:p>
        </w:tc>
        <w:tc>
          <w:tcPr>
            <w:tcW w:w="8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340" w:type="dxa"/>
            <w:vAlign w:val="bottom"/>
            <w:gridSpan w:val="2"/>
          </w:tcPr>
          <w:p>
            <w:pPr>
              <w:spacing w:after="0" w:line="179" w:lineRule="exact"/>
              <w:rPr>
                <w:sz w:val="20"/>
                <w:szCs w:val="20"/>
                <w:color w:val="auto"/>
              </w:rPr>
            </w:pPr>
            <w:r>
              <w:rPr>
                <w:rFonts w:ascii="Arial" w:cs="Arial" w:eastAsia="Arial" w:hAnsi="Arial"/>
                <w:sz w:val="16"/>
                <w:szCs w:val="16"/>
                <w:color w:val="auto"/>
              </w:rPr>
              <w:t>Net actuarial loss</w:t>
            </w:r>
          </w:p>
        </w:tc>
        <w:tc>
          <w:tcPr>
            <w:tcW w:w="880" w:type="dxa"/>
            <w:vAlign w:val="bottom"/>
          </w:tcPr>
          <w:p>
            <w:pPr>
              <w:jc w:val="right"/>
              <w:ind w:right="400"/>
              <w:spacing w:after="0" w:line="179"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line="179" w:lineRule="exact"/>
              <w:rPr>
                <w:sz w:val="20"/>
                <w:szCs w:val="20"/>
                <w:color w:val="auto"/>
              </w:rPr>
            </w:pPr>
            <w:r>
              <w:rPr>
                <w:rFonts w:ascii="Arial" w:cs="Arial" w:eastAsia="Arial" w:hAnsi="Arial"/>
                <w:sz w:val="16"/>
                <w:szCs w:val="16"/>
                <w:color w:val="auto"/>
              </w:rPr>
              <w:t>(11)</w:t>
            </w:r>
          </w:p>
        </w:tc>
        <w:tc>
          <w:tcPr>
            <w:tcW w:w="860" w:type="dxa"/>
            <w:vAlign w:val="bottom"/>
          </w:tcPr>
          <w:p>
            <w:pPr>
              <w:jc w:val="right"/>
              <w:ind w:right="540"/>
              <w:spacing w:after="0" w:line="179"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9" w:lineRule="exact"/>
              <w:rPr>
                <w:sz w:val="20"/>
                <w:szCs w:val="20"/>
                <w:color w:val="auto"/>
              </w:rPr>
            </w:pPr>
            <w:r>
              <w:rPr>
                <w:rFonts w:ascii="Arial" w:cs="Arial" w:eastAsia="Arial" w:hAnsi="Arial"/>
                <w:sz w:val="16"/>
                <w:szCs w:val="16"/>
                <w:color w:val="auto"/>
              </w:rPr>
              <w:t>(11)</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40" w:type="dxa"/>
            <w:vAlign w:val="bottom"/>
            <w:gridSpan w:val="2"/>
          </w:tcPr>
          <w:p>
            <w:pPr>
              <w:spacing w:after="0"/>
              <w:rPr>
                <w:sz w:val="20"/>
                <w:szCs w:val="20"/>
                <w:color w:val="auto"/>
              </w:rPr>
            </w:pPr>
            <w:r>
              <w:rPr>
                <w:rFonts w:ascii="Arial" w:cs="Arial" w:eastAsia="Arial" w:hAnsi="Arial"/>
                <w:sz w:val="16"/>
                <w:szCs w:val="16"/>
                <w:color w:val="auto"/>
              </w:rPr>
              <w:t>Prior service credit</w:t>
            </w: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4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8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(10)</w:t>
            </w:r>
          </w:p>
        </w:tc>
        <w:tc>
          <w:tcPr>
            <w:tcW w:w="860" w:type="dxa"/>
            <w:vAlign w:val="bottom"/>
          </w:tcPr>
          <w:p>
            <w:pPr>
              <w:jc w:val="right"/>
              <w:ind w:right="540"/>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SoCalGas</w:t>
            </w:r>
          </w:p>
        </w:tc>
        <w:tc>
          <w:tcPr>
            <w:tcW w:w="8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340" w:type="dxa"/>
            <w:vAlign w:val="bottom"/>
            <w:gridSpan w:val="2"/>
          </w:tcPr>
          <w:p>
            <w:pPr>
              <w:spacing w:after="0" w:line="179" w:lineRule="exact"/>
              <w:rPr>
                <w:sz w:val="20"/>
                <w:szCs w:val="20"/>
                <w:color w:val="auto"/>
              </w:rPr>
            </w:pPr>
            <w:r>
              <w:rPr>
                <w:rFonts w:ascii="Arial" w:cs="Arial" w:eastAsia="Arial" w:hAnsi="Arial"/>
                <w:sz w:val="16"/>
                <w:szCs w:val="16"/>
                <w:color w:val="auto"/>
              </w:rPr>
              <w:t>Net actuarial loss</w:t>
            </w:r>
          </w:p>
        </w:tc>
        <w:tc>
          <w:tcPr>
            <w:tcW w:w="880" w:type="dxa"/>
            <w:vAlign w:val="bottom"/>
          </w:tcPr>
          <w:p>
            <w:pPr>
              <w:jc w:val="right"/>
              <w:ind w:right="400"/>
              <w:spacing w:after="0" w:line="179"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line="179" w:lineRule="exact"/>
              <w:rPr>
                <w:sz w:val="20"/>
                <w:szCs w:val="20"/>
                <w:color w:val="auto"/>
              </w:rPr>
            </w:pPr>
            <w:r>
              <w:rPr>
                <w:rFonts w:ascii="Arial" w:cs="Arial" w:eastAsia="Arial" w:hAnsi="Arial"/>
                <w:sz w:val="16"/>
                <w:szCs w:val="16"/>
                <w:color w:val="auto"/>
              </w:rPr>
              <w:t>(6)</w:t>
            </w:r>
          </w:p>
        </w:tc>
        <w:tc>
          <w:tcPr>
            <w:tcW w:w="860" w:type="dxa"/>
            <w:vAlign w:val="bottom"/>
          </w:tcPr>
          <w:p>
            <w:pPr>
              <w:jc w:val="right"/>
              <w:ind w:right="540"/>
              <w:spacing w:after="0" w:line="179"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9" w:lineRule="exact"/>
              <w:rPr>
                <w:sz w:val="20"/>
                <w:szCs w:val="20"/>
                <w:color w:val="auto"/>
              </w:rPr>
            </w:pPr>
            <w:r>
              <w:rPr>
                <w:rFonts w:ascii="Arial" w:cs="Arial" w:eastAsia="Arial" w:hAnsi="Arial"/>
                <w:sz w:val="16"/>
                <w:szCs w:val="16"/>
                <w:color w:val="auto"/>
              </w:rPr>
              <w:t>(5)</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40" w:type="dxa"/>
            <w:vAlign w:val="bottom"/>
            <w:gridSpan w:val="2"/>
          </w:tcPr>
          <w:p>
            <w:pPr>
              <w:spacing w:after="0"/>
              <w:rPr>
                <w:sz w:val="20"/>
                <w:szCs w:val="20"/>
                <w:color w:val="auto"/>
              </w:rPr>
            </w:pPr>
            <w:r>
              <w:rPr>
                <w:rFonts w:ascii="Arial" w:cs="Arial" w:eastAsia="Arial" w:hAnsi="Arial"/>
                <w:sz w:val="16"/>
                <w:szCs w:val="16"/>
                <w:color w:val="auto"/>
              </w:rPr>
              <w:t>Prior service credit</w:t>
            </w: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4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8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(5)</w:t>
            </w:r>
          </w:p>
        </w:tc>
        <w:tc>
          <w:tcPr>
            <w:tcW w:w="860" w:type="dxa"/>
            <w:vAlign w:val="bottom"/>
          </w:tcPr>
          <w:p>
            <w:pPr>
              <w:jc w:val="right"/>
              <w:ind w:right="540"/>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defined benefit pension plans at December 31, 2011 and 2010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4"/>
                <w:szCs w:val="14"/>
                <w:color w:val="auto"/>
              </w:rPr>
              <w:t>Sempra Energy Consolidated</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SoCalGas</w:t>
            </w:r>
          </w:p>
        </w:tc>
        <w:tc>
          <w:tcPr>
            <w:tcW w:w="880" w:type="dxa"/>
            <w:vAlign w:val="bottom"/>
            <w:tcBorders>
              <w:bottom w:val="single" w:sz="8" w:color="auto"/>
            </w:tcBorders>
          </w:tcPr>
          <w:p>
            <w:pPr>
              <w:spacing w:after="0"/>
              <w:rPr>
                <w:sz w:val="14"/>
                <w:szCs w:val="14"/>
                <w:color w:val="auto"/>
              </w:rPr>
            </w:pPr>
          </w:p>
        </w:tc>
      </w:tr>
      <w:tr>
        <w:trPr>
          <w:trHeight w:val="169"/>
        </w:trPr>
        <w:tc>
          <w:tcPr>
            <w:tcW w:w="32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jc w:val="right"/>
              <w:spacing w:after="0"/>
              <w:rPr>
                <w:sz w:val="20"/>
                <w:szCs w:val="20"/>
                <w:color w:val="auto"/>
              </w:rPr>
            </w:pPr>
            <w:r>
              <w:rPr>
                <w:rFonts w:ascii="Arial" w:cs="Arial" w:eastAsia="Arial" w:hAnsi="Arial"/>
                <w:sz w:val="14"/>
                <w:szCs w:val="14"/>
                <w:color w:val="auto"/>
              </w:rPr>
              <w:t>2011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423"/>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705"/>
              <w:spacing w:after="0"/>
              <w:rPr>
                <w:sz w:val="20"/>
                <w:szCs w:val="20"/>
                <w:color w:val="auto"/>
              </w:rPr>
            </w:pPr>
            <w:r>
              <w:rPr>
                <w:rFonts w:ascii="Arial" w:cs="Arial" w:eastAsia="Arial" w:hAnsi="Arial"/>
                <w:sz w:val="14"/>
                <w:szCs w:val="14"/>
                <w:color w:val="auto"/>
              </w:rPr>
              <w:t>2011</w:t>
            </w:r>
          </w:p>
        </w:tc>
        <w:tc>
          <w:tcPr>
            <w:tcW w:w="600" w:type="dxa"/>
            <w:vAlign w:val="bottom"/>
          </w:tcPr>
          <w:p>
            <w:pPr>
              <w:jc w:val="right"/>
              <w:ind w:right="23"/>
              <w:spacing w:after="0"/>
              <w:rPr>
                <w:sz w:val="20"/>
                <w:szCs w:val="20"/>
                <w:color w:val="auto"/>
              </w:rPr>
            </w:pPr>
            <w:r>
              <w:rPr>
                <w:rFonts w:ascii="Arial" w:cs="Arial" w:eastAsia="Arial" w:hAnsi="Arial"/>
                <w:sz w:val="14"/>
                <w:szCs w:val="14"/>
                <w:color w:val="auto"/>
              </w:rPr>
              <w:t>2010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565"/>
              <w:spacing w:after="0"/>
              <w:rPr>
                <w:sz w:val="20"/>
                <w:szCs w:val="20"/>
                <w:color w:val="auto"/>
              </w:rPr>
            </w:pPr>
            <w:r>
              <w:rPr>
                <w:rFonts w:ascii="Arial" w:cs="Arial" w:eastAsia="Arial" w:hAnsi="Arial"/>
                <w:sz w:val="14"/>
                <w:szCs w:val="14"/>
                <w:color w:val="auto"/>
              </w:rPr>
              <w:t>2011</w:t>
            </w:r>
          </w:p>
        </w:tc>
        <w:tc>
          <w:tcPr>
            <w:tcW w:w="300" w:type="dxa"/>
            <w:vAlign w:val="bottom"/>
          </w:tcPr>
          <w:p>
            <w:pPr>
              <w:spacing w:after="0"/>
              <w:rPr>
                <w:sz w:val="14"/>
                <w:szCs w:val="14"/>
                <w:color w:val="auto"/>
              </w:rPr>
            </w:pPr>
          </w:p>
        </w:tc>
        <w:tc>
          <w:tcPr>
            <w:tcW w:w="880" w:type="dxa"/>
            <w:vAlign w:val="bottom"/>
          </w:tcPr>
          <w:p>
            <w:pPr>
              <w:jc w:val="right"/>
              <w:ind w:right="443"/>
              <w:spacing w:after="0"/>
              <w:rPr>
                <w:sz w:val="20"/>
                <w:szCs w:val="20"/>
                <w:color w:val="auto"/>
              </w:rPr>
            </w:pPr>
            <w:r>
              <w:rPr>
                <w:rFonts w:ascii="Arial" w:cs="Arial" w:eastAsia="Arial" w:hAnsi="Arial"/>
                <w:sz w:val="14"/>
                <w:szCs w:val="14"/>
                <w:color w:val="auto"/>
              </w:rPr>
              <w:t>2010</w:t>
            </w:r>
          </w:p>
        </w:tc>
      </w:tr>
      <w:tr>
        <w:trPr>
          <w:trHeight w:val="183"/>
        </w:trPr>
        <w:tc>
          <w:tcPr>
            <w:tcW w:w="20" w:type="dxa"/>
            <w:vAlign w:val="bottom"/>
            <w:tcBorders>
              <w:bottom w:val="single" w:sz="8" w:color="auto"/>
            </w:tcBorders>
          </w:tcPr>
          <w:p>
            <w:pPr>
              <w:spacing w:after="0"/>
              <w:rPr>
                <w:sz w:val="15"/>
                <w:szCs w:val="15"/>
                <w:color w:val="auto"/>
              </w:rPr>
            </w:pPr>
          </w:p>
        </w:tc>
        <w:tc>
          <w:tcPr>
            <w:tcW w:w="320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Accumulated benefit obligation</w:t>
            </w:r>
          </w:p>
        </w:tc>
        <w:tc>
          <w:tcPr>
            <w:tcW w:w="800" w:type="dxa"/>
            <w:vAlign w:val="bottom"/>
            <w:tcBorders>
              <w:top w:val="single" w:sz="8" w:color="auto"/>
              <w:bottom w:val="single" w:sz="8" w:color="auto"/>
            </w:tcBorders>
          </w:tcPr>
          <w:p>
            <w:pPr>
              <w:jc w:val="right"/>
              <w:ind w:right="345"/>
              <w:spacing w:after="0" w:line="176" w:lineRule="exact"/>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w w:val="99"/>
              </w:rPr>
              <w:t>3,176</w:t>
            </w:r>
          </w:p>
        </w:tc>
        <w:tc>
          <w:tcPr>
            <w:tcW w:w="2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2,933</w:t>
            </w:r>
          </w:p>
        </w:tc>
        <w:tc>
          <w:tcPr>
            <w:tcW w:w="660" w:type="dxa"/>
            <w:vAlign w:val="bottom"/>
            <w:tcBorders>
              <w:top w:val="single" w:sz="8" w:color="auto"/>
              <w:bottom w:val="single" w:sz="8" w:color="auto"/>
            </w:tcBorders>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245"/>
              <w:spacing w:after="0" w:line="176" w:lineRule="exact"/>
              <w:rPr>
                <w:sz w:val="20"/>
                <w:szCs w:val="20"/>
                <w:color w:val="auto"/>
              </w:rPr>
            </w:pPr>
            <w:r>
              <w:rPr>
                <w:rFonts w:ascii="Arial" w:cs="Arial" w:eastAsia="Arial" w:hAnsi="Arial"/>
                <w:sz w:val="16"/>
                <w:szCs w:val="16"/>
                <w:color w:val="auto"/>
              </w:rPr>
              <w:t>962</w:t>
            </w:r>
          </w:p>
        </w:tc>
        <w:tc>
          <w:tcPr>
            <w:tcW w:w="600" w:type="dxa"/>
            <w:vAlign w:val="bottom"/>
            <w:tcBorders>
              <w:top w:val="single" w:sz="8" w:color="auto"/>
              <w:bottom w:val="single" w:sz="8" w:color="auto"/>
            </w:tcBorders>
          </w:tcPr>
          <w:p>
            <w:pPr>
              <w:jc w:val="right"/>
              <w:ind w:right="423"/>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935</w:t>
            </w:r>
          </w:p>
        </w:tc>
        <w:tc>
          <w:tcPr>
            <w:tcW w:w="660" w:type="dxa"/>
            <w:vAlign w:val="bottom"/>
            <w:tcBorders>
              <w:top w:val="single" w:sz="8" w:color="auto"/>
              <w:bottom w:val="single" w:sz="8" w:color="auto"/>
            </w:tcBorders>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05"/>
              <w:spacing w:after="0" w:line="176" w:lineRule="exact"/>
              <w:rPr>
                <w:sz w:val="20"/>
                <w:szCs w:val="20"/>
                <w:color w:val="auto"/>
              </w:rPr>
            </w:pPr>
            <w:r>
              <w:rPr>
                <w:rFonts w:ascii="Arial" w:cs="Arial" w:eastAsia="Arial" w:hAnsi="Arial"/>
                <w:sz w:val="16"/>
                <w:szCs w:val="16"/>
                <w:color w:val="auto"/>
              </w:rPr>
              <w:t>1,845</w:t>
            </w:r>
          </w:p>
        </w:tc>
        <w:tc>
          <w:tcPr>
            <w:tcW w:w="3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1,623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Sempra Energy has unfunded and funded pension plans. SDG&amp;E and SoCalGas each have an unfunded and a funded pension plan. The following table shows the obligations of funded pension plans with benefit obligations in excess of plan assets as of December 31: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060"/>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40"/>
              <w:spacing w:after="0"/>
              <w:rPr>
                <w:sz w:val="20"/>
                <w:szCs w:val="20"/>
                <w:color w:val="auto"/>
              </w:rPr>
            </w:pPr>
            <w:r>
              <w:rPr>
                <w:rFonts w:ascii="Arial" w:cs="Arial" w:eastAsia="Arial" w:hAnsi="Arial"/>
                <w:sz w:val="14"/>
                <w:szCs w:val="14"/>
                <w:color w:val="auto"/>
              </w:rPr>
              <w:t>2010</w:t>
            </w:r>
          </w:p>
        </w:tc>
      </w:tr>
      <w:tr>
        <w:trPr>
          <w:trHeight w:val="164"/>
        </w:trPr>
        <w:tc>
          <w:tcPr>
            <w:tcW w:w="496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6"/>
                <w:szCs w:val="16"/>
                <w:color w:val="auto"/>
              </w:rPr>
              <w:t>Projected benefit obligation</w:t>
            </w:r>
          </w:p>
        </w:tc>
        <w:tc>
          <w:tcPr>
            <w:tcW w:w="29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6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3,150</w:t>
            </w:r>
          </w:p>
        </w:tc>
        <w:tc>
          <w:tcPr>
            <w:tcW w:w="5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2,880</w:t>
            </w: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6"/>
                <w:szCs w:val="16"/>
                <w:color w:val="auto"/>
              </w:rPr>
              <w:t>Accumulated benefit obligation</w:t>
            </w:r>
          </w:p>
        </w:tc>
        <w:tc>
          <w:tcPr>
            <w:tcW w:w="2920" w:type="dxa"/>
            <w:vAlign w:val="bottom"/>
          </w:tcPr>
          <w:p>
            <w:pPr>
              <w:spacing w:after="0"/>
              <w:rPr>
                <w:sz w:val="15"/>
                <w:szCs w:val="15"/>
                <w:color w:val="auto"/>
              </w:rPr>
            </w:pPr>
          </w:p>
        </w:tc>
        <w:tc>
          <w:tcPr>
            <w:tcW w:w="16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2,958</w:t>
            </w:r>
          </w:p>
        </w:tc>
        <w:tc>
          <w:tcPr>
            <w:tcW w:w="52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2,702</w:t>
            </w:r>
          </w:p>
        </w:tc>
      </w:tr>
      <w:tr>
        <w:trPr>
          <w:trHeight w:val="194"/>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2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2,332</w:t>
            </w: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w:t>
            </w:r>
          </w:p>
        </w:tc>
      </w:tr>
      <w:tr>
        <w:trPr>
          <w:trHeight w:val="164"/>
        </w:trPr>
        <w:tc>
          <w:tcPr>
            <w:tcW w:w="496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6"/>
                <w:szCs w:val="16"/>
                <w:color w:val="auto"/>
              </w:rPr>
              <w:t>Projected benefit obligation</w:t>
            </w:r>
          </w:p>
        </w:tc>
        <w:tc>
          <w:tcPr>
            <w:tcW w:w="29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6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944</w:t>
            </w:r>
          </w:p>
        </w:tc>
        <w:tc>
          <w:tcPr>
            <w:tcW w:w="5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917</w:t>
            </w: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6"/>
                <w:szCs w:val="16"/>
                <w:color w:val="auto"/>
              </w:rPr>
              <w:t>Accumulated benefit obligation</w:t>
            </w:r>
          </w:p>
        </w:tc>
        <w:tc>
          <w:tcPr>
            <w:tcW w:w="2920" w:type="dxa"/>
            <w:vAlign w:val="bottom"/>
          </w:tcPr>
          <w:p>
            <w:pPr>
              <w:spacing w:after="0"/>
              <w:rPr>
                <w:sz w:val="15"/>
                <w:szCs w:val="15"/>
                <w:color w:val="auto"/>
              </w:rPr>
            </w:pPr>
          </w:p>
        </w:tc>
        <w:tc>
          <w:tcPr>
            <w:tcW w:w="16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928</w:t>
            </w:r>
          </w:p>
        </w:tc>
        <w:tc>
          <w:tcPr>
            <w:tcW w:w="52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906</w:t>
            </w:r>
          </w:p>
        </w:tc>
      </w:tr>
      <w:tr>
        <w:trPr>
          <w:trHeight w:val="194"/>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2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712</w:t>
            </w: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r>
      <w:tr>
        <w:trPr>
          <w:trHeight w:val="164"/>
        </w:trPr>
        <w:tc>
          <w:tcPr>
            <w:tcW w:w="496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6"/>
                <w:szCs w:val="16"/>
                <w:color w:val="auto"/>
              </w:rPr>
              <w:t>Projected benefit obligation</w:t>
            </w:r>
          </w:p>
        </w:tc>
        <w:tc>
          <w:tcPr>
            <w:tcW w:w="29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6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1,987</w:t>
            </w:r>
          </w:p>
        </w:tc>
        <w:tc>
          <w:tcPr>
            <w:tcW w:w="5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1,755</w:t>
            </w: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6"/>
                <w:szCs w:val="16"/>
                <w:color w:val="auto"/>
              </w:rPr>
              <w:t>Accumulated benefit obligation</w:t>
            </w:r>
          </w:p>
        </w:tc>
        <w:tc>
          <w:tcPr>
            <w:tcW w:w="2920" w:type="dxa"/>
            <w:vAlign w:val="bottom"/>
          </w:tcPr>
          <w:p>
            <w:pPr>
              <w:spacing w:after="0"/>
              <w:rPr>
                <w:sz w:val="15"/>
                <w:szCs w:val="15"/>
                <w:color w:val="auto"/>
              </w:rPr>
            </w:pPr>
          </w:p>
        </w:tc>
        <w:tc>
          <w:tcPr>
            <w:tcW w:w="16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1,818</w:t>
            </w:r>
          </w:p>
        </w:tc>
        <w:tc>
          <w:tcPr>
            <w:tcW w:w="52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1,594</w:t>
            </w:r>
          </w:p>
        </w:tc>
      </w:tr>
      <w:tr>
        <w:trPr>
          <w:trHeight w:val="194"/>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2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1,443</w:t>
            </w: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 2009-2011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three tables provide the components of net periodic benefit cost and amounts recognized in other comprehensive income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AND AMOUNTS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6"/>
                <w:szCs w:val="16"/>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color w:val="auto"/>
              </w:rPr>
              <w:t>Pension Benefits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vMerge w:val="restart"/>
          </w:tcPr>
          <w:p>
            <w:pPr>
              <w:jc w:val="right"/>
              <w:ind w:right="48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40"/>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Sempra Energy Consolidated</w:t>
            </w:r>
          </w:p>
        </w:tc>
        <w:tc>
          <w:tcPr>
            <w:tcW w:w="2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40"/>
              <w:spacing w:after="0"/>
              <w:rPr>
                <w:sz w:val="20"/>
                <w:szCs w:val="20"/>
                <w:color w:val="auto"/>
              </w:rPr>
            </w:pPr>
            <w:r>
              <w:rPr>
                <w:rFonts w:ascii="Arial" w:cs="Arial" w:eastAsia="Arial" w:hAnsi="Arial"/>
                <w:sz w:val="14"/>
                <w:szCs w:val="14"/>
                <w:color w:val="auto"/>
              </w:rPr>
              <w:t>2011</w:t>
            </w:r>
          </w:p>
        </w:tc>
        <w:tc>
          <w:tcPr>
            <w:tcW w:w="200" w:type="dxa"/>
            <w:vAlign w:val="bottom"/>
          </w:tcPr>
          <w:p>
            <w:pPr>
              <w:spacing w:after="0"/>
              <w:rPr>
                <w:sz w:val="14"/>
                <w:szCs w:val="14"/>
                <w:color w:val="auto"/>
              </w:rPr>
            </w:pPr>
          </w:p>
        </w:tc>
        <w:tc>
          <w:tcPr>
            <w:tcW w:w="800" w:type="dxa"/>
            <w:vAlign w:val="bottom"/>
          </w:tcPr>
          <w:p>
            <w:pPr>
              <w:jc w:val="right"/>
              <w:ind w:right="360"/>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c>
          <w:tcPr>
            <w:tcW w:w="720" w:type="dxa"/>
            <w:vAlign w:val="bottom"/>
          </w:tcPr>
          <w:p>
            <w:pPr>
              <w:jc w:val="right"/>
              <w:ind w:right="280"/>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360"/>
              <w:spacing w:after="0"/>
              <w:rPr>
                <w:sz w:val="20"/>
                <w:szCs w:val="20"/>
                <w:color w:val="auto"/>
              </w:rPr>
            </w:pPr>
            <w:r>
              <w:rPr>
                <w:rFonts w:ascii="Arial" w:cs="Arial" w:eastAsia="Arial" w:hAnsi="Arial"/>
                <w:sz w:val="14"/>
                <w:szCs w:val="14"/>
                <w:color w:val="auto"/>
              </w:rPr>
              <w:t>2011</w:t>
            </w:r>
          </w:p>
        </w:tc>
        <w:tc>
          <w:tcPr>
            <w:tcW w:w="200" w:type="dxa"/>
            <w:vAlign w:val="bottom"/>
          </w:tcPr>
          <w:p>
            <w:pPr>
              <w:spacing w:after="0"/>
              <w:rPr>
                <w:sz w:val="14"/>
                <w:szCs w:val="14"/>
                <w:color w:val="auto"/>
              </w:rPr>
            </w:pPr>
          </w:p>
        </w:tc>
        <w:tc>
          <w:tcPr>
            <w:tcW w:w="800" w:type="dxa"/>
            <w:vAlign w:val="bottom"/>
          </w:tcPr>
          <w:p>
            <w:pPr>
              <w:jc w:val="right"/>
              <w:ind w:right="360"/>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4"/>
                <w:szCs w:val="14"/>
                <w:color w:val="auto"/>
              </w:rPr>
            </w:pPr>
          </w:p>
        </w:tc>
        <w:tc>
          <w:tcPr>
            <w:tcW w:w="720" w:type="dxa"/>
            <w:vAlign w:val="bottom"/>
          </w:tcPr>
          <w:p>
            <w:pPr>
              <w:jc w:val="right"/>
              <w:ind w:right="28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26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Net Periodic Benefit Cost</w:t>
            </w: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80" w:type="dxa"/>
            <w:vAlign w:val="bottom"/>
            <w:gridSpan w:val="2"/>
          </w:tcPr>
          <w:p>
            <w:pPr>
              <w:spacing w:after="0" w:line="164" w:lineRule="exact"/>
              <w:rPr>
                <w:sz w:val="20"/>
                <w:szCs w:val="20"/>
                <w:color w:val="auto"/>
              </w:rPr>
            </w:pPr>
            <w:r>
              <w:rPr>
                <w:rFonts w:ascii="Arial" w:cs="Arial" w:eastAsia="Arial" w:hAnsi="Arial"/>
                <w:sz w:val="16"/>
                <w:szCs w:val="16"/>
                <w:color w:val="auto"/>
              </w:rPr>
              <w:t>Service cost</w:t>
            </w:r>
          </w:p>
        </w:tc>
        <w:tc>
          <w:tcPr>
            <w:tcW w:w="2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line="164" w:lineRule="exact"/>
              <w:rPr>
                <w:sz w:val="20"/>
                <w:szCs w:val="20"/>
                <w:color w:val="auto"/>
              </w:rPr>
            </w:pPr>
            <w:r>
              <w:rPr>
                <w:rFonts w:ascii="Arial" w:cs="Arial" w:eastAsia="Arial" w:hAnsi="Arial"/>
                <w:sz w:val="16"/>
                <w:szCs w:val="16"/>
                <w:color w:val="auto"/>
              </w:rPr>
              <w:t>83</w:t>
            </w:r>
          </w:p>
        </w:tc>
        <w:tc>
          <w:tcPr>
            <w:tcW w:w="2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line="164" w:lineRule="exact"/>
              <w:rPr>
                <w:sz w:val="20"/>
                <w:szCs w:val="20"/>
                <w:color w:val="auto"/>
              </w:rPr>
            </w:pPr>
            <w:r>
              <w:rPr>
                <w:rFonts w:ascii="Arial" w:cs="Arial" w:eastAsia="Arial" w:hAnsi="Arial"/>
                <w:sz w:val="16"/>
                <w:szCs w:val="16"/>
                <w:color w:val="auto"/>
              </w:rPr>
              <w:t>83</w:t>
            </w:r>
          </w:p>
        </w:tc>
        <w:tc>
          <w:tcPr>
            <w:tcW w:w="1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74</w:t>
            </w:r>
          </w:p>
        </w:tc>
        <w:tc>
          <w:tcPr>
            <w:tcW w:w="500" w:type="dxa"/>
            <w:vAlign w:val="bottom"/>
            <w:gridSpan w:val="2"/>
          </w:tcPr>
          <w:p>
            <w:pPr>
              <w:jc w:val="right"/>
              <w:ind w:right="40"/>
              <w:spacing w:after="0" w:line="164"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line="164" w:lineRule="exact"/>
              <w:rPr>
                <w:sz w:val="20"/>
                <w:szCs w:val="20"/>
                <w:color w:val="auto"/>
              </w:rPr>
            </w:pPr>
            <w:r>
              <w:rPr>
                <w:rFonts w:ascii="Arial" w:cs="Arial" w:eastAsia="Arial" w:hAnsi="Arial"/>
                <w:sz w:val="16"/>
                <w:szCs w:val="16"/>
                <w:color w:val="auto"/>
              </w:rPr>
              <w:t>31</w:t>
            </w:r>
          </w:p>
        </w:tc>
        <w:tc>
          <w:tcPr>
            <w:tcW w:w="2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line="164" w:lineRule="exact"/>
              <w:rPr>
                <w:sz w:val="20"/>
                <w:szCs w:val="20"/>
                <w:color w:val="auto"/>
              </w:rPr>
            </w:pPr>
            <w:r>
              <w:rPr>
                <w:rFonts w:ascii="Arial" w:cs="Arial" w:eastAsia="Arial" w:hAnsi="Arial"/>
                <w:sz w:val="16"/>
                <w:szCs w:val="16"/>
                <w:color w:val="auto"/>
              </w:rPr>
              <w:t>26</w:t>
            </w:r>
          </w:p>
        </w:tc>
        <w:tc>
          <w:tcPr>
            <w:tcW w:w="2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5"/>
                <w:szCs w:val="15"/>
                <w:color w:val="auto"/>
              </w:rPr>
            </w:pPr>
          </w:p>
        </w:tc>
        <w:tc>
          <w:tcPr>
            <w:tcW w:w="7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168</w:t>
            </w:r>
          </w:p>
        </w:tc>
        <w:tc>
          <w:tcPr>
            <w:tcW w:w="200" w:type="dxa"/>
            <w:vAlign w:val="bottom"/>
          </w:tcPr>
          <w:p>
            <w:pPr>
              <w:spacing w:after="0"/>
              <w:rPr>
                <w:sz w:val="15"/>
                <w:szCs w:val="15"/>
                <w:color w:val="auto"/>
              </w:rPr>
            </w:pPr>
          </w:p>
        </w:tc>
        <w:tc>
          <w:tcPr>
            <w:tcW w:w="8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167</w:t>
            </w: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170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40"/>
              <w:spacing w:after="0" w:line="176" w:lineRule="exact"/>
              <w:rPr>
                <w:sz w:val="20"/>
                <w:szCs w:val="20"/>
                <w:color w:val="auto"/>
              </w:rPr>
            </w:pPr>
            <w:r>
              <w:rPr>
                <w:rFonts w:ascii="Arial" w:cs="Arial" w:eastAsia="Arial" w:hAnsi="Arial"/>
                <w:sz w:val="16"/>
                <w:szCs w:val="16"/>
                <w:color w:val="auto"/>
              </w:rPr>
              <w:t>65</w:t>
            </w:r>
          </w:p>
        </w:tc>
        <w:tc>
          <w:tcPr>
            <w:tcW w:w="200" w:type="dxa"/>
            <w:vAlign w:val="bottom"/>
          </w:tcPr>
          <w:p>
            <w:pPr>
              <w:spacing w:after="0"/>
              <w:rPr>
                <w:sz w:val="15"/>
                <w:szCs w:val="15"/>
                <w:color w:val="auto"/>
              </w:rPr>
            </w:pPr>
          </w:p>
        </w:tc>
        <w:tc>
          <w:tcPr>
            <w:tcW w:w="800" w:type="dxa"/>
            <w:vAlign w:val="bottom"/>
          </w:tcPr>
          <w:p>
            <w:pPr>
              <w:jc w:val="right"/>
              <w:ind w:right="40"/>
              <w:spacing w:after="0" w:line="176" w:lineRule="exact"/>
              <w:rPr>
                <w:sz w:val="20"/>
                <w:szCs w:val="20"/>
                <w:color w:val="auto"/>
              </w:rPr>
            </w:pPr>
            <w:r>
              <w:rPr>
                <w:rFonts w:ascii="Arial" w:cs="Arial" w:eastAsia="Arial" w:hAnsi="Arial"/>
                <w:sz w:val="16"/>
                <w:szCs w:val="16"/>
                <w:color w:val="auto"/>
              </w:rPr>
              <w:t>57</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2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(144)</w:t>
            </w:r>
          </w:p>
        </w:tc>
        <w:tc>
          <w:tcPr>
            <w:tcW w:w="200" w:type="dxa"/>
            <w:vAlign w:val="bottom"/>
          </w:tcPr>
          <w:p>
            <w:pPr>
              <w:spacing w:after="0"/>
              <w:rPr>
                <w:sz w:val="15"/>
                <w:szCs w:val="15"/>
                <w:color w:val="auto"/>
              </w:rPr>
            </w:pPr>
          </w:p>
        </w:tc>
        <w:tc>
          <w:tcPr>
            <w:tcW w:w="8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(143)</w:t>
            </w: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(139)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 (credit)</w:t>
            </w:r>
          </w:p>
        </w:tc>
        <w:tc>
          <w:tcPr>
            <w:tcW w:w="260" w:type="dxa"/>
            <w:vAlign w:val="bottom"/>
          </w:tcPr>
          <w:p>
            <w:pPr>
              <w:spacing w:after="0"/>
              <w:rPr>
                <w:sz w:val="15"/>
                <w:szCs w:val="15"/>
                <w:color w:val="auto"/>
              </w:rPr>
            </w:pPr>
          </w:p>
        </w:tc>
        <w:tc>
          <w:tcPr>
            <w:tcW w:w="7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8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260" w:type="dxa"/>
            <w:vAlign w:val="bottom"/>
          </w:tcPr>
          <w:p>
            <w:pPr>
              <w:spacing w:after="0"/>
              <w:rPr>
                <w:sz w:val="15"/>
                <w:szCs w:val="15"/>
                <w:color w:val="auto"/>
              </w:rPr>
            </w:pPr>
          </w:p>
        </w:tc>
        <w:tc>
          <w:tcPr>
            <w:tcW w:w="7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34</w:t>
            </w:r>
          </w:p>
        </w:tc>
        <w:tc>
          <w:tcPr>
            <w:tcW w:w="200" w:type="dxa"/>
            <w:vAlign w:val="bottom"/>
          </w:tcPr>
          <w:p>
            <w:pPr>
              <w:spacing w:after="0"/>
              <w:rPr>
                <w:sz w:val="15"/>
                <w:szCs w:val="15"/>
                <w:color w:val="auto"/>
              </w:rPr>
            </w:pPr>
          </w:p>
        </w:tc>
        <w:tc>
          <w:tcPr>
            <w:tcW w:w="8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30</w:t>
            </w: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17</w:t>
            </w:r>
          </w:p>
        </w:tc>
        <w:tc>
          <w:tcPr>
            <w:tcW w:w="200" w:type="dxa"/>
            <w:vAlign w:val="bottom"/>
          </w:tcPr>
          <w:p>
            <w:pPr>
              <w:spacing w:after="0"/>
              <w:rPr>
                <w:sz w:val="15"/>
                <w:szCs w:val="15"/>
                <w:color w:val="auto"/>
              </w:rPr>
            </w:pPr>
          </w:p>
        </w:tc>
        <w:tc>
          <w:tcPr>
            <w:tcW w:w="800" w:type="dxa"/>
            <w:vAlign w:val="bottom"/>
          </w:tcPr>
          <w:p>
            <w:pPr>
              <w:jc w:val="right"/>
              <w:ind w:right="40"/>
              <w:spacing w:after="0" w:line="176" w:lineRule="exact"/>
              <w:rPr>
                <w:sz w:val="20"/>
                <w:szCs w:val="20"/>
                <w:color w:val="auto"/>
              </w:rPr>
            </w:pPr>
            <w:r>
              <w:rPr>
                <w:rFonts w:ascii="Arial" w:cs="Arial" w:eastAsia="Arial" w:hAnsi="Arial"/>
                <w:sz w:val="16"/>
                <w:szCs w:val="16"/>
                <w:color w:val="auto"/>
              </w:rPr>
              <w:t>8</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line="176" w:lineRule="exact"/>
              <w:rPr>
                <w:sz w:val="20"/>
                <w:szCs w:val="20"/>
                <w:color w:val="auto"/>
              </w:rPr>
            </w:pPr>
            <w:r>
              <w:rPr>
                <w:rFonts w:ascii="Arial" w:cs="Arial" w:eastAsia="Arial" w:hAnsi="Arial"/>
                <w:sz w:val="16"/>
                <w:szCs w:val="16"/>
                <w:color w:val="auto"/>
              </w:rPr>
              <w:t>Regulatory adjustment</w:t>
            </w:r>
          </w:p>
        </w:tc>
        <w:tc>
          <w:tcPr>
            <w:tcW w:w="260" w:type="dxa"/>
            <w:vAlign w:val="bottom"/>
          </w:tcPr>
          <w:p>
            <w:pPr>
              <w:spacing w:after="0"/>
              <w:rPr>
                <w:sz w:val="15"/>
                <w:szCs w:val="15"/>
                <w:color w:val="auto"/>
              </w:rPr>
            </w:pPr>
          </w:p>
        </w:tc>
        <w:tc>
          <w:tcPr>
            <w:tcW w:w="7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43</w:t>
            </w:r>
          </w:p>
        </w:tc>
        <w:tc>
          <w:tcPr>
            <w:tcW w:w="200" w:type="dxa"/>
            <w:vAlign w:val="bottom"/>
          </w:tcPr>
          <w:p>
            <w:pPr>
              <w:spacing w:after="0"/>
              <w:rPr>
                <w:sz w:val="15"/>
                <w:szCs w:val="15"/>
                <w:color w:val="auto"/>
              </w:rPr>
            </w:pPr>
          </w:p>
        </w:tc>
        <w:tc>
          <w:tcPr>
            <w:tcW w:w="8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19</w:t>
            </w: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w:t>
            </w:r>
          </w:p>
        </w:tc>
        <w:tc>
          <w:tcPr>
            <w:tcW w:w="200" w:type="dxa"/>
            <w:vAlign w:val="bottom"/>
          </w:tcPr>
          <w:p>
            <w:pPr>
              <w:spacing w:after="0"/>
              <w:rPr>
                <w:sz w:val="15"/>
                <w:szCs w:val="15"/>
                <w:color w:val="auto"/>
              </w:rPr>
            </w:pPr>
          </w:p>
        </w:tc>
        <w:tc>
          <w:tcPr>
            <w:tcW w:w="80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4"/>
        </w:trPr>
        <w:tc>
          <w:tcPr>
            <w:tcW w:w="5280" w:type="dxa"/>
            <w:vAlign w:val="bottom"/>
            <w:gridSpan w:val="2"/>
          </w:tcPr>
          <w:p>
            <w:pPr>
              <w:spacing w:after="0"/>
              <w:rPr>
                <w:sz w:val="20"/>
                <w:szCs w:val="20"/>
                <w:color w:val="auto"/>
              </w:rPr>
            </w:pPr>
            <w:r>
              <w:rPr>
                <w:rFonts w:ascii="Arial" w:cs="Arial" w:eastAsia="Arial" w:hAnsi="Arial"/>
                <w:sz w:val="16"/>
                <w:szCs w:val="16"/>
                <w:color w:val="auto"/>
              </w:rPr>
              <w:t>Settlement charge</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2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201</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160</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177</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72</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51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40"/>
        </w:trPr>
        <w:tc>
          <w:tcPr>
            <w:tcW w:w="5280" w:type="dxa"/>
            <w:vAlign w:val="bottom"/>
            <w:gridSpan w:val="2"/>
          </w:tcPr>
          <w:p>
            <w:pPr>
              <w:spacing w:after="0"/>
              <w:rPr>
                <w:sz w:val="20"/>
                <w:szCs w:val="20"/>
                <w:color w:val="auto"/>
              </w:rPr>
            </w:pPr>
            <w:r>
              <w:rPr>
                <w:rFonts w:ascii="Arial" w:cs="Arial" w:eastAsia="Arial" w:hAnsi="Arial"/>
                <w:sz w:val="16"/>
                <w:szCs w:val="16"/>
                <w:color w:val="auto"/>
              </w:rPr>
              <w:t>Other Changes in Plan Assets and Benefit Obligations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Recognized in Other Comprehensive Income</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60" w:type="dxa"/>
            <w:vAlign w:val="bottom"/>
          </w:tcPr>
          <w:p>
            <w:pPr>
              <w:spacing w:after="0" w:line="164" w:lineRule="exact"/>
              <w:rPr>
                <w:sz w:val="20"/>
                <w:szCs w:val="20"/>
                <w:color w:val="auto"/>
              </w:rPr>
            </w:pPr>
            <w:r>
              <w:rPr>
                <w:rFonts w:ascii="Arial" w:cs="Arial" w:eastAsia="Arial" w:hAnsi="Arial"/>
                <w:sz w:val="16"/>
                <w:szCs w:val="16"/>
                <w:color w:val="auto"/>
              </w:rPr>
              <w:t>Net loss (gain)</w:t>
            </w:r>
          </w:p>
        </w:tc>
        <w:tc>
          <w:tcPr>
            <w:tcW w:w="260" w:type="dxa"/>
            <w:vAlign w:val="bottom"/>
          </w:tcPr>
          <w:p>
            <w:pPr>
              <w:spacing w:after="0"/>
              <w:rPr>
                <w:sz w:val="14"/>
                <w:szCs w:val="14"/>
                <w:color w:val="auto"/>
              </w:rPr>
            </w:pPr>
          </w:p>
        </w:tc>
        <w:tc>
          <w:tcPr>
            <w:tcW w:w="780" w:type="dxa"/>
            <w:vAlign w:val="bottom"/>
          </w:tcPr>
          <w:p>
            <w:pPr>
              <w:jc w:val="right"/>
              <w:ind w:right="40"/>
              <w:spacing w:after="0" w:line="164" w:lineRule="exact"/>
              <w:rPr>
                <w:sz w:val="20"/>
                <w:szCs w:val="20"/>
                <w:color w:val="auto"/>
              </w:rPr>
            </w:pPr>
            <w:r>
              <w:rPr>
                <w:rFonts w:ascii="Arial" w:cs="Arial" w:eastAsia="Arial" w:hAnsi="Arial"/>
                <w:sz w:val="16"/>
                <w:szCs w:val="16"/>
                <w:color w:val="auto"/>
              </w:rPr>
              <w:t>23</w:t>
            </w:r>
          </w:p>
        </w:tc>
        <w:tc>
          <w:tcPr>
            <w:tcW w:w="200" w:type="dxa"/>
            <w:vAlign w:val="bottom"/>
          </w:tcPr>
          <w:p>
            <w:pPr>
              <w:spacing w:after="0"/>
              <w:rPr>
                <w:sz w:val="14"/>
                <w:szCs w:val="14"/>
                <w:color w:val="auto"/>
              </w:rPr>
            </w:pPr>
          </w:p>
        </w:tc>
        <w:tc>
          <w:tcPr>
            <w:tcW w:w="800" w:type="dxa"/>
            <w:vAlign w:val="bottom"/>
          </w:tcPr>
          <w:p>
            <w:pPr>
              <w:jc w:val="right"/>
              <w:ind w:right="20"/>
              <w:spacing w:after="0" w:line="164" w:lineRule="exact"/>
              <w:rPr>
                <w:sz w:val="20"/>
                <w:szCs w:val="20"/>
                <w:color w:val="auto"/>
              </w:rPr>
            </w:pPr>
            <w:r>
              <w:rPr>
                <w:rFonts w:ascii="Arial" w:cs="Arial" w:eastAsia="Arial" w:hAnsi="Arial"/>
                <w:sz w:val="16"/>
                <w:szCs w:val="16"/>
                <w:color w:val="auto"/>
              </w:rPr>
              <w:t>(12)</w:t>
            </w:r>
          </w:p>
        </w:tc>
        <w:tc>
          <w:tcPr>
            <w:tcW w:w="1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40"/>
              <w:spacing w:after="0" w:line="164" w:lineRule="exact"/>
              <w:rPr>
                <w:sz w:val="20"/>
                <w:szCs w:val="20"/>
                <w:color w:val="auto"/>
              </w:rPr>
            </w:pPr>
            <w:r>
              <w:rPr>
                <w:rFonts w:ascii="Arial" w:cs="Arial" w:eastAsia="Arial" w:hAnsi="Arial"/>
                <w:sz w:val="16"/>
                <w:szCs w:val="16"/>
                <w:color w:val="auto"/>
              </w:rPr>
              <w:t>7</w:t>
            </w:r>
          </w:p>
        </w:tc>
        <w:tc>
          <w:tcPr>
            <w:tcW w:w="2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 prior service credit</w:t>
            </w:r>
          </w:p>
        </w:tc>
        <w:tc>
          <w:tcPr>
            <w:tcW w:w="260" w:type="dxa"/>
            <w:vAlign w:val="bottom"/>
          </w:tcPr>
          <w:p>
            <w:pPr>
              <w:spacing w:after="0"/>
              <w:rPr>
                <w:sz w:val="15"/>
                <w:szCs w:val="15"/>
                <w:color w:val="auto"/>
              </w:rPr>
            </w:pPr>
          </w:p>
        </w:tc>
        <w:tc>
          <w:tcPr>
            <w:tcW w:w="7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4"/>
        </w:trPr>
        <w:tc>
          <w:tcPr>
            <w:tcW w:w="5280" w:type="dxa"/>
            <w:vAlign w:val="bottom"/>
            <w:gridSpan w:val="2"/>
          </w:tcPr>
          <w:p>
            <w:pPr>
              <w:spacing w:after="0"/>
              <w:rPr>
                <w:sz w:val="20"/>
                <w:szCs w:val="20"/>
                <w:color w:val="auto"/>
              </w:rPr>
            </w:pPr>
            <w:r>
              <w:rPr>
                <w:rFonts w:ascii="Arial" w:cs="Arial" w:eastAsia="Arial" w:hAnsi="Arial"/>
                <w:sz w:val="16"/>
                <w:szCs w:val="16"/>
                <w:color w:val="auto"/>
              </w:rPr>
              <w:t>Amortization of actuarial loss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Pr>
          <w:p>
            <w:pPr>
              <w:ind w:left="160"/>
              <w:spacing w:after="0" w:line="176" w:lineRule="exact"/>
              <w:rPr>
                <w:sz w:val="20"/>
                <w:szCs w:val="20"/>
                <w:color w:val="auto"/>
              </w:rPr>
            </w:pPr>
            <w:r>
              <w:rPr>
                <w:rFonts w:ascii="Arial" w:cs="Arial" w:eastAsia="Arial" w:hAnsi="Arial"/>
                <w:sz w:val="16"/>
                <w:szCs w:val="16"/>
                <w:color w:val="auto"/>
              </w:rPr>
              <w:t>Total recognized in other comprehensive income</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60" w:type="dxa"/>
            <w:vAlign w:val="bottom"/>
          </w:tcPr>
          <w:p>
            <w:pPr>
              <w:ind w:left="160"/>
              <w:spacing w:after="0" w:line="164" w:lineRule="exact"/>
              <w:rPr>
                <w:sz w:val="20"/>
                <w:szCs w:val="20"/>
                <w:color w:val="auto"/>
              </w:rPr>
            </w:pPr>
            <w:r>
              <w:rPr>
                <w:rFonts w:ascii="Arial" w:cs="Arial" w:eastAsia="Arial" w:hAnsi="Arial"/>
                <w:sz w:val="16"/>
                <w:szCs w:val="16"/>
                <w:color w:val="auto"/>
              </w:rPr>
              <w:t>Total recognized in net periodic benefit cost and other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8" w:right="239" w:bottom="0" w:gutter="0" w:footer="0" w:header="0"/>
        </w:sectPr>
      </w:pPr>
    </w:p>
    <w:bookmarkStart w:id="234" w:name="page235"/>
    <w:bookmarkEnd w:id="234"/>
    <w:p>
      <w:pPr>
        <w:spacing w:after="0"/>
        <w:rPr>
          <w:sz w:val="20"/>
          <w:szCs w:val="20"/>
          <w:color w:val="auto"/>
        </w:rPr>
      </w:pPr>
      <w:r>
        <w:rPr>
          <w:rFonts w:ascii="Arial" w:cs="Arial" w:eastAsia="Arial" w:hAnsi="Arial"/>
          <w:sz w:val="16"/>
          <w:szCs w:val="16"/>
          <w:b w:val="1"/>
          <w:bCs w:val="1"/>
          <w:color w:val="auto"/>
        </w:rPr>
        <w:t>NET PERIODIC BENEFIT COST AND AMOUNTS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6"/>
                <w:szCs w:val="16"/>
                <w:color w:val="auto"/>
              </w:rPr>
            </w:pPr>
          </w:p>
        </w:tc>
        <w:tc>
          <w:tcPr>
            <w:tcW w:w="1980" w:type="dxa"/>
            <w:vAlign w:val="bottom"/>
            <w:gridSpan w:val="4"/>
            <w:vMerge w:val="restart"/>
          </w:tcPr>
          <w:p>
            <w:pPr>
              <w:jc w:val="right"/>
              <w:ind w:right="64"/>
              <w:spacing w:after="0"/>
              <w:rPr>
                <w:sz w:val="20"/>
                <w:szCs w:val="20"/>
                <w:color w:val="auto"/>
              </w:rPr>
            </w:pPr>
            <w:r>
              <w:rPr>
                <w:rFonts w:ascii="Arial" w:cs="Arial" w:eastAsia="Arial" w:hAnsi="Arial"/>
                <w:sz w:val="14"/>
                <w:szCs w:val="14"/>
                <w:color w:val="auto"/>
              </w:rPr>
              <w:t>Pension Benefits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6"/>
            <w:vMerge w:val="restart"/>
          </w:tcPr>
          <w:p>
            <w:pPr>
              <w:jc w:val="center"/>
              <w:ind w:right="22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40"/>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SDG&amp;E</w:t>
            </w:r>
          </w:p>
        </w:tc>
        <w:tc>
          <w:tcPr>
            <w:tcW w:w="20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00" w:type="dxa"/>
            <w:vAlign w:val="bottom"/>
            <w:gridSpan w:val="2"/>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color w:val="auto"/>
              </w:rPr>
              <w:t>2010</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color w:val="auto"/>
              </w:rPr>
              <w:t>2009</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color w:val="auto"/>
              </w:rPr>
              <w:t>2011</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160"/>
              <w:spacing w:after="0"/>
              <w:rPr>
                <w:sz w:val="20"/>
                <w:szCs w:val="20"/>
                <w:color w:val="auto"/>
              </w:rPr>
            </w:pPr>
            <w:r>
              <w:rPr>
                <w:rFonts w:ascii="Arial" w:cs="Arial" w:eastAsia="Arial" w:hAnsi="Arial"/>
                <w:sz w:val="14"/>
                <w:szCs w:val="14"/>
                <w:color w:val="auto"/>
              </w:rPr>
              <w:t>2010</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18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Net Periodic Benefit Cost</w:t>
            </w: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color w:val="auto"/>
              </w:rPr>
              <w:t>Service cost</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64" w:lineRule="exact"/>
              <w:rPr>
                <w:sz w:val="20"/>
                <w:szCs w:val="20"/>
                <w:color w:val="auto"/>
              </w:rPr>
            </w:pPr>
            <w:r>
              <w:rPr>
                <w:rFonts w:ascii="Arial" w:cs="Arial" w:eastAsia="Arial" w:hAnsi="Arial"/>
                <w:sz w:val="16"/>
                <w:szCs w:val="16"/>
                <w:color w:val="auto"/>
              </w:rPr>
              <w:t>28</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27</w:t>
            </w:r>
          </w:p>
        </w:tc>
        <w:tc>
          <w:tcPr>
            <w:tcW w:w="200" w:type="dxa"/>
            <w:vAlign w:val="bottom"/>
          </w:tcPr>
          <w:p>
            <w:pPr>
              <w:jc w:val="right"/>
              <w:ind w:right="44"/>
              <w:spacing w:after="0" w:line="164"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23</w:t>
            </w:r>
          </w:p>
        </w:tc>
        <w:tc>
          <w:tcPr>
            <w:tcW w:w="240" w:type="dxa"/>
            <w:vAlign w:val="bottom"/>
          </w:tcPr>
          <w:p>
            <w:pPr>
              <w:spacing w:after="0"/>
              <w:rPr>
                <w:sz w:val="14"/>
                <w:szCs w:val="14"/>
                <w:color w:val="auto"/>
              </w:rPr>
            </w:pP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200" w:type="dxa"/>
            <w:vAlign w:val="bottom"/>
          </w:tcPr>
          <w:p>
            <w:pPr>
              <w:spacing w:after="0"/>
              <w:rPr>
                <w:sz w:val="15"/>
                <w:szCs w:val="15"/>
                <w:color w:val="auto"/>
              </w:rPr>
            </w:pPr>
          </w:p>
        </w:tc>
        <w:tc>
          <w:tcPr>
            <w:tcW w:w="1040" w:type="dxa"/>
            <w:vAlign w:val="bottom"/>
            <w:gridSpan w:val="2"/>
          </w:tcPr>
          <w:p>
            <w:pPr>
              <w:jc w:val="right"/>
              <w:ind w:right="240"/>
              <w:spacing w:after="0" w:line="176" w:lineRule="exact"/>
              <w:rPr>
                <w:sz w:val="20"/>
                <w:szCs w:val="20"/>
                <w:color w:val="auto"/>
              </w:rPr>
            </w:pPr>
            <w:r>
              <w:rPr>
                <w:rFonts w:ascii="Arial" w:cs="Arial" w:eastAsia="Arial" w:hAnsi="Arial"/>
                <w:sz w:val="16"/>
                <w:szCs w:val="16"/>
                <w:color w:val="auto"/>
              </w:rPr>
              <w:t>(32)</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200" w:type="dxa"/>
            <w:vAlign w:val="bottom"/>
          </w:tcPr>
          <w:p>
            <w:pPr>
              <w:spacing w:after="0"/>
              <w:rPr>
                <w:sz w:val="15"/>
                <w:szCs w:val="15"/>
                <w:color w:val="auto"/>
              </w:rPr>
            </w:pPr>
          </w:p>
        </w:tc>
        <w:tc>
          <w:tcPr>
            <w:tcW w:w="8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Regulatory adjustment</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00" w:type="dxa"/>
            <w:vAlign w:val="bottom"/>
            <w:gridSpan w:val="2"/>
          </w:tcPr>
          <w:p>
            <w:pPr>
              <w:spacing w:after="0"/>
              <w:rPr>
                <w:sz w:val="20"/>
                <w:szCs w:val="20"/>
                <w:color w:val="auto"/>
              </w:rPr>
            </w:pPr>
            <w:r>
              <w:rPr>
                <w:rFonts w:ascii="Arial" w:cs="Arial" w:eastAsia="Arial" w:hAnsi="Arial"/>
                <w:sz w:val="16"/>
                <w:szCs w:val="16"/>
                <w:color w:val="auto"/>
              </w:rPr>
              <w:t>Settlement charge</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73</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60</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63</w:t>
            </w:r>
          </w:p>
        </w:tc>
        <w:tc>
          <w:tcPr>
            <w:tcW w:w="2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5200" w:type="dxa"/>
            <w:vAlign w:val="bottom"/>
            <w:gridSpan w:val="2"/>
          </w:tcPr>
          <w:p>
            <w:pPr>
              <w:spacing w:after="0"/>
              <w:rPr>
                <w:sz w:val="20"/>
                <w:szCs w:val="20"/>
                <w:color w:val="auto"/>
              </w:rPr>
            </w:pPr>
            <w:r>
              <w:rPr>
                <w:rFonts w:ascii="Arial" w:cs="Arial" w:eastAsia="Arial" w:hAnsi="Arial"/>
                <w:sz w:val="16"/>
                <w:szCs w:val="16"/>
                <w:color w:val="auto"/>
              </w:rPr>
              <w:t>Other Changes in Plan Assets and Benefit Obligations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Recognized in Other Comprehensive Income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color w:val="auto"/>
              </w:rPr>
              <w:t>Net loss (gain)</w:t>
            </w:r>
          </w:p>
        </w:tc>
        <w:tc>
          <w:tcPr>
            <w:tcW w:w="20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4"/>
                <w:szCs w:val="14"/>
                <w:color w:val="auto"/>
              </w:rPr>
            </w:pPr>
          </w:p>
        </w:tc>
        <w:tc>
          <w:tcPr>
            <w:tcW w:w="1040" w:type="dxa"/>
            <w:vAlign w:val="bottom"/>
            <w:gridSpan w:val="2"/>
          </w:tcPr>
          <w:p>
            <w:pPr>
              <w:jc w:val="right"/>
              <w:ind w:right="240"/>
              <w:spacing w:after="0" w:line="164"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6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200" w:type="dxa"/>
            <w:vAlign w:val="bottom"/>
            <w:gridSpan w:val="2"/>
          </w:tcPr>
          <w:p>
            <w:pPr>
              <w:spacing w:after="0"/>
              <w:rPr>
                <w:sz w:val="20"/>
                <w:szCs w:val="20"/>
                <w:color w:val="auto"/>
              </w:rPr>
            </w:pPr>
            <w:r>
              <w:rPr>
                <w:rFonts w:ascii="Arial" w:cs="Arial" w:eastAsia="Arial" w:hAnsi="Arial"/>
                <w:sz w:val="16"/>
                <w:szCs w:val="16"/>
                <w:color w:val="auto"/>
              </w:rPr>
              <w:t>Amortization of actuarial loss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Total recognized in other comprehensive income</w:t>
            </w: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jc w:val="right"/>
              <w:ind w:right="240"/>
              <w:spacing w:after="0" w:line="176" w:lineRule="exact"/>
              <w:rPr>
                <w:sz w:val="20"/>
                <w:szCs w:val="20"/>
                <w:color w:val="auto"/>
              </w:rPr>
            </w:pPr>
            <w:r>
              <w:rPr>
                <w:rFonts w:ascii="Arial" w:cs="Arial" w:eastAsia="Arial" w:hAnsi="Arial"/>
                <w:sz w:val="16"/>
                <w:szCs w:val="16"/>
                <w:color w:val="auto"/>
              </w:rPr>
              <w:t>(3)</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tcPr>
          <w:p>
            <w:pPr>
              <w:ind w:left="160"/>
              <w:spacing w:after="0" w:line="164" w:lineRule="exact"/>
              <w:rPr>
                <w:sz w:val="20"/>
                <w:szCs w:val="20"/>
                <w:color w:val="auto"/>
              </w:rPr>
            </w:pPr>
            <w:r>
              <w:rPr>
                <w:rFonts w:ascii="Arial" w:cs="Arial" w:eastAsia="Arial" w:hAnsi="Arial"/>
                <w:sz w:val="16"/>
                <w:szCs w:val="16"/>
                <w:color w:val="auto"/>
              </w:rPr>
              <w:t>Total recognized in net periodic benefit cost and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tcBorders>
              <w:bottom w:val="single" w:sz="8" w:color="auto"/>
            </w:tcBorders>
            <w:gridSpan w:val="8"/>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400" w:type="dxa"/>
            <w:vAlign w:val="bottom"/>
            <w:gridSpan w:val="8"/>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AND AMOUNTS RECOGNIZED IN OTHER COMPREHENSIVE INCOME</w:t>
            </w:r>
          </w:p>
        </w:tc>
        <w:tc>
          <w:tcPr>
            <w:tcW w:w="200" w:type="dxa"/>
            <w:vAlign w:val="bottom"/>
            <w:shd w:val="clear" w:color="auto" w:fill="C0C0C0"/>
          </w:tcPr>
          <w:p>
            <w:pPr>
              <w:spacing w:after="0"/>
              <w:rPr>
                <w:sz w:val="13"/>
                <w:szCs w:val="13"/>
                <w:color w:val="auto"/>
              </w:rPr>
            </w:pPr>
          </w:p>
        </w:tc>
        <w:tc>
          <w:tcPr>
            <w:tcW w:w="80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80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80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SoCalGas</w:t>
            </w:r>
          </w:p>
        </w:tc>
        <w:tc>
          <w:tcPr>
            <w:tcW w:w="200" w:type="dxa"/>
            <w:vAlign w:val="bottom"/>
          </w:tcPr>
          <w:p>
            <w:pPr>
              <w:spacing w:after="0"/>
              <w:rPr>
                <w:sz w:val="14"/>
                <w:szCs w:val="14"/>
                <w:color w:val="auto"/>
              </w:rPr>
            </w:pPr>
          </w:p>
        </w:tc>
        <w:tc>
          <w:tcPr>
            <w:tcW w:w="1980" w:type="dxa"/>
            <w:vAlign w:val="bottom"/>
            <w:gridSpan w:val="4"/>
          </w:tcPr>
          <w:p>
            <w:pPr>
              <w:jc w:val="right"/>
              <w:ind w:right="64"/>
              <w:spacing w:after="0"/>
              <w:rPr>
                <w:sz w:val="20"/>
                <w:szCs w:val="20"/>
                <w:color w:val="auto"/>
              </w:rPr>
            </w:pPr>
            <w:r>
              <w:rPr>
                <w:rFonts w:ascii="Arial" w:cs="Arial" w:eastAsia="Arial" w:hAnsi="Arial"/>
                <w:sz w:val="14"/>
                <w:szCs w:val="14"/>
                <w:color w:val="auto"/>
              </w:rPr>
              <w:t>Pension Benefits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6"/>
          </w:tcPr>
          <w:p>
            <w:pPr>
              <w:jc w:val="center"/>
              <w:ind w:right="22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69"/>
        </w:trPr>
        <w:tc>
          <w:tcPr>
            <w:tcW w:w="5200" w:type="dxa"/>
            <w:vAlign w:val="bottom"/>
            <w:gridSpan w:val="2"/>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color w:val="auto"/>
              </w:rPr>
              <w:t>2010</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color w:val="auto"/>
              </w:rPr>
              <w:t>2009</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color w:val="auto"/>
              </w:rPr>
              <w:t>2011</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160"/>
              <w:spacing w:after="0"/>
              <w:rPr>
                <w:sz w:val="20"/>
                <w:szCs w:val="20"/>
                <w:color w:val="auto"/>
              </w:rPr>
            </w:pPr>
            <w:r>
              <w:rPr>
                <w:rFonts w:ascii="Arial" w:cs="Arial" w:eastAsia="Arial" w:hAnsi="Arial"/>
                <w:sz w:val="14"/>
                <w:szCs w:val="14"/>
                <w:color w:val="auto"/>
              </w:rPr>
              <w:t>2010</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18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Net Periodic Benefit Cost</w:t>
            </w: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color w:val="auto"/>
              </w:rPr>
              <w:t>Service cost</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64" w:lineRule="exact"/>
              <w:rPr>
                <w:sz w:val="20"/>
                <w:szCs w:val="20"/>
                <w:color w:val="auto"/>
              </w:rPr>
            </w:pPr>
            <w:r>
              <w:rPr>
                <w:rFonts w:ascii="Arial" w:cs="Arial" w:eastAsia="Arial" w:hAnsi="Arial"/>
                <w:sz w:val="16"/>
                <w:szCs w:val="16"/>
                <w:color w:val="auto"/>
              </w:rPr>
              <w:t>46</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46</w:t>
            </w:r>
          </w:p>
        </w:tc>
        <w:tc>
          <w:tcPr>
            <w:tcW w:w="200" w:type="dxa"/>
            <w:vAlign w:val="bottom"/>
          </w:tcPr>
          <w:p>
            <w:pPr>
              <w:jc w:val="right"/>
              <w:ind w:right="44"/>
              <w:spacing w:after="0" w:line="164"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42</w:t>
            </w:r>
          </w:p>
        </w:tc>
        <w:tc>
          <w:tcPr>
            <w:tcW w:w="240" w:type="dxa"/>
            <w:vAlign w:val="bottom"/>
          </w:tcPr>
          <w:p>
            <w:pPr>
              <w:spacing w:after="0"/>
              <w:rPr>
                <w:sz w:val="14"/>
                <w:szCs w:val="14"/>
                <w:color w:val="auto"/>
              </w:rPr>
            </w:pP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22</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18</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98</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98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53</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(90)</w:t>
            </w:r>
          </w:p>
        </w:tc>
        <w:tc>
          <w:tcPr>
            <w:tcW w:w="200" w:type="dxa"/>
            <w:vAlign w:val="bottom"/>
          </w:tcPr>
          <w:p>
            <w:pPr>
              <w:spacing w:after="0"/>
              <w:rPr>
                <w:sz w:val="15"/>
                <w:szCs w:val="15"/>
                <w:color w:val="auto"/>
              </w:rPr>
            </w:pPr>
          </w:p>
        </w:tc>
        <w:tc>
          <w:tcPr>
            <w:tcW w:w="1040" w:type="dxa"/>
            <w:vAlign w:val="bottom"/>
            <w:gridSpan w:val="2"/>
          </w:tcPr>
          <w:p>
            <w:pPr>
              <w:jc w:val="right"/>
              <w:ind w:right="240"/>
              <w:spacing w:after="0" w:line="176" w:lineRule="exact"/>
              <w:rPr>
                <w:sz w:val="20"/>
                <w:szCs w:val="20"/>
                <w:color w:val="auto"/>
              </w:rPr>
            </w:pPr>
            <w:r>
              <w:rPr>
                <w:rFonts w:ascii="Arial" w:cs="Arial" w:eastAsia="Arial" w:hAnsi="Arial"/>
                <w:sz w:val="16"/>
                <w:szCs w:val="16"/>
                <w:color w:val="auto"/>
              </w:rPr>
              <w:t>(94)</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200" w:type="dxa"/>
            <w:vAlign w:val="bottom"/>
          </w:tcPr>
          <w:p>
            <w:pPr>
              <w:spacing w:after="0"/>
              <w:rPr>
                <w:sz w:val="15"/>
                <w:szCs w:val="15"/>
                <w:color w:val="auto"/>
              </w:rPr>
            </w:pPr>
          </w:p>
        </w:tc>
        <w:tc>
          <w:tcPr>
            <w:tcW w:w="8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76"/>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 (credit)</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8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Settlement charge</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2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72</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32</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5200" w:type="dxa"/>
            <w:vAlign w:val="bottom"/>
            <w:gridSpan w:val="2"/>
          </w:tcPr>
          <w:p>
            <w:pPr>
              <w:spacing w:after="0"/>
              <w:rPr>
                <w:sz w:val="20"/>
                <w:szCs w:val="20"/>
                <w:color w:val="auto"/>
              </w:rPr>
            </w:pPr>
            <w:r>
              <w:rPr>
                <w:rFonts w:ascii="Arial" w:cs="Arial" w:eastAsia="Arial" w:hAnsi="Arial"/>
                <w:sz w:val="16"/>
                <w:szCs w:val="16"/>
                <w:color w:val="auto"/>
              </w:rPr>
              <w:t>Other Changes in Plan Assets and Benefit Obligations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Recognized in Other Comprehensive Income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6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200" w:type="dxa"/>
            <w:vAlign w:val="bottom"/>
            <w:gridSpan w:val="2"/>
          </w:tcPr>
          <w:p>
            <w:pPr>
              <w:spacing w:after="0"/>
              <w:rPr>
                <w:sz w:val="20"/>
                <w:szCs w:val="20"/>
                <w:color w:val="auto"/>
              </w:rPr>
            </w:pPr>
            <w:r>
              <w:rPr>
                <w:rFonts w:ascii="Arial" w:cs="Arial" w:eastAsia="Arial" w:hAnsi="Arial"/>
                <w:sz w:val="16"/>
                <w:szCs w:val="16"/>
                <w:color w:val="auto"/>
              </w:rPr>
              <w:t>Amortization of actuarial loss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Total recognized in other comprehensive income</w:t>
            </w: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jc w:val="right"/>
              <w:ind w:right="280"/>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tcPr>
          <w:p>
            <w:pPr>
              <w:ind w:left="160"/>
              <w:spacing w:after="0" w:line="164" w:lineRule="exact"/>
              <w:rPr>
                <w:sz w:val="20"/>
                <w:szCs w:val="20"/>
                <w:color w:val="auto"/>
              </w:rPr>
            </w:pPr>
            <w:r>
              <w:rPr>
                <w:rFonts w:ascii="Arial" w:cs="Arial" w:eastAsia="Arial" w:hAnsi="Arial"/>
                <w:sz w:val="16"/>
                <w:szCs w:val="16"/>
                <w:color w:val="auto"/>
              </w:rPr>
              <w:t>Total recognized in net periodic benefit cost and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estimated net loss for the pension plans that will be amortized from Accumulated Other Comprehensive Income (Loss) into net periodic benefit cost in 2012 is $10 million for Sempra Energy Consolidated and $1 million at both SDG&amp;E and SoCalGas. Negligible amounts of prior service credit for the pension plans will be similarly amortized in 2012.</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estimated net loss for the PBOP plans that will be amortized from Accumulated Other Comprehensive Income (Loss) into net periodic cost benefit in 2012 is $1 million for Sempra Energy Consolidated.</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Negligible amounts of estimated prior service credit for the other postretirement benefit plans will be amortized from Accumulated Other Comprehensive Income (Loss) into net periodic benefit cost in 2012 at Sempra Energy Consolidated.</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Patient Protection and Affordable Care Act (PPACA) of 2010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PPACA was enacted in March 2010. The key aspects of this legislation affecting Sempra Energy’s cost of providing retiree medical benefits are</w:t>
      </w:r>
    </w:p>
    <w:p>
      <w:pPr>
        <w:spacing w:after="0" w:line="237" w:lineRule="exact"/>
        <w:rPr>
          <w:sz w:val="20"/>
          <w:szCs w:val="20"/>
          <w:color w:val="auto"/>
        </w:rPr>
      </w:pPr>
    </w:p>
    <w:p>
      <w:pPr>
        <w:ind w:left="340" w:hanging="188"/>
        <w:spacing w:after="0"/>
        <w:tabs>
          <w:tab w:leader="none" w:pos="3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Availability of subsidies from the Early Retiree Reinsurance Program (ERRP)</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Mandatory coverage for adult children until age 26 beginning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Changes to the Prescription Drug Plan and Medicare Advantage programs beginning in 2011 and extending through 2020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Loss of the tax free status of the Retiree Drug Subsidy (RDS) beginning in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Availability of coverage through health care exchanges beginning in 2014</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Excise tax on high-cost plans, as defined in the legislation, beginning in 2018</w:t>
      </w:r>
    </w:p>
    <w:p>
      <w:pPr>
        <w:spacing w:after="0" w:line="25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determining the projected benefit obligation for our other postretirement benefit plans, we took mandatory coverage for adult children, changes to the Prescription Drug Plan and Medicare Advantage programs, and availability of health care exchanges into consideration in the development of future claims costs and health care trend rates as of December 31, 2011 and 2010. Subsidies received through the ERRP will be reflected when received. We measured loss</w:t>
      </w:r>
    </w:p>
    <w:p>
      <w:pPr>
        <w:sectPr>
          <w:pgSz w:w="11900" w:h="16838" w:orient="portrait"/>
          <w:cols w:equalWidth="0" w:num="1">
            <w:col w:w="11420"/>
          </w:cols>
          <w:pgMar w:left="240" w:top="851" w:right="239" w:bottom="0" w:gutter="0" w:footer="0" w:header="0"/>
        </w:sectPr>
      </w:pPr>
    </w:p>
    <w:bookmarkStart w:id="235" w:name="page236"/>
    <w:bookmarkEnd w:id="235"/>
    <w:p>
      <w:pPr>
        <w:spacing w:after="0" w:line="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of the tax free status of RDS separately as described in the following section. We determined the impact of the excise tax provision separately for each of Sempra Energy’s plans, as explained below.</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the exception of SoCalGas’ represented employees and Mobile Gas, we provide most of our employer subsidy in the form of a defined dollar benefit. Once the premium exceeds our stated benefit level, the retirees pay the difference between the premium amount and the subsidy. Under this arrangement, our obligation doesn’t change with the excise tax, since by 2018 the premium both before and after inclusion of the excise tax will exceed our defined dollar benefit.</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SoCalGas’ union retirees are provided a subsidy as a percentage of the premium. For those retirees, we estimated an increase in SoCalGas’ and Sempra Energy’s obligations as of December 31, 2010 for the excise tax. However, it is likely that some retirees will move to less expensive plans as a result of the excise tax and lower Sempra Energy’s composite plan cost. The net effect of the increase in obligation from the excise tax, partially offset by the lower composite plan cost, was estimated to be $31 million.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Mobile Gas offers only a pre-age 65 plan. As such, future retirees will only have a limited period when the excise tax may apply. All current retirees will no longer be eligible for benefits once the excise tax is effective in 2018.</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Medicare Prescription Drug, Improvement and Modernization Act of 2003</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Medicare Prescription Drug, Improvement and Modernization Act of 2003 establishes a prescription drug benefit under Medicare (Medicare Part D) and a tax-exempt federal subsidy to sponsors of retiree health-care benefit plans that provide a benefit that actuarially is at least equivalent to Medicare Part D. We have determined that benefits provided to certain participants actuarially will be at least equivalent to Medicare Part D. Thus, we are entitled to a tax-exempt subsidy that reduced our accumulated postretirement benefit obligation under our plans at January 1, 2011 and reduced the net periodic cost for 2011 by the following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920" w:type="dxa"/>
            <w:vAlign w:val="bottom"/>
          </w:tcPr>
          <w:p>
            <w:pPr>
              <w:jc w:val="center"/>
              <w:ind w:left="1445"/>
              <w:spacing w:after="0"/>
              <w:rPr>
                <w:sz w:val="20"/>
                <w:szCs w:val="20"/>
                <w:color w:val="auto"/>
              </w:rPr>
            </w:pPr>
            <w:r>
              <w:rPr>
                <w:rFonts w:ascii="Arial" w:cs="Arial" w:eastAsia="Arial" w:hAnsi="Arial"/>
                <w:sz w:val="14"/>
                <w:szCs w:val="14"/>
                <w:color w:val="auto"/>
              </w:rPr>
              <w:t>Sempra Energy</w:t>
            </w: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80" w:type="dxa"/>
            <w:vAlign w:val="bottom"/>
            <w:tcBorders>
              <w:bottom w:val="single" w:sz="8" w:color="auto"/>
            </w:tcBorders>
            <w:vMerge w:val="continue"/>
          </w:tcPr>
          <w:p>
            <w:pPr>
              <w:spacing w:after="0"/>
              <w:rPr>
                <w:sz w:val="14"/>
                <w:szCs w:val="14"/>
                <w:color w:val="auto"/>
              </w:rPr>
            </w:pPr>
          </w:p>
        </w:tc>
        <w:tc>
          <w:tcPr>
            <w:tcW w:w="2920" w:type="dxa"/>
            <w:vAlign w:val="bottom"/>
            <w:tcBorders>
              <w:bottom w:val="single" w:sz="8" w:color="auto"/>
            </w:tcBorders>
          </w:tcPr>
          <w:p>
            <w:pPr>
              <w:jc w:val="center"/>
              <w:ind w:left="1445"/>
              <w:spacing w:after="0" w:line="157" w:lineRule="exact"/>
              <w:rPr>
                <w:sz w:val="20"/>
                <w:szCs w:val="20"/>
                <w:color w:val="auto"/>
              </w:rPr>
            </w:pPr>
            <w:r>
              <w:rPr>
                <w:rFonts w:ascii="Arial" w:cs="Arial" w:eastAsia="Arial" w:hAnsi="Arial"/>
                <w:sz w:val="14"/>
                <w:szCs w:val="14"/>
                <w:color w:val="auto"/>
              </w:rPr>
              <w:t>Consolidated</w:t>
            </w: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03"/>
              <w:spacing w:after="0" w:line="157" w:lineRule="exact"/>
              <w:rPr>
                <w:sz w:val="20"/>
                <w:szCs w:val="20"/>
                <w:color w:val="auto"/>
              </w:rPr>
            </w:pPr>
            <w:r>
              <w:rPr>
                <w:rFonts w:ascii="Arial" w:cs="Arial" w:eastAsia="Arial" w:hAnsi="Arial"/>
                <w:sz w:val="14"/>
                <w:szCs w:val="14"/>
                <w:color w:val="auto"/>
              </w:rPr>
              <w:t>SDG&amp;E</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23"/>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Net periodic benefit cost reduction</w:t>
            </w:r>
          </w:p>
        </w:tc>
        <w:tc>
          <w:tcPr>
            <w:tcW w:w="2920" w:type="dxa"/>
            <w:vAlign w:val="bottom"/>
            <w:tcBorders>
              <w:bottom w:val="single" w:sz="8" w:color="auto"/>
            </w:tcBorders>
          </w:tcPr>
          <w:p>
            <w:pPr>
              <w:jc w:val="right"/>
              <w:ind w:right="1145"/>
              <w:spacing w:after="0" w:line="176"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4</w:t>
            </w:r>
          </w:p>
        </w:tc>
        <w:tc>
          <w:tcPr>
            <w:tcW w:w="1360" w:type="dxa"/>
            <w:vAlign w:val="bottom"/>
            <w:tcBorders>
              <w:bottom w:val="single" w:sz="8" w:color="auto"/>
            </w:tcBorders>
          </w:tcPr>
          <w:p>
            <w:pPr>
              <w:jc w:val="right"/>
              <w:ind w:right="963"/>
              <w:spacing w:after="0" w:line="176"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Assumptions for Pension and Other Postretirement Benefit Plans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Obligation and Net Periodic Benefit Cost</w:t>
      </w:r>
    </w:p>
    <w:p>
      <w:pPr>
        <w:spacing w:after="0" w:line="2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Except for the Chilquinta Energía plans, we develop the discount rate assumptions based on the results of a third party modeling tool that develops the discount rate by matching each plan’s expected cash flows to interest rates and expected maturity values of individually selected bonds in a hypothetical portfolio. The model controls the level of accumulated surplus that may result from the selection of bonds based solely on their premium yields by limiting the number of years to look back for selection to 3 years for pre-30-year and 6 years for post-30-year benefit payments. Additionally, the model ensures that an adequate number of bonds are selected in the portfolio by limiting the amount of the plan’s benefit payments that can be met by a single bond to 7.5 percent.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selected individual bonds from a universe of Bloomberg AA-rated bonds which:</w:t>
      </w:r>
    </w:p>
    <w:p>
      <w:pPr>
        <w:spacing w:after="0" w:line="225" w:lineRule="exact"/>
        <w:rPr>
          <w:sz w:val="20"/>
          <w:szCs w:val="20"/>
          <w:color w:val="auto"/>
        </w:rPr>
      </w:pPr>
    </w:p>
    <w:p>
      <w:pPr>
        <w:ind w:left="340" w:hanging="188"/>
        <w:spacing w:after="0"/>
        <w:tabs>
          <w:tab w:leader="none" w:pos="3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have an outstanding issue of at least $50 million;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are non-callable (or callable with make whole provisions);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exclude collateralized bonds;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exclude the top and bottom 10 percent of yields to avoid relying on bonds which might be mispriced or misgraded.</w:t>
      </w:r>
    </w:p>
    <w:p>
      <w:pPr>
        <w:spacing w:after="0" w:line="252"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This selection methodology also mitigates the impact of market volatility on the portfolio by excluding bonds with the following characteristics:</w:t>
      </w:r>
    </w:p>
    <w:p>
      <w:pPr>
        <w:spacing w:after="0" w:line="170" w:lineRule="exact"/>
        <w:rPr>
          <w:sz w:val="20"/>
          <w:szCs w:val="20"/>
          <w:color w:val="auto"/>
        </w:rPr>
      </w:pPr>
    </w:p>
    <w:p>
      <w:pPr>
        <w:ind w:left="340" w:hanging="188"/>
        <w:spacing w:after="0"/>
        <w:tabs>
          <w:tab w:leader="none" w:pos="3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issuer is on review for downgrade by a major rating agency if the downgrade would eliminate the issuer from the portfolio.</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Recent events have caused significant price volatility to which rating agencies have not reacted.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Lack of liquidity is causing price quotes to vary significantly from broker to broker.</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believe that this bond selection approach provides the best estimate of discount rates to estimate settlement values for our plans’ benefit obligations as required by the applicable GAAP.</w:t>
      </w:r>
    </w:p>
    <w:p>
      <w:pPr>
        <w:spacing w:after="0" w:line="184"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We develop the discount rate assumptions for the plans at Chilquinta Energía based on 10-year Chilean government bond yields and the expected local long-term rate of inflation. This method for developing the discount rate is required when there is no deep market for high quality corporate bonds.</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Long-term return on assets is based on the weighted-average of the plans’ investment allocation as of the measurement date and the expected returns for those asset types.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affecting benefit obligation and net periodic benefit cost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489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11" w:lineRule="exact"/>
        <w:rPr>
          <w:sz w:val="20"/>
          <w:szCs w:val="20"/>
          <w:color w:val="auto"/>
        </w:rPr>
      </w:pPr>
    </w:p>
    <w:tbl>
      <w:tblPr>
        <w:tblLayout w:type="fixed"/>
        <w:tblInd w:w="642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color w:val="auto"/>
              </w:rPr>
              <w:t>Other Postretirement</w:t>
            </w:r>
          </w:p>
        </w:tc>
      </w:tr>
      <w:tr>
        <w:trPr>
          <w:trHeight w:val="164"/>
        </w:trPr>
        <w:tc>
          <w:tcPr>
            <w:tcW w:w="2360" w:type="dxa"/>
            <w:vAlign w:val="bottom"/>
            <w:tcBorders>
              <w:bottom w:val="single" w:sz="8" w:color="auto"/>
            </w:tcBorders>
            <w:gridSpan w:val="2"/>
          </w:tcPr>
          <w:p>
            <w:pPr>
              <w:jc w:val="right"/>
              <w:ind w:right="568"/>
              <w:spacing w:after="0" w:line="157" w:lineRule="exact"/>
              <w:rPr>
                <w:sz w:val="20"/>
                <w:szCs w:val="20"/>
                <w:color w:val="auto"/>
              </w:rPr>
            </w:pPr>
            <w:r>
              <w:rPr>
                <w:rFonts w:ascii="Arial" w:cs="Arial" w:eastAsia="Arial" w:hAnsi="Arial"/>
                <w:sz w:val="14"/>
                <w:szCs w:val="14"/>
                <w:color w:val="auto"/>
              </w:rPr>
              <w:t>Pension Benefits</w:t>
            </w: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788"/>
              <w:spacing w:after="0" w:line="157" w:lineRule="exact"/>
              <w:rPr>
                <w:sz w:val="20"/>
                <w:szCs w:val="20"/>
                <w:color w:val="auto"/>
              </w:rPr>
            </w:pPr>
            <w:r>
              <w:rPr>
                <w:rFonts w:ascii="Arial" w:cs="Arial" w:eastAsia="Arial" w:hAnsi="Arial"/>
                <w:sz w:val="14"/>
                <w:szCs w:val="14"/>
                <w:color w:val="auto"/>
              </w:rPr>
              <w:t>Benefits</w:t>
            </w:r>
          </w:p>
        </w:tc>
      </w:tr>
      <w:tr>
        <w:trPr>
          <w:trHeight w:val="177"/>
        </w:trPr>
        <w:tc>
          <w:tcPr>
            <w:tcW w:w="1200" w:type="dxa"/>
            <w:vAlign w:val="bottom"/>
          </w:tcPr>
          <w:p>
            <w:pPr>
              <w:jc w:val="right"/>
              <w:ind w:right="368"/>
              <w:spacing w:after="0"/>
              <w:rPr>
                <w:sz w:val="20"/>
                <w:szCs w:val="20"/>
                <w:color w:val="auto"/>
              </w:rPr>
            </w:pPr>
            <w:r>
              <w:rPr>
                <w:rFonts w:ascii="Arial" w:cs="Arial" w:eastAsia="Arial" w:hAnsi="Arial"/>
                <w:sz w:val="14"/>
                <w:szCs w:val="14"/>
                <w:color w:val="auto"/>
              </w:rPr>
              <w:t>2011</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2010</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2011</w:t>
            </w:r>
          </w:p>
        </w:tc>
        <w:tc>
          <w:tcPr>
            <w:tcW w:w="1540" w:type="dxa"/>
            <w:vAlign w:val="bottom"/>
          </w:tcPr>
          <w:p>
            <w:pPr>
              <w:jc w:val="right"/>
              <w:ind w:right="348"/>
              <w:spacing w:after="0"/>
              <w:rPr>
                <w:sz w:val="20"/>
                <w:szCs w:val="20"/>
                <w:color w:val="auto"/>
              </w:rPr>
            </w:pPr>
            <w:r>
              <w:rPr>
                <w:rFonts w:ascii="Arial" w:cs="Arial" w:eastAsia="Arial" w:hAnsi="Arial"/>
                <w:sz w:val="14"/>
                <w:szCs w:val="14"/>
                <w:color w:val="auto"/>
              </w:rPr>
              <w:t>2010</w:t>
            </w:r>
          </w:p>
        </w:tc>
      </w:tr>
    </w:tbl>
    <w:p>
      <w:pPr>
        <w:sectPr>
          <w:pgSz w:w="11900" w:h="16926" w:orient="portrait"/>
          <w:cols w:equalWidth="0" w:num="1">
            <w:col w:w="11420"/>
          </w:cols>
          <w:pgMar w:left="240" w:top="125" w:right="239" w:bottom="0" w:gutter="0" w:footer="0" w:header="0"/>
        </w:sectPr>
      </w:pPr>
    </w:p>
    <w:bookmarkStart w:id="236" w:name="page237"/>
    <w:bookmarkEnd w:id="236"/>
    <w:p>
      <w:pPr>
        <w:ind w:left="180" w:right="1520" w:hanging="179"/>
        <w:spacing w:after="0" w:line="22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WEIGHTED-AVERAGE ASSUMPTIONS USED TO DETERMINE BENEFIT OBLIGATION AS OF DECEMBER 31:</w:t>
      </w:r>
    </w:p>
    <w:p>
      <w:pPr>
        <w:spacing w:after="0" w:line="229" w:lineRule="auto"/>
        <w:rPr>
          <w:sz w:val="20"/>
          <w:szCs w:val="20"/>
          <w:color w:val="auto"/>
        </w:rPr>
      </w:pPr>
      <w:r>
        <w:rPr>
          <w:rFonts w:ascii="Arial" w:cs="Arial" w:eastAsia="Arial" w:hAnsi="Arial"/>
          <w:sz w:val="16"/>
          <w:szCs w:val="16"/>
          <w:color w:val="auto"/>
        </w:rPr>
        <w:t>Discount rate</w:t>
      </w:r>
    </w:p>
    <w:p>
      <w:pPr>
        <w:spacing w:after="0"/>
        <w:rPr>
          <w:sz w:val="20"/>
          <w:szCs w:val="20"/>
          <w:color w:val="auto"/>
        </w:rPr>
      </w:pPr>
      <w:r>
        <w:rPr>
          <w:rFonts w:ascii="Arial" w:cs="Arial" w:eastAsia="Arial" w:hAnsi="Arial"/>
          <w:sz w:val="16"/>
          <w:szCs w:val="16"/>
          <w:color w:val="auto"/>
        </w:rPr>
        <w:t>Rate of compensation increase</w:t>
      </w:r>
    </w:p>
    <w:p>
      <w:pPr>
        <w:spacing w:after="0" w:line="167" w:lineRule="exact"/>
        <w:rPr>
          <w:sz w:val="20"/>
          <w:szCs w:val="20"/>
          <w:color w:val="auto"/>
        </w:rPr>
      </w:pPr>
    </w:p>
    <w:p>
      <w:pPr>
        <w:jc w:val="right"/>
        <w:ind w:right="1160"/>
        <w:spacing w:after="0" w:line="229" w:lineRule="auto"/>
        <w:rPr>
          <w:sz w:val="20"/>
          <w:szCs w:val="20"/>
          <w:color w:val="auto"/>
        </w:rPr>
      </w:pPr>
      <w:r>
        <w:rPr>
          <w:rFonts w:ascii="Arial" w:cs="Arial" w:eastAsia="Arial" w:hAnsi="Arial"/>
          <w:sz w:val="16"/>
          <w:szCs w:val="16"/>
          <w:color w:val="auto"/>
        </w:rPr>
        <w:t>WEIGHTED-AVERAGE ASSUMPTIONS USED TO DETERMINE NET PERIODIC BENEFIT COST FOR YEARS ENDED DECEMBER 31:</w:t>
      </w:r>
    </w:p>
    <w:p>
      <w:pPr>
        <w:spacing w:after="0" w:line="229" w:lineRule="auto"/>
        <w:rPr>
          <w:sz w:val="20"/>
          <w:szCs w:val="20"/>
          <w:color w:val="auto"/>
        </w:rPr>
      </w:pPr>
      <w:r>
        <w:rPr>
          <w:rFonts w:ascii="Arial" w:cs="Arial" w:eastAsia="Arial" w:hAnsi="Arial"/>
          <w:sz w:val="16"/>
          <w:szCs w:val="16"/>
          <w:b w:val="1"/>
          <w:bCs w:val="1"/>
          <w:color w:val="auto"/>
        </w:rPr>
        <w:t>Sempra Energy Consolidated</w:t>
      </w:r>
    </w:p>
    <w:p>
      <w:pPr>
        <w:spacing w:after="0" w:line="229" w:lineRule="auto"/>
        <w:rPr>
          <w:sz w:val="20"/>
          <w:szCs w:val="20"/>
          <w:color w:val="auto"/>
        </w:rPr>
      </w:pPr>
      <w:r>
        <w:rPr>
          <w:rFonts w:ascii="Arial" w:cs="Arial" w:eastAsia="Arial" w:hAnsi="Arial"/>
          <w:sz w:val="16"/>
          <w:szCs w:val="16"/>
          <w:color w:val="auto"/>
        </w:rPr>
        <w:t>Discount rate</w:t>
      </w:r>
    </w:p>
    <w:p>
      <w:pPr>
        <w:spacing w:after="0" w:line="229" w:lineRule="auto"/>
        <w:rPr>
          <w:sz w:val="20"/>
          <w:szCs w:val="20"/>
          <w:color w:val="auto"/>
        </w:rPr>
      </w:pPr>
      <w:r>
        <w:rPr>
          <w:rFonts w:ascii="Arial" w:cs="Arial" w:eastAsia="Arial" w:hAnsi="Arial"/>
          <w:sz w:val="16"/>
          <w:szCs w:val="16"/>
          <w:color w:val="auto"/>
        </w:rPr>
        <w:t>Expected return on plan assets</w:t>
      </w:r>
    </w:p>
    <w:p>
      <w:pPr>
        <w:spacing w:after="0" w:line="229" w:lineRule="auto"/>
        <w:rPr>
          <w:sz w:val="20"/>
          <w:szCs w:val="20"/>
          <w:color w:val="auto"/>
        </w:rPr>
      </w:pPr>
      <w:r>
        <w:rPr>
          <w:rFonts w:ascii="Arial" w:cs="Arial" w:eastAsia="Arial" w:hAnsi="Arial"/>
          <w:sz w:val="16"/>
          <w:szCs w:val="16"/>
          <w:color w:val="auto"/>
        </w:rPr>
        <w:t>Rate of compensation increase</w:t>
      </w:r>
    </w:p>
    <w:p>
      <w:pPr>
        <w:spacing w:after="0" w:line="229" w:lineRule="auto"/>
        <w:rPr>
          <w:sz w:val="20"/>
          <w:szCs w:val="20"/>
          <w:color w:val="auto"/>
        </w:rPr>
      </w:pPr>
      <w:r>
        <w:rPr>
          <w:rFonts w:ascii="Arial" w:cs="Arial" w:eastAsia="Arial" w:hAnsi="Arial"/>
          <w:sz w:val="16"/>
          <w:szCs w:val="16"/>
          <w:b w:val="1"/>
          <w:bCs w:val="1"/>
          <w:color w:val="auto"/>
        </w:rPr>
        <w:t>SDG&amp;E</w:t>
      </w:r>
    </w:p>
    <w:p>
      <w:pPr>
        <w:spacing w:after="0" w:line="229" w:lineRule="auto"/>
        <w:rPr>
          <w:sz w:val="20"/>
          <w:szCs w:val="20"/>
          <w:color w:val="auto"/>
        </w:rPr>
      </w:pPr>
      <w:r>
        <w:rPr>
          <w:rFonts w:ascii="Arial" w:cs="Arial" w:eastAsia="Arial" w:hAnsi="Arial"/>
          <w:sz w:val="16"/>
          <w:szCs w:val="16"/>
          <w:color w:val="auto"/>
        </w:rPr>
        <w:t>Discount rate</w:t>
      </w:r>
    </w:p>
    <w:p>
      <w:pPr>
        <w:spacing w:after="0" w:line="229" w:lineRule="auto"/>
        <w:rPr>
          <w:sz w:val="20"/>
          <w:szCs w:val="20"/>
          <w:color w:val="auto"/>
        </w:rPr>
      </w:pPr>
      <w:r>
        <w:rPr>
          <w:rFonts w:ascii="Arial" w:cs="Arial" w:eastAsia="Arial" w:hAnsi="Arial"/>
          <w:sz w:val="16"/>
          <w:szCs w:val="16"/>
          <w:color w:val="auto"/>
        </w:rPr>
        <w:t>Expected return on plan assets</w:t>
      </w:r>
    </w:p>
    <w:p>
      <w:pPr>
        <w:spacing w:after="0" w:line="229" w:lineRule="auto"/>
        <w:rPr>
          <w:sz w:val="20"/>
          <w:szCs w:val="20"/>
          <w:color w:val="auto"/>
        </w:rPr>
      </w:pPr>
      <w:r>
        <w:rPr>
          <w:rFonts w:ascii="Arial" w:cs="Arial" w:eastAsia="Arial" w:hAnsi="Arial"/>
          <w:sz w:val="16"/>
          <w:szCs w:val="16"/>
          <w:color w:val="auto"/>
        </w:rPr>
        <w:t>Rate of compensation increase</w:t>
      </w:r>
    </w:p>
    <w:p>
      <w:pPr>
        <w:spacing w:after="0" w:line="229" w:lineRule="auto"/>
        <w:rPr>
          <w:sz w:val="20"/>
          <w:szCs w:val="20"/>
          <w:color w:val="auto"/>
        </w:rPr>
      </w:pPr>
      <w:r>
        <w:rPr>
          <w:rFonts w:ascii="Arial" w:cs="Arial" w:eastAsia="Arial" w:hAnsi="Arial"/>
          <w:sz w:val="16"/>
          <w:szCs w:val="16"/>
          <w:b w:val="1"/>
          <w:bCs w:val="1"/>
          <w:color w:val="auto"/>
        </w:rPr>
        <w:t>SoCalGas</w:t>
      </w:r>
    </w:p>
    <w:p>
      <w:pPr>
        <w:spacing w:after="0" w:line="229" w:lineRule="auto"/>
        <w:rPr>
          <w:sz w:val="20"/>
          <w:szCs w:val="20"/>
          <w:color w:val="auto"/>
        </w:rPr>
      </w:pPr>
      <w:r>
        <w:rPr>
          <w:rFonts w:ascii="Arial" w:cs="Arial" w:eastAsia="Arial" w:hAnsi="Arial"/>
          <w:sz w:val="16"/>
          <w:szCs w:val="16"/>
          <w:color w:val="auto"/>
        </w:rPr>
        <w:t>Discount rate</w:t>
      </w:r>
    </w:p>
    <w:p>
      <w:pPr>
        <w:spacing w:after="0" w:line="229" w:lineRule="auto"/>
        <w:rPr>
          <w:sz w:val="20"/>
          <w:szCs w:val="20"/>
          <w:color w:val="auto"/>
        </w:rPr>
      </w:pPr>
      <w:r>
        <w:rPr>
          <w:rFonts w:ascii="Arial" w:cs="Arial" w:eastAsia="Arial" w:hAnsi="Arial"/>
          <w:sz w:val="16"/>
          <w:szCs w:val="16"/>
          <w:color w:val="auto"/>
        </w:rPr>
        <w:t>Expected return on plan assets</w:t>
      </w:r>
    </w:p>
    <w:p>
      <w:pPr>
        <w:spacing w:after="0"/>
        <w:rPr>
          <w:sz w:val="20"/>
          <w:szCs w:val="20"/>
          <w:color w:val="auto"/>
        </w:rPr>
      </w:pPr>
      <w:r>
        <w:rPr>
          <w:rFonts w:ascii="Arial" w:cs="Arial" w:eastAsia="Arial" w:hAnsi="Arial"/>
          <w:sz w:val="16"/>
          <w:szCs w:val="16"/>
          <w:color w:val="auto"/>
        </w:rPr>
        <w:t>Rate of compensation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jc w:val="right"/>
              <w:ind w:right="224"/>
              <w:spacing w:after="0"/>
              <w:rPr>
                <w:sz w:val="20"/>
                <w:szCs w:val="20"/>
                <w:color w:val="auto"/>
              </w:rPr>
            </w:pPr>
            <w:r>
              <w:rPr>
                <w:rFonts w:ascii="Arial" w:cs="Arial" w:eastAsia="Arial" w:hAnsi="Arial"/>
                <w:sz w:val="16"/>
                <w:szCs w:val="16"/>
                <w:color w:val="auto"/>
                <w:w w:val="96"/>
              </w:rPr>
              <w:t>4.95 %</w:t>
            </w:r>
          </w:p>
        </w:tc>
        <w:tc>
          <w:tcPr>
            <w:tcW w:w="1300" w:type="dxa"/>
            <w:vAlign w:val="bottom"/>
          </w:tcPr>
          <w:p>
            <w:pPr>
              <w:jc w:val="right"/>
              <w:ind w:right="402"/>
              <w:spacing w:after="0"/>
              <w:rPr>
                <w:sz w:val="20"/>
                <w:szCs w:val="20"/>
                <w:color w:val="auto"/>
              </w:rPr>
            </w:pPr>
            <w:r>
              <w:rPr>
                <w:rFonts w:ascii="Arial" w:cs="Arial" w:eastAsia="Arial" w:hAnsi="Arial"/>
                <w:sz w:val="16"/>
                <w:szCs w:val="16"/>
                <w:color w:val="auto"/>
              </w:rPr>
              <w:t>5.61 %</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5.11 %</w:t>
            </w:r>
          </w:p>
        </w:tc>
        <w:tc>
          <w:tcPr>
            <w:tcW w:w="820" w:type="dxa"/>
            <w:vAlign w:val="bottom"/>
          </w:tcPr>
          <w:p>
            <w:pPr>
              <w:jc w:val="right"/>
              <w:spacing w:after="0"/>
              <w:rPr>
                <w:sz w:val="20"/>
                <w:szCs w:val="20"/>
                <w:color w:val="auto"/>
              </w:rPr>
            </w:pPr>
            <w:r>
              <w:rPr>
                <w:rFonts w:ascii="Arial" w:cs="Arial" w:eastAsia="Arial" w:hAnsi="Arial"/>
                <w:sz w:val="16"/>
                <w:szCs w:val="16"/>
                <w:color w:val="auto"/>
              </w:rPr>
              <w:t>5.77 %</w:t>
            </w:r>
          </w:p>
        </w:tc>
      </w:tr>
      <w:tr>
        <w:trPr>
          <w:trHeight w:val="202"/>
        </w:trPr>
        <w:tc>
          <w:tcPr>
            <w:tcW w:w="800" w:type="dxa"/>
            <w:vAlign w:val="bottom"/>
          </w:tcPr>
          <w:p>
            <w:pPr>
              <w:jc w:val="right"/>
              <w:ind w:right="224"/>
              <w:spacing w:after="0"/>
              <w:rPr>
                <w:sz w:val="20"/>
                <w:szCs w:val="20"/>
                <w:color w:val="auto"/>
              </w:rPr>
            </w:pPr>
            <w:r>
              <w:rPr>
                <w:rFonts w:ascii="Arial" w:cs="Arial" w:eastAsia="Arial" w:hAnsi="Arial"/>
                <w:sz w:val="16"/>
                <w:szCs w:val="16"/>
                <w:color w:val="auto"/>
                <w:w w:val="96"/>
              </w:rPr>
              <w:t>4.50 %</w:t>
            </w:r>
          </w:p>
        </w:tc>
        <w:tc>
          <w:tcPr>
            <w:tcW w:w="1300" w:type="dxa"/>
            <w:vAlign w:val="bottom"/>
          </w:tcPr>
          <w:p>
            <w:pPr>
              <w:jc w:val="right"/>
              <w:ind w:right="402"/>
              <w:spacing w:after="0"/>
              <w:rPr>
                <w:sz w:val="20"/>
                <w:szCs w:val="20"/>
                <w:color w:val="auto"/>
              </w:rPr>
            </w:pPr>
            <w:r>
              <w:rPr>
                <w:rFonts w:ascii="Arial" w:cs="Arial" w:eastAsia="Arial" w:hAnsi="Arial"/>
                <w:sz w:val="16"/>
                <w:szCs w:val="16"/>
                <w:color w:val="auto"/>
              </w:rPr>
              <w:t>4.50 %</w:t>
            </w:r>
          </w:p>
        </w:tc>
        <w:tc>
          <w:tcPr>
            <w:tcW w:w="132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(1)</w:t>
            </w:r>
          </w:p>
        </w:tc>
      </w:tr>
      <w:tr>
        <w:trPr>
          <w:trHeight w:val="851"/>
        </w:trPr>
        <w:tc>
          <w:tcPr>
            <w:tcW w:w="800" w:type="dxa"/>
            <w:vAlign w:val="bottom"/>
          </w:tcPr>
          <w:p>
            <w:pPr>
              <w:jc w:val="right"/>
              <w:ind w:right="364"/>
              <w:spacing w:after="0"/>
              <w:rPr>
                <w:sz w:val="20"/>
                <w:szCs w:val="20"/>
                <w:color w:val="auto"/>
              </w:rPr>
            </w:pPr>
            <w:r>
              <w:rPr>
                <w:rFonts w:ascii="Arial" w:cs="Arial" w:eastAsia="Arial" w:hAnsi="Arial"/>
                <w:sz w:val="14"/>
                <w:szCs w:val="14"/>
                <w:color w:val="auto"/>
              </w:rPr>
              <w:t>(2)</w:t>
            </w:r>
          </w:p>
        </w:tc>
        <w:tc>
          <w:tcPr>
            <w:tcW w:w="1300" w:type="dxa"/>
            <w:vAlign w:val="bottom"/>
          </w:tcPr>
          <w:p>
            <w:pPr>
              <w:jc w:val="right"/>
              <w:ind w:right="562"/>
              <w:spacing w:after="0"/>
              <w:rPr>
                <w:sz w:val="20"/>
                <w:szCs w:val="20"/>
                <w:color w:val="auto"/>
              </w:rPr>
            </w:pPr>
            <w:r>
              <w:rPr>
                <w:rFonts w:ascii="Arial" w:cs="Arial" w:eastAsia="Arial" w:hAnsi="Arial"/>
                <w:sz w:val="14"/>
                <w:szCs w:val="14"/>
                <w:color w:val="auto"/>
              </w:rPr>
              <w:t>(3)</w:t>
            </w:r>
          </w:p>
        </w:tc>
        <w:tc>
          <w:tcPr>
            <w:tcW w:w="1320" w:type="dxa"/>
            <w:vAlign w:val="bottom"/>
          </w:tcPr>
          <w:p>
            <w:pPr>
              <w:jc w:val="right"/>
              <w:ind w:right="382"/>
              <w:spacing w:after="0"/>
              <w:rPr>
                <w:sz w:val="20"/>
                <w:szCs w:val="20"/>
                <w:color w:val="auto"/>
              </w:rPr>
            </w:pPr>
            <w:r>
              <w:rPr>
                <w:rFonts w:ascii="Arial" w:cs="Arial" w:eastAsia="Arial" w:hAnsi="Arial"/>
                <w:sz w:val="14"/>
                <w:szCs w:val="14"/>
                <w:color w:val="auto"/>
              </w:rPr>
              <w:t>(4)</w:t>
            </w: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(5)</w:t>
            </w:r>
          </w:p>
        </w:tc>
      </w:tr>
      <w:tr>
        <w:trPr>
          <w:trHeight w:val="195"/>
        </w:trPr>
        <w:tc>
          <w:tcPr>
            <w:tcW w:w="800" w:type="dxa"/>
            <w:vAlign w:val="bottom"/>
          </w:tcPr>
          <w:p>
            <w:pPr>
              <w:jc w:val="right"/>
              <w:ind w:right="224"/>
              <w:spacing w:after="0"/>
              <w:rPr>
                <w:sz w:val="20"/>
                <w:szCs w:val="20"/>
                <w:color w:val="auto"/>
              </w:rPr>
            </w:pPr>
            <w:r>
              <w:rPr>
                <w:rFonts w:ascii="Arial" w:cs="Arial" w:eastAsia="Arial" w:hAnsi="Arial"/>
                <w:sz w:val="16"/>
                <w:szCs w:val="16"/>
                <w:color w:val="auto"/>
                <w:w w:val="96"/>
              </w:rPr>
              <w:t>7.00 %</w:t>
            </w:r>
          </w:p>
        </w:tc>
        <w:tc>
          <w:tcPr>
            <w:tcW w:w="1300" w:type="dxa"/>
            <w:vAlign w:val="bottom"/>
          </w:tcPr>
          <w:p>
            <w:pPr>
              <w:jc w:val="right"/>
              <w:ind w:right="402"/>
              <w:spacing w:after="0"/>
              <w:rPr>
                <w:sz w:val="20"/>
                <w:szCs w:val="20"/>
                <w:color w:val="auto"/>
              </w:rPr>
            </w:pPr>
            <w:r>
              <w:rPr>
                <w:rFonts w:ascii="Arial" w:cs="Arial" w:eastAsia="Arial" w:hAnsi="Arial"/>
                <w:sz w:val="16"/>
                <w:szCs w:val="16"/>
                <w:color w:val="auto"/>
              </w:rPr>
              <w:t>7.00 %</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6.25 %</w:t>
            </w:r>
          </w:p>
        </w:tc>
        <w:tc>
          <w:tcPr>
            <w:tcW w:w="820" w:type="dxa"/>
            <w:vAlign w:val="bottom"/>
          </w:tcPr>
          <w:p>
            <w:pPr>
              <w:jc w:val="right"/>
              <w:spacing w:after="0"/>
              <w:rPr>
                <w:sz w:val="20"/>
                <w:szCs w:val="20"/>
                <w:color w:val="auto"/>
              </w:rPr>
            </w:pPr>
            <w:r>
              <w:rPr>
                <w:rFonts w:ascii="Arial" w:cs="Arial" w:eastAsia="Arial" w:hAnsi="Arial"/>
                <w:sz w:val="16"/>
                <w:szCs w:val="16"/>
                <w:color w:val="auto"/>
              </w:rPr>
              <w:t>6.22 %</w:t>
            </w:r>
          </w:p>
        </w:tc>
      </w:tr>
      <w:tr>
        <w:trPr>
          <w:trHeight w:val="183"/>
        </w:trPr>
        <w:tc>
          <w:tcPr>
            <w:tcW w:w="800" w:type="dxa"/>
            <w:vAlign w:val="bottom"/>
          </w:tcPr>
          <w:p>
            <w:pPr>
              <w:jc w:val="right"/>
              <w:ind w:right="364"/>
              <w:spacing w:after="0"/>
              <w:rPr>
                <w:sz w:val="20"/>
                <w:szCs w:val="20"/>
                <w:color w:val="auto"/>
              </w:rPr>
            </w:pPr>
            <w:r>
              <w:rPr>
                <w:rFonts w:ascii="Arial" w:cs="Arial" w:eastAsia="Arial" w:hAnsi="Arial"/>
                <w:sz w:val="14"/>
                <w:szCs w:val="14"/>
                <w:color w:val="auto"/>
              </w:rPr>
              <w:t>(6)</w:t>
            </w:r>
          </w:p>
        </w:tc>
        <w:tc>
          <w:tcPr>
            <w:tcW w:w="1300" w:type="dxa"/>
            <w:vAlign w:val="bottom"/>
          </w:tcPr>
          <w:p>
            <w:pPr>
              <w:jc w:val="right"/>
              <w:ind w:right="562"/>
              <w:spacing w:after="0"/>
              <w:rPr>
                <w:sz w:val="20"/>
                <w:szCs w:val="20"/>
                <w:color w:val="auto"/>
              </w:rPr>
            </w:pPr>
            <w:r>
              <w:rPr>
                <w:rFonts w:ascii="Arial" w:cs="Arial" w:eastAsia="Arial" w:hAnsi="Arial"/>
                <w:sz w:val="14"/>
                <w:szCs w:val="14"/>
                <w:color w:val="auto"/>
              </w:rPr>
              <w:t>(6)</w:t>
            </w:r>
          </w:p>
        </w:tc>
        <w:tc>
          <w:tcPr>
            <w:tcW w:w="132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(1)</w:t>
            </w:r>
          </w:p>
        </w:tc>
      </w:tr>
      <w:tr>
        <w:trPr>
          <w:trHeight w:val="325"/>
        </w:trPr>
        <w:tc>
          <w:tcPr>
            <w:tcW w:w="800" w:type="dxa"/>
            <w:vAlign w:val="bottom"/>
          </w:tcPr>
          <w:p>
            <w:pPr>
              <w:jc w:val="right"/>
              <w:ind w:right="364"/>
              <w:spacing w:after="0"/>
              <w:rPr>
                <w:sz w:val="20"/>
                <w:szCs w:val="20"/>
                <w:color w:val="auto"/>
              </w:rPr>
            </w:pPr>
            <w:r>
              <w:rPr>
                <w:rFonts w:ascii="Arial" w:cs="Arial" w:eastAsia="Arial" w:hAnsi="Arial"/>
                <w:sz w:val="14"/>
                <w:szCs w:val="14"/>
                <w:color w:val="auto"/>
              </w:rPr>
              <w:t>(7)</w:t>
            </w:r>
          </w:p>
        </w:tc>
        <w:tc>
          <w:tcPr>
            <w:tcW w:w="1300" w:type="dxa"/>
            <w:vAlign w:val="bottom"/>
          </w:tcPr>
          <w:p>
            <w:pPr>
              <w:jc w:val="right"/>
              <w:ind w:right="402"/>
              <w:spacing w:after="0"/>
              <w:rPr>
                <w:sz w:val="20"/>
                <w:szCs w:val="20"/>
                <w:color w:val="auto"/>
              </w:rPr>
            </w:pPr>
            <w:r>
              <w:rPr>
                <w:rFonts w:ascii="Arial" w:cs="Arial" w:eastAsia="Arial" w:hAnsi="Arial"/>
                <w:sz w:val="16"/>
                <w:szCs w:val="16"/>
                <w:color w:val="auto"/>
              </w:rPr>
              <w:t>5.40 %</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5.05 %</w:t>
            </w:r>
          </w:p>
        </w:tc>
        <w:tc>
          <w:tcPr>
            <w:tcW w:w="820" w:type="dxa"/>
            <w:vAlign w:val="bottom"/>
          </w:tcPr>
          <w:p>
            <w:pPr>
              <w:jc w:val="right"/>
              <w:spacing w:after="0"/>
              <w:rPr>
                <w:sz w:val="20"/>
                <w:szCs w:val="20"/>
                <w:color w:val="auto"/>
              </w:rPr>
            </w:pPr>
            <w:r>
              <w:rPr>
                <w:rFonts w:ascii="Arial" w:cs="Arial" w:eastAsia="Arial" w:hAnsi="Arial"/>
                <w:sz w:val="16"/>
                <w:szCs w:val="16"/>
                <w:color w:val="auto"/>
              </w:rPr>
              <w:t>5.75 %</w:t>
            </w:r>
          </w:p>
        </w:tc>
      </w:tr>
      <w:tr>
        <w:trPr>
          <w:trHeight w:val="176"/>
        </w:trPr>
        <w:tc>
          <w:tcPr>
            <w:tcW w:w="800" w:type="dxa"/>
            <w:vAlign w:val="bottom"/>
          </w:tcPr>
          <w:p>
            <w:pPr>
              <w:jc w:val="right"/>
              <w:ind w:right="224"/>
              <w:spacing w:after="0" w:line="176" w:lineRule="exact"/>
              <w:rPr>
                <w:sz w:val="20"/>
                <w:szCs w:val="20"/>
                <w:color w:val="auto"/>
              </w:rPr>
            </w:pPr>
            <w:r>
              <w:rPr>
                <w:rFonts w:ascii="Arial" w:cs="Arial" w:eastAsia="Arial" w:hAnsi="Arial"/>
                <w:sz w:val="16"/>
                <w:szCs w:val="16"/>
                <w:color w:val="auto"/>
                <w:w w:val="96"/>
              </w:rPr>
              <w:t>7.00 %</w:t>
            </w:r>
          </w:p>
        </w:tc>
        <w:tc>
          <w:tcPr>
            <w:tcW w:w="1300" w:type="dxa"/>
            <w:vAlign w:val="bottom"/>
          </w:tcPr>
          <w:p>
            <w:pPr>
              <w:jc w:val="right"/>
              <w:ind w:right="402"/>
              <w:spacing w:after="0" w:line="176" w:lineRule="exact"/>
              <w:rPr>
                <w:sz w:val="20"/>
                <w:szCs w:val="20"/>
                <w:color w:val="auto"/>
              </w:rPr>
            </w:pPr>
            <w:r>
              <w:rPr>
                <w:rFonts w:ascii="Arial" w:cs="Arial" w:eastAsia="Arial" w:hAnsi="Arial"/>
                <w:sz w:val="16"/>
                <w:szCs w:val="16"/>
                <w:color w:val="auto"/>
              </w:rPr>
              <w:t>7.00 %</w:t>
            </w:r>
          </w:p>
        </w:tc>
        <w:tc>
          <w:tcPr>
            <w:tcW w:w="1320" w:type="dxa"/>
            <w:vAlign w:val="bottom"/>
          </w:tcPr>
          <w:p>
            <w:pPr>
              <w:jc w:val="right"/>
              <w:ind w:right="222"/>
              <w:spacing w:after="0" w:line="176" w:lineRule="exact"/>
              <w:rPr>
                <w:sz w:val="20"/>
                <w:szCs w:val="20"/>
                <w:color w:val="auto"/>
              </w:rPr>
            </w:pPr>
            <w:r>
              <w:rPr>
                <w:rFonts w:ascii="Arial" w:cs="Arial" w:eastAsia="Arial" w:hAnsi="Arial"/>
                <w:sz w:val="16"/>
                <w:szCs w:val="16"/>
                <w:color w:val="auto"/>
              </w:rPr>
              <w:t>6.69 %</w:t>
            </w: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6.49 %</w:t>
            </w:r>
          </w:p>
        </w:tc>
      </w:tr>
      <w:tr>
        <w:trPr>
          <w:trHeight w:val="202"/>
        </w:trPr>
        <w:tc>
          <w:tcPr>
            <w:tcW w:w="800" w:type="dxa"/>
            <w:vAlign w:val="bottom"/>
          </w:tcPr>
          <w:p>
            <w:pPr>
              <w:jc w:val="right"/>
              <w:ind w:right="364"/>
              <w:spacing w:after="0"/>
              <w:rPr>
                <w:sz w:val="20"/>
                <w:szCs w:val="20"/>
                <w:color w:val="auto"/>
              </w:rPr>
            </w:pPr>
            <w:r>
              <w:rPr>
                <w:rFonts w:ascii="Arial" w:cs="Arial" w:eastAsia="Arial" w:hAnsi="Arial"/>
                <w:sz w:val="14"/>
                <w:szCs w:val="14"/>
                <w:color w:val="auto"/>
              </w:rPr>
              <w:t>(8)</w:t>
            </w:r>
          </w:p>
        </w:tc>
        <w:tc>
          <w:tcPr>
            <w:tcW w:w="1300" w:type="dxa"/>
            <w:vAlign w:val="bottom"/>
          </w:tcPr>
          <w:p>
            <w:pPr>
              <w:jc w:val="right"/>
              <w:ind w:right="562"/>
              <w:spacing w:after="0"/>
              <w:rPr>
                <w:sz w:val="20"/>
                <w:szCs w:val="20"/>
                <w:color w:val="auto"/>
              </w:rPr>
            </w:pPr>
            <w:r>
              <w:rPr>
                <w:rFonts w:ascii="Arial" w:cs="Arial" w:eastAsia="Arial" w:hAnsi="Arial"/>
                <w:sz w:val="14"/>
                <w:szCs w:val="14"/>
                <w:color w:val="auto"/>
              </w:rPr>
              <w:t>(8)</w:t>
            </w:r>
          </w:p>
        </w:tc>
        <w:tc>
          <w:tcPr>
            <w:tcW w:w="1320" w:type="dxa"/>
            <w:vAlign w:val="bottom"/>
          </w:tcPr>
          <w:p>
            <w:pPr>
              <w:jc w:val="right"/>
              <w:ind w:right="382"/>
              <w:spacing w:after="0"/>
              <w:rPr>
                <w:sz w:val="20"/>
                <w:szCs w:val="20"/>
                <w:color w:val="auto"/>
              </w:rPr>
            </w:pPr>
            <w:r>
              <w:rPr>
                <w:rFonts w:ascii="Arial" w:cs="Arial" w:eastAsia="Arial" w:hAnsi="Arial"/>
                <w:sz w:val="16"/>
                <w:szCs w:val="16"/>
                <w:color w:val="auto"/>
              </w:rPr>
              <w:t>N/A</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N/A</w:t>
            </w:r>
          </w:p>
        </w:tc>
      </w:tr>
      <w:tr>
        <w:trPr>
          <w:trHeight w:val="325"/>
        </w:trPr>
        <w:tc>
          <w:tcPr>
            <w:tcW w:w="800" w:type="dxa"/>
            <w:vAlign w:val="bottom"/>
          </w:tcPr>
          <w:p>
            <w:pPr>
              <w:jc w:val="right"/>
              <w:ind w:right="364"/>
              <w:spacing w:after="0"/>
              <w:rPr>
                <w:sz w:val="20"/>
                <w:szCs w:val="20"/>
                <w:color w:val="auto"/>
              </w:rPr>
            </w:pPr>
            <w:r>
              <w:rPr>
                <w:rFonts w:ascii="Arial" w:cs="Arial" w:eastAsia="Arial" w:hAnsi="Arial"/>
                <w:sz w:val="14"/>
                <w:szCs w:val="14"/>
                <w:color w:val="auto"/>
              </w:rPr>
              <w:t>(9)</w:t>
            </w:r>
          </w:p>
        </w:tc>
        <w:tc>
          <w:tcPr>
            <w:tcW w:w="1300" w:type="dxa"/>
            <w:vAlign w:val="bottom"/>
          </w:tcPr>
          <w:p>
            <w:pPr>
              <w:jc w:val="right"/>
              <w:ind w:right="402"/>
              <w:spacing w:after="0"/>
              <w:rPr>
                <w:sz w:val="20"/>
                <w:szCs w:val="20"/>
                <w:color w:val="auto"/>
              </w:rPr>
            </w:pPr>
            <w:r>
              <w:rPr>
                <w:rFonts w:ascii="Arial" w:cs="Arial" w:eastAsia="Arial" w:hAnsi="Arial"/>
                <w:sz w:val="16"/>
                <w:szCs w:val="16"/>
                <w:color w:val="auto"/>
              </w:rPr>
              <w:t>5.75 %</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5.15 %</w:t>
            </w:r>
          </w:p>
        </w:tc>
        <w:tc>
          <w:tcPr>
            <w:tcW w:w="820" w:type="dxa"/>
            <w:vAlign w:val="bottom"/>
          </w:tcPr>
          <w:p>
            <w:pPr>
              <w:jc w:val="right"/>
              <w:spacing w:after="0"/>
              <w:rPr>
                <w:sz w:val="20"/>
                <w:szCs w:val="20"/>
                <w:color w:val="auto"/>
              </w:rPr>
            </w:pPr>
            <w:r>
              <w:rPr>
                <w:rFonts w:ascii="Arial" w:cs="Arial" w:eastAsia="Arial" w:hAnsi="Arial"/>
                <w:sz w:val="16"/>
                <w:szCs w:val="16"/>
                <w:color w:val="auto"/>
              </w:rPr>
              <w:t>5.90 %</w:t>
            </w:r>
          </w:p>
        </w:tc>
      </w:tr>
      <w:tr>
        <w:trPr>
          <w:trHeight w:val="195"/>
        </w:trPr>
        <w:tc>
          <w:tcPr>
            <w:tcW w:w="800" w:type="dxa"/>
            <w:vAlign w:val="bottom"/>
          </w:tcPr>
          <w:p>
            <w:pPr>
              <w:jc w:val="right"/>
              <w:ind w:right="224"/>
              <w:spacing w:after="0"/>
              <w:rPr>
                <w:sz w:val="20"/>
                <w:szCs w:val="20"/>
                <w:color w:val="auto"/>
              </w:rPr>
            </w:pPr>
            <w:r>
              <w:rPr>
                <w:rFonts w:ascii="Arial" w:cs="Arial" w:eastAsia="Arial" w:hAnsi="Arial"/>
                <w:sz w:val="16"/>
                <w:szCs w:val="16"/>
                <w:color w:val="auto"/>
                <w:w w:val="96"/>
              </w:rPr>
              <w:t>7.00 %</w:t>
            </w:r>
          </w:p>
        </w:tc>
        <w:tc>
          <w:tcPr>
            <w:tcW w:w="1300" w:type="dxa"/>
            <w:vAlign w:val="bottom"/>
          </w:tcPr>
          <w:p>
            <w:pPr>
              <w:jc w:val="right"/>
              <w:ind w:right="402"/>
              <w:spacing w:after="0"/>
              <w:rPr>
                <w:sz w:val="20"/>
                <w:szCs w:val="20"/>
                <w:color w:val="auto"/>
              </w:rPr>
            </w:pPr>
            <w:r>
              <w:rPr>
                <w:rFonts w:ascii="Arial" w:cs="Arial" w:eastAsia="Arial" w:hAnsi="Arial"/>
                <w:sz w:val="16"/>
                <w:szCs w:val="16"/>
                <w:color w:val="auto"/>
              </w:rPr>
              <w:t>7.00 %</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7.00 %</w:t>
            </w:r>
          </w:p>
        </w:tc>
        <w:tc>
          <w:tcPr>
            <w:tcW w:w="820" w:type="dxa"/>
            <w:vAlign w:val="bottom"/>
          </w:tcPr>
          <w:p>
            <w:pPr>
              <w:jc w:val="right"/>
              <w:spacing w:after="0"/>
              <w:rPr>
                <w:sz w:val="20"/>
                <w:szCs w:val="20"/>
                <w:color w:val="auto"/>
              </w:rPr>
            </w:pPr>
            <w:r>
              <w:rPr>
                <w:rFonts w:ascii="Arial" w:cs="Arial" w:eastAsia="Arial" w:hAnsi="Arial"/>
                <w:sz w:val="16"/>
                <w:szCs w:val="16"/>
                <w:color w:val="auto"/>
              </w:rPr>
              <w:t>7.00 %</w:t>
            </w:r>
          </w:p>
        </w:tc>
      </w:tr>
      <w:tr>
        <w:trPr>
          <w:trHeight w:val="183"/>
        </w:trPr>
        <w:tc>
          <w:tcPr>
            <w:tcW w:w="800" w:type="dxa"/>
            <w:vAlign w:val="bottom"/>
          </w:tcPr>
          <w:p>
            <w:pPr>
              <w:jc w:val="right"/>
              <w:ind w:right="364"/>
              <w:spacing w:after="0"/>
              <w:rPr>
                <w:sz w:val="20"/>
                <w:szCs w:val="20"/>
                <w:color w:val="auto"/>
              </w:rPr>
            </w:pPr>
            <w:r>
              <w:rPr>
                <w:rFonts w:ascii="Arial" w:cs="Arial" w:eastAsia="Arial" w:hAnsi="Arial"/>
                <w:sz w:val="14"/>
                <w:szCs w:val="14"/>
                <w:color w:val="auto"/>
              </w:rPr>
              <w:t>(6)</w:t>
            </w:r>
          </w:p>
        </w:tc>
        <w:tc>
          <w:tcPr>
            <w:tcW w:w="1300" w:type="dxa"/>
            <w:vAlign w:val="bottom"/>
          </w:tcPr>
          <w:p>
            <w:pPr>
              <w:jc w:val="right"/>
              <w:ind w:right="562"/>
              <w:spacing w:after="0"/>
              <w:rPr>
                <w:sz w:val="20"/>
                <w:szCs w:val="20"/>
                <w:color w:val="auto"/>
              </w:rPr>
            </w:pPr>
            <w:r>
              <w:rPr>
                <w:rFonts w:ascii="Arial" w:cs="Arial" w:eastAsia="Arial" w:hAnsi="Arial"/>
                <w:sz w:val="14"/>
                <w:szCs w:val="14"/>
                <w:color w:val="auto"/>
              </w:rPr>
              <w:t>(6)</w:t>
            </w:r>
          </w:p>
        </w:tc>
        <w:tc>
          <w:tcPr>
            <w:tcW w:w="132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(1)</w:t>
            </w:r>
          </w:p>
        </w:tc>
      </w:tr>
    </w:tbl>
    <w:p>
      <w:pPr>
        <w:spacing w:after="0" w:line="3" w:lineRule="exact"/>
        <w:rPr>
          <w:sz w:val="20"/>
          <w:szCs w:val="20"/>
          <w:color w:val="auto"/>
        </w:rPr>
      </w:pPr>
    </w:p>
    <w:p>
      <w:pPr>
        <w:sectPr>
          <w:pgSz w:w="11900" w:h="16838" w:orient="portrait"/>
          <w:cols w:equalWidth="0" w:num="2">
            <w:col w:w="6220" w:space="720"/>
            <w:col w:w="4480"/>
          </w:cols>
          <w:pgMar w:left="240" w:top="155" w:right="239" w:bottom="0" w:gutter="0" w:footer="0" w:header="0"/>
        </w:sectPr>
      </w:pPr>
    </w:p>
    <w:p>
      <w:pPr>
        <w:ind w:left="620" w:right="200" w:hanging="389"/>
        <w:spacing w:after="0" w:line="252" w:lineRule="auto"/>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4.50% and 4.00% as of December 31, 2011 and 2010, respectively, for the life insurance and Health Reimbursement Arrangement benefits for SoCalGas’ represented employees. No other PBOP benefits are compensation-based.</w:t>
      </w:r>
    </w:p>
    <w:p>
      <w:pPr>
        <w:ind w:left="620" w:right="460" w:hanging="389"/>
        <w:spacing w:after="0" w:line="241" w:lineRule="auto"/>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rates for SDG&amp;E and SoCalGas plans, 5.14% for Mobile Gas pension plan, 4.40% for Directors’ plan, 4.70% for other unfunded plans, and 4.90% for Sempra Energy funded plan.</w:t>
      </w:r>
    </w:p>
    <w:p>
      <w:pPr>
        <w:ind w:left="620" w:right="380" w:hanging="389"/>
        <w:spacing w:after="0" w:line="241" w:lineRule="auto"/>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rates for SDG&amp;E and SoCalGas plans, 5.95% for Mobile Gas pension plans, 4.85% for Directors’ plan, 5.45% for other unfunded plans, and 5.55% for Sempra Energy funded plan.</w:t>
      </w:r>
    </w:p>
    <w:p>
      <w:pPr>
        <w:ind w:left="620" w:hanging="389"/>
        <w:spacing w:after="0"/>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rates for SDG&amp;E and SoCalGas plans, 4.10% for the Executive Life Plan, 4.80% for Mobile Gas, and 4.65% for Sempra Energy.</w:t>
      </w:r>
    </w:p>
    <w:p>
      <w:pPr>
        <w:spacing w:after="0" w:line="1" w:lineRule="exact"/>
        <w:rPr>
          <w:rFonts w:ascii="Arial" w:cs="Arial" w:eastAsia="Arial" w:hAnsi="Arial"/>
          <w:sz w:val="14"/>
          <w:szCs w:val="14"/>
          <w:i w:val="1"/>
          <w:iCs w:val="1"/>
          <w:color w:val="auto"/>
        </w:rPr>
      </w:pPr>
    </w:p>
    <w:p>
      <w:pPr>
        <w:ind w:left="620" w:hanging="389"/>
        <w:spacing w:after="0"/>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rates for SDG&amp;E and SoCalGas plans, 4.60% for the Executive Life Plan, 5.70% for Mobile Gas, and 5.40% for Sempra Energy.</w:t>
      </w:r>
    </w:p>
    <w:p>
      <w:pPr>
        <w:spacing w:after="0" w:line="1" w:lineRule="exact"/>
        <w:rPr>
          <w:rFonts w:ascii="Arial" w:cs="Arial" w:eastAsia="Arial" w:hAnsi="Arial"/>
          <w:sz w:val="14"/>
          <w:szCs w:val="14"/>
          <w:i w:val="1"/>
          <w:iCs w:val="1"/>
          <w:color w:val="auto"/>
        </w:rPr>
      </w:pPr>
    </w:p>
    <w:p>
      <w:pPr>
        <w:ind w:left="620" w:right="140" w:hanging="389"/>
        <w:spacing w:after="0" w:line="241" w:lineRule="auto"/>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4.50% for the unfunded pension plans. 3.50% to 5.00% for the funded pension plan for SoCalGas’ represented participants and 3.50% to 8.50% for all the other funded pension plans’ participants using an age-based formula.</w:t>
      </w:r>
    </w:p>
    <w:p>
      <w:pPr>
        <w:ind w:left="620" w:hanging="389"/>
        <w:spacing w:after="0"/>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4.70% for the unfunded pension plan. 4.80% for the funded pension plan.</w:t>
      </w:r>
    </w:p>
    <w:p>
      <w:pPr>
        <w:spacing w:after="0" w:line="1" w:lineRule="exact"/>
        <w:rPr>
          <w:rFonts w:ascii="Arial" w:cs="Arial" w:eastAsia="Arial" w:hAnsi="Arial"/>
          <w:sz w:val="14"/>
          <w:szCs w:val="14"/>
          <w:i w:val="1"/>
          <w:iCs w:val="1"/>
          <w:color w:val="auto"/>
        </w:rPr>
      </w:pPr>
    </w:p>
    <w:p>
      <w:pPr>
        <w:ind w:left="620" w:hanging="389"/>
        <w:spacing w:after="0"/>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4.50% for the unfunded pension plan. 3.50% to 8.50% for the funded pension plan using an age-based formula.</w:t>
      </w:r>
    </w:p>
    <w:p>
      <w:pPr>
        <w:spacing w:after="0" w:line="1" w:lineRule="exact"/>
        <w:rPr>
          <w:rFonts w:ascii="Arial" w:cs="Arial" w:eastAsia="Arial" w:hAnsi="Arial"/>
          <w:sz w:val="14"/>
          <w:szCs w:val="14"/>
          <w:i w:val="1"/>
          <w:iCs w:val="1"/>
          <w:color w:val="auto"/>
        </w:rPr>
      </w:pPr>
    </w:p>
    <w:p>
      <w:pPr>
        <w:ind w:left="620" w:hanging="389"/>
        <w:spacing w:after="0"/>
        <w:tabs>
          <w:tab w:leader="none" w:pos="620" w:val="left"/>
        </w:tabs>
        <w:numPr>
          <w:ilvl w:val="0"/>
          <w:numId w:val="332"/>
        </w:numPr>
        <w:rPr>
          <w:rFonts w:ascii="Arial" w:cs="Arial" w:eastAsia="Arial" w:hAnsi="Arial"/>
          <w:sz w:val="14"/>
          <w:szCs w:val="14"/>
          <w:i w:val="1"/>
          <w:iCs w:val="1"/>
          <w:color w:val="auto"/>
        </w:rPr>
      </w:pPr>
      <w:r>
        <w:rPr>
          <w:rFonts w:ascii="Arial" w:cs="Arial" w:eastAsia="Arial" w:hAnsi="Arial"/>
          <w:sz w:val="14"/>
          <w:szCs w:val="14"/>
          <w:i w:val="1"/>
          <w:iCs w:val="1"/>
          <w:color w:val="auto"/>
        </w:rPr>
        <w:t>4.70% for the unfunded pension plan. 5.05% for the funded pension plan.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Health Care Cost Trend Rates</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Assumed health-care cost trend rates have a significant effect on the amounts that we report for the health care plan costs. Following are the health-care cost trend rates applicable to our postretirement benefit plans: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8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jc w:val="right"/>
              <w:ind w:right="461"/>
              <w:spacing w:after="0"/>
              <w:rPr>
                <w:sz w:val="20"/>
                <w:szCs w:val="20"/>
                <w:color w:val="auto"/>
              </w:rPr>
            </w:pPr>
            <w:r>
              <w:rPr>
                <w:rFonts w:ascii="Arial" w:cs="Arial" w:eastAsia="Arial" w:hAnsi="Arial"/>
                <w:sz w:val="14"/>
                <w:szCs w:val="14"/>
                <w:color w:val="auto"/>
              </w:rPr>
              <w:t>2010</w:t>
            </w:r>
          </w:p>
        </w:tc>
        <w:tc>
          <w:tcPr>
            <w:tcW w:w="4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826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ASSUMED HEALTH CARE COST TREND RATES AT DECEMBER 31:</w:t>
            </w:r>
          </w:p>
        </w:tc>
        <w:tc>
          <w:tcPr>
            <w:tcW w:w="5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Health-care cost trend rate</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10.00</w:t>
            </w:r>
          </w:p>
        </w:tc>
        <w:tc>
          <w:tcPr>
            <w:tcW w:w="76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41"/>
              <w:spacing w:after="0" w:line="176" w:lineRule="exact"/>
              <w:rPr>
                <w:sz w:val="20"/>
                <w:szCs w:val="20"/>
                <w:color w:val="auto"/>
              </w:rPr>
            </w:pPr>
            <w:r>
              <w:rPr>
                <w:rFonts w:ascii="Arial" w:cs="Arial" w:eastAsia="Arial" w:hAnsi="Arial"/>
                <w:sz w:val="16"/>
                <w:szCs w:val="16"/>
                <w:color w:val="auto"/>
              </w:rPr>
              <w:t>8.50</w:t>
            </w:r>
          </w:p>
        </w:tc>
        <w:tc>
          <w:tcPr>
            <w:tcW w:w="4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r>
      <w:tr>
        <w:trPr>
          <w:trHeight w:val="176"/>
        </w:trPr>
        <w:tc>
          <w:tcPr>
            <w:tcW w:w="8280" w:type="dxa"/>
            <w:vAlign w:val="bottom"/>
            <w:gridSpan w:val="2"/>
          </w:tcPr>
          <w:p>
            <w:pPr>
              <w:spacing w:after="0" w:line="176" w:lineRule="exact"/>
              <w:rPr>
                <w:sz w:val="20"/>
                <w:szCs w:val="20"/>
                <w:color w:val="auto"/>
              </w:rPr>
            </w:pPr>
            <w:r>
              <w:rPr>
                <w:rFonts w:ascii="Arial" w:cs="Arial" w:eastAsia="Arial" w:hAnsi="Arial"/>
                <w:sz w:val="16"/>
                <w:szCs w:val="16"/>
                <w:color w:val="auto"/>
              </w:rPr>
              <w:t>Rate to which the cost trend rate is assumed to decline (the ultimate trend)</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5.00</w:t>
            </w:r>
          </w:p>
        </w:tc>
        <w:tc>
          <w:tcPr>
            <w:tcW w:w="76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41"/>
              <w:spacing w:after="0" w:line="176" w:lineRule="exact"/>
              <w:rPr>
                <w:sz w:val="20"/>
                <w:szCs w:val="20"/>
                <w:color w:val="auto"/>
              </w:rPr>
            </w:pPr>
            <w:r>
              <w:rPr>
                <w:rFonts w:ascii="Arial" w:cs="Arial" w:eastAsia="Arial" w:hAnsi="Arial"/>
                <w:sz w:val="16"/>
                <w:szCs w:val="16"/>
                <w:color w:val="auto"/>
              </w:rPr>
              <w:t>5.50</w:t>
            </w:r>
          </w:p>
        </w:tc>
        <w:tc>
          <w:tcPr>
            <w:tcW w:w="4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r>
      <w:tr>
        <w:trPr>
          <w:trHeight w:val="194"/>
        </w:trPr>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Year that the rate reaches the ultimate trend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2016</w:t>
            </w:r>
          </w:p>
        </w:tc>
        <w:tc>
          <w:tcPr>
            <w:tcW w:w="46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one-percent change in assumed health care cost trend rates would have the following effects: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rPr>
              <w:t>Sempra Energy</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Consolidated</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SDG&amp;E</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503"/>
              <w:spacing w:after="0" w:line="157" w:lineRule="exact"/>
              <w:rPr>
                <w:sz w:val="20"/>
                <w:szCs w:val="20"/>
                <w:color w:val="auto"/>
              </w:rPr>
            </w:pPr>
            <w:r>
              <w:rPr>
                <w:rFonts w:ascii="Arial" w:cs="Arial" w:eastAsia="Arial" w:hAnsi="Arial"/>
                <w:sz w:val="14"/>
                <w:szCs w:val="14"/>
                <w:color w:val="auto"/>
              </w:rPr>
              <w:t>SoCalGas</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5"/>
                <w:szCs w:val="15"/>
                <w:color w:val="auto"/>
              </w:rPr>
            </w:pPr>
          </w:p>
        </w:tc>
        <w:tc>
          <w:tcPr>
            <w:tcW w:w="840" w:type="dxa"/>
            <w:vAlign w:val="bottom"/>
          </w:tcPr>
          <w:p>
            <w:pPr>
              <w:jc w:val="right"/>
              <w:ind w:right="504"/>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3"/>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5"/>
                <w:szCs w:val="15"/>
                <w:color w:val="auto"/>
              </w:rPr>
            </w:pPr>
          </w:p>
        </w:tc>
        <w:tc>
          <w:tcPr>
            <w:tcW w:w="680" w:type="dxa"/>
            <w:vAlign w:val="bottom"/>
          </w:tcPr>
          <w:p>
            <w:pPr>
              <w:jc w:val="right"/>
              <w:ind w:right="163"/>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543"/>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143"/>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92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gridSpan w:val="2"/>
          </w:tcPr>
          <w:p>
            <w:pPr>
              <w:ind w:left="300"/>
              <w:spacing w:after="0" w:line="157" w:lineRule="exact"/>
              <w:rPr>
                <w:sz w:val="20"/>
                <w:szCs w:val="20"/>
                <w:color w:val="auto"/>
              </w:rPr>
            </w:pPr>
            <w:r>
              <w:rPr>
                <w:rFonts w:ascii="Arial" w:cs="Arial" w:eastAsia="Arial" w:hAnsi="Arial"/>
                <w:sz w:val="14"/>
                <w:szCs w:val="14"/>
                <w:color w:val="auto"/>
              </w:rPr>
              <w:t>Increase</w:t>
            </w:r>
          </w:p>
        </w:tc>
        <w:tc>
          <w:tcPr>
            <w:tcW w:w="1040" w:type="dxa"/>
            <w:vAlign w:val="bottom"/>
            <w:tcBorders>
              <w:bottom w:val="single" w:sz="8" w:color="auto"/>
            </w:tcBorders>
            <w:gridSpan w:val="2"/>
          </w:tcPr>
          <w:p>
            <w:pPr>
              <w:ind w:left="160"/>
              <w:spacing w:after="0" w:line="157" w:lineRule="exact"/>
              <w:rPr>
                <w:sz w:val="20"/>
                <w:szCs w:val="20"/>
                <w:color w:val="auto"/>
              </w:rPr>
            </w:pPr>
            <w:r>
              <w:rPr>
                <w:rFonts w:ascii="Arial" w:cs="Arial" w:eastAsia="Arial" w:hAnsi="Arial"/>
                <w:sz w:val="14"/>
                <w:szCs w:val="14"/>
                <w:color w:val="auto"/>
              </w:rPr>
              <w:t>Decrease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320"/>
              <w:spacing w:after="0" w:line="157" w:lineRule="exact"/>
              <w:rPr>
                <w:sz w:val="20"/>
                <w:szCs w:val="20"/>
                <w:color w:val="auto"/>
              </w:rPr>
            </w:pPr>
            <w:r>
              <w:rPr>
                <w:rFonts w:ascii="Arial" w:cs="Arial" w:eastAsia="Arial" w:hAnsi="Arial"/>
                <w:sz w:val="14"/>
                <w:szCs w:val="14"/>
                <w:color w:val="auto"/>
              </w:rPr>
              <w:t>Increase</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Decrease</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300"/>
              <w:spacing w:after="0" w:line="157" w:lineRule="exact"/>
              <w:rPr>
                <w:sz w:val="20"/>
                <w:szCs w:val="20"/>
                <w:color w:val="auto"/>
              </w:rPr>
            </w:pPr>
            <w:r>
              <w:rPr>
                <w:rFonts w:ascii="Arial" w:cs="Arial" w:eastAsia="Arial" w:hAnsi="Arial"/>
                <w:sz w:val="14"/>
                <w:szCs w:val="14"/>
                <w:color w:val="auto"/>
              </w:rPr>
              <w:t>Increase</w:t>
            </w:r>
          </w:p>
        </w:tc>
        <w:tc>
          <w:tcPr>
            <w:tcW w:w="78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line="164" w:lineRule="exact"/>
              <w:rPr>
                <w:sz w:val="20"/>
                <w:szCs w:val="20"/>
                <w:color w:val="auto"/>
              </w:rPr>
            </w:pPr>
            <w:r>
              <w:rPr>
                <w:rFonts w:ascii="Arial" w:cs="Arial" w:eastAsia="Arial" w:hAnsi="Arial"/>
                <w:sz w:val="16"/>
                <w:szCs w:val="16"/>
                <w:color w:val="auto"/>
              </w:rPr>
              <w:t>Effect on total of service and interest</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180"/>
              <w:spacing w:after="0" w:line="176" w:lineRule="exact"/>
              <w:rPr>
                <w:sz w:val="20"/>
                <w:szCs w:val="20"/>
                <w:color w:val="auto"/>
              </w:rPr>
            </w:pPr>
            <w:r>
              <w:rPr>
                <w:rFonts w:ascii="Arial" w:cs="Arial" w:eastAsia="Arial" w:hAnsi="Arial"/>
                <w:sz w:val="16"/>
                <w:szCs w:val="16"/>
                <w:color w:val="auto"/>
              </w:rPr>
              <w:t>cost components of net periodic</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180"/>
              <w:spacing w:after="0"/>
              <w:rPr>
                <w:sz w:val="20"/>
                <w:szCs w:val="20"/>
                <w:color w:val="auto"/>
              </w:rPr>
            </w:pPr>
            <w:r>
              <w:rPr>
                <w:rFonts w:ascii="Arial" w:cs="Arial" w:eastAsia="Arial" w:hAnsi="Arial"/>
                <w:sz w:val="16"/>
                <w:szCs w:val="16"/>
                <w:color w:val="auto"/>
              </w:rPr>
              <w:t>postretirement health care benefit cost</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4"/>
              <w:spacing w:after="0"/>
              <w:rPr>
                <w:sz w:val="20"/>
                <w:szCs w:val="20"/>
                <w:color w:val="auto"/>
              </w:rPr>
            </w:pPr>
            <w:r>
              <w:rPr>
                <w:rFonts w:ascii="Arial" w:cs="Arial" w:eastAsia="Arial" w:hAnsi="Arial"/>
                <w:sz w:val="16"/>
                <w:szCs w:val="16"/>
                <w:color w:val="auto"/>
              </w:rPr>
              <w:t>13</w:t>
            </w:r>
          </w:p>
        </w:tc>
        <w:tc>
          <w:tcPr>
            <w:tcW w:w="660" w:type="dxa"/>
            <w:vAlign w:val="bottom"/>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(10)</w:t>
            </w:r>
          </w:p>
        </w:tc>
        <w:tc>
          <w:tcPr>
            <w:tcW w:w="11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2"/>
              <w:spacing w:after="0"/>
              <w:rPr>
                <w:sz w:val="20"/>
                <w:szCs w:val="20"/>
                <w:color w:val="auto"/>
              </w:rPr>
            </w:pPr>
            <w:r>
              <w:rPr>
                <w:rFonts w:ascii="Arial" w:cs="Arial" w:eastAsia="Arial" w:hAnsi="Arial"/>
                <w:sz w:val="16"/>
                <w:szCs w:val="16"/>
                <w:color w:val="auto"/>
              </w:rPr>
              <w:t>1</w:t>
            </w:r>
          </w:p>
        </w:tc>
        <w:tc>
          <w:tcPr>
            <w:tcW w:w="68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3"/>
              <w:spacing w:after="0"/>
              <w:rPr>
                <w:sz w:val="20"/>
                <w:szCs w:val="20"/>
                <w:color w:val="auto"/>
              </w:rPr>
            </w:pPr>
            <w:r>
              <w:rPr>
                <w:rFonts w:ascii="Arial" w:cs="Arial" w:eastAsia="Arial" w:hAnsi="Arial"/>
                <w:sz w:val="16"/>
                <w:szCs w:val="16"/>
                <w:color w:val="auto"/>
              </w:rPr>
              <w:t>12</w:t>
            </w:r>
          </w:p>
        </w:tc>
        <w:tc>
          <w:tcPr>
            <w:tcW w:w="780" w:type="dxa"/>
            <w:vAlign w:val="bottom"/>
          </w:tcPr>
          <w:p>
            <w:pPr>
              <w:ind w:left="1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Effect on the health care component of the</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920" w:type="dxa"/>
            <w:vAlign w:val="bottom"/>
          </w:tcPr>
          <w:p>
            <w:pPr>
              <w:ind w:left="180"/>
              <w:spacing w:after="0"/>
              <w:rPr>
                <w:sz w:val="20"/>
                <w:szCs w:val="20"/>
                <w:color w:val="auto"/>
              </w:rPr>
            </w:pPr>
            <w:r>
              <w:rPr>
                <w:rFonts w:ascii="Arial" w:cs="Arial" w:eastAsia="Arial" w:hAnsi="Arial"/>
                <w:sz w:val="16"/>
                <w:szCs w:val="16"/>
                <w:color w:val="auto"/>
              </w:rPr>
              <w:t>accumulated other postretirement</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benefit obligations</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116</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14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9</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8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105</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(85)</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 Assets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Allocation Strategy for Sempra Energy’s Pension Master Trust</w:t>
      </w:r>
    </w:p>
    <w:p>
      <w:pPr>
        <w:spacing w:after="0" w:line="2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Sempra Energy’s pension master trust holds the investments for the pension and other postretirement benefit plans. We maintain additional trusts as we discuss below for certain of the Sempra Utilities’ other postretirement plans. Other than index weight, the trusts do not invest in securities of Sempra Energy.</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current asset allocation objective for the pension master trust is to protect the funded status of the plans while generating sufficient returns to cover future benefit payments and accruals. We assess the portfolio performance by comparing actual returns with relevant benchmarks, such as the Morgan Stanley Capital International (MSCI) US Investable Index, the MSCI Pacific Rim and Europe Indices, the MSCI Emerging Markets Index, and the Barclays Aggregate and Long Government Credit Indices.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Primarily passive investment strategies were used for both the equity and fixed income portions of the asset allocation in 2010, and active management was added in 2011 to achieve risk and return exposures consistent with these indices. The fixed income asset allocation consists of some longer-duration fixed income securities in order to reduce plan exposure to interest rate variation. The foreign equity components provide a growth element, diversification and exposure to different currencies and economies.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asset allocation of the plans is reviewed by our Pension and Benefits Investment Committee (the Committee) on a regular basis. When evaluating its strategic asset allocation, the Committee considers many variables, including:</w:t>
      </w:r>
    </w:p>
    <w:p>
      <w:pPr>
        <w:spacing w:after="0" w:line="170" w:lineRule="exact"/>
        <w:rPr>
          <w:sz w:val="20"/>
          <w:szCs w:val="20"/>
          <w:color w:val="auto"/>
        </w:rPr>
      </w:pPr>
    </w:p>
    <w:p>
      <w:pPr>
        <w:ind w:left="340" w:hanging="188"/>
        <w:spacing w:after="0"/>
        <w:tabs>
          <w:tab w:leader="none" w:pos="3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long-term cost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variability and level of contributions</w:t>
      </w:r>
    </w:p>
    <w:p>
      <w:pPr>
        <w:sectPr>
          <w:pgSz w:w="11900" w:h="16838" w:orient="portrait"/>
          <w:cols w:equalWidth="0" w:num="1">
            <w:col w:w="11420"/>
          </w:cols>
          <w:pgMar w:left="240" w:top="155" w:right="239" w:bottom="0" w:gutter="0" w:footer="0" w:header="0"/>
          <w:type w:val="continuous"/>
        </w:sectPr>
      </w:pPr>
    </w:p>
    <w:bookmarkStart w:id="237" w:name="page238"/>
    <w:bookmarkEnd w:id="237"/>
    <w:p>
      <w:pPr>
        <w:ind w:left="340" w:hanging="188"/>
        <w:spacing w:after="0"/>
        <w:tabs>
          <w:tab w:leader="none" w:pos="3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funded status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range of expected outcomes over varying confidence levels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maintain allocations at strategic levels with reasonable bands of variance. When asset class exposure reaches a minimum or maximum level, we generally rebalance the portfolio back to target allocations, unless the Committee determines otherwise.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Rate of Return Assumption</w:t>
      </w:r>
    </w:p>
    <w:p>
      <w:pPr>
        <w:spacing w:after="0" w:line="2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For all plans except the SDG&amp;E postretirement health plans, we base the long-term rate of return assumption on the asset-weighted-average of the expected return for each asset class. We develop the expected returns from examining periods of historical returns and expectations for future returns from several investment and actuarial consultants. Specifically, we reached a 7.0 percent return expectation by assuming a 4.5 percent yield/return on a risk-free bond portfolio (treasury securities), adding a 50 basis point risk premium for our investment grade bond portfolio and another 300 basis point risk premium for equity securities. A 65 percent equity/35 percent fixed income mix results in a total portfolio return expectation of approximately 7.0 percent.</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expected rate of return for the SDG&amp;E postretirement health plan assets is the weighted average of the assumed rate of return for those plan assets in the pension master trust and the Voluntary Employee Beneficiary Association (VEBA) trust for the collectively bargained plan developed using the methodology described above, and the rate of return for the assets of the non-collectively bargained plans described below. The rate of return for the assets of the non-collectively bargained plan is based on the weighted average after-tax expected return of the portfolio’s target asset allocation of 35 percent equity/65 percent fixed income. The fixed-income portfolio is invested in tax-exempt municipal bond securities, while the equity portfolio is invested 25 percent Standard &amp; Poor’s (S&amp;P) 500 index/5 percent MSCI Index for equity market performance in Europe, Australasia and Far East (MSCI EAFE index).</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 of Risk</w:t>
      </w:r>
    </w:p>
    <w:p>
      <w:pPr>
        <w:spacing w:after="0" w:line="20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Plan assets are fully diversified across global equity and bond markets, and other than what is indicated by the target asset allocations, contain no concentration of risk in any one economic, industry, maturity, or geographic sector.</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Strategy for SoCalGas’ Other Postretirement Benefit Plans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SoCalGas’ other postretirement benefit plans are funded by cash contributions from SoCalGas and current retirees. The assets of these plans are placed in the pension master trust and other VEBA trusts, as we detail below. The assets in the VEBA trusts are invested at identical allocations to the pension master trust, 65 percent equities/35 percent fixed income, using primarily index funds. This allocation has been formulated to best suit the long-term nature of the obligations.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Strategy for SDG&amp;E’s Postretirement Health Plans</w:t>
      </w:r>
    </w:p>
    <w:p>
      <w:pPr>
        <w:spacing w:after="0" w:line="2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SDG&amp;E’s postretirement health plans are funded by cash contributions from SDG&amp;E and current retirees. The assets are placed in the pension master trust and a VEBA trust, as we detail below. Assets in the pension master trust are invested at the 70 percent equity/30 percent fixed income mix using index funds. Assets in the VEBA trust for non-collectively bargained post retirement health and welfare benefit plans are taxable and therefore have a different asset allocation strategy. These assets are invested with a target asset allocation of 30 percent equity/70 percent fixed income, with a large portion of the bond portfolio placed in actively managed tax-exempt municipal bonds. The equity portfolio is indexed.</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of Pension and Other Postretirement Benefit Plan Assets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We classify the investments in Sempra Energy’s pension master trust and the trusts for the Sempra Utilities’ other postretirement benefit plans into:</w:t>
      </w:r>
    </w:p>
    <w:p>
      <w:pPr>
        <w:spacing w:after="0" w:line="237" w:lineRule="exact"/>
        <w:rPr>
          <w:sz w:val="20"/>
          <w:szCs w:val="20"/>
          <w:color w:val="auto"/>
        </w:rPr>
      </w:pPr>
    </w:p>
    <w:p>
      <w:pPr>
        <w:ind w:left="340" w:hanging="188"/>
        <w:spacing w:after="0"/>
        <w:tabs>
          <w:tab w:leader="none" w:pos="3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Level 1, for securities valued using quoted prices from active markets for identical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Level 2, for securities not traded on an active market but for which observable market inputs are readily available;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Level 3, for securities and investments valued based on significant inputs that are generally less observable from objective sources.</w:t>
      </w:r>
    </w:p>
    <w:p>
      <w:pPr>
        <w:spacing w:after="0" w:line="25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provide more discussion of fair value measurements in Notes 1, 2 and 11. The following tables set forth by level within the fair value hierarchy a summary of the investments in our pension and other postretirement benefit plan trusts measured at fair value on a recurring basis.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5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ind w:left="200"/>
              <w:spacing w:after="0" w:line="159" w:lineRule="exact"/>
              <w:rPr>
                <w:sz w:val="20"/>
                <w:szCs w:val="20"/>
                <w:color w:val="auto"/>
              </w:rPr>
            </w:pPr>
            <w:r>
              <w:rPr>
                <w:rFonts w:ascii="Arial" w:cs="Arial" w:eastAsia="Arial" w:hAnsi="Arial"/>
                <w:sz w:val="14"/>
                <w:szCs w:val="14"/>
                <w:color w:val="auto"/>
              </w:rPr>
              <w:t>At fair value as of December 31, 2011</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9"/>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Total</w:t>
            </w:r>
          </w:p>
        </w:tc>
      </w:tr>
      <w:tr>
        <w:trPr>
          <w:trHeight w:val="169"/>
        </w:trPr>
        <w:tc>
          <w:tcPr>
            <w:tcW w:w="5160" w:type="dxa"/>
            <w:vAlign w:val="bottom"/>
          </w:tcPr>
          <w:p>
            <w:pPr>
              <w:spacing w:after="0" w:line="142" w:lineRule="exact"/>
              <w:rPr>
                <w:sz w:val="20"/>
                <w:szCs w:val="20"/>
                <w:color w:val="auto"/>
              </w:rPr>
            </w:pPr>
            <w:r>
              <w:rPr>
                <w:rFonts w:ascii="Arial" w:cs="Arial" w:eastAsia="Arial" w:hAnsi="Arial"/>
                <w:sz w:val="14"/>
                <w:szCs w:val="14"/>
                <w:b w:val="1"/>
                <w:bCs w:val="1"/>
                <w:color w:val="auto"/>
              </w:rPr>
              <w:t>SDG&amp;E (see table below)</w:t>
            </w: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466</w:t>
            </w:r>
          </w:p>
        </w:tc>
        <w:tc>
          <w:tcPr>
            <w:tcW w:w="4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244</w:t>
            </w:r>
          </w:p>
        </w:tc>
        <w:tc>
          <w:tcPr>
            <w:tcW w:w="1140" w:type="dxa"/>
            <w:vAlign w:val="bottom"/>
            <w:tcBorders>
              <w:bottom w:val="single" w:sz="8" w:color="auto"/>
            </w:tcBorders>
          </w:tcPr>
          <w:p>
            <w:pPr>
              <w:jc w:val="right"/>
              <w:ind w:right="768"/>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7</w:t>
            </w:r>
          </w:p>
        </w:tc>
        <w:tc>
          <w:tcPr>
            <w:tcW w:w="5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717</w:t>
            </w:r>
          </w:p>
        </w:tc>
      </w:tr>
      <w:tr>
        <w:trPr>
          <w:trHeight w:val="169"/>
        </w:trPr>
        <w:tc>
          <w:tcPr>
            <w:tcW w:w="5160" w:type="dxa"/>
            <w:vAlign w:val="bottom"/>
          </w:tcPr>
          <w:p>
            <w:pPr>
              <w:spacing w:after="0" w:line="142" w:lineRule="exact"/>
              <w:rPr>
                <w:sz w:val="20"/>
                <w:szCs w:val="20"/>
                <w:color w:val="auto"/>
              </w:rPr>
            </w:pPr>
            <w:r>
              <w:rPr>
                <w:rFonts w:ascii="Arial" w:cs="Arial" w:eastAsia="Arial" w:hAnsi="Arial"/>
                <w:sz w:val="14"/>
                <w:szCs w:val="14"/>
                <w:b w:val="1"/>
                <w:bCs w:val="1"/>
                <w:color w:val="auto"/>
              </w:rPr>
              <w:t>SoCalGas (see table below)</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919</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484</w:t>
            </w:r>
          </w:p>
        </w:tc>
        <w:tc>
          <w:tcPr>
            <w:tcW w:w="1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15</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1,418</w:t>
            </w:r>
          </w:p>
        </w:tc>
      </w:tr>
      <w:tr>
        <w:trPr>
          <w:trHeight w:val="167"/>
        </w:trPr>
        <w:tc>
          <w:tcPr>
            <w:tcW w:w="516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Equity securities:</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72"/>
        </w:trPr>
        <w:tc>
          <w:tcPr>
            <w:tcW w:w="516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20"/>
          </w:cols>
          <w:pgMar w:left="240" w:top="126" w:right="239" w:bottom="0" w:gutter="0" w:footer="0" w:header="0"/>
        </w:sectPr>
      </w:pPr>
    </w:p>
    <w:bookmarkStart w:id="238" w:name="page239"/>
    <w:bookmarkEnd w:id="2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preferred small-cap</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620" w:type="dxa"/>
            <w:vAlign w:val="bottom"/>
          </w:tcPr>
          <w:p>
            <w:pPr>
              <w:spacing w:after="0"/>
              <w:rPr>
                <w:sz w:val="14"/>
                <w:szCs w:val="14"/>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4"/>
                <w:szCs w:val="14"/>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4"/>
        </w:trPr>
        <w:tc>
          <w:tcPr>
            <w:tcW w:w="516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funds(4) (stated at net asset value)</w:t>
            </w:r>
          </w:p>
        </w:tc>
        <w:tc>
          <w:tcPr>
            <w:tcW w:w="6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line="142" w:lineRule="exact"/>
              <w:rPr>
                <w:sz w:val="20"/>
                <w:szCs w:val="20"/>
                <w:color w:val="auto"/>
              </w:rPr>
            </w:pPr>
            <w:r>
              <w:rPr>
                <w:rFonts w:ascii="Arial" w:cs="Arial" w:eastAsia="Arial" w:hAnsi="Arial"/>
                <w:sz w:val="14"/>
                <w:szCs w:val="14"/>
                <w:color w:val="auto"/>
              </w:rPr>
              <w:t>Total other Sempra Energy(5)</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120</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61</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Sempra Energy Consolidated(6)</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1,505</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789</w:t>
            </w: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At fair value as of December 31, 2010</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2</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3</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9"/>
        </w:trPr>
        <w:tc>
          <w:tcPr>
            <w:tcW w:w="5160" w:type="dxa"/>
            <w:vAlign w:val="bottom"/>
          </w:tcPr>
          <w:p>
            <w:pPr>
              <w:spacing w:after="0" w:line="142" w:lineRule="exact"/>
              <w:rPr>
                <w:sz w:val="20"/>
                <w:szCs w:val="20"/>
                <w:color w:val="auto"/>
              </w:rPr>
            </w:pPr>
            <w:r>
              <w:rPr>
                <w:rFonts w:ascii="Arial" w:cs="Arial" w:eastAsia="Arial" w:hAnsi="Arial"/>
                <w:sz w:val="14"/>
                <w:szCs w:val="14"/>
                <w:b w:val="1"/>
                <w:bCs w:val="1"/>
                <w:color w:val="auto"/>
              </w:rPr>
              <w:t>SDG&amp;E (see table below)</w:t>
            </w: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450</w:t>
            </w:r>
          </w:p>
        </w:tc>
        <w:tc>
          <w:tcPr>
            <w:tcW w:w="4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245</w:t>
            </w:r>
          </w:p>
        </w:tc>
        <w:tc>
          <w:tcPr>
            <w:tcW w:w="4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8</w:t>
            </w:r>
          </w:p>
        </w:tc>
        <w:tc>
          <w:tcPr>
            <w:tcW w:w="5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69"/>
        </w:trPr>
        <w:tc>
          <w:tcPr>
            <w:tcW w:w="5160" w:type="dxa"/>
            <w:vAlign w:val="bottom"/>
          </w:tcPr>
          <w:p>
            <w:pPr>
              <w:spacing w:after="0" w:line="142" w:lineRule="exact"/>
              <w:rPr>
                <w:sz w:val="20"/>
                <w:szCs w:val="20"/>
                <w:color w:val="auto"/>
              </w:rPr>
            </w:pPr>
            <w:r>
              <w:rPr>
                <w:rFonts w:ascii="Arial" w:cs="Arial" w:eastAsia="Arial" w:hAnsi="Arial"/>
                <w:sz w:val="14"/>
                <w:szCs w:val="14"/>
                <w:b w:val="1"/>
                <w:bCs w:val="1"/>
                <w:color w:val="auto"/>
              </w:rPr>
              <w:t>SoCalGas (see table below)</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924</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501</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17</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Equity securities:</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emerging market funds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U.S. Treasury securities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Other U.S. government securities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6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620" w:type="dxa"/>
            <w:vAlign w:val="bottom"/>
          </w:tcPr>
          <w:p>
            <w:pPr>
              <w:spacing w:after="0"/>
              <w:rPr>
                <w:sz w:val="14"/>
                <w:szCs w:val="14"/>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4"/>
        </w:trPr>
        <w:tc>
          <w:tcPr>
            <w:tcW w:w="516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funds(4) (stated at net asset value)</w:t>
            </w:r>
          </w:p>
        </w:tc>
        <w:tc>
          <w:tcPr>
            <w:tcW w:w="6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line="142" w:lineRule="exact"/>
              <w:rPr>
                <w:sz w:val="20"/>
                <w:szCs w:val="20"/>
                <w:color w:val="auto"/>
              </w:rPr>
            </w:pPr>
            <w:r>
              <w:rPr>
                <w:rFonts w:ascii="Arial" w:cs="Arial" w:eastAsia="Arial" w:hAnsi="Arial"/>
                <w:sz w:val="14"/>
                <w:szCs w:val="14"/>
                <w:color w:val="auto"/>
              </w:rPr>
              <w:t>Total other Sempra Energy(7)</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126</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69</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Sempra Energy Consolidated(6)</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1,500</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815</w:t>
            </w: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2,342</w:t>
            </w:r>
          </w:p>
        </w:tc>
        <w:tc>
          <w:tcPr>
            <w:tcW w:w="0" w:type="dxa"/>
            <w:vAlign w:val="bottom"/>
          </w:tcPr>
          <w:p>
            <w:pPr>
              <w:spacing w:after="0"/>
              <w:rPr>
                <w:sz w:val="1"/>
                <w:szCs w:val="1"/>
                <w:color w:val="auto"/>
              </w:rPr>
            </w:pPr>
          </w:p>
        </w:tc>
      </w:tr>
    </w:tbl>
    <w:p>
      <w:pPr>
        <w:ind w:left="620" w:hanging="612"/>
        <w:spacing w:after="0"/>
        <w:tabs>
          <w:tab w:leader="none" w:pos="620" w:val="left"/>
        </w:tabs>
        <w:numPr>
          <w:ilvl w:val="0"/>
          <w:numId w:val="336"/>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 stratified according to the MSCI 2500 index.</w:t>
      </w:r>
    </w:p>
    <w:p>
      <w:pPr>
        <w:spacing w:after="0" w:line="5" w:lineRule="exact"/>
        <w:rPr>
          <w:rFonts w:ascii="Arial" w:cs="Arial" w:eastAsia="Arial" w:hAnsi="Arial"/>
          <w:sz w:val="14"/>
          <w:szCs w:val="14"/>
          <w:i w:val="1"/>
          <w:iCs w:val="1"/>
          <w:color w:val="auto"/>
        </w:rPr>
      </w:pPr>
    </w:p>
    <w:p>
      <w:pPr>
        <w:ind w:left="620" w:hanging="612"/>
        <w:spacing w:after="0"/>
        <w:tabs>
          <w:tab w:leader="none" w:pos="620" w:val="left"/>
        </w:tabs>
        <w:numPr>
          <w:ilvl w:val="0"/>
          <w:numId w:val="336"/>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Investment-grade bonds of U.S. issuers from diverse industries.</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336"/>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common/collective trusts held in Sempra Energy’s Pension Master Trust.</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336"/>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33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$1 million and transfers payable to other plans of $7 million.</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33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$14 million and $12 million at December 31, 2011 and 2010, respectively.</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33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transfers payable to other plans of $12 million.</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348"/>
              <w:spacing w:after="0" w:line="159" w:lineRule="exact"/>
              <w:rPr>
                <w:sz w:val="20"/>
                <w:szCs w:val="20"/>
                <w:color w:val="auto"/>
              </w:rPr>
            </w:pPr>
            <w:r>
              <w:rPr>
                <w:rFonts w:ascii="Arial" w:cs="Arial" w:eastAsia="Arial" w:hAnsi="Arial"/>
                <w:sz w:val="14"/>
                <w:szCs w:val="14"/>
                <w:color w:val="auto"/>
              </w:rPr>
              <w:t>At fair value as of December 31, 2011</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20"/>
                <w:szCs w:val="20"/>
                <w:color w:val="auto"/>
              </w:rPr>
            </w:pPr>
            <w:r>
              <w:rPr>
                <w:rFonts w:ascii="Arial" w:cs="Arial" w:eastAsia="Arial" w:hAnsi="Arial"/>
                <w:sz w:val="14"/>
                <w:szCs w:val="14"/>
                <w:color w:val="auto"/>
              </w:rPr>
              <w:t>Equity securities: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199</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39</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31</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preferred large-cap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139</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80" w:type="dxa"/>
            <w:vAlign w:val="bottom"/>
          </w:tcPr>
          <w:p>
            <w:pPr>
              <w:spacing w:after="0"/>
              <w:rPr>
                <w:sz w:val="14"/>
                <w:szCs w:val="14"/>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4"/>
        </w:trPr>
        <w:tc>
          <w:tcPr>
            <w:tcW w:w="548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funds(4) (stated at net asset value)</w:t>
            </w: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assets(5)</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466</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244</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At fair value as of December 31, 2010</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20"/>
                <w:szCs w:val="20"/>
                <w:color w:val="auto"/>
              </w:rPr>
            </w:pPr>
            <w:r>
              <w:rPr>
                <w:rFonts w:ascii="Arial" w:cs="Arial" w:eastAsia="Arial" w:hAnsi="Arial"/>
                <w:sz w:val="14"/>
                <w:szCs w:val="14"/>
                <w:color w:val="auto"/>
              </w:rPr>
              <w:t>Equity securities: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198</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39</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42</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emerging market funds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108</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preferred large-cap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U.S. Treasury securities</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Other U.S. government securities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111</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80" w:type="dxa"/>
            <w:vAlign w:val="bottom"/>
          </w:tcPr>
          <w:p>
            <w:pPr>
              <w:spacing w:after="0"/>
              <w:rPr>
                <w:sz w:val="14"/>
                <w:szCs w:val="14"/>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color w:val="auto"/>
              </w:rPr>
              <w:t>8</w:t>
            </w: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4"/>
        </w:trPr>
        <w:tc>
          <w:tcPr>
            <w:tcW w:w="548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funds(4) (stated at net asset value)</w:t>
            </w: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assets(6)</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450</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245</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33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 stratified according to the MSCI 2500 index.</w:t>
      </w:r>
    </w:p>
    <w:p>
      <w:pPr>
        <w:spacing w:after="0" w:line="5" w:lineRule="exact"/>
        <w:rPr>
          <w:rFonts w:ascii="Arial" w:cs="Arial" w:eastAsia="Arial" w:hAnsi="Arial"/>
          <w:sz w:val="14"/>
          <w:szCs w:val="14"/>
          <w:i w:val="1"/>
          <w:iCs w:val="1"/>
          <w:color w:val="auto"/>
        </w:rPr>
      </w:pPr>
    </w:p>
    <w:p>
      <w:pPr>
        <w:ind w:left="580" w:hanging="572"/>
        <w:spacing w:after="0"/>
        <w:tabs>
          <w:tab w:leader="none" w:pos="580" w:val="left"/>
        </w:tabs>
        <w:numPr>
          <w:ilvl w:val="0"/>
          <w:numId w:val="33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Investment-grade bonds of U.S. issuers from diverse industries.</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3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common/collective trusts held in Sempra Energy’s Pension Master Trust.</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3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3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$4 million and $9 million of transfers payable to other plans.</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3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$4 million and transfers receivable from other plans of $6 million.</w:t>
      </w:r>
    </w:p>
    <w:p>
      <w:pPr>
        <w:sectPr>
          <w:pgSz w:w="11900" w:h="16838" w:orient="portrait"/>
          <w:cols w:equalWidth="0" w:num="1">
            <w:col w:w="11420"/>
          </w:cols>
          <w:pgMar w:left="240" w:top="144" w:right="239" w:bottom="0" w:gutter="0" w:footer="0" w:header="0"/>
        </w:sectPr>
      </w:pPr>
    </w:p>
    <w:bookmarkStart w:id="239" w:name="page240"/>
    <w:bookmarkEnd w:id="239"/>
    <w:p>
      <w:pPr>
        <w:spacing w:after="0"/>
        <w:rPr>
          <w:sz w:val="20"/>
          <w:szCs w:val="20"/>
          <w:color w:val="auto"/>
        </w:rPr>
      </w:pPr>
      <w:r>
        <w:rPr>
          <w:rFonts w:ascii="Arial" w:cs="Arial" w:eastAsia="Arial" w:hAnsi="Arial"/>
          <w:sz w:val="16"/>
          <w:szCs w:val="16"/>
          <w:b w:val="1"/>
          <w:bCs w:val="1"/>
          <w:color w:val="auto"/>
        </w:rPr>
        <w:t>FAIR VALUE MEASUREMENTS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348"/>
              <w:spacing w:after="0" w:line="159" w:lineRule="exact"/>
              <w:rPr>
                <w:sz w:val="20"/>
                <w:szCs w:val="20"/>
                <w:color w:val="auto"/>
              </w:rPr>
            </w:pPr>
            <w:r>
              <w:rPr>
                <w:rFonts w:ascii="Arial" w:cs="Arial" w:eastAsia="Arial" w:hAnsi="Arial"/>
                <w:sz w:val="14"/>
                <w:szCs w:val="14"/>
                <w:color w:val="auto"/>
              </w:rPr>
              <w:t>At fair value as of December 31, 2011</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20"/>
                <w:szCs w:val="20"/>
                <w:color w:val="auto"/>
              </w:rPr>
            </w:pPr>
            <w:r>
              <w:rPr>
                <w:rFonts w:ascii="Arial" w:cs="Arial" w:eastAsia="Arial" w:hAnsi="Arial"/>
                <w:sz w:val="14"/>
                <w:szCs w:val="14"/>
                <w:color w:val="auto"/>
              </w:rPr>
              <w:t>Equity securities: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393</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76</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89</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247</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43</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preferred large-cap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275</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96</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80" w:type="dxa"/>
            <w:vAlign w:val="bottom"/>
          </w:tcPr>
          <w:p>
            <w:pPr>
              <w:spacing w:after="0"/>
              <w:rPr>
                <w:sz w:val="14"/>
                <w:szCs w:val="14"/>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color w:val="auto"/>
              </w:rPr>
              <w:t>15</w:t>
            </w: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4"/>
        </w:trPr>
        <w:tc>
          <w:tcPr>
            <w:tcW w:w="548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funds(4) (stated at net asset value)</w:t>
            </w: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assets(5)</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919</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484</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At fair value as of December 31, 2010</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20"/>
                <w:szCs w:val="20"/>
                <w:color w:val="auto"/>
              </w:rPr>
            </w:pPr>
            <w:r>
              <w:rPr>
                <w:rFonts w:ascii="Arial" w:cs="Arial" w:eastAsia="Arial" w:hAnsi="Arial"/>
                <w:sz w:val="14"/>
                <w:szCs w:val="14"/>
                <w:color w:val="auto"/>
              </w:rPr>
              <w:t>Equity securities: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409</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80</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86</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emerging market funds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95</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221</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39</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preferred large-cap</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U.S. Treasury securities</w:t>
            </w:r>
          </w:p>
        </w:tc>
        <w:tc>
          <w:tcPr>
            <w:tcW w:w="58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36</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Other U.S. government securities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67</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4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80" w:type="dxa"/>
            <w:vAlign w:val="bottom"/>
          </w:tcPr>
          <w:p>
            <w:pPr>
              <w:spacing w:after="0"/>
              <w:rPr>
                <w:sz w:val="14"/>
                <w:szCs w:val="14"/>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color w:val="auto"/>
              </w:rPr>
              <w:t>17</w:t>
            </w: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4"/>
        </w:trPr>
        <w:tc>
          <w:tcPr>
            <w:tcW w:w="548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funds(4) (stated at net asset value)</w:t>
            </w: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assets(6)</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924</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501</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338"/>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 stratified according to the MSCI 2500 index.</w:t>
      </w:r>
    </w:p>
    <w:p>
      <w:pPr>
        <w:spacing w:after="0" w:line="5" w:lineRule="exact"/>
        <w:rPr>
          <w:rFonts w:ascii="Arial" w:cs="Arial" w:eastAsia="Arial" w:hAnsi="Arial"/>
          <w:sz w:val="14"/>
          <w:szCs w:val="14"/>
          <w:i w:val="1"/>
          <w:iCs w:val="1"/>
          <w:color w:val="auto"/>
        </w:rPr>
      </w:pPr>
    </w:p>
    <w:p>
      <w:pPr>
        <w:ind w:left="580" w:hanging="572"/>
        <w:spacing w:after="0"/>
        <w:tabs>
          <w:tab w:leader="none" w:pos="580" w:val="left"/>
        </w:tabs>
        <w:numPr>
          <w:ilvl w:val="0"/>
          <w:numId w:val="338"/>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Investment-grade bonds of U.S. issuers from diverse industries.</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38"/>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common/collective trusts held in Sempra Energy’s Pension Master Trust.</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38"/>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3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$9 million and transfers receivable from other plans of $16 million.</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3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$8 million and transfers receivable from other plans of $6 million.</w:t>
      </w:r>
    </w:p>
    <w:p>
      <w:pPr>
        <w:spacing w:after="0" w:line="200" w:lineRule="exact"/>
        <w:rPr>
          <w:sz w:val="20"/>
          <w:szCs w:val="20"/>
          <w:color w:val="auto"/>
        </w:rPr>
      </w:pPr>
    </w:p>
    <w:p>
      <w:pPr>
        <w:spacing w:after="0" w:line="26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fair values by asset category of the postretirement benefit plan assets held in the pension master trust and in the additional trusts for SoCalGas’ postretirement benefit plans and SDG&amp;E’s postretirement benefit plans (PBOP plan trusts) are as follows: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8"/>
              <w:spacing w:after="0" w:line="159" w:lineRule="exact"/>
              <w:rPr>
                <w:sz w:val="20"/>
                <w:szCs w:val="20"/>
                <w:color w:val="auto"/>
              </w:rPr>
            </w:pPr>
            <w:r>
              <w:rPr>
                <w:rFonts w:ascii="Arial" w:cs="Arial" w:eastAsia="Arial" w:hAnsi="Arial"/>
                <w:sz w:val="14"/>
                <w:szCs w:val="14"/>
                <w:color w:val="auto"/>
              </w:rPr>
              <w:t>At fair value as of December 31, 2011</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169"/>
        </w:trPr>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SDG&amp;E (see table below)</w:t>
            </w:r>
          </w:p>
        </w:tc>
        <w:tc>
          <w:tcPr>
            <w:tcW w:w="4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47</w:t>
            </w: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w:t>
            </w:r>
          </w:p>
        </w:tc>
      </w:tr>
      <w:tr>
        <w:trPr>
          <w:trHeight w:val="169"/>
        </w:trPr>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SoCalGas (see table below)</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176</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390</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569</w:t>
            </w:r>
          </w:p>
        </w:tc>
      </w:tr>
      <w:tr>
        <w:trPr>
          <w:trHeight w:val="167"/>
        </w:trPr>
        <w:tc>
          <w:tcPr>
            <w:tcW w:w="610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4"/>
        </w:trPr>
        <w:tc>
          <w:tcPr>
            <w:tcW w:w="6100" w:type="dxa"/>
            <w:vAlign w:val="bottom"/>
          </w:tcPr>
          <w:p>
            <w:pPr>
              <w:ind w:left="120"/>
              <w:spacing w:after="0" w:line="137" w:lineRule="exact"/>
              <w:rPr>
                <w:sz w:val="20"/>
                <w:szCs w:val="20"/>
                <w:color w:val="auto"/>
              </w:rPr>
            </w:pPr>
            <w:r>
              <w:rPr>
                <w:rFonts w:ascii="Arial" w:cs="Arial" w:eastAsia="Arial" w:hAnsi="Arial"/>
                <w:sz w:val="14"/>
                <w:szCs w:val="14"/>
                <w:color w:val="auto"/>
              </w:rPr>
              <w:t>Foreign corporate bonds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r>
      <w:tr>
        <w:trPr>
          <w:trHeight w:val="169"/>
        </w:trPr>
        <w:tc>
          <w:tcPr>
            <w:tcW w:w="6100" w:type="dxa"/>
            <w:vAlign w:val="bottom"/>
          </w:tcPr>
          <w:p>
            <w:pPr>
              <w:spacing w:after="0" w:line="142" w:lineRule="exact"/>
              <w:rPr>
                <w:sz w:val="20"/>
                <w:szCs w:val="20"/>
                <w:color w:val="auto"/>
              </w:rPr>
            </w:pPr>
            <w:r>
              <w:rPr>
                <w:rFonts w:ascii="Arial" w:cs="Arial" w:eastAsia="Arial" w:hAnsi="Arial"/>
                <w:sz w:val="14"/>
                <w:szCs w:val="14"/>
                <w:color w:val="auto"/>
              </w:rPr>
              <w:t>Total other Sempra Energy(3)</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9</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r>
      <w:tr>
        <w:trPr>
          <w:trHeight w:val="16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Sempra Energy Consolidated(4)</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420</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w:t>
            </w:r>
          </w:p>
        </w:tc>
      </w:tr>
      <w:tr>
        <w:trPr>
          <w:trHeight w:val="291"/>
        </w:trPr>
        <w:tc>
          <w:tcPr>
            <w:tcW w:w="6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At fair value as of December 31, 2010</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6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169"/>
        </w:trPr>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SDG&amp;E (see table below)</w:t>
            </w:r>
          </w:p>
        </w:tc>
        <w:tc>
          <w:tcPr>
            <w:tcW w:w="4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45</w:t>
            </w: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r>
      <w:tr>
        <w:trPr>
          <w:trHeight w:val="169"/>
        </w:trPr>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SoCalGas (see table below)</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184</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395</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582</w:t>
            </w:r>
          </w:p>
        </w:tc>
      </w:tr>
      <w:tr>
        <w:trPr>
          <w:trHeight w:val="167"/>
        </w:trPr>
        <w:tc>
          <w:tcPr>
            <w:tcW w:w="610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U.S. Treasury securities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4"/>
        </w:trPr>
        <w:tc>
          <w:tcPr>
            <w:tcW w:w="6100" w:type="dxa"/>
            <w:vAlign w:val="bottom"/>
          </w:tcPr>
          <w:p>
            <w:pPr>
              <w:ind w:left="120"/>
              <w:spacing w:after="0" w:line="137" w:lineRule="exact"/>
              <w:rPr>
                <w:sz w:val="20"/>
                <w:szCs w:val="20"/>
                <w:color w:val="auto"/>
              </w:rPr>
            </w:pPr>
            <w:r>
              <w:rPr>
                <w:rFonts w:ascii="Arial" w:cs="Arial" w:eastAsia="Arial" w:hAnsi="Arial"/>
                <w:sz w:val="14"/>
                <w:szCs w:val="14"/>
                <w:color w:val="auto"/>
              </w:rPr>
              <w:t>Domestic corporate bonds(2)</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w:t>
            </w:r>
          </w:p>
        </w:tc>
      </w:tr>
      <w:tr>
        <w:trPr>
          <w:trHeight w:val="169"/>
        </w:trPr>
        <w:tc>
          <w:tcPr>
            <w:tcW w:w="6100" w:type="dxa"/>
            <w:vAlign w:val="bottom"/>
          </w:tcPr>
          <w:p>
            <w:pPr>
              <w:spacing w:after="0" w:line="142" w:lineRule="exact"/>
              <w:rPr>
                <w:sz w:val="20"/>
                <w:szCs w:val="20"/>
                <w:color w:val="auto"/>
              </w:rPr>
            </w:pPr>
            <w:r>
              <w:rPr>
                <w:rFonts w:ascii="Arial" w:cs="Arial" w:eastAsia="Arial" w:hAnsi="Arial"/>
                <w:sz w:val="14"/>
                <w:szCs w:val="14"/>
                <w:color w:val="auto"/>
              </w:rPr>
              <w:t>Total other Sempra Energy(5)</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10</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r>
      <w:tr>
        <w:trPr>
          <w:trHeight w:val="16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Sempra Energy Consolidated(6)</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422</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r>
    </w:tbl>
    <w:p>
      <w:pPr>
        <w:sectPr>
          <w:pgSz w:w="11900" w:h="16838" w:orient="portrait"/>
          <w:cols w:equalWidth="0" w:num="1">
            <w:col w:w="11420"/>
          </w:cols>
          <w:pgMar w:left="240" w:top="364" w:right="239" w:bottom="0" w:gutter="0" w:footer="0" w:header="0"/>
        </w:sectPr>
      </w:pPr>
    </w:p>
    <w:bookmarkStart w:id="240" w:name="page241"/>
    <w:bookmarkEnd w:id="240"/>
    <w:p>
      <w:pPr>
        <w:spacing w:after="0" w:line="88" w:lineRule="exact"/>
        <w:rPr>
          <w:sz w:val="20"/>
          <w:szCs w:val="20"/>
          <w:color w:val="auto"/>
        </w:rPr>
      </w:pPr>
    </w:p>
    <w:p>
      <w:pPr>
        <w:ind w:left="500" w:hanging="492"/>
        <w:spacing w:after="0"/>
        <w:tabs>
          <w:tab w:leader="none" w:pos="500" w:val="left"/>
        </w:tabs>
        <w:numPr>
          <w:ilvl w:val="0"/>
          <w:numId w:val="339"/>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 stratified according to the MSCI 2500 index.</w:t>
      </w:r>
    </w:p>
    <w:p>
      <w:pPr>
        <w:spacing w:after="0" w:line="15" w:lineRule="exact"/>
        <w:rPr>
          <w:rFonts w:ascii="Arial" w:cs="Arial" w:eastAsia="Arial" w:hAnsi="Arial"/>
          <w:sz w:val="14"/>
          <w:szCs w:val="14"/>
          <w:i w:val="1"/>
          <w:iCs w:val="1"/>
          <w:color w:val="auto"/>
        </w:rPr>
      </w:pPr>
    </w:p>
    <w:p>
      <w:pPr>
        <w:ind w:left="500" w:hanging="492"/>
        <w:spacing w:after="0"/>
        <w:tabs>
          <w:tab w:leader="none" w:pos="500" w:val="left"/>
        </w:tabs>
        <w:numPr>
          <w:ilvl w:val="0"/>
          <w:numId w:val="339"/>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Investment-grade bonds of U.S. issuers from diverse industries.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3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transfers payable to other plans of $1 million.</w:t>
      </w:r>
    </w:p>
    <w:p>
      <w:pPr>
        <w:spacing w:after="0" w:line="1" w:lineRule="exact"/>
        <w:rPr>
          <w:rFonts w:ascii="Arial" w:cs="Arial" w:eastAsia="Arial" w:hAnsi="Arial"/>
          <w:sz w:val="14"/>
          <w:szCs w:val="14"/>
          <w:i w:val="1"/>
          <w:iCs w:val="1"/>
          <w:color w:val="auto"/>
        </w:rPr>
      </w:pPr>
    </w:p>
    <w:p>
      <w:pPr>
        <w:ind w:left="500" w:right="3160" w:hanging="492"/>
        <w:spacing w:after="0" w:line="271" w:lineRule="auto"/>
        <w:tabs>
          <w:tab w:leader="none" w:pos="500" w:val="left"/>
        </w:tabs>
        <w:numPr>
          <w:ilvl w:val="0"/>
          <w:numId w:val="33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$122 million, $86 million and $36 million of which is held in SoCalGas and SDG&amp;E PBOP plan trusts, respectively.</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3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$2 million.</w:t>
      </w:r>
    </w:p>
    <w:p>
      <w:pPr>
        <w:spacing w:after="0" w:line="1" w:lineRule="exact"/>
        <w:rPr>
          <w:rFonts w:ascii="Arial" w:cs="Arial" w:eastAsia="Arial" w:hAnsi="Arial"/>
          <w:sz w:val="14"/>
          <w:szCs w:val="14"/>
          <w:i w:val="1"/>
          <w:iCs w:val="1"/>
          <w:color w:val="auto"/>
        </w:rPr>
      </w:pPr>
    </w:p>
    <w:p>
      <w:pPr>
        <w:ind w:left="500" w:right="3240" w:hanging="492"/>
        <w:spacing w:after="0" w:line="258" w:lineRule="auto"/>
        <w:tabs>
          <w:tab w:leader="none" w:pos="500" w:val="left"/>
        </w:tabs>
        <w:numPr>
          <w:ilvl w:val="0"/>
          <w:numId w:val="33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$81 million, $50 million and $29 million of which is held in SoCalGas and SDG&amp;E PBOP plan trusts,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6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148"/>
              <w:spacing w:after="0" w:line="159" w:lineRule="exact"/>
              <w:rPr>
                <w:sz w:val="20"/>
                <w:szCs w:val="20"/>
                <w:color w:val="auto"/>
              </w:rPr>
            </w:pPr>
            <w:r>
              <w:rPr>
                <w:rFonts w:ascii="Arial" w:cs="Arial" w:eastAsia="Arial" w:hAnsi="Arial"/>
                <w:sz w:val="14"/>
                <w:szCs w:val="14"/>
                <w:color w:val="auto"/>
              </w:rPr>
              <w:t>At fair value as of December 31, 2011</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6160" w:type="dxa"/>
            <w:vAlign w:val="bottom"/>
          </w:tcPr>
          <w:p>
            <w:pPr>
              <w:spacing w:after="0"/>
              <w:rPr>
                <w:sz w:val="20"/>
                <w:szCs w:val="20"/>
                <w:color w:val="auto"/>
              </w:rPr>
            </w:pPr>
            <w:r>
              <w:rPr>
                <w:rFonts w:ascii="Arial" w:cs="Arial" w:eastAsia="Arial" w:hAnsi="Arial"/>
                <w:sz w:val="14"/>
                <w:szCs w:val="14"/>
                <w:color w:val="auto"/>
              </w:rPr>
              <w:t>Equity securities:</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municipal bonds(2)</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corporate bonds(3)</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Common/collective trusts(4)</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616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0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616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funds(5) (stated at net asset value)</w:t>
            </w: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assets(6)</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331"/>
        </w:trPr>
        <w:tc>
          <w:tcPr>
            <w:tcW w:w="6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color w:val="auto"/>
              </w:rPr>
              <w:t>At fair value as of December 31, 2010</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6160" w:type="dxa"/>
            <w:vAlign w:val="bottom"/>
          </w:tcPr>
          <w:p>
            <w:pPr>
              <w:spacing w:after="0"/>
              <w:rPr>
                <w:sz w:val="20"/>
                <w:szCs w:val="20"/>
                <w:color w:val="auto"/>
              </w:rPr>
            </w:pPr>
            <w:r>
              <w:rPr>
                <w:rFonts w:ascii="Arial" w:cs="Arial" w:eastAsia="Arial" w:hAnsi="Arial"/>
                <w:sz w:val="14"/>
                <w:szCs w:val="14"/>
                <w:color w:val="auto"/>
              </w:rPr>
              <w:t>Equity securities:</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emerging market funds</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U.S. Treasury securities</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Other U.S. government securities</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municipal bonds(2)</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Domestic corporate bonds(3)</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616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616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0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616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funds(5) (stated at net asset value)</w:t>
            </w: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assets(7)</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340"/>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 stratified according to the MSCI 2500 index.</w:t>
      </w:r>
    </w:p>
    <w:p>
      <w:pPr>
        <w:spacing w:after="0" w:line="5" w:lineRule="exact"/>
        <w:rPr>
          <w:rFonts w:ascii="Arial" w:cs="Arial" w:eastAsia="Arial" w:hAnsi="Arial"/>
          <w:sz w:val="14"/>
          <w:szCs w:val="14"/>
          <w:i w:val="1"/>
          <w:iCs w:val="1"/>
          <w:color w:val="auto"/>
        </w:rPr>
      </w:pPr>
    </w:p>
    <w:p>
      <w:pPr>
        <w:ind w:left="520" w:hanging="512"/>
        <w:spacing w:after="0"/>
        <w:tabs>
          <w:tab w:leader="none" w:pos="520" w:val="left"/>
        </w:tabs>
        <w:numPr>
          <w:ilvl w:val="0"/>
          <w:numId w:val="340"/>
        </w:numPr>
        <w:rPr>
          <w:rFonts w:ascii="Arial" w:cs="Arial" w:eastAsia="Arial" w:hAnsi="Arial"/>
          <w:sz w:val="14"/>
          <w:szCs w:val="14"/>
          <w:i w:val="1"/>
          <w:iCs w:val="1"/>
          <w:color w:val="auto"/>
        </w:rPr>
      </w:pPr>
      <w:r>
        <w:rPr>
          <w:rFonts w:ascii="Arial" w:cs="Arial" w:eastAsia="Arial" w:hAnsi="Arial"/>
          <w:sz w:val="14"/>
          <w:szCs w:val="14"/>
          <w:i w:val="1"/>
          <w:iCs w:val="1"/>
          <w:color w:val="auto"/>
        </w:rPr>
        <w:t>Bonds of California municipalities held in SDG&amp;E PBOP plan trusts.</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340"/>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Investment-grade bonds of U.S. issuers from diverse industries.</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340"/>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 in common/collective trusts held in PBOP plan VEBA trusts.</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340"/>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34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$36 million, all of which is held in SDG&amp;E PBOP plan trusts, and transfers payable to other plans of $2 million.</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34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$29 million, all of which is held in SDG&amp;E PBOP plan trusts.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8"/>
              <w:spacing w:after="0" w:line="159" w:lineRule="exact"/>
              <w:rPr>
                <w:sz w:val="20"/>
                <w:szCs w:val="20"/>
                <w:color w:val="auto"/>
              </w:rPr>
            </w:pPr>
            <w:r>
              <w:rPr>
                <w:rFonts w:ascii="Arial" w:cs="Arial" w:eastAsia="Arial" w:hAnsi="Arial"/>
                <w:sz w:val="14"/>
                <w:szCs w:val="14"/>
                <w:color w:val="auto"/>
              </w:rPr>
              <w:t>At fair value as of December 31, 2011</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610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308</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72"/>
        </w:trPr>
        <w:tc>
          <w:tcPr>
            <w:tcW w:w="610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48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4"/>
        </w:trPr>
        <w:tc>
          <w:tcPr>
            <w:tcW w:w="610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funds(4) (stated at net asset value)</w:t>
            </w: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assets(5)</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390</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250"/>
        </w:trPr>
        <w:tc>
          <w:tcPr>
            <w:tcW w:w="6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At fair value as of December 31, 2010</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610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large-cap(1)</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mid-cap(1)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small-cap(1)</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emerging market funds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Broad market fund(6)</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220</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72"/>
        </w:trPr>
        <w:tc>
          <w:tcPr>
            <w:tcW w:w="6100" w:type="dxa"/>
            <w:vAlign w:val="bottom"/>
          </w:tcPr>
          <w:p>
            <w:pPr>
              <w:ind w:left="120"/>
              <w:spacing w:after="0"/>
              <w:rPr>
                <w:sz w:val="20"/>
                <w:szCs w:val="20"/>
                <w:color w:val="auto"/>
              </w:rPr>
            </w:pPr>
            <w:r>
              <w:rPr>
                <w:rFonts w:ascii="Arial" w:cs="Arial" w:eastAsia="Arial" w:hAnsi="Arial"/>
                <w:sz w:val="14"/>
                <w:szCs w:val="14"/>
                <w:color w:val="auto"/>
              </w:rPr>
              <w:t>Foreign large-cap</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ectPr>
          <w:pgSz w:w="11900" w:h="16926" w:orient="portrait"/>
          <w:cols w:equalWidth="0" w:num="1">
            <w:col w:w="11420"/>
          </w:cols>
          <w:pgMar w:left="240" w:top="130" w:right="239" w:bottom="0" w:gutter="0" w:footer="0" w:header="0"/>
        </w:sectPr>
      </w:pPr>
    </w:p>
    <w:bookmarkStart w:id="241" w:name="page242"/>
    <w:bookmarkEnd w:id="241"/>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mid-cap</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small-cap</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U.S. Treasury securities</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Other U.S. government securities</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610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6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72"/>
        </w:trPr>
        <w:tc>
          <w:tcPr>
            <w:tcW w:w="610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680" w:type="dxa"/>
            <w:vAlign w:val="bottom"/>
          </w:tcPr>
          <w:p>
            <w:pPr>
              <w:spacing w:after="0"/>
              <w:rPr>
                <w:sz w:val="14"/>
                <w:szCs w:val="14"/>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3</w:t>
            </w:r>
          </w:p>
        </w:tc>
        <w:tc>
          <w:tcPr>
            <w:tcW w:w="6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4"/>
        </w:trPr>
        <w:tc>
          <w:tcPr>
            <w:tcW w:w="6100" w:type="dxa"/>
            <w:vAlign w:val="bottom"/>
          </w:tcPr>
          <w:p>
            <w:pPr>
              <w:ind w:left="120"/>
              <w:spacing w:after="0" w:line="127" w:lineRule="exact"/>
              <w:rPr>
                <w:sz w:val="20"/>
                <w:szCs w:val="20"/>
                <w:color w:val="auto"/>
              </w:rPr>
            </w:pPr>
            <w:r>
              <w:rPr>
                <w:rFonts w:ascii="Arial" w:cs="Arial" w:eastAsia="Arial" w:hAnsi="Arial"/>
                <w:sz w:val="14"/>
                <w:szCs w:val="14"/>
                <w:color w:val="auto"/>
              </w:rPr>
              <w:t>Private equity funds(4) (stated at net asset value)</w:t>
            </w:r>
          </w:p>
        </w:tc>
        <w:tc>
          <w:tcPr>
            <w:tcW w:w="6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assets(7)</w:t>
            </w: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184</w:t>
            </w: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w:t>
            </w:r>
          </w:p>
        </w:tc>
        <w:tc>
          <w:tcPr>
            <w:tcW w:w="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41"/>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 stratified according to the MSCI 2500 index.</w:t>
      </w:r>
    </w:p>
    <w:p>
      <w:pPr>
        <w:spacing w:after="0" w:line="5" w:lineRule="exact"/>
        <w:rPr>
          <w:rFonts w:ascii="Arial" w:cs="Arial" w:eastAsia="Arial" w:hAnsi="Arial"/>
          <w:sz w:val="14"/>
          <w:szCs w:val="14"/>
          <w:i w:val="1"/>
          <w:iCs w:val="1"/>
          <w:color w:val="auto"/>
        </w:rPr>
      </w:pPr>
    </w:p>
    <w:p>
      <w:pPr>
        <w:ind w:left="500" w:hanging="492"/>
        <w:spacing w:after="0"/>
        <w:tabs>
          <w:tab w:leader="none" w:pos="500" w:val="left"/>
        </w:tabs>
        <w:numPr>
          <w:ilvl w:val="0"/>
          <w:numId w:val="341"/>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Investment-grade bonds of U.S. issuers from diverse industries.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41"/>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common/collective trusts held in PBOP plan VEBA trusts.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41"/>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4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$86 million, all of which is held in SoCalGas PBOP plan trusts, and transfers receivable from other plans of $3 million.</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41"/>
        </w:numPr>
        <w:rPr>
          <w:rFonts w:ascii="Arial" w:cs="Arial" w:eastAsia="Arial" w:hAnsi="Arial"/>
          <w:sz w:val="14"/>
          <w:szCs w:val="14"/>
          <w:i w:val="1"/>
          <w:iCs w:val="1"/>
          <w:color w:val="auto"/>
        </w:rPr>
      </w:pPr>
      <w:r>
        <w:rPr>
          <w:rFonts w:ascii="Arial" w:cs="Arial" w:eastAsia="Arial" w:hAnsi="Arial"/>
          <w:sz w:val="14"/>
          <w:szCs w:val="14"/>
          <w:i w:val="1"/>
          <w:iCs w:val="1"/>
          <w:color w:val="auto"/>
        </w:rPr>
        <w:t>A passively managed broad market fund held in SoCalGas PBOP plan trusts.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4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$50 million, all of which is held in SoCalGas PBOP plan trusts.</w:t>
      </w:r>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investments of the pension master trust allocated to the pension and postretirement benefit plans classified as Level 3 are private equity funds and represent a percentage of each plan’s total allocated assets as follows at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color w:val="auto"/>
              </w:rPr>
              <w:t>Private Equity Funds</w:t>
            </w:r>
          </w:p>
        </w:tc>
        <w:tc>
          <w:tcPr>
            <w:tcW w:w="1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c>
          <w:tcPr>
            <w:tcW w:w="1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2010</w:t>
            </w: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Sempra Energy</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Sempra Energy</w:t>
            </w:r>
          </w:p>
        </w:tc>
        <w:tc>
          <w:tcPr>
            <w:tcW w:w="0" w:type="dxa"/>
            <w:vAlign w:val="bottom"/>
          </w:tcPr>
          <w:p>
            <w:pPr>
              <w:spacing w:after="0"/>
              <w:rPr>
                <w:sz w:val="1"/>
                <w:szCs w:val="1"/>
                <w:color w:val="auto"/>
              </w:rPr>
            </w:pPr>
          </w:p>
        </w:tc>
      </w:tr>
      <w:tr>
        <w:trPr>
          <w:trHeight w:val="164"/>
        </w:trPr>
        <w:tc>
          <w:tcPr>
            <w:tcW w:w="20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SDG&amp;E</w:t>
            </w:r>
          </w:p>
        </w:tc>
        <w:tc>
          <w:tcPr>
            <w:tcW w:w="1020" w:type="dxa"/>
            <w:vAlign w:val="bottom"/>
            <w:tcBorders>
              <w:bottom w:val="single" w:sz="8" w:color="auto"/>
            </w:tcBorders>
          </w:tcPr>
          <w:p>
            <w:pPr>
              <w:ind w:left="200"/>
              <w:spacing w:after="0" w:line="157" w:lineRule="exact"/>
              <w:rPr>
                <w:sz w:val="20"/>
                <w:szCs w:val="20"/>
                <w:color w:val="auto"/>
              </w:rPr>
            </w:pPr>
            <w:r>
              <w:rPr>
                <w:rFonts w:ascii="Arial" w:cs="Arial" w:eastAsia="Arial" w:hAnsi="Arial"/>
                <w:sz w:val="14"/>
                <w:szCs w:val="14"/>
                <w:color w:val="auto"/>
              </w:rPr>
              <w:t>SoCalGas</w:t>
            </w:r>
          </w:p>
        </w:tc>
        <w:tc>
          <w:tcPr>
            <w:tcW w:w="104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All Other</w:t>
            </w:r>
          </w:p>
        </w:tc>
        <w:tc>
          <w:tcPr>
            <w:tcW w:w="15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4"/>
                <w:szCs w:val="14"/>
                <w:color w:val="auto"/>
              </w:rPr>
            </w:pPr>
          </w:p>
        </w:tc>
        <w:tc>
          <w:tcPr>
            <w:tcW w:w="96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SDG&amp;E</w:t>
            </w:r>
          </w:p>
        </w:tc>
        <w:tc>
          <w:tcPr>
            <w:tcW w:w="1020" w:type="dxa"/>
            <w:vAlign w:val="bottom"/>
            <w:tcBorders>
              <w:bottom w:val="single" w:sz="8" w:color="auto"/>
            </w:tcBorders>
          </w:tcPr>
          <w:p>
            <w:pPr>
              <w:ind w:left="200"/>
              <w:spacing w:after="0" w:line="157" w:lineRule="exact"/>
              <w:rPr>
                <w:sz w:val="20"/>
                <w:szCs w:val="20"/>
                <w:color w:val="auto"/>
              </w:rPr>
            </w:pPr>
            <w:r>
              <w:rPr>
                <w:rFonts w:ascii="Arial" w:cs="Arial" w:eastAsia="Arial" w:hAnsi="Arial"/>
                <w:sz w:val="14"/>
                <w:szCs w:val="14"/>
                <w:color w:val="auto"/>
              </w:rPr>
              <w:t>SoCalGas</w:t>
            </w:r>
          </w:p>
        </w:tc>
        <w:tc>
          <w:tcPr>
            <w:tcW w:w="106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All Other</w:t>
            </w:r>
          </w:p>
        </w:tc>
        <w:tc>
          <w:tcPr>
            <w:tcW w:w="15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20"/>
                <w:szCs w:val="20"/>
                <w:color w:val="auto"/>
              </w:rPr>
            </w:pPr>
            <w:r>
              <w:rPr>
                <w:rFonts w:ascii="Arial" w:cs="Arial" w:eastAsia="Arial" w:hAnsi="Arial"/>
                <w:sz w:val="14"/>
                <w:szCs w:val="14"/>
                <w:color w:val="auto"/>
              </w:rPr>
              <w:t>PENSION PLANS</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Total Level 3 investment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60"/>
              <w:spacing w:after="0"/>
              <w:rPr>
                <w:sz w:val="20"/>
                <w:szCs w:val="20"/>
                <w:color w:val="auto"/>
              </w:rPr>
            </w:pPr>
            <w:r>
              <w:rPr>
                <w:rFonts w:ascii="Arial" w:cs="Arial" w:eastAsia="Arial" w:hAnsi="Arial"/>
                <w:sz w:val="14"/>
                <w:szCs w:val="14"/>
                <w:color w:val="auto"/>
              </w:rPr>
              <w:t>assets</w:t>
            </w:r>
          </w:p>
        </w:tc>
        <w:tc>
          <w:tcPr>
            <w:tcW w:w="940" w:type="dxa"/>
            <w:vAlign w:val="bottom"/>
          </w:tcPr>
          <w:p>
            <w:pPr>
              <w:jc w:val="center"/>
              <w:spacing w:after="0"/>
              <w:rPr>
                <w:sz w:val="20"/>
                <w:szCs w:val="20"/>
                <w:color w:val="auto"/>
              </w:rPr>
            </w:pPr>
            <w:r>
              <w:rPr>
                <w:rFonts w:ascii="Arial" w:cs="Arial" w:eastAsia="Arial" w:hAnsi="Arial"/>
                <w:sz w:val="14"/>
                <w:szCs w:val="14"/>
                <w:color w:val="auto"/>
              </w:rPr>
              <w:t>$7</w:t>
            </w:r>
          </w:p>
        </w:tc>
        <w:tc>
          <w:tcPr>
            <w:tcW w:w="1020" w:type="dxa"/>
            <w:vAlign w:val="bottom"/>
          </w:tcPr>
          <w:p>
            <w:pPr>
              <w:jc w:val="center"/>
              <w:spacing w:after="0"/>
              <w:rPr>
                <w:sz w:val="20"/>
                <w:szCs w:val="20"/>
                <w:color w:val="auto"/>
              </w:rPr>
            </w:pPr>
            <w:r>
              <w:rPr>
                <w:rFonts w:ascii="Arial" w:cs="Arial" w:eastAsia="Arial" w:hAnsi="Arial"/>
                <w:sz w:val="14"/>
                <w:szCs w:val="14"/>
                <w:color w:val="auto"/>
              </w:rPr>
              <w:t>$15</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1580" w:type="dxa"/>
            <w:vAlign w:val="bottom"/>
          </w:tcPr>
          <w:p>
            <w:pPr>
              <w:jc w:val="center"/>
              <w:spacing w:after="0"/>
              <w:rPr>
                <w:sz w:val="20"/>
                <w:szCs w:val="20"/>
                <w:color w:val="auto"/>
              </w:rPr>
            </w:pPr>
            <w:r>
              <w:rPr>
                <w:rFonts w:ascii="Arial" w:cs="Arial" w:eastAsia="Arial" w:hAnsi="Arial"/>
                <w:sz w:val="14"/>
                <w:szCs w:val="14"/>
                <w:color w:val="auto"/>
              </w:rPr>
              <w:t>$24</w:t>
            </w:r>
          </w:p>
        </w:tc>
        <w:tc>
          <w:tcPr>
            <w:tcW w:w="1180" w:type="dxa"/>
            <w:vAlign w:val="bottom"/>
            <w:gridSpan w:val="2"/>
          </w:tcPr>
          <w:p>
            <w:pPr>
              <w:jc w:val="center"/>
              <w:ind w:left="188"/>
              <w:spacing w:after="0"/>
              <w:rPr>
                <w:sz w:val="20"/>
                <w:szCs w:val="20"/>
                <w:color w:val="auto"/>
              </w:rPr>
            </w:pPr>
            <w:r>
              <w:rPr>
                <w:rFonts w:ascii="Arial" w:cs="Arial" w:eastAsia="Arial" w:hAnsi="Arial"/>
                <w:sz w:val="14"/>
                <w:szCs w:val="14"/>
                <w:color w:val="auto"/>
              </w:rPr>
              <w:t>$8</w:t>
            </w:r>
          </w:p>
        </w:tc>
        <w:tc>
          <w:tcPr>
            <w:tcW w:w="1020" w:type="dxa"/>
            <w:vAlign w:val="bottom"/>
          </w:tcPr>
          <w:p>
            <w:pPr>
              <w:jc w:val="center"/>
              <w:spacing w:after="0"/>
              <w:rPr>
                <w:sz w:val="20"/>
                <w:szCs w:val="20"/>
                <w:color w:val="auto"/>
              </w:rPr>
            </w:pPr>
            <w:r>
              <w:rPr>
                <w:rFonts w:ascii="Arial" w:cs="Arial" w:eastAsia="Arial" w:hAnsi="Arial"/>
                <w:sz w:val="14"/>
                <w:szCs w:val="14"/>
                <w:color w:val="auto"/>
              </w:rPr>
              <w:t>$17</w:t>
            </w:r>
          </w:p>
        </w:tc>
        <w:tc>
          <w:tcPr>
            <w:tcW w:w="1060" w:type="dxa"/>
            <w:vAlign w:val="bottom"/>
          </w:tcPr>
          <w:p>
            <w:pPr>
              <w:jc w:val="center"/>
              <w:spacing w:after="0"/>
              <w:rPr>
                <w:sz w:val="20"/>
                <w:szCs w:val="20"/>
                <w:color w:val="auto"/>
              </w:rPr>
            </w:pPr>
            <w:r>
              <w:rPr>
                <w:rFonts w:ascii="Arial" w:cs="Arial" w:eastAsia="Arial" w:hAnsi="Arial"/>
                <w:sz w:val="14"/>
                <w:szCs w:val="14"/>
                <w:color w:val="auto"/>
              </w:rPr>
              <w:t>$2</w:t>
            </w:r>
          </w:p>
        </w:tc>
        <w:tc>
          <w:tcPr>
            <w:tcW w:w="1580" w:type="dxa"/>
            <w:vAlign w:val="bottom"/>
          </w:tcPr>
          <w:p>
            <w:pPr>
              <w:jc w:val="center"/>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Percentage of total</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60"/>
              <w:spacing w:after="0"/>
              <w:rPr>
                <w:sz w:val="20"/>
                <w:szCs w:val="20"/>
                <w:color w:val="auto"/>
              </w:rPr>
            </w:pPr>
            <w:r>
              <w:rPr>
                <w:rFonts w:ascii="Arial" w:cs="Arial" w:eastAsia="Arial" w:hAnsi="Arial"/>
                <w:sz w:val="14"/>
                <w:szCs w:val="14"/>
                <w:color w:val="auto"/>
              </w:rPr>
              <w:t>investment assets</w:t>
            </w:r>
          </w:p>
        </w:tc>
        <w:tc>
          <w:tcPr>
            <w:tcW w:w="940" w:type="dxa"/>
            <w:vAlign w:val="bottom"/>
          </w:tcPr>
          <w:p>
            <w:pPr>
              <w:jc w:val="center"/>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58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180" w:type="dxa"/>
            <w:vAlign w:val="bottom"/>
            <w:gridSpan w:val="2"/>
          </w:tcPr>
          <w:p>
            <w:pPr>
              <w:jc w:val="center"/>
              <w:ind w:left="188"/>
              <w:spacing w:after="0"/>
              <w:rPr>
                <w:sz w:val="20"/>
                <w:szCs w:val="20"/>
                <w:color w:val="auto"/>
              </w:rPr>
            </w:pPr>
            <w:r>
              <w:rPr>
                <w:rFonts w:ascii="Arial" w:cs="Arial" w:eastAsia="Arial" w:hAnsi="Arial"/>
                <w:sz w:val="14"/>
                <w:szCs w:val="14"/>
                <w:color w:val="auto"/>
                <w:w w:val="98"/>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58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OTHER POSTRETIREMENT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40"/>
              <w:spacing w:after="0"/>
              <w:rPr>
                <w:sz w:val="20"/>
                <w:szCs w:val="20"/>
                <w:color w:val="auto"/>
              </w:rPr>
            </w:pPr>
            <w:r>
              <w:rPr>
                <w:rFonts w:ascii="Arial" w:cs="Arial" w:eastAsia="Arial" w:hAnsi="Arial"/>
                <w:sz w:val="14"/>
                <w:szCs w:val="14"/>
                <w:color w:val="auto"/>
              </w:rPr>
              <w:t>BENEFIT PLANS</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Total Level 3 investment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60"/>
              <w:spacing w:after="0"/>
              <w:rPr>
                <w:sz w:val="20"/>
                <w:szCs w:val="20"/>
                <w:color w:val="auto"/>
              </w:rPr>
            </w:pPr>
            <w:r>
              <w:rPr>
                <w:rFonts w:ascii="Arial" w:cs="Arial" w:eastAsia="Arial" w:hAnsi="Arial"/>
                <w:sz w:val="14"/>
                <w:szCs w:val="14"/>
                <w:color w:val="auto"/>
              </w:rPr>
              <w:t>assets</w:t>
            </w:r>
          </w:p>
        </w:tc>
        <w:tc>
          <w:tcPr>
            <w:tcW w:w="940" w:type="dxa"/>
            <w:vAlign w:val="bottom"/>
          </w:tcPr>
          <w:p>
            <w:pPr>
              <w:jc w:val="center"/>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$3</w:t>
            </w: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c>
          <w:tcPr>
            <w:tcW w:w="1180" w:type="dxa"/>
            <w:vAlign w:val="bottom"/>
            <w:gridSpan w:val="2"/>
          </w:tcPr>
          <w:p>
            <w:pPr>
              <w:jc w:val="center"/>
              <w:ind w:left="18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$3</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Percentage of total</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0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investment assets</w:t>
            </w:r>
          </w:p>
        </w:tc>
        <w:tc>
          <w:tcPr>
            <w:tcW w:w="9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1%</w:t>
            </w:r>
          </w:p>
        </w:tc>
        <w:tc>
          <w:tcPr>
            <w:tcW w:w="10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w:t>
            </w:r>
          </w:p>
        </w:tc>
        <w:tc>
          <w:tcPr>
            <w:tcW w:w="15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8"/>
              </w:rPr>
              <w:t>1%</w:t>
            </w:r>
          </w:p>
        </w:tc>
        <w:tc>
          <w:tcPr>
            <w:tcW w:w="1180" w:type="dxa"/>
            <w:vAlign w:val="bottom"/>
            <w:tcBorders>
              <w:bottom w:val="single" w:sz="8" w:color="auto"/>
            </w:tcBorders>
            <w:gridSpan w:val="2"/>
          </w:tcPr>
          <w:p>
            <w:pPr>
              <w:jc w:val="center"/>
              <w:ind w:left="188"/>
              <w:spacing w:after="0" w:line="157" w:lineRule="exact"/>
              <w:rPr>
                <w:sz w:val="20"/>
                <w:szCs w:val="20"/>
                <w:color w:val="auto"/>
              </w:rPr>
            </w:pPr>
            <w:r>
              <w:rPr>
                <w:rFonts w:ascii="Arial" w:cs="Arial" w:eastAsia="Arial" w:hAnsi="Arial"/>
                <w:sz w:val="14"/>
                <w:szCs w:val="14"/>
                <w:color w:val="auto"/>
                <w:w w:val="98"/>
              </w:rPr>
              <w:t>1%</w:t>
            </w:r>
          </w:p>
        </w:tc>
        <w:tc>
          <w:tcPr>
            <w:tcW w:w="10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changes in the fair value of investments classified as Level 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Private Equity Funds</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7"/>
        </w:trPr>
        <w:tc>
          <w:tcPr>
            <w:tcW w:w="4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jc w:val="right"/>
              <w:ind w:right="200"/>
              <w:spacing w:after="0"/>
              <w:rPr>
                <w:sz w:val="20"/>
                <w:szCs w:val="20"/>
                <w:color w:val="auto"/>
              </w:rPr>
            </w:pPr>
            <w:r>
              <w:rPr>
                <w:rFonts w:ascii="Arial" w:cs="Arial" w:eastAsia="Arial" w:hAnsi="Arial"/>
                <w:sz w:val="14"/>
                <w:szCs w:val="14"/>
                <w:color w:val="auto"/>
              </w:rPr>
              <w:t>Sempra Energy</w:t>
            </w:r>
          </w:p>
        </w:tc>
      </w:tr>
      <w:tr>
        <w:trPr>
          <w:trHeight w:val="164"/>
        </w:trPr>
        <w:tc>
          <w:tcPr>
            <w:tcW w:w="4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5"/>
              <w:spacing w:after="0" w:line="157" w:lineRule="exact"/>
              <w:rPr>
                <w:sz w:val="20"/>
                <w:szCs w:val="20"/>
                <w:color w:val="auto"/>
              </w:rPr>
            </w:pPr>
            <w:r>
              <w:rPr>
                <w:rFonts w:ascii="Arial" w:cs="Arial" w:eastAsia="Arial" w:hAnsi="Arial"/>
                <w:sz w:val="14"/>
                <w:szCs w:val="14"/>
                <w:color w:val="auto"/>
              </w:rPr>
              <w:t>SDG&amp;E</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00"/>
              <w:spacing w:after="0" w:line="157" w:lineRule="exact"/>
              <w:rPr>
                <w:sz w:val="20"/>
                <w:szCs w:val="20"/>
                <w:color w:val="auto"/>
              </w:rPr>
            </w:pPr>
            <w:r>
              <w:rPr>
                <w:rFonts w:ascii="Arial" w:cs="Arial" w:eastAsia="Arial" w:hAnsi="Arial"/>
                <w:sz w:val="14"/>
                <w:szCs w:val="14"/>
                <w:color w:val="auto"/>
              </w:rPr>
              <w:t>SoCalGas</w:t>
            </w:r>
          </w:p>
        </w:tc>
        <w:tc>
          <w:tcPr>
            <w:tcW w:w="7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0"/>
              <w:spacing w:after="0" w:line="157" w:lineRule="exact"/>
              <w:rPr>
                <w:sz w:val="20"/>
                <w:szCs w:val="20"/>
                <w:color w:val="auto"/>
              </w:rPr>
            </w:pPr>
            <w:r>
              <w:rPr>
                <w:rFonts w:ascii="Arial" w:cs="Arial" w:eastAsia="Arial" w:hAnsi="Arial"/>
                <w:sz w:val="14"/>
                <w:szCs w:val="14"/>
                <w:color w:val="auto"/>
              </w:rPr>
              <w:t>All Other</w:t>
            </w: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00"/>
              <w:spacing w:after="0" w:line="157" w:lineRule="exact"/>
              <w:rPr>
                <w:sz w:val="20"/>
                <w:szCs w:val="20"/>
                <w:color w:val="auto"/>
              </w:rPr>
            </w:pPr>
            <w:r>
              <w:rPr>
                <w:rFonts w:ascii="Arial" w:cs="Arial" w:eastAsia="Arial" w:hAnsi="Arial"/>
                <w:sz w:val="14"/>
                <w:szCs w:val="14"/>
                <w:color w:val="auto"/>
              </w:rPr>
              <w:t>Consolidated</w:t>
            </w:r>
          </w:p>
        </w:tc>
      </w:tr>
      <w:tr>
        <w:trPr>
          <w:trHeight w:val="150"/>
        </w:trPr>
        <w:tc>
          <w:tcPr>
            <w:tcW w:w="4040" w:type="dxa"/>
            <w:vAlign w:val="bottom"/>
          </w:tcPr>
          <w:p>
            <w:pPr>
              <w:spacing w:after="0" w:line="151" w:lineRule="exact"/>
              <w:rPr>
                <w:sz w:val="20"/>
                <w:szCs w:val="20"/>
                <w:color w:val="auto"/>
              </w:rPr>
            </w:pPr>
            <w:r>
              <w:rPr>
                <w:rFonts w:ascii="Arial" w:cs="Arial" w:eastAsia="Arial" w:hAnsi="Arial"/>
                <w:sz w:val="14"/>
                <w:szCs w:val="14"/>
                <w:color w:val="auto"/>
              </w:rPr>
              <w:t>PENSION PLANS</w:t>
            </w: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95"/>
        </w:trPr>
        <w:tc>
          <w:tcPr>
            <w:tcW w:w="4040" w:type="dxa"/>
            <w:vAlign w:val="bottom"/>
          </w:tcPr>
          <w:p>
            <w:pPr>
              <w:spacing w:after="0"/>
              <w:rPr>
                <w:sz w:val="20"/>
                <w:szCs w:val="20"/>
                <w:color w:val="auto"/>
              </w:rPr>
            </w:pPr>
            <w:r>
              <w:rPr>
                <w:rFonts w:ascii="Arial" w:cs="Arial" w:eastAsia="Arial" w:hAnsi="Arial"/>
                <w:sz w:val="16"/>
                <w:szCs w:val="16"/>
                <w:color w:val="auto"/>
              </w:rPr>
              <w:t>Balance as of January 1, 2010</w:t>
            </w:r>
          </w:p>
        </w:tc>
        <w:tc>
          <w:tcPr>
            <w:tcW w:w="1460" w:type="dxa"/>
            <w:vAlign w:val="bottom"/>
          </w:tcPr>
          <w:p>
            <w:pPr>
              <w:jc w:val="right"/>
              <w:ind w:right="130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3"/>
        </w:trPr>
        <w:tc>
          <w:tcPr>
            <w:tcW w:w="4040" w:type="dxa"/>
            <w:vAlign w:val="bottom"/>
          </w:tcPr>
          <w:p>
            <w:pPr>
              <w:ind w:left="140"/>
              <w:spacing w:after="0"/>
              <w:rPr>
                <w:sz w:val="20"/>
                <w:szCs w:val="20"/>
                <w:color w:val="auto"/>
              </w:rPr>
            </w:pPr>
            <w:r>
              <w:rPr>
                <w:rFonts w:ascii="Arial" w:cs="Arial" w:eastAsia="Arial" w:hAnsi="Arial"/>
                <w:sz w:val="16"/>
                <w:szCs w:val="16"/>
                <w:color w:val="auto"/>
              </w:rPr>
              <w:t>Actual returns on plan assets</w:t>
            </w:r>
          </w:p>
        </w:tc>
        <w:tc>
          <w:tcPr>
            <w:tcW w:w="14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404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14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2"/>
        </w:trPr>
        <w:tc>
          <w:tcPr>
            <w:tcW w:w="4040" w:type="dxa"/>
            <w:vAlign w:val="bottom"/>
          </w:tcPr>
          <w:p>
            <w:pPr>
              <w:ind w:left="140"/>
              <w:spacing w:after="0"/>
              <w:rPr>
                <w:sz w:val="20"/>
                <w:szCs w:val="20"/>
                <w:color w:val="auto"/>
              </w:rPr>
            </w:pPr>
            <w:r>
              <w:rPr>
                <w:rFonts w:ascii="Arial" w:cs="Arial" w:eastAsia="Arial" w:hAnsi="Arial"/>
                <w:sz w:val="16"/>
                <w:szCs w:val="16"/>
                <w:color w:val="auto"/>
              </w:rPr>
              <w:t>Sales</w:t>
            </w:r>
          </w:p>
        </w:tc>
        <w:tc>
          <w:tcPr>
            <w:tcW w:w="1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1"/>
        </w:trPr>
        <w:tc>
          <w:tcPr>
            <w:tcW w:w="4040" w:type="dxa"/>
            <w:vAlign w:val="bottom"/>
          </w:tcPr>
          <w:p>
            <w:pPr>
              <w:spacing w:after="0"/>
              <w:rPr>
                <w:sz w:val="20"/>
                <w:szCs w:val="20"/>
                <w:color w:val="auto"/>
              </w:rPr>
            </w:pPr>
            <w:r>
              <w:rPr>
                <w:rFonts w:ascii="Arial" w:cs="Arial" w:eastAsia="Arial" w:hAnsi="Arial"/>
                <w:sz w:val="16"/>
                <w:szCs w:val="16"/>
                <w:color w:val="auto"/>
              </w:rPr>
              <w:t>Balance as of December 31, 2010</w:t>
            </w:r>
          </w:p>
        </w:tc>
        <w:tc>
          <w:tcPr>
            <w:tcW w:w="14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Realized gains</w:t>
            </w:r>
          </w:p>
        </w:tc>
        <w:tc>
          <w:tcPr>
            <w:tcW w:w="14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404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14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2"/>
        </w:trPr>
        <w:tc>
          <w:tcPr>
            <w:tcW w:w="4040" w:type="dxa"/>
            <w:vAlign w:val="bottom"/>
          </w:tcPr>
          <w:p>
            <w:pPr>
              <w:ind w:left="140"/>
              <w:spacing w:after="0"/>
              <w:rPr>
                <w:sz w:val="20"/>
                <w:szCs w:val="20"/>
                <w:color w:val="auto"/>
              </w:rPr>
            </w:pPr>
            <w:r>
              <w:rPr>
                <w:rFonts w:ascii="Arial" w:cs="Arial" w:eastAsia="Arial" w:hAnsi="Arial"/>
                <w:sz w:val="16"/>
                <w:szCs w:val="16"/>
                <w:color w:val="auto"/>
              </w:rPr>
              <w:t>Sales</w:t>
            </w:r>
          </w:p>
        </w:tc>
        <w:tc>
          <w:tcPr>
            <w:tcW w:w="1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404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as of December 31, 2011</w:t>
            </w:r>
          </w:p>
        </w:tc>
        <w:tc>
          <w:tcPr>
            <w:tcW w:w="1460" w:type="dxa"/>
            <w:vAlign w:val="bottom"/>
            <w:tcBorders>
              <w:bottom w:val="single" w:sz="8" w:color="auto"/>
            </w:tcBorders>
          </w:tcPr>
          <w:p>
            <w:pPr>
              <w:jc w:val="right"/>
              <w:ind w:right="130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c>
          <w:tcPr>
            <w:tcW w:w="44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w:t>
            </w:r>
          </w:p>
        </w:tc>
        <w:tc>
          <w:tcPr>
            <w:tcW w:w="7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50"/>
        </w:trPr>
        <w:tc>
          <w:tcPr>
            <w:tcW w:w="4040" w:type="dxa"/>
            <w:vAlign w:val="bottom"/>
          </w:tcPr>
          <w:p>
            <w:pPr>
              <w:spacing w:after="0" w:line="151" w:lineRule="exact"/>
              <w:rPr>
                <w:sz w:val="20"/>
                <w:szCs w:val="20"/>
                <w:color w:val="auto"/>
              </w:rPr>
            </w:pPr>
            <w:r>
              <w:rPr>
                <w:rFonts w:ascii="Arial" w:cs="Arial" w:eastAsia="Arial" w:hAnsi="Arial"/>
                <w:sz w:val="14"/>
                <w:szCs w:val="14"/>
                <w:color w:val="auto"/>
              </w:rPr>
              <w:t>OTHER POSTRETIREMENT BENEFIT PLANS</w:t>
            </w: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95"/>
        </w:trPr>
        <w:tc>
          <w:tcPr>
            <w:tcW w:w="4040" w:type="dxa"/>
            <w:vAlign w:val="bottom"/>
          </w:tcPr>
          <w:p>
            <w:pPr>
              <w:spacing w:after="0"/>
              <w:rPr>
                <w:sz w:val="20"/>
                <w:szCs w:val="20"/>
                <w:color w:val="auto"/>
              </w:rPr>
            </w:pPr>
            <w:r>
              <w:rPr>
                <w:rFonts w:ascii="Arial" w:cs="Arial" w:eastAsia="Arial" w:hAnsi="Arial"/>
                <w:sz w:val="16"/>
                <w:szCs w:val="16"/>
                <w:color w:val="auto"/>
              </w:rPr>
              <w:t>Balance as of January 1, 2010</w:t>
            </w:r>
          </w:p>
        </w:tc>
        <w:tc>
          <w:tcPr>
            <w:tcW w:w="1460" w:type="dxa"/>
            <w:vAlign w:val="bottom"/>
          </w:tcPr>
          <w:p>
            <w:pPr>
              <w:jc w:val="right"/>
              <w:ind w:right="130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2"/>
        </w:trPr>
        <w:tc>
          <w:tcPr>
            <w:tcW w:w="4040" w:type="dxa"/>
            <w:vAlign w:val="bottom"/>
          </w:tcPr>
          <w:p>
            <w:pPr>
              <w:ind w:left="140"/>
              <w:spacing w:after="0"/>
              <w:rPr>
                <w:sz w:val="20"/>
                <w:szCs w:val="20"/>
                <w:color w:val="auto"/>
              </w:rPr>
            </w:pPr>
            <w:r>
              <w:rPr>
                <w:rFonts w:ascii="Arial" w:cs="Arial" w:eastAsia="Arial" w:hAnsi="Arial"/>
                <w:sz w:val="16"/>
                <w:szCs w:val="16"/>
                <w:color w:val="auto"/>
              </w:rPr>
              <w:t>Sales</w:t>
            </w:r>
          </w:p>
        </w:tc>
        <w:tc>
          <w:tcPr>
            <w:tcW w:w="1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404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as of December 31, 2010 and 2011</w:t>
            </w:r>
          </w:p>
        </w:tc>
        <w:tc>
          <w:tcPr>
            <w:tcW w:w="1460" w:type="dxa"/>
            <w:vAlign w:val="bottom"/>
            <w:tcBorders>
              <w:bottom w:val="single" w:sz="8" w:color="auto"/>
            </w:tcBorders>
          </w:tcPr>
          <w:p>
            <w:pPr>
              <w:jc w:val="right"/>
              <w:ind w:right="130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7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Techniques Used to Determine Fair Value</w:t>
      </w:r>
    </w:p>
    <w:p>
      <w:pPr>
        <w:spacing w:after="0" w:line="20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descriptions of the valuation methods and assumptions used to estimate the fair values of investments apply to investments held directly by the plans and those held as underlying investments of the master trust:</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 Equity securities are valued using quoted prices listed on nationally recognized securities exchanges.</w:t>
      </w:r>
    </w:p>
    <w:p>
      <w:pPr>
        <w:spacing w:after="0" w:line="198" w:lineRule="exact"/>
        <w:rPr>
          <w:sz w:val="20"/>
          <w:szCs w:val="20"/>
          <w:color w:val="auto"/>
        </w:rPr>
      </w:pPr>
    </w:p>
    <w:p>
      <w:pPr>
        <w:ind w:left="340" w:right="20"/>
        <w:spacing w:after="0" w:line="284" w:lineRule="auto"/>
        <w:rPr>
          <w:sz w:val="20"/>
          <w:szCs w:val="20"/>
          <w:color w:val="auto"/>
        </w:rPr>
      </w:pPr>
      <w:r>
        <w:rPr>
          <w:rFonts w:ascii="Arial" w:cs="Arial" w:eastAsia="Arial" w:hAnsi="Arial"/>
          <w:sz w:val="16"/>
          <w:szCs w:val="16"/>
          <w:i w:val="1"/>
          <w:iCs w:val="1"/>
          <w:color w:val="auto"/>
        </w:rPr>
        <w:t xml:space="preserve">Fixed Income Securities </w:t>
      </w:r>
      <w:r>
        <w:rPr>
          <w:rFonts w:ascii="Arial" w:cs="Arial" w:eastAsia="Arial" w:hAnsi="Arial"/>
          <w:sz w:val="16"/>
          <w:szCs w:val="16"/>
          <w:color w:val="auto"/>
        </w:rPr>
        <w:t>— Certain fixed income securities are valued at the closing price reported in the active market in which the security is traded.</w:t>
      </w:r>
      <w:r>
        <w:rPr>
          <w:rFonts w:ascii="Arial" w:cs="Arial" w:eastAsia="Arial" w:hAnsi="Arial"/>
          <w:sz w:val="16"/>
          <w:szCs w:val="16"/>
          <w:i w:val="1"/>
          <w:iCs w:val="1"/>
          <w:color w:val="auto"/>
        </w:rPr>
        <w:t xml:space="preserve"> </w:t>
      </w:r>
      <w:r>
        <w:rPr>
          <w:rFonts w:ascii="Arial" w:cs="Arial" w:eastAsia="Arial" w:hAnsi="Arial"/>
          <w:sz w:val="16"/>
          <w:szCs w:val="16"/>
          <w:color w:val="auto"/>
        </w:rPr>
        <w:t>Other fixed income securities are valued based on yields currently available on comparable securities of issuers with similar credit ratings. When quoted prices are not available for identical or similar securities, the security is valued under a discounted cash flows approach that maximizes observable inputs, such as current yields of similar instruments, but includes adjustments for certain risks that may not be observable, such as credit and liquidity risks.</w:t>
      </w:r>
    </w:p>
    <w:p>
      <w:pPr>
        <w:spacing w:after="0" w:line="142" w:lineRule="exact"/>
        <w:rPr>
          <w:sz w:val="20"/>
          <w:szCs w:val="20"/>
          <w:color w:val="auto"/>
        </w:rPr>
      </w:pPr>
    </w:p>
    <w:p>
      <w:pPr>
        <w:ind w:left="340" w:right="120"/>
        <w:spacing w:after="0" w:line="262" w:lineRule="auto"/>
        <w:rPr>
          <w:sz w:val="20"/>
          <w:szCs w:val="20"/>
          <w:color w:val="auto"/>
        </w:rPr>
      </w:pPr>
      <w:r>
        <w:rPr>
          <w:rFonts w:ascii="Arial" w:cs="Arial" w:eastAsia="Arial" w:hAnsi="Arial"/>
          <w:sz w:val="18"/>
          <w:szCs w:val="18"/>
          <w:i w:val="1"/>
          <w:iCs w:val="1"/>
          <w:color w:val="auto"/>
        </w:rPr>
        <w:t xml:space="preserve">Common/Collective Trusts </w:t>
      </w:r>
      <w:r>
        <w:rPr>
          <w:rFonts w:ascii="Arial" w:cs="Arial" w:eastAsia="Arial" w:hAnsi="Arial"/>
          <w:sz w:val="18"/>
          <w:szCs w:val="18"/>
          <w:color w:val="auto"/>
        </w:rPr>
        <w:t>— Investments in common/collective trust funds are valued based on the redemption price of units owned, which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fair value of the fund’s underlying assets.</w:t>
      </w:r>
    </w:p>
    <w:p>
      <w:pPr>
        <w:spacing w:after="0" w:line="156" w:lineRule="exact"/>
        <w:rPr>
          <w:sz w:val="20"/>
          <w:szCs w:val="20"/>
          <w:color w:val="auto"/>
        </w:rPr>
      </w:pPr>
    </w:p>
    <w:p>
      <w:pPr>
        <w:ind w:left="340" w:right="220"/>
        <w:spacing w:after="0" w:line="291" w:lineRule="auto"/>
        <w:rPr>
          <w:sz w:val="20"/>
          <w:szCs w:val="20"/>
          <w:color w:val="auto"/>
        </w:rPr>
      </w:pPr>
      <w:r>
        <w:rPr>
          <w:rFonts w:ascii="Arial" w:cs="Arial" w:eastAsia="Arial" w:hAnsi="Arial"/>
          <w:sz w:val="17"/>
          <w:szCs w:val="17"/>
          <w:i w:val="1"/>
          <w:iCs w:val="1"/>
          <w:color w:val="auto"/>
        </w:rPr>
        <w:t xml:space="preserve">Private Equity Funds </w:t>
      </w:r>
      <w:r>
        <w:rPr>
          <w:rFonts w:ascii="Arial" w:cs="Arial" w:eastAsia="Arial" w:hAnsi="Arial"/>
          <w:sz w:val="17"/>
          <w:szCs w:val="17"/>
          <w:color w:val="auto"/>
        </w:rPr>
        <w:t>— Investments in private equity funds do not trade in active markets. Fair value is determined by the fund managers,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review of the underlying investments as well as their utilization of discounted cash flows and other valuation models.</w:t>
      </w:r>
    </w:p>
    <w:p>
      <w:pPr>
        <w:spacing w:after="0" w:line="134" w:lineRule="exact"/>
        <w:rPr>
          <w:sz w:val="20"/>
          <w:szCs w:val="20"/>
          <w:color w:val="auto"/>
        </w:rPr>
      </w:pPr>
    </w:p>
    <w:p>
      <w:pPr>
        <w:ind w:left="340" w:right="280"/>
        <w:spacing w:after="0" w:line="262"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 Real estate investments are valued on the basis of a discounted cash flow approach, which includes the future rental receipts,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residual values for the highest and best use of the real estate from a market participant view as rental property.</w:t>
      </w:r>
    </w:p>
    <w:p>
      <w:pPr>
        <w:spacing w:after="0" w:line="156"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The methods described are intended to produce a fair value calculation that is indicative of net realizable value or reflective of future fair values. However, while management believes the valuation methods are appropriate and consistent with other market participants, the use of different methodologies or</w:t>
      </w:r>
    </w:p>
    <w:p>
      <w:pPr>
        <w:sectPr>
          <w:pgSz w:w="11900" w:h="16867" w:orient="portrait"/>
          <w:cols w:equalWidth="0" w:num="1">
            <w:col w:w="11420"/>
          </w:cols>
          <w:pgMar w:left="240" w:top="144" w:right="239" w:bottom="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assumptions to determine the fair value of certain financial instruments could result in a different fair value measurement at the reporting date.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Derivative Financial Instruments</w:t>
      </w:r>
    </w:p>
    <w:p>
      <w:pPr>
        <w:spacing w:after="0" w:line="2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accordance with the Sempra Energy pension investment guidelines, derivative financial instruments are used by the pension master trust’s equity and fixed income portfolio investment managers. Futures and foreign currency exchange contracts are used primarily to rebalance the fixed income/equity allocation of the pension master trust’s portfolio and to hedge all or a portion of the currency risk component of the foreign equity investments. Currency hedge positions are not permitted to exceed the level of underlying foreign security exposure in the pension master trust’s related assets. Some of the fixed income investment managers are permitted to use certain specified types of derivative instruments as part of their respective strategies. These strategies include the use of futures and options as substitutes for certain types of fixed income securities. During 2011 and 2010, the pension master trust owned shares in funds that held futures contracts and foreign currency forward contracts. In 2011 and 2010, such funds in which the pension master trust owned shares were the S&amp;P 1500 Index and the Foreign Equity Index managed by Barclay’s Global Investors. As these futures contracts are not held directly by the pension master trust, they are not included in the following discussion.</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2011 and 2010, the pension master trust did not directly hold any futures or currency forward contracts. As we discuss above, interest rate swaps are used indirectly through an index fund in the pension master trust.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Payments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the following amounts to our pension and other postretirement benefit plans in 2012: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720" w:type="dxa"/>
            <w:vAlign w:val="bottom"/>
          </w:tcPr>
          <w:p>
            <w:pPr>
              <w:spacing w:after="0"/>
              <w:rPr>
                <w:sz w:val="14"/>
                <w:szCs w:val="14"/>
                <w:color w:val="auto"/>
              </w:rPr>
            </w:pPr>
          </w:p>
        </w:tc>
        <w:tc>
          <w:tcPr>
            <w:tcW w:w="1700" w:type="dxa"/>
            <w:vAlign w:val="bottom"/>
          </w:tcPr>
          <w:p>
            <w:pPr>
              <w:jc w:val="right"/>
              <w:ind w:right="423"/>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8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03"/>
              <w:spacing w:after="0" w:line="157"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82"/>
              <w:spacing w:after="0" w:line="157" w:lineRule="exact"/>
              <w:rPr>
                <w:sz w:val="20"/>
                <w:szCs w:val="20"/>
                <w:color w:val="auto"/>
              </w:rPr>
            </w:pPr>
            <w:r>
              <w:rPr>
                <w:rFonts w:ascii="Arial" w:cs="Arial" w:eastAsia="Arial" w:hAnsi="Arial"/>
                <w:sz w:val="14"/>
                <w:szCs w:val="14"/>
                <w:color w:val="auto"/>
              </w:rPr>
              <w:t>SDG&amp;E</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22"/>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64"/>
        </w:trPr>
        <w:tc>
          <w:tcPr>
            <w:tcW w:w="3880" w:type="dxa"/>
            <w:vAlign w:val="bottom"/>
          </w:tcPr>
          <w:p>
            <w:pPr>
              <w:spacing w:after="0" w:line="164" w:lineRule="exact"/>
              <w:rPr>
                <w:sz w:val="20"/>
                <w:szCs w:val="20"/>
                <w:color w:val="auto"/>
              </w:rPr>
            </w:pPr>
            <w:r>
              <w:rPr>
                <w:rFonts w:ascii="Arial" w:cs="Arial" w:eastAsia="Arial" w:hAnsi="Arial"/>
                <w:sz w:val="16"/>
                <w:szCs w:val="16"/>
                <w:color w:val="auto"/>
              </w:rPr>
              <w:t>Pension plans</w:t>
            </w:r>
          </w:p>
        </w:tc>
        <w:tc>
          <w:tcPr>
            <w:tcW w:w="172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w:t>
            </w:r>
          </w:p>
        </w:tc>
        <w:tc>
          <w:tcPr>
            <w:tcW w:w="1700" w:type="dxa"/>
            <w:vAlign w:val="bottom"/>
          </w:tcPr>
          <w:p>
            <w:pPr>
              <w:jc w:val="right"/>
              <w:spacing w:after="0" w:line="164" w:lineRule="exact"/>
              <w:rPr>
                <w:sz w:val="20"/>
                <w:szCs w:val="20"/>
                <w:color w:val="auto"/>
              </w:rPr>
            </w:pPr>
            <w:r>
              <w:rPr>
                <w:rFonts w:ascii="Arial" w:cs="Arial" w:eastAsia="Arial" w:hAnsi="Arial"/>
                <w:sz w:val="16"/>
                <w:szCs w:val="16"/>
                <w:color w:val="auto"/>
              </w:rPr>
              <w:t>215</w:t>
            </w:r>
          </w:p>
        </w:tc>
        <w:tc>
          <w:tcPr>
            <w:tcW w:w="440" w:type="dxa"/>
            <w:vAlign w:val="bottom"/>
          </w:tcPr>
          <w:p>
            <w:pPr>
              <w:jc w:val="right"/>
              <w:ind w:right="259"/>
              <w:spacing w:after="0" w:line="164" w:lineRule="exact"/>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67</w:t>
            </w:r>
          </w:p>
        </w:tc>
        <w:tc>
          <w:tcPr>
            <w:tcW w:w="420" w:type="dxa"/>
            <w:vAlign w:val="bottom"/>
          </w:tcPr>
          <w:p>
            <w:pPr>
              <w:jc w:val="right"/>
              <w:ind w:right="239"/>
              <w:spacing w:after="0" w:line="164"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line="164"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4"/>
        </w:trPr>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postretirement benefit plans</w:t>
            </w:r>
          </w:p>
        </w:tc>
        <w:tc>
          <w:tcPr>
            <w:tcW w:w="17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total benefits we expect to pay for the next 10 years to current employees and retirees from the plans or from company assets.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color w:val="auto"/>
              </w:rPr>
              <w:t>Sempra Energy Consolidated</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SDG&amp;E</w:t>
            </w:r>
          </w:p>
        </w:tc>
        <w:tc>
          <w:tcPr>
            <w:tcW w:w="1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82"/>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82"/>
              <w:spacing w:after="0"/>
              <w:rPr>
                <w:sz w:val="20"/>
                <w:szCs w:val="20"/>
                <w:color w:val="auto"/>
              </w:rPr>
            </w:pPr>
            <w:r>
              <w:rPr>
                <w:rFonts w:ascii="Arial" w:cs="Arial" w:eastAsia="Arial" w:hAnsi="Arial"/>
                <w:sz w:val="14"/>
                <w:szCs w:val="14"/>
                <w:color w:val="auto"/>
                <w:w w:val="96"/>
              </w:rPr>
              <w:t>Other</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02"/>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65"/>
        </w:trPr>
        <w:tc>
          <w:tcPr>
            <w:tcW w:w="16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4"/>
                <w:szCs w:val="14"/>
                <w:color w:val="auto"/>
              </w:rPr>
            </w:pPr>
          </w:p>
        </w:tc>
        <w:tc>
          <w:tcPr>
            <w:tcW w:w="1000" w:type="dxa"/>
            <w:vAlign w:val="bottom"/>
          </w:tcPr>
          <w:p>
            <w:pPr>
              <w:ind w:left="460"/>
              <w:spacing w:after="0"/>
              <w:rPr>
                <w:sz w:val="20"/>
                <w:szCs w:val="20"/>
                <w:color w:val="auto"/>
              </w:rPr>
            </w:pPr>
            <w:r>
              <w:rPr>
                <w:rFonts w:ascii="Arial" w:cs="Arial" w:eastAsia="Arial" w:hAnsi="Arial"/>
                <w:sz w:val="14"/>
                <w:szCs w:val="14"/>
                <w:color w:val="auto"/>
              </w:rPr>
              <w:t>Pension</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Postretirement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color w:val="auto"/>
              </w:rPr>
              <w:t>Pension</w:t>
            </w:r>
          </w:p>
        </w:tc>
        <w:tc>
          <w:tcPr>
            <w:tcW w:w="280" w:type="dxa"/>
            <w:vAlign w:val="bottom"/>
          </w:tcPr>
          <w:p>
            <w:pPr>
              <w:spacing w:after="0"/>
              <w:rPr>
                <w:sz w:val="14"/>
                <w:szCs w:val="14"/>
                <w:color w:val="auto"/>
              </w:rPr>
            </w:pPr>
          </w:p>
        </w:tc>
        <w:tc>
          <w:tcPr>
            <w:tcW w:w="1200" w:type="dxa"/>
            <w:vAlign w:val="bottom"/>
          </w:tcPr>
          <w:p>
            <w:pPr>
              <w:jc w:val="center"/>
              <w:ind w:right="182"/>
              <w:spacing w:after="0"/>
              <w:rPr>
                <w:sz w:val="20"/>
                <w:szCs w:val="20"/>
                <w:color w:val="auto"/>
              </w:rPr>
            </w:pPr>
            <w:r>
              <w:rPr>
                <w:rFonts w:ascii="Arial" w:cs="Arial" w:eastAsia="Arial" w:hAnsi="Arial"/>
                <w:sz w:val="14"/>
                <w:szCs w:val="14"/>
                <w:color w:val="auto"/>
              </w:rPr>
              <w:t>Postretirement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Arial" w:cs="Arial" w:eastAsia="Arial" w:hAnsi="Arial"/>
                <w:sz w:val="14"/>
                <w:szCs w:val="14"/>
                <w:color w:val="auto"/>
              </w:rPr>
              <w:t>Pension</w:t>
            </w:r>
          </w:p>
        </w:tc>
        <w:tc>
          <w:tcPr>
            <w:tcW w:w="200" w:type="dxa"/>
            <w:vAlign w:val="bottom"/>
          </w:tcPr>
          <w:p>
            <w:pPr>
              <w:spacing w:after="0"/>
              <w:rPr>
                <w:sz w:val="14"/>
                <w:szCs w:val="14"/>
                <w:color w:val="auto"/>
              </w:rPr>
            </w:pPr>
          </w:p>
        </w:tc>
        <w:tc>
          <w:tcPr>
            <w:tcW w:w="1300" w:type="dxa"/>
            <w:vAlign w:val="bottom"/>
          </w:tcPr>
          <w:p>
            <w:pPr>
              <w:jc w:val="center"/>
              <w:ind w:right="122"/>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64"/>
        </w:trPr>
        <w:tc>
          <w:tcPr>
            <w:tcW w:w="16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460"/>
              <w:spacing w:after="0" w:line="157" w:lineRule="exact"/>
              <w:rPr>
                <w:sz w:val="20"/>
                <w:szCs w:val="20"/>
                <w:color w:val="auto"/>
              </w:rPr>
            </w:pPr>
            <w:r>
              <w:rPr>
                <w:rFonts w:ascii="Arial" w:cs="Arial" w:eastAsia="Arial" w:hAnsi="Arial"/>
                <w:sz w:val="14"/>
                <w:szCs w:val="14"/>
                <w:color w:val="auto"/>
              </w:rPr>
              <w:t>Benefits</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82"/>
              <w:spacing w:after="0" w:line="157" w:lineRule="exact"/>
              <w:rPr>
                <w:sz w:val="20"/>
                <w:szCs w:val="20"/>
                <w:color w:val="auto"/>
              </w:rPr>
            </w:pPr>
            <w:r>
              <w:rPr>
                <w:rFonts w:ascii="Arial" w:cs="Arial" w:eastAsia="Arial" w:hAnsi="Arial"/>
                <w:sz w:val="14"/>
                <w:szCs w:val="14"/>
                <w:color w:val="auto"/>
              </w:rPr>
              <w:t>Benefits</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2"/>
              <w:spacing w:after="0" w:line="157" w:lineRule="exact"/>
              <w:rPr>
                <w:sz w:val="20"/>
                <w:szCs w:val="20"/>
                <w:color w:val="auto"/>
              </w:rPr>
            </w:pPr>
            <w:r>
              <w:rPr>
                <w:rFonts w:ascii="Arial" w:cs="Arial" w:eastAsia="Arial" w:hAnsi="Arial"/>
                <w:sz w:val="14"/>
                <w:szCs w:val="14"/>
                <w:color w:val="auto"/>
              </w:rPr>
              <w:t>Benefits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2"/>
              <w:spacing w:after="0" w:line="157" w:lineRule="exact"/>
              <w:rPr>
                <w:sz w:val="20"/>
                <w:szCs w:val="20"/>
                <w:color w:val="auto"/>
              </w:rPr>
            </w:pPr>
            <w:r>
              <w:rPr>
                <w:rFonts w:ascii="Arial" w:cs="Arial" w:eastAsia="Arial" w:hAnsi="Arial"/>
                <w:sz w:val="14"/>
                <w:szCs w:val="14"/>
                <w:color w:val="auto"/>
              </w:rPr>
              <w:t>Benefits</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Benefits</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2"/>
              <w:spacing w:after="0" w:line="157" w:lineRule="exact"/>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64"/>
        </w:trPr>
        <w:tc>
          <w:tcPr>
            <w:tcW w:w="1680" w:type="dxa"/>
            <w:vAlign w:val="bottom"/>
          </w:tcPr>
          <w:p>
            <w:pPr>
              <w:spacing w:after="0" w:line="164" w:lineRule="exact"/>
              <w:rPr>
                <w:sz w:val="20"/>
                <w:szCs w:val="20"/>
                <w:color w:val="auto"/>
              </w:rPr>
            </w:pPr>
            <w:r>
              <w:rPr>
                <w:rFonts w:ascii="Arial" w:cs="Arial" w:eastAsia="Arial" w:hAnsi="Arial"/>
                <w:sz w:val="16"/>
                <w:szCs w:val="16"/>
                <w:color w:val="auto"/>
              </w:rPr>
              <w:t>2012</w:t>
            </w:r>
          </w:p>
        </w:tc>
        <w:tc>
          <w:tcPr>
            <w:tcW w:w="1460" w:type="dxa"/>
            <w:vAlign w:val="bottom"/>
            <w:gridSpan w:val="2"/>
          </w:tcPr>
          <w:p>
            <w:pPr>
              <w:jc w:val="right"/>
              <w:ind w:right="828"/>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302</w:t>
            </w:r>
          </w:p>
        </w:tc>
        <w:tc>
          <w:tcPr>
            <w:tcW w:w="2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49</w:t>
            </w:r>
          </w:p>
        </w:tc>
        <w:tc>
          <w:tcPr>
            <w:tcW w:w="540" w:type="dxa"/>
            <w:vAlign w:val="bottom"/>
            <w:gridSpan w:val="2"/>
          </w:tcPr>
          <w:p>
            <w:pPr>
              <w:jc w:val="right"/>
              <w:ind w:right="180"/>
              <w:spacing w:after="0" w:line="164"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89</w:t>
            </w:r>
          </w:p>
        </w:tc>
        <w:tc>
          <w:tcPr>
            <w:tcW w:w="280" w:type="dxa"/>
            <w:vAlign w:val="bottom"/>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540" w:type="dxa"/>
            <w:vAlign w:val="bottom"/>
            <w:gridSpan w:val="2"/>
          </w:tcPr>
          <w:p>
            <w:pPr>
              <w:jc w:val="right"/>
              <w:ind w:right="200"/>
              <w:spacing w:after="0" w:line="164" w:lineRule="exact"/>
              <w:rPr>
                <w:sz w:val="20"/>
                <w:szCs w:val="20"/>
                <w:color w:val="auto"/>
              </w:rPr>
            </w:pPr>
            <w:r>
              <w:rPr>
                <w:rFonts w:ascii="Arial" w:cs="Arial" w:eastAsia="Arial" w:hAnsi="Arial"/>
                <w:sz w:val="16"/>
                <w:szCs w:val="16"/>
                <w:color w:val="auto"/>
              </w:rPr>
              <w:t>$</w:t>
            </w:r>
          </w:p>
        </w:tc>
        <w:tc>
          <w:tcPr>
            <w:tcW w:w="1160" w:type="dxa"/>
            <w:vAlign w:val="bottom"/>
          </w:tcPr>
          <w:p>
            <w:pPr>
              <w:ind w:left="860"/>
              <w:spacing w:after="0" w:line="164" w:lineRule="exact"/>
              <w:rPr>
                <w:sz w:val="20"/>
                <w:szCs w:val="20"/>
                <w:color w:val="auto"/>
              </w:rPr>
            </w:pPr>
            <w:r>
              <w:rPr>
                <w:rFonts w:ascii="Arial" w:cs="Arial" w:eastAsia="Arial" w:hAnsi="Arial"/>
                <w:sz w:val="16"/>
                <w:szCs w:val="16"/>
                <w:color w:val="auto"/>
              </w:rPr>
              <w:t>173</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6"/>
                <w:szCs w:val="16"/>
                <w:color w:val="auto"/>
              </w:rPr>
              <w:t>2013</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91</w:t>
            </w:r>
          </w:p>
        </w:tc>
        <w:tc>
          <w:tcPr>
            <w:tcW w:w="2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ind w:left="860"/>
              <w:spacing w:after="0" w:line="176" w:lineRule="exact"/>
              <w:rPr>
                <w:sz w:val="20"/>
                <w:szCs w:val="20"/>
                <w:color w:val="auto"/>
              </w:rPr>
            </w:pPr>
            <w:r>
              <w:rPr>
                <w:rFonts w:ascii="Arial" w:cs="Arial" w:eastAsia="Arial" w:hAnsi="Arial"/>
                <w:sz w:val="16"/>
                <w:szCs w:val="16"/>
                <w:color w:val="auto"/>
              </w:rPr>
              <w:t>183</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6"/>
                <w:szCs w:val="16"/>
                <w:color w:val="auto"/>
              </w:rPr>
              <w:t>2014</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313</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91</w:t>
            </w:r>
          </w:p>
        </w:tc>
        <w:tc>
          <w:tcPr>
            <w:tcW w:w="2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ind w:left="860"/>
              <w:spacing w:after="0" w:line="176" w:lineRule="exact"/>
              <w:rPr>
                <w:sz w:val="20"/>
                <w:szCs w:val="20"/>
                <w:color w:val="auto"/>
              </w:rPr>
            </w:pPr>
            <w:r>
              <w:rPr>
                <w:rFonts w:ascii="Arial" w:cs="Arial" w:eastAsia="Arial" w:hAnsi="Arial"/>
                <w:sz w:val="16"/>
                <w:szCs w:val="16"/>
                <w:color w:val="auto"/>
              </w:rPr>
              <w:t>185</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6"/>
                <w:szCs w:val="16"/>
                <w:color w:val="auto"/>
              </w:rPr>
              <w:t>2015</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304</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89</w:t>
            </w:r>
          </w:p>
        </w:tc>
        <w:tc>
          <w:tcPr>
            <w:tcW w:w="2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ind w:left="860"/>
              <w:spacing w:after="0" w:line="176" w:lineRule="exact"/>
              <w:rPr>
                <w:sz w:val="20"/>
                <w:szCs w:val="20"/>
                <w:color w:val="auto"/>
              </w:rPr>
            </w:pPr>
            <w:r>
              <w:rPr>
                <w:rFonts w:ascii="Arial" w:cs="Arial" w:eastAsia="Arial" w:hAnsi="Arial"/>
                <w:sz w:val="16"/>
                <w:szCs w:val="16"/>
                <w:color w:val="auto"/>
              </w:rPr>
              <w:t>179</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6"/>
                <w:szCs w:val="16"/>
                <w:color w:val="auto"/>
              </w:rPr>
              <w:t>2016</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302</w:t>
            </w:r>
          </w:p>
        </w:tc>
        <w:tc>
          <w:tcPr>
            <w:tcW w:w="2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2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ind w:left="860"/>
              <w:spacing w:after="0" w:line="176" w:lineRule="exact"/>
              <w:rPr>
                <w:sz w:val="20"/>
                <w:szCs w:val="20"/>
                <w:color w:val="auto"/>
              </w:rPr>
            </w:pPr>
            <w:r>
              <w:rPr>
                <w:rFonts w:ascii="Arial" w:cs="Arial" w:eastAsia="Arial" w:hAnsi="Arial"/>
                <w:sz w:val="16"/>
                <w:szCs w:val="16"/>
                <w:color w:val="auto"/>
              </w:rPr>
              <w:t>182</w:t>
            </w:r>
          </w:p>
        </w:tc>
        <w:tc>
          <w:tcPr>
            <w:tcW w:w="2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4"/>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2017-2021</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1,344</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806</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PLANS</w:t>
      </w:r>
    </w:p>
    <w:p>
      <w:pPr>
        <w:spacing w:after="0" w:line="234" w:lineRule="exact"/>
        <w:rPr>
          <w:sz w:val="20"/>
          <w:szCs w:val="20"/>
          <w:color w:val="auto"/>
        </w:rPr>
      </w:pPr>
    </w:p>
    <w:p>
      <w:pPr>
        <w:ind w:right="640"/>
        <w:spacing w:after="0" w:line="297" w:lineRule="auto"/>
        <w:rPr>
          <w:sz w:val="20"/>
          <w:szCs w:val="20"/>
          <w:color w:val="auto"/>
        </w:rPr>
      </w:pPr>
      <w:r>
        <w:rPr>
          <w:rFonts w:ascii="Arial" w:cs="Arial" w:eastAsia="Arial" w:hAnsi="Arial"/>
          <w:sz w:val="16"/>
          <w:szCs w:val="16"/>
          <w:color w:val="auto"/>
        </w:rPr>
        <w:t>Under Chilean law, Chilquinta Energía is required to pay all employees either (1) 30 percent of Chilquinta Energía’s taxable income after deducting a 10 percent return on equity, allocated in proportion to the annual salary of each employee or (2) 25 percent of each employee’s annual salary, with a maximum mandatory profit sharing of 4.75 months of Chile’s legal minimum salary. Chilquinta Energía has elected the second option but calculates the profit sharing amounts with actual employee salaries instead of the legal minimum salary, resulting in a higher cost. The amounts are paid out each pay period. Chilquinta Energía recorded annual profit sharing expense of $5 million for 2011 related to this plan.</w:t>
      </w:r>
    </w:p>
    <w:p>
      <w:pPr>
        <w:spacing w:after="0" w:line="158"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Under Peruvian law, Luz del Sur is required to pay their employees 5 percent of Luz del Sur’s taxable income, paid once a year and allocated as follows: 50 percent based on each employee’s annual hours worked and 50 percent based on each employee’s annual salary. Luz del Sur recorded annual profit sharing expense of $9 million for 2011 related to this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offers trusteed savings plans to all domestic employees. Participation in the plans is immediate for salary deferrals for all employees except for the represented employees at SoCalGas, who are eligible upon completion of one year of service. Subject to plan provisions, employees may contribute from one percent to 25 percent of their regular earnings when they begin employment. After one year of the employee’s completed service, Sempra Energy makes matching contributions. Employer contribution amounts and methodology vary by plan, but generally the contributions are equal to 50 percent of the first 6 percent of eligible base salary contributed by employees and, if certain company goals are met, an additional amount related to incentive compensation payments.</w:t>
      </w:r>
    </w:p>
    <w:p>
      <w:pPr>
        <w:spacing w:after="0" w:line="19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Employer contributions are initially invested in Sempra Energy common stock, but the employee may transfer the contribution to other investments. Employee contributions are invested in Sempra Energy common stock, mutual funds or institutional trusts (the same investments to which employees may direct the employer contributions), which the employee selects. In Sempra Energy plans, employee contributions may also be invested in guaranteed investment contracts. Employer contributions for substantially all plans are partially funded by the ESOP referred to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savings plans were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color w:val="auto"/>
              </w:rPr>
              <w:t>2009</w:t>
            </w:r>
          </w:p>
        </w:tc>
      </w:tr>
      <w:tr>
        <w:trPr>
          <w:trHeight w:val="164"/>
        </w:trPr>
        <w:tc>
          <w:tcPr>
            <w:tcW w:w="364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980" w:type="dxa"/>
            <w:vAlign w:val="bottom"/>
          </w:tcPr>
          <w:p>
            <w:pPr>
              <w:jc w:val="right"/>
              <w:ind w:right="299"/>
              <w:spacing w:after="0" w:line="164" w:lineRule="exact"/>
              <w:rPr>
                <w:sz w:val="20"/>
                <w:szCs w:val="20"/>
                <w:color w:val="auto"/>
              </w:rPr>
            </w:pPr>
            <w:r>
              <w:rPr>
                <w:rFonts w:ascii="Arial" w:cs="Arial" w:eastAsia="Arial" w:hAnsi="Arial"/>
                <w:sz w:val="16"/>
                <w:szCs w:val="16"/>
                <w:color w:val="auto"/>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32</w:t>
            </w:r>
          </w:p>
        </w:tc>
        <w:tc>
          <w:tcPr>
            <w:tcW w:w="480" w:type="dxa"/>
            <w:vAlign w:val="bottom"/>
          </w:tcPr>
          <w:p>
            <w:pPr>
              <w:jc w:val="right"/>
              <w:ind w:right="299"/>
              <w:spacing w:after="0" w:line="164" w:lineRule="exact"/>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31</w:t>
            </w:r>
          </w:p>
        </w:tc>
        <w:tc>
          <w:tcPr>
            <w:tcW w:w="500" w:type="dxa"/>
            <w:vAlign w:val="bottom"/>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line="164" w:lineRule="exact"/>
              <w:rPr>
                <w:sz w:val="20"/>
                <w:szCs w:val="20"/>
                <w:color w:val="auto"/>
              </w:rPr>
            </w:pPr>
            <w:r>
              <w:rPr>
                <w:rFonts w:ascii="Arial" w:cs="Arial" w:eastAsia="Arial" w:hAnsi="Arial"/>
                <w:sz w:val="16"/>
                <w:szCs w:val="16"/>
                <w:color w:val="auto"/>
              </w:rPr>
              <w:t>31</w:t>
            </w: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6"/>
                <w:szCs w:val="16"/>
                <w:color w:val="auto"/>
              </w:rPr>
              <w:t>SDG&amp;E</w:t>
            </w:r>
          </w:p>
        </w:tc>
        <w:tc>
          <w:tcPr>
            <w:tcW w:w="198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48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5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r>
      <w:tr>
        <w:trPr>
          <w:trHeight w:val="194"/>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bl>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market value of Sempra Energy common stock held by the savings plans was $883 million and $847 million at December 31, 2011 and 2010, respectively.</w:t>
      </w:r>
    </w:p>
    <w:p>
      <w:pPr>
        <w:sectPr>
          <w:pgSz w:w="11900" w:h="16838" w:orient="portrait"/>
          <w:cols w:equalWidth="0" w:num="1">
            <w:col w:w="11420"/>
          </w:cols>
          <w:pgMar w:left="240" w:top="125" w:right="239" w:bottom="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23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All contributions to the ESOP Trust (described in Note 5) are made by Sempra Energy; there are no contributions made by the participants. As Sempra Energy makes contributions, the ESOP debt service is paid and shares are released in proportion to the total expected debt service. We charge compensation expense and credit equity for the market value of the released shares. Dividends on unallocated shares are used to pay debt service and are applied against the liability. The shares held by the Trust are unallocated and consist of 0.2 million shares of Sempra Energy common stock with a fair value of $8 million at December 31, 2011, and 0.5 million shares of Sempra Energy common stock with a fair value of $27 million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2637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NOTE 9. SHARE-BASED COMPENSATION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EQUITY COMPENSATION PLANS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Sempra Energy has share-based compensation plans intended to align employee and shareholder objectives related to the long-term growth of Sempra Energy.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plans permit a wide variety of share-based awards, including:</w:t>
      </w:r>
    </w:p>
    <w:p>
      <w:pPr>
        <w:spacing w:after="0" w:line="211" w:lineRule="exact"/>
        <w:rPr>
          <w:sz w:val="20"/>
          <w:szCs w:val="20"/>
          <w:color w:val="auto"/>
        </w:rPr>
      </w:pPr>
    </w:p>
    <w:p>
      <w:pPr>
        <w:ind w:left="340" w:hanging="188"/>
        <w:spacing w:after="0"/>
        <w:tabs>
          <w:tab w:leader="none" w:pos="3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non-qualified stock options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incentive stock options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stock payments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Eligible Sempra Utilities employees participate in Sempra Energy’s share-based compensation plans as a component of their compensation package.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Sempra Energy had the following types of equity awards outstanding:</w:t>
      </w:r>
    </w:p>
    <w:p>
      <w:pPr>
        <w:spacing w:after="0" w:line="225" w:lineRule="exact"/>
        <w:rPr>
          <w:sz w:val="20"/>
          <w:szCs w:val="20"/>
          <w:color w:val="auto"/>
        </w:rPr>
      </w:pPr>
    </w:p>
    <w:p>
      <w:pPr>
        <w:jc w:val="both"/>
        <w:ind w:left="340" w:hanging="188"/>
        <w:spacing w:after="0" w:line="254" w:lineRule="auto"/>
        <w:tabs>
          <w:tab w:leader="none" w:pos="340" w:val="left"/>
        </w:tabs>
        <w:numPr>
          <w:ilvl w:val="0"/>
          <w:numId w:val="343"/>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Options have an exercise price equal to the market price of the common stock at the date of grant, are service-based,</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exercisable over a four-year period, and expire 10 years from the date of grant. Vesting and/or the ability to exercise may be accelerated upon a change in control, in accordance with severance pay agreements or upon eligibility for retirement. Options are subject to forfeiture or earlier expiration when an employee terminates employment.</w:t>
      </w:r>
    </w:p>
    <w:p>
      <w:pPr>
        <w:spacing w:after="0" w:line="2" w:lineRule="exact"/>
        <w:rPr>
          <w:rFonts w:ascii="Arial" w:cs="Arial" w:eastAsia="Arial" w:hAnsi="Arial"/>
          <w:sz w:val="18"/>
          <w:szCs w:val="18"/>
          <w:color w:val="auto"/>
        </w:rPr>
      </w:pPr>
    </w:p>
    <w:p>
      <w:pPr>
        <w:jc w:val="both"/>
        <w:ind w:left="340" w:hanging="188"/>
        <w:spacing w:after="0" w:line="265" w:lineRule="auto"/>
        <w:tabs>
          <w:tab w:leader="none" w:pos="340" w:val="left"/>
        </w:tabs>
        <w:numPr>
          <w:ilvl w:val="0"/>
          <w:numId w:val="343"/>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Substantially all restricted stock awards vest at the end of four-year performance periods based on Sempra Energy’s total return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relative to that of market indices. Vesting is subject to earlier forfeiture upon termination of employment and accelerated vesting upon a change in control, in accordance with severance pay agreements or upon eligibility for retirement. Holders of restricted stock have full voting rights. They also have full dividend rights; however, dividends paid on restricted stock held by officers are reinvested to purchase additional shares that become subject to the same vesting conditions as the restricted stock to which the dividends relate.</w:t>
      </w:r>
    </w:p>
    <w:p>
      <w:pPr>
        <w:spacing w:after="0" w:line="1" w:lineRule="exact"/>
        <w:rPr>
          <w:rFonts w:ascii="Arial" w:cs="Arial" w:eastAsia="Arial" w:hAnsi="Arial"/>
          <w:sz w:val="17"/>
          <w:szCs w:val="17"/>
          <w:color w:val="auto"/>
        </w:rPr>
      </w:pPr>
    </w:p>
    <w:p>
      <w:pPr>
        <w:jc w:val="both"/>
        <w:ind w:left="340" w:hanging="188"/>
        <w:spacing w:after="0" w:line="288" w:lineRule="auto"/>
        <w:tabs>
          <w:tab w:leader="none" w:pos="340" w:val="left"/>
        </w:tabs>
        <w:numPr>
          <w:ilvl w:val="0"/>
          <w:numId w:val="343"/>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 awards vest at the end of four-year performance periods based on Sempra Energy’s total return to</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relative to that of market indices. If Sempra Energy’s total return to shareholders exceeds the target levels established under the 2008 Long Term Incentive Plan for awards granted beginning in 2008 and each year since, up to an additional 50 percent of the number of granted restricted stock units may be issued. If Sempra Energy’s total return to shareholders is below the target levels, shares are subject to partial vesting on a pro rata basis. Vesting is subject to earlier forfeiture upon termination of employment and accelerated vesting upon a change in control, in accordance with severance pay agreements or upon eligibility for retirement. Dividend equivalents on shares subject to restricted stock units are reinvested to purchase additional shares that become subject to the same vesting conditions as the restricted stock units to which the dividends relate.</w:t>
      </w:r>
    </w:p>
    <w:p>
      <w:pPr>
        <w:spacing w:after="0" w:line="196"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The Sempra Energy 2008 Long Term Incentive Plan for EnergySouth, Inc. Employees and Other Eligible Individuals (the Plan) authorizes the issuance of up to 302,478 shares of Sempra Energy common stock. In connection with the acquisition of EnergySouth, Inc. in October 2008, we adopted the Plan to utilize the shares remaining available for future awards under the 2008 Incentive Plan of EnergySouth, Inc. (the Prior Plan). All awards outstanding under the Prior Plan at the time of the acquisition were canceled, and the holders were paid the merger consideration in accordance with the terms of the merger agreement.</w:t>
      </w:r>
    </w:p>
    <w:p>
      <w:pPr>
        <w:spacing w:after="0" w:line="2"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The Plan provides for the grant of substantially the same types of share-based awards (other than incentive stock options) that are available under the Sempra Energy 2008 Long Term Incentive Plan.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AWARDS AND COMPENSATION EXPENSE</w:t>
      </w:r>
    </w:p>
    <w:p>
      <w:pPr>
        <w:spacing w:after="0" w:line="23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measure and recognize compensation expense for all share-based payment awards made to our employees and directors based on estimated fair values on the date of grant. We recognize compensation costs net of an estimated forfeiture rate (based on historical experience) and recognize the compensation costs for non-qualified stock options and restricted stock and stock units on a straight-line basis over the requisite service period of the award, which is generally four years. However, in the year that an employee becomes eligible for retirement, the remaining expense related to the employee’s awards is recognized immediately. Substantially all awards outstanding are classified as equity instruments, therefore we recognize additional paid in capital as we recognize the compensation expense associated with the awards.</w:t>
      </w:r>
    </w:p>
    <w:p>
      <w:pPr>
        <w:sectPr>
          <w:pgSz w:w="11900" w:h="16838" w:orient="portrait"/>
          <w:cols w:equalWidth="0" w:num="1">
            <w:col w:w="11420"/>
          </w:cols>
          <w:pgMar w:left="240" w:top="333" w:right="239" w:bottom="53" w:gutter="0" w:footer="0" w:header="0"/>
        </w:sectPr>
      </w:pPr>
    </w:p>
    <w:bookmarkStart w:id="244" w:name="page245"/>
    <w:bookmarkEnd w:id="244"/>
    <w:p>
      <w:pPr>
        <w:ind w:right="460"/>
        <w:spacing w:after="0" w:line="277" w:lineRule="auto"/>
        <w:rPr>
          <w:sz w:val="20"/>
          <w:szCs w:val="20"/>
          <w:color w:val="auto"/>
        </w:rPr>
      </w:pPr>
      <w:r>
        <w:rPr>
          <w:rFonts w:ascii="Arial" w:cs="Arial" w:eastAsia="Arial" w:hAnsi="Arial"/>
          <w:sz w:val="18"/>
          <w:szCs w:val="18"/>
          <w:color w:val="auto"/>
        </w:rPr>
        <w:t>As of December 31, 2011, 2,555,427 shares were authorized and available for future grants of share-based awards. Our practice is to satisfy share-based awards by issuing new shares rather than by open-market 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all of Sempra Energy’s share-based awards was comprised as follows:</w:t>
      </w:r>
    </w:p>
    <w:p>
      <w:pPr>
        <w:spacing w:after="0" w:line="221" w:lineRule="exact"/>
        <w:rPr>
          <w:sz w:val="20"/>
          <w:szCs w:val="20"/>
          <w:color w:val="auto"/>
        </w:rPr>
      </w:pPr>
    </w:p>
    <w:p>
      <w:pPr>
        <w:ind w:right="5060"/>
        <w:spacing w:after="0" w:line="243" w:lineRule="auto"/>
        <w:rPr>
          <w:sz w:val="20"/>
          <w:szCs w:val="20"/>
          <w:color w:val="auto"/>
        </w:rPr>
      </w:pPr>
      <w:r>
        <w:rPr>
          <w:rFonts w:ascii="Arial" w:cs="Arial" w:eastAsia="Arial" w:hAnsi="Arial"/>
          <w:sz w:val="16"/>
          <w:szCs w:val="16"/>
          <w:b w:val="1"/>
          <w:bCs w:val="1"/>
          <w:color w:val="auto"/>
        </w:rPr>
        <w:t xml:space="preserve">SHARE-BASED COMPENSATION EXPENSE ― SEMPRA ENERGY CONSOLIDATED </w:t>
      </w:r>
      <w:r>
        <w:rPr>
          <w:rFonts w:ascii="Arial" w:cs="Arial" w:eastAsia="Arial" w:hAnsi="Arial"/>
          <w:sz w:val="14"/>
          <w:szCs w:val="14"/>
          <w:i w:val="1"/>
          <w:i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520" w:type="dxa"/>
            <w:vAlign w:val="bottom"/>
          </w:tcPr>
          <w:p>
            <w:pPr>
              <w:spacing w:after="0" w:line="164" w:lineRule="exact"/>
              <w:rPr>
                <w:sz w:val="20"/>
                <w:szCs w:val="20"/>
                <w:color w:val="auto"/>
              </w:rPr>
            </w:pPr>
            <w:r>
              <w:rPr>
                <w:rFonts w:ascii="Arial" w:cs="Arial" w:eastAsia="Arial" w:hAnsi="Arial"/>
                <w:sz w:val="16"/>
                <w:szCs w:val="16"/>
                <w:color w:val="auto"/>
              </w:rPr>
              <w:t>Share-based compensation expense, before income taxes</w:t>
            </w:r>
          </w:p>
        </w:tc>
        <w:tc>
          <w:tcPr>
            <w:tcW w:w="1100" w:type="dxa"/>
            <w:vAlign w:val="bottom"/>
          </w:tcPr>
          <w:p>
            <w:pPr>
              <w:jc w:val="right"/>
              <w:ind w:right="741"/>
              <w:spacing w:after="0" w:line="164"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line="164" w:lineRule="exact"/>
              <w:rPr>
                <w:sz w:val="20"/>
                <w:szCs w:val="20"/>
                <w:color w:val="auto"/>
              </w:rPr>
            </w:pPr>
            <w:r>
              <w:rPr>
                <w:rFonts w:ascii="Arial" w:cs="Arial" w:eastAsia="Arial" w:hAnsi="Arial"/>
                <w:sz w:val="16"/>
                <w:szCs w:val="16"/>
                <w:color w:val="auto"/>
              </w:rPr>
              <w:t>44</w:t>
            </w:r>
          </w:p>
        </w:tc>
        <w:tc>
          <w:tcPr>
            <w:tcW w:w="36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34</w:t>
            </w:r>
          </w:p>
        </w:tc>
        <w:tc>
          <w:tcPr>
            <w:tcW w:w="32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4" w:lineRule="exact"/>
              <w:rPr>
                <w:sz w:val="20"/>
                <w:szCs w:val="20"/>
                <w:color w:val="auto"/>
              </w:rPr>
            </w:pPr>
            <w:r>
              <w:rPr>
                <w:rFonts w:ascii="Arial" w:cs="Arial" w:eastAsia="Arial" w:hAnsi="Arial"/>
                <w:sz w:val="16"/>
                <w:szCs w:val="16"/>
                <w:color w:val="auto"/>
              </w:rPr>
              <w:t>34</w:t>
            </w:r>
          </w:p>
        </w:tc>
      </w:tr>
      <w:tr>
        <w:trPr>
          <w:trHeight w:val="194"/>
        </w:trPr>
        <w:tc>
          <w:tcPr>
            <w:tcW w:w="6540" w:type="dxa"/>
            <w:vAlign w:val="bottom"/>
            <w:gridSpan w:val="2"/>
          </w:tcPr>
          <w:p>
            <w:pPr>
              <w:spacing w:after="0"/>
              <w:rPr>
                <w:sz w:val="20"/>
                <w:szCs w:val="20"/>
                <w:color w:val="auto"/>
              </w:rPr>
            </w:pPr>
            <w:r>
              <w:rPr>
                <w:rFonts w:ascii="Arial" w:cs="Arial" w:eastAsia="Arial" w:hAnsi="Arial"/>
                <w:sz w:val="16"/>
                <w:szCs w:val="16"/>
                <w:color w:val="auto"/>
              </w:rPr>
              <w:t>Income tax benefit</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Share-based compensation expense, net of income taxes</w:t>
            </w:r>
          </w:p>
        </w:tc>
        <w:tc>
          <w:tcPr>
            <w:tcW w:w="1100" w:type="dxa"/>
            <w:vAlign w:val="bottom"/>
            <w:tcBorders>
              <w:bottom w:val="single" w:sz="8" w:color="auto"/>
            </w:tcBorders>
          </w:tcPr>
          <w:p>
            <w:pPr>
              <w:jc w:val="right"/>
              <w:ind w:right="741"/>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26</w:t>
            </w:r>
          </w:p>
        </w:tc>
        <w:tc>
          <w:tcPr>
            <w:tcW w:w="36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w:t>
            </w:r>
          </w:p>
        </w:tc>
      </w:tr>
      <w:tr>
        <w:trPr>
          <w:trHeight w:val="340"/>
        </w:trPr>
        <w:tc>
          <w:tcPr>
            <w:tcW w:w="6540" w:type="dxa"/>
            <w:vAlign w:val="bottom"/>
            <w:gridSpan w:val="2"/>
          </w:tcPr>
          <w:p>
            <w:pPr>
              <w:spacing w:after="0"/>
              <w:rPr>
                <w:sz w:val="20"/>
                <w:szCs w:val="20"/>
                <w:color w:val="auto"/>
              </w:rPr>
            </w:pPr>
            <w:r>
              <w:rPr>
                <w:rFonts w:ascii="Arial" w:cs="Arial" w:eastAsia="Arial" w:hAnsi="Arial"/>
                <w:sz w:val="16"/>
                <w:szCs w:val="16"/>
                <w:color w:val="auto"/>
              </w:rPr>
              <w:t>Net share-based compensation expense, per common share</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520" w:type="dxa"/>
            <w:vAlign w:val="bottom"/>
          </w:tcPr>
          <w:p>
            <w:pPr>
              <w:ind w:left="160"/>
              <w:spacing w:after="0" w:line="176" w:lineRule="exact"/>
              <w:rPr>
                <w:sz w:val="20"/>
                <w:szCs w:val="20"/>
                <w:color w:val="auto"/>
              </w:rPr>
            </w:pPr>
            <w:r>
              <w:rPr>
                <w:rFonts w:ascii="Arial" w:cs="Arial" w:eastAsia="Arial" w:hAnsi="Arial"/>
                <w:sz w:val="16"/>
                <w:szCs w:val="16"/>
                <w:color w:val="auto"/>
              </w:rPr>
              <w:t>Basic</w:t>
            </w:r>
          </w:p>
        </w:tc>
        <w:tc>
          <w:tcPr>
            <w:tcW w:w="1100" w:type="dxa"/>
            <w:vAlign w:val="bottom"/>
          </w:tcPr>
          <w:p>
            <w:pPr>
              <w:jc w:val="right"/>
              <w:ind w:right="741"/>
              <w:spacing w:after="0" w:line="176"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line="176" w:lineRule="exact"/>
              <w:rPr>
                <w:sz w:val="20"/>
                <w:szCs w:val="20"/>
                <w:color w:val="auto"/>
              </w:rPr>
            </w:pPr>
            <w:r>
              <w:rPr>
                <w:rFonts w:ascii="Arial" w:cs="Arial" w:eastAsia="Arial" w:hAnsi="Arial"/>
                <w:sz w:val="16"/>
                <w:szCs w:val="16"/>
                <w:color w:val="auto"/>
              </w:rPr>
              <w:t>0.11</w:t>
            </w:r>
          </w:p>
        </w:tc>
        <w:tc>
          <w:tcPr>
            <w:tcW w:w="3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0.09</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0.09</w:t>
            </w:r>
          </w:p>
        </w:tc>
      </w:tr>
      <w:tr>
        <w:trPr>
          <w:trHeight w:val="194"/>
        </w:trPr>
        <w:tc>
          <w:tcPr>
            <w:tcW w:w="20" w:type="dxa"/>
            <w:vAlign w:val="bottom"/>
          </w:tcPr>
          <w:p>
            <w:pPr>
              <w:spacing w:after="0"/>
              <w:rPr>
                <w:sz w:val="16"/>
                <w:szCs w:val="16"/>
                <w:color w:val="auto"/>
              </w:rPr>
            </w:pPr>
          </w:p>
        </w:tc>
        <w:tc>
          <w:tcPr>
            <w:tcW w:w="6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Diluted</w:t>
            </w:r>
          </w:p>
        </w:tc>
        <w:tc>
          <w:tcPr>
            <w:tcW w:w="110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0.11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0.08</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Sempra Energy Consolidated’s capitalized compensation cost was $4 million in 2011, $3 million in 2010 and $5 million in 2009.</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classify the tax benefits resulting from tax deductions in excess of the tax benefit related to compensation cost recognized for stock option exercises as financing cash flows.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Sempra Energy subsidiaries record an expense for the plans to the extent that subsidiary employees participate in the plans and/or the subsidiaries are allocated a portion of the Sempra Energy plans’ corporate staff costs. Expenses and capitalized compensation costs recorded by SDG&amp;E and SoCalGas were as follows: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 EXPENSE ―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520" w:type="dxa"/>
            <w:vAlign w:val="bottom"/>
          </w:tcPr>
          <w:p>
            <w:pPr>
              <w:spacing w:after="0" w:line="164" w:lineRule="exact"/>
              <w:rPr>
                <w:sz w:val="20"/>
                <w:szCs w:val="20"/>
                <w:color w:val="auto"/>
              </w:rPr>
            </w:pPr>
            <w:r>
              <w:rPr>
                <w:rFonts w:ascii="Arial" w:cs="Arial" w:eastAsia="Arial" w:hAnsi="Arial"/>
                <w:sz w:val="16"/>
                <w:szCs w:val="16"/>
                <w:color w:val="auto"/>
              </w:rPr>
              <w:t>SDG&amp;E:</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520" w:type="dxa"/>
            <w:vAlign w:val="bottom"/>
          </w:tcPr>
          <w:p>
            <w:pPr>
              <w:ind w:left="160"/>
              <w:spacing w:after="0" w:line="176" w:lineRule="exact"/>
              <w:rPr>
                <w:sz w:val="20"/>
                <w:szCs w:val="20"/>
                <w:color w:val="auto"/>
              </w:rPr>
            </w:pPr>
            <w:r>
              <w:rPr>
                <w:rFonts w:ascii="Arial" w:cs="Arial" w:eastAsia="Arial" w:hAnsi="Arial"/>
                <w:sz w:val="16"/>
                <w:szCs w:val="16"/>
                <w:color w:val="auto"/>
              </w:rPr>
              <w:t>Compensation expense</w:t>
            </w:r>
          </w:p>
        </w:tc>
        <w:tc>
          <w:tcPr>
            <w:tcW w:w="1220" w:type="dxa"/>
            <w:vAlign w:val="bottom"/>
          </w:tcPr>
          <w:p>
            <w:pPr>
              <w:jc w:val="right"/>
              <w:ind w:right="862"/>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41"/>
              <w:spacing w:after="0" w:line="176" w:lineRule="exact"/>
              <w:rPr>
                <w:sz w:val="20"/>
                <w:szCs w:val="20"/>
                <w:color w:val="auto"/>
              </w:rPr>
            </w:pPr>
            <w:r>
              <w:rPr>
                <w:rFonts w:ascii="Arial" w:cs="Arial" w:eastAsia="Arial" w:hAnsi="Arial"/>
                <w:sz w:val="16"/>
                <w:szCs w:val="16"/>
                <w:color w:val="auto"/>
              </w:rPr>
              <w:t>8</w:t>
            </w:r>
          </w:p>
        </w:tc>
        <w:tc>
          <w:tcPr>
            <w:tcW w:w="3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9</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76"/>
        </w:trPr>
        <w:tc>
          <w:tcPr>
            <w:tcW w:w="20" w:type="dxa"/>
            <w:vAlign w:val="bottom"/>
          </w:tcPr>
          <w:p>
            <w:pPr>
              <w:spacing w:after="0"/>
              <w:rPr>
                <w:sz w:val="15"/>
                <w:szCs w:val="15"/>
                <w:color w:val="auto"/>
              </w:rPr>
            </w:pPr>
          </w:p>
        </w:tc>
        <w:tc>
          <w:tcPr>
            <w:tcW w:w="6520" w:type="dxa"/>
            <w:vAlign w:val="bottom"/>
          </w:tcPr>
          <w:p>
            <w:pPr>
              <w:ind w:left="160"/>
              <w:spacing w:after="0" w:line="176" w:lineRule="exact"/>
              <w:rPr>
                <w:sz w:val="20"/>
                <w:szCs w:val="20"/>
                <w:color w:val="auto"/>
              </w:rPr>
            </w:pPr>
            <w:r>
              <w:rPr>
                <w:rFonts w:ascii="Arial" w:cs="Arial" w:eastAsia="Arial" w:hAnsi="Arial"/>
                <w:sz w:val="16"/>
                <w:szCs w:val="16"/>
                <w:color w:val="auto"/>
              </w:rPr>
              <w:t>Capitalized compensation cost</w:t>
            </w:r>
          </w:p>
        </w:tc>
        <w:tc>
          <w:tcPr>
            <w:tcW w:w="1220" w:type="dxa"/>
            <w:vAlign w:val="bottom"/>
          </w:tcPr>
          <w:p>
            <w:pPr>
              <w:spacing w:after="0"/>
              <w:rPr>
                <w:sz w:val="15"/>
                <w:szCs w:val="15"/>
                <w:color w:val="auto"/>
              </w:rPr>
            </w:pPr>
          </w:p>
        </w:tc>
        <w:tc>
          <w:tcPr>
            <w:tcW w:w="480" w:type="dxa"/>
            <w:vAlign w:val="bottom"/>
          </w:tcPr>
          <w:p>
            <w:pPr>
              <w:jc w:val="right"/>
              <w:ind w:right="41"/>
              <w:spacing w:after="0" w:line="176" w:lineRule="exact"/>
              <w:rPr>
                <w:sz w:val="20"/>
                <w:szCs w:val="20"/>
                <w:color w:val="auto"/>
              </w:rPr>
            </w:pPr>
            <w:r>
              <w:rPr>
                <w:rFonts w:ascii="Arial" w:cs="Arial" w:eastAsia="Arial" w:hAnsi="Arial"/>
                <w:sz w:val="16"/>
                <w:szCs w:val="16"/>
                <w:color w:val="auto"/>
              </w:rPr>
              <w:t>3</w:t>
            </w:r>
          </w:p>
        </w:tc>
        <w:tc>
          <w:tcPr>
            <w:tcW w:w="380" w:type="dxa"/>
            <w:vAlign w:val="bottom"/>
          </w:tcPr>
          <w:p>
            <w:pPr>
              <w:spacing w:after="0"/>
              <w:rPr>
                <w:sz w:val="15"/>
                <w:szCs w:val="15"/>
                <w:color w:val="auto"/>
              </w:rPr>
            </w:pPr>
          </w:p>
        </w:tc>
        <w:tc>
          <w:tcPr>
            <w:tcW w:w="130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2</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76"/>
        </w:trPr>
        <w:tc>
          <w:tcPr>
            <w:tcW w:w="6540" w:type="dxa"/>
            <w:vAlign w:val="bottom"/>
            <w:gridSpan w:val="2"/>
          </w:tcPr>
          <w:p>
            <w:pPr>
              <w:spacing w:after="0" w:line="176" w:lineRule="exact"/>
              <w:rPr>
                <w:sz w:val="20"/>
                <w:szCs w:val="20"/>
                <w:color w:val="auto"/>
              </w:rPr>
            </w:pPr>
            <w:r>
              <w:rPr>
                <w:rFonts w:ascii="Arial" w:cs="Arial" w:eastAsia="Arial" w:hAnsi="Arial"/>
                <w:sz w:val="16"/>
                <w:szCs w:val="16"/>
                <w:color w:val="auto"/>
              </w:rPr>
              <w:t>SoCalGas:</w:t>
            </w: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520" w:type="dxa"/>
            <w:vAlign w:val="bottom"/>
          </w:tcPr>
          <w:p>
            <w:pPr>
              <w:ind w:left="160"/>
              <w:spacing w:after="0" w:line="176" w:lineRule="exact"/>
              <w:rPr>
                <w:sz w:val="20"/>
                <w:szCs w:val="20"/>
                <w:color w:val="auto"/>
              </w:rPr>
            </w:pPr>
            <w:r>
              <w:rPr>
                <w:rFonts w:ascii="Arial" w:cs="Arial" w:eastAsia="Arial" w:hAnsi="Arial"/>
                <w:sz w:val="16"/>
                <w:szCs w:val="16"/>
                <w:color w:val="auto"/>
              </w:rPr>
              <w:t>Compensation expense</w:t>
            </w:r>
          </w:p>
        </w:tc>
        <w:tc>
          <w:tcPr>
            <w:tcW w:w="1220" w:type="dxa"/>
            <w:vAlign w:val="bottom"/>
          </w:tcPr>
          <w:p>
            <w:pPr>
              <w:jc w:val="right"/>
              <w:ind w:right="862"/>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41"/>
              <w:spacing w:after="0" w:line="176" w:lineRule="exact"/>
              <w:rPr>
                <w:sz w:val="20"/>
                <w:szCs w:val="20"/>
                <w:color w:val="auto"/>
              </w:rPr>
            </w:pPr>
            <w:r>
              <w:rPr>
                <w:rFonts w:ascii="Arial" w:cs="Arial" w:eastAsia="Arial" w:hAnsi="Arial"/>
                <w:sz w:val="16"/>
                <w:szCs w:val="16"/>
                <w:color w:val="auto"/>
              </w:rPr>
              <w:t>9</w:t>
            </w:r>
          </w:p>
        </w:tc>
        <w:tc>
          <w:tcPr>
            <w:tcW w:w="3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8</w:t>
            </w:r>
          </w:p>
        </w:tc>
        <w:tc>
          <w:tcPr>
            <w:tcW w:w="3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194"/>
        </w:trPr>
        <w:tc>
          <w:tcPr>
            <w:tcW w:w="20" w:type="dxa"/>
            <w:vAlign w:val="bottom"/>
          </w:tcPr>
          <w:p>
            <w:pPr>
              <w:spacing w:after="0"/>
              <w:rPr>
                <w:sz w:val="16"/>
                <w:szCs w:val="16"/>
                <w:color w:val="auto"/>
              </w:rPr>
            </w:pPr>
          </w:p>
        </w:tc>
        <w:tc>
          <w:tcPr>
            <w:tcW w:w="6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Capitalized compensation cost</w:t>
            </w:r>
          </w:p>
        </w:tc>
        <w:tc>
          <w:tcPr>
            <w:tcW w:w="1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NON-QUALIFIED STOCK OPTIONS</w:t>
      </w:r>
    </w:p>
    <w:p>
      <w:pPr>
        <w:spacing w:after="0" w:line="2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use a Black-Scholes option-pricing model (Black-Scholes model) to estimate the fair value of each non-qualified stock option grant. The use of a valuation model requires us to make certain assumptions about selected model inputs. Expected volatility is calculated based on the historical volatility of Sempra Energy’s stock price. We base the average expected life for options on the contractual term of the option and expected employee exercise and post-termination behavior.</w:t>
      </w:r>
    </w:p>
    <w:p>
      <w:pPr>
        <w:spacing w:after="0" w:line="200" w:lineRule="exact"/>
        <w:rPr>
          <w:sz w:val="20"/>
          <w:szCs w:val="20"/>
          <w:color w:val="auto"/>
        </w:rPr>
      </w:pPr>
    </w:p>
    <w:p>
      <w:pPr>
        <w:spacing w:after="0" w:line="23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risk-free interest rate is based on U.S. Treasury zero-coupon issues with a remaining term equal to the expected life assumed at the date of the grant. No new options were granted in 2011, and the weighted-average per-share fair values for options granted in 2010 and 2009 were $7.92 and $5.29, respectively. To calculate these fair values, we used the Black-Scholes model with the following weighted-average assumptions: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tcPr>
          <w:p>
            <w:pPr>
              <w:jc w:val="right"/>
              <w:ind w:right="1441"/>
              <w:spacing w:after="0"/>
              <w:rPr>
                <w:sz w:val="20"/>
                <w:szCs w:val="20"/>
                <w:color w:val="auto"/>
              </w:rPr>
            </w:pPr>
            <w:r>
              <w:rPr>
                <w:rFonts w:ascii="Arial" w:cs="Arial" w:eastAsia="Arial" w:hAnsi="Arial"/>
                <w:sz w:val="14"/>
                <w:szCs w:val="14"/>
                <w:color w:val="auto"/>
              </w:rPr>
              <w:t>2010</w:t>
            </w:r>
          </w:p>
        </w:tc>
        <w:tc>
          <w:tcPr>
            <w:tcW w:w="2620" w:type="dxa"/>
            <w:vAlign w:val="bottom"/>
            <w:tcBorders>
              <w:bottom w:val="single" w:sz="8" w:color="auto"/>
            </w:tcBorders>
          </w:tcPr>
          <w:p>
            <w:pPr>
              <w:jc w:val="right"/>
              <w:ind w:right="122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4280" w:type="dxa"/>
            <w:vAlign w:val="bottom"/>
          </w:tcPr>
          <w:p>
            <w:pPr>
              <w:spacing w:after="0" w:line="164" w:lineRule="exact"/>
              <w:rPr>
                <w:sz w:val="20"/>
                <w:szCs w:val="20"/>
                <w:color w:val="auto"/>
              </w:rPr>
            </w:pPr>
            <w:r>
              <w:rPr>
                <w:rFonts w:ascii="Arial" w:cs="Arial" w:eastAsia="Arial" w:hAnsi="Arial"/>
                <w:sz w:val="16"/>
                <w:szCs w:val="16"/>
                <w:color w:val="auto"/>
              </w:rPr>
              <w:t>Stock price volatility</w:t>
            </w:r>
          </w:p>
        </w:tc>
        <w:tc>
          <w:tcPr>
            <w:tcW w:w="4500" w:type="dxa"/>
            <w:vAlign w:val="bottom"/>
          </w:tcPr>
          <w:p>
            <w:pPr>
              <w:jc w:val="right"/>
              <w:ind w:right="941"/>
              <w:spacing w:after="0" w:line="164" w:lineRule="exact"/>
              <w:rPr>
                <w:sz w:val="20"/>
                <w:szCs w:val="20"/>
                <w:color w:val="auto"/>
              </w:rPr>
            </w:pPr>
            <w:r>
              <w:rPr>
                <w:rFonts w:ascii="Arial" w:cs="Arial" w:eastAsia="Arial" w:hAnsi="Arial"/>
                <w:sz w:val="16"/>
                <w:szCs w:val="16"/>
                <w:color w:val="auto"/>
              </w:rPr>
              <w:t>19%</w:t>
            </w:r>
          </w:p>
        </w:tc>
        <w:tc>
          <w:tcPr>
            <w:tcW w:w="2620" w:type="dxa"/>
            <w:vAlign w:val="bottom"/>
          </w:tcPr>
          <w:p>
            <w:pPr>
              <w:jc w:val="right"/>
              <w:ind w:right="701"/>
              <w:spacing w:after="0" w:line="164" w:lineRule="exact"/>
              <w:rPr>
                <w:sz w:val="20"/>
                <w:szCs w:val="20"/>
                <w:color w:val="auto"/>
              </w:rPr>
            </w:pPr>
            <w:r>
              <w:rPr>
                <w:rFonts w:ascii="Arial" w:cs="Arial" w:eastAsia="Arial" w:hAnsi="Arial"/>
                <w:sz w:val="16"/>
                <w:szCs w:val="16"/>
                <w:color w:val="auto"/>
              </w:rPr>
              <w:t>18%</w:t>
            </w:r>
          </w:p>
        </w:tc>
      </w:tr>
      <w:tr>
        <w:trPr>
          <w:trHeight w:val="176"/>
        </w:trPr>
        <w:tc>
          <w:tcPr>
            <w:tcW w:w="4300" w:type="dxa"/>
            <w:vAlign w:val="bottom"/>
            <w:gridSpan w:val="2"/>
          </w:tcPr>
          <w:p>
            <w:pPr>
              <w:spacing w:after="0" w:line="176" w:lineRule="exact"/>
              <w:rPr>
                <w:sz w:val="20"/>
                <w:szCs w:val="20"/>
                <w:color w:val="auto"/>
              </w:rPr>
            </w:pPr>
            <w:r>
              <w:rPr>
                <w:rFonts w:ascii="Arial" w:cs="Arial" w:eastAsia="Arial" w:hAnsi="Arial"/>
                <w:sz w:val="16"/>
                <w:szCs w:val="16"/>
                <w:color w:val="auto"/>
              </w:rPr>
              <w:t>Risk-free rate of return</w:t>
            </w:r>
          </w:p>
        </w:tc>
        <w:tc>
          <w:tcPr>
            <w:tcW w:w="4500" w:type="dxa"/>
            <w:vAlign w:val="bottom"/>
          </w:tcPr>
          <w:p>
            <w:pPr>
              <w:jc w:val="right"/>
              <w:ind w:right="941"/>
              <w:spacing w:after="0" w:line="176" w:lineRule="exact"/>
              <w:rPr>
                <w:sz w:val="20"/>
                <w:szCs w:val="20"/>
                <w:color w:val="auto"/>
              </w:rPr>
            </w:pPr>
            <w:r>
              <w:rPr>
                <w:rFonts w:ascii="Arial" w:cs="Arial" w:eastAsia="Arial" w:hAnsi="Arial"/>
                <w:sz w:val="16"/>
                <w:szCs w:val="16"/>
                <w:color w:val="auto"/>
              </w:rPr>
              <w:t>2.6%</w:t>
            </w:r>
          </w:p>
        </w:tc>
        <w:tc>
          <w:tcPr>
            <w:tcW w:w="2620" w:type="dxa"/>
            <w:vAlign w:val="bottom"/>
          </w:tcPr>
          <w:p>
            <w:pPr>
              <w:jc w:val="right"/>
              <w:ind w:right="701"/>
              <w:spacing w:after="0" w:line="176" w:lineRule="exact"/>
              <w:rPr>
                <w:sz w:val="20"/>
                <w:szCs w:val="20"/>
                <w:color w:val="auto"/>
              </w:rPr>
            </w:pPr>
            <w:r>
              <w:rPr>
                <w:rFonts w:ascii="Arial" w:cs="Arial" w:eastAsia="Arial" w:hAnsi="Arial"/>
                <w:sz w:val="16"/>
                <w:szCs w:val="16"/>
                <w:color w:val="auto"/>
              </w:rPr>
              <w:t>1.9%</w:t>
            </w:r>
          </w:p>
        </w:tc>
      </w:tr>
      <w:tr>
        <w:trPr>
          <w:trHeight w:val="176"/>
        </w:trPr>
        <w:tc>
          <w:tcPr>
            <w:tcW w:w="4300" w:type="dxa"/>
            <w:vAlign w:val="bottom"/>
            <w:gridSpan w:val="2"/>
          </w:tcPr>
          <w:p>
            <w:pPr>
              <w:spacing w:after="0" w:line="176" w:lineRule="exact"/>
              <w:rPr>
                <w:sz w:val="20"/>
                <w:szCs w:val="20"/>
                <w:color w:val="auto"/>
              </w:rPr>
            </w:pPr>
            <w:r>
              <w:rPr>
                <w:rFonts w:ascii="Arial" w:cs="Arial" w:eastAsia="Arial" w:hAnsi="Arial"/>
                <w:sz w:val="16"/>
                <w:szCs w:val="16"/>
                <w:color w:val="auto"/>
              </w:rPr>
              <w:t>Annual dividend yield</w:t>
            </w:r>
          </w:p>
        </w:tc>
        <w:tc>
          <w:tcPr>
            <w:tcW w:w="4500" w:type="dxa"/>
            <w:vAlign w:val="bottom"/>
          </w:tcPr>
          <w:p>
            <w:pPr>
              <w:jc w:val="right"/>
              <w:ind w:right="941"/>
              <w:spacing w:after="0" w:line="176" w:lineRule="exact"/>
              <w:rPr>
                <w:sz w:val="20"/>
                <w:szCs w:val="20"/>
                <w:color w:val="auto"/>
              </w:rPr>
            </w:pPr>
            <w:r>
              <w:rPr>
                <w:rFonts w:ascii="Arial" w:cs="Arial" w:eastAsia="Arial" w:hAnsi="Arial"/>
                <w:sz w:val="16"/>
                <w:szCs w:val="16"/>
                <w:color w:val="auto"/>
              </w:rPr>
              <w:t>2.8%</w:t>
            </w:r>
          </w:p>
        </w:tc>
        <w:tc>
          <w:tcPr>
            <w:tcW w:w="2620" w:type="dxa"/>
            <w:vAlign w:val="bottom"/>
          </w:tcPr>
          <w:p>
            <w:pPr>
              <w:jc w:val="right"/>
              <w:ind w:right="701"/>
              <w:spacing w:after="0" w:line="176" w:lineRule="exact"/>
              <w:rPr>
                <w:sz w:val="20"/>
                <w:szCs w:val="20"/>
                <w:color w:val="auto"/>
              </w:rPr>
            </w:pPr>
            <w:r>
              <w:rPr>
                <w:rFonts w:ascii="Arial" w:cs="Arial" w:eastAsia="Arial" w:hAnsi="Arial"/>
                <w:sz w:val="16"/>
                <w:szCs w:val="16"/>
                <w:color w:val="auto"/>
              </w:rPr>
              <w:t>3.2%</w:t>
            </w:r>
          </w:p>
        </w:tc>
      </w:tr>
      <w:tr>
        <w:trPr>
          <w:trHeight w:val="194"/>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450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rPr>
              <w:t>5.5 years</w:t>
            </w:r>
          </w:p>
        </w:tc>
        <w:tc>
          <w:tcPr>
            <w:tcW w:w="262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5.6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the non-qualified stock options as of December 31, 2011 and activity for the year then ended: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jc w:val="center"/>
              <w:ind w:left="663"/>
              <w:spacing w:after="0"/>
              <w:rPr>
                <w:sz w:val="20"/>
                <w:szCs w:val="20"/>
                <w:color w:val="auto"/>
              </w:rPr>
            </w:pPr>
            <w:r>
              <w:rPr>
                <w:rFonts w:ascii="Arial" w:cs="Arial" w:eastAsia="Arial" w:hAnsi="Arial"/>
                <w:sz w:val="14"/>
                <w:szCs w:val="14"/>
                <w:color w:val="auto"/>
              </w:rPr>
              <w:t>Weighted-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6"/>
        </w:trPr>
        <w:tc>
          <w:tcPr>
            <w:tcW w:w="4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left="143"/>
              <w:spacing w:after="0"/>
              <w:rPr>
                <w:sz w:val="20"/>
                <w:szCs w:val="20"/>
                <w:color w:val="auto"/>
              </w:rPr>
            </w:pPr>
            <w:r>
              <w:rPr>
                <w:rFonts w:ascii="Arial" w:cs="Arial" w:eastAsia="Arial" w:hAnsi="Arial"/>
                <w:sz w:val="14"/>
                <w:szCs w:val="14"/>
                <w:color w:val="auto"/>
              </w:rPr>
              <w:t>Weighted-</w:t>
            </w:r>
          </w:p>
        </w:tc>
        <w:tc>
          <w:tcPr>
            <w:tcW w:w="1860" w:type="dxa"/>
            <w:vAlign w:val="bottom"/>
          </w:tcPr>
          <w:p>
            <w:pPr>
              <w:jc w:val="center"/>
              <w:ind w:left="663"/>
              <w:spacing w:after="0"/>
              <w:rPr>
                <w:sz w:val="20"/>
                <w:szCs w:val="20"/>
                <w:color w:val="auto"/>
              </w:rPr>
            </w:pPr>
            <w:r>
              <w:rPr>
                <w:rFonts w:ascii="Arial" w:cs="Arial" w:eastAsia="Arial" w:hAnsi="Arial"/>
                <w:sz w:val="14"/>
                <w:szCs w:val="14"/>
                <w:color w:val="auto"/>
                <w:w w:val="99"/>
              </w:rPr>
              <w:t>Average</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4860" w:type="dxa"/>
            <w:vAlign w:val="bottom"/>
          </w:tcPr>
          <w:p>
            <w:pPr>
              <w:spacing w:after="0"/>
              <w:rPr>
                <w:sz w:val="15"/>
                <w:szCs w:val="15"/>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color w:val="auto"/>
              </w:rPr>
              <w:t>Shares</w:t>
            </w:r>
          </w:p>
        </w:tc>
        <w:tc>
          <w:tcPr>
            <w:tcW w:w="900" w:type="dxa"/>
            <w:vAlign w:val="bottom"/>
          </w:tcPr>
          <w:p>
            <w:pPr>
              <w:jc w:val="center"/>
              <w:ind w:left="143"/>
              <w:spacing w:after="0"/>
              <w:rPr>
                <w:sz w:val="20"/>
                <w:szCs w:val="20"/>
                <w:color w:val="auto"/>
              </w:rPr>
            </w:pPr>
            <w:r>
              <w:rPr>
                <w:rFonts w:ascii="Arial" w:cs="Arial" w:eastAsia="Arial" w:hAnsi="Arial"/>
                <w:sz w:val="14"/>
                <w:szCs w:val="14"/>
                <w:color w:val="auto"/>
                <w:w w:val="99"/>
              </w:rPr>
              <w:t>Average</w:t>
            </w:r>
          </w:p>
        </w:tc>
        <w:tc>
          <w:tcPr>
            <w:tcW w:w="1860" w:type="dxa"/>
            <w:vAlign w:val="bottom"/>
          </w:tcPr>
          <w:p>
            <w:pPr>
              <w:jc w:val="center"/>
              <w:ind w:left="663"/>
              <w:spacing w:after="0"/>
              <w:rPr>
                <w:sz w:val="20"/>
                <w:szCs w:val="20"/>
                <w:color w:val="auto"/>
              </w:rPr>
            </w:pPr>
            <w:r>
              <w:rPr>
                <w:rFonts w:ascii="Arial" w:cs="Arial" w:eastAsia="Arial" w:hAnsi="Arial"/>
                <w:sz w:val="14"/>
                <w:szCs w:val="14"/>
                <w:color w:val="auto"/>
              </w:rPr>
              <w:t>Remaining</w:t>
            </w:r>
          </w:p>
        </w:tc>
        <w:tc>
          <w:tcPr>
            <w:tcW w:w="440" w:type="dxa"/>
            <w:vAlign w:val="bottom"/>
          </w:tcPr>
          <w:p>
            <w:pPr>
              <w:spacing w:after="0"/>
              <w:rPr>
                <w:sz w:val="15"/>
                <w:szCs w:val="15"/>
                <w:color w:val="auto"/>
              </w:rPr>
            </w:pPr>
          </w:p>
        </w:tc>
        <w:tc>
          <w:tcPr>
            <w:tcW w:w="1160" w:type="dxa"/>
            <w:vAlign w:val="bottom"/>
          </w:tcPr>
          <w:p>
            <w:pPr>
              <w:jc w:val="center"/>
              <w:ind w:left="63"/>
              <w:spacing w:after="0"/>
              <w:rPr>
                <w:sz w:val="20"/>
                <w:szCs w:val="20"/>
                <w:color w:val="auto"/>
              </w:rPr>
            </w:pPr>
            <w:r>
              <w:rPr>
                <w:rFonts w:ascii="Arial" w:cs="Arial" w:eastAsia="Arial" w:hAnsi="Arial"/>
                <w:sz w:val="14"/>
                <w:szCs w:val="14"/>
                <w:color w:val="auto"/>
              </w:rPr>
              <w:t>Aggregate</w:t>
            </w:r>
          </w:p>
        </w:tc>
        <w:tc>
          <w:tcPr>
            <w:tcW w:w="280" w:type="dxa"/>
            <w:vAlign w:val="bottom"/>
          </w:tcPr>
          <w:p>
            <w:pPr>
              <w:spacing w:after="0"/>
              <w:rPr>
                <w:sz w:val="15"/>
                <w:szCs w:val="15"/>
                <w:color w:val="auto"/>
              </w:rPr>
            </w:pPr>
          </w:p>
        </w:tc>
      </w:tr>
      <w:tr>
        <w:trPr>
          <w:trHeight w:val="176"/>
        </w:trPr>
        <w:tc>
          <w:tcPr>
            <w:tcW w:w="4860" w:type="dxa"/>
            <w:vAlign w:val="bottom"/>
          </w:tcPr>
          <w:p>
            <w:pPr>
              <w:spacing w:after="0"/>
              <w:rPr>
                <w:sz w:val="15"/>
                <w:szCs w:val="15"/>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color w:val="auto"/>
              </w:rPr>
              <w:t>Under</w:t>
            </w:r>
          </w:p>
        </w:tc>
        <w:tc>
          <w:tcPr>
            <w:tcW w:w="900" w:type="dxa"/>
            <w:vAlign w:val="bottom"/>
          </w:tcPr>
          <w:p>
            <w:pPr>
              <w:jc w:val="center"/>
              <w:ind w:left="143"/>
              <w:spacing w:after="0"/>
              <w:rPr>
                <w:sz w:val="20"/>
                <w:szCs w:val="20"/>
                <w:color w:val="auto"/>
              </w:rPr>
            </w:pPr>
            <w:r>
              <w:rPr>
                <w:rFonts w:ascii="Arial" w:cs="Arial" w:eastAsia="Arial" w:hAnsi="Arial"/>
                <w:sz w:val="14"/>
                <w:szCs w:val="14"/>
                <w:color w:val="auto"/>
              </w:rPr>
              <w:t>Exercise</w:t>
            </w:r>
          </w:p>
        </w:tc>
        <w:tc>
          <w:tcPr>
            <w:tcW w:w="1860" w:type="dxa"/>
            <w:vAlign w:val="bottom"/>
          </w:tcPr>
          <w:p>
            <w:pPr>
              <w:jc w:val="center"/>
              <w:ind w:left="683"/>
              <w:spacing w:after="0"/>
              <w:rPr>
                <w:sz w:val="20"/>
                <w:szCs w:val="20"/>
                <w:color w:val="auto"/>
              </w:rPr>
            </w:pPr>
            <w:r>
              <w:rPr>
                <w:rFonts w:ascii="Arial" w:cs="Arial" w:eastAsia="Arial" w:hAnsi="Arial"/>
                <w:sz w:val="14"/>
                <w:szCs w:val="14"/>
                <w:color w:val="auto"/>
              </w:rPr>
              <w:t>Contractual Term</w:t>
            </w:r>
          </w:p>
        </w:tc>
        <w:tc>
          <w:tcPr>
            <w:tcW w:w="440" w:type="dxa"/>
            <w:vAlign w:val="bottom"/>
          </w:tcPr>
          <w:p>
            <w:pPr>
              <w:spacing w:after="0"/>
              <w:rPr>
                <w:sz w:val="15"/>
                <w:szCs w:val="15"/>
                <w:color w:val="auto"/>
              </w:rPr>
            </w:pPr>
          </w:p>
        </w:tc>
        <w:tc>
          <w:tcPr>
            <w:tcW w:w="1160" w:type="dxa"/>
            <w:vAlign w:val="bottom"/>
          </w:tcPr>
          <w:p>
            <w:pPr>
              <w:jc w:val="center"/>
              <w:ind w:left="63"/>
              <w:spacing w:after="0"/>
              <w:rPr>
                <w:sz w:val="20"/>
                <w:szCs w:val="20"/>
                <w:color w:val="auto"/>
              </w:rPr>
            </w:pPr>
            <w:r>
              <w:rPr>
                <w:rFonts w:ascii="Arial" w:cs="Arial" w:eastAsia="Arial" w:hAnsi="Arial"/>
                <w:sz w:val="14"/>
                <w:szCs w:val="14"/>
                <w:color w:val="auto"/>
              </w:rPr>
              <w:t>Intrinsic Value</w:t>
            </w:r>
          </w:p>
        </w:tc>
        <w:tc>
          <w:tcPr>
            <w:tcW w:w="280" w:type="dxa"/>
            <w:vAlign w:val="bottom"/>
          </w:tcPr>
          <w:p>
            <w:pPr>
              <w:spacing w:after="0"/>
              <w:rPr>
                <w:sz w:val="15"/>
                <w:szCs w:val="15"/>
                <w:color w:val="auto"/>
              </w:rPr>
            </w:pPr>
          </w:p>
        </w:tc>
      </w:tr>
      <w:tr>
        <w:trPr>
          <w:trHeight w:val="168"/>
        </w:trPr>
        <w:tc>
          <w:tcPr>
            <w:tcW w:w="48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Option</w:t>
            </w:r>
          </w:p>
        </w:tc>
        <w:tc>
          <w:tcPr>
            <w:tcW w:w="90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color w:val="auto"/>
              </w:rPr>
              <w:t>Price</w:t>
            </w:r>
          </w:p>
        </w:tc>
        <w:tc>
          <w:tcPr>
            <w:tcW w:w="1860" w:type="dxa"/>
            <w:vAlign w:val="bottom"/>
            <w:tcBorders>
              <w:bottom w:val="single" w:sz="8" w:color="auto"/>
            </w:tcBorders>
          </w:tcPr>
          <w:p>
            <w:pPr>
              <w:jc w:val="center"/>
              <w:ind w:left="663"/>
              <w:spacing w:after="0"/>
              <w:rPr>
                <w:sz w:val="20"/>
                <w:szCs w:val="20"/>
                <w:color w:val="auto"/>
              </w:rPr>
            </w:pPr>
            <w:r>
              <w:rPr>
                <w:rFonts w:ascii="Arial" w:cs="Arial" w:eastAsia="Arial" w:hAnsi="Arial"/>
                <w:sz w:val="14"/>
                <w:szCs w:val="14"/>
                <w:color w:val="auto"/>
              </w:rPr>
              <w:t>(in years)</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4"/>
                <w:szCs w:val="14"/>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6"/>
                <w:szCs w:val="16"/>
                <w:color w:val="auto"/>
              </w:rPr>
              <w:t>Outstanding at December 31, 2010</w:t>
            </w:r>
          </w:p>
        </w:tc>
        <w:tc>
          <w:tcPr>
            <w:tcW w:w="1700" w:type="dxa"/>
            <w:vAlign w:val="bottom"/>
          </w:tcPr>
          <w:p>
            <w:pPr>
              <w:jc w:val="right"/>
              <w:spacing w:after="0"/>
              <w:rPr>
                <w:sz w:val="20"/>
                <w:szCs w:val="20"/>
                <w:color w:val="auto"/>
              </w:rPr>
            </w:pPr>
            <w:r>
              <w:rPr>
                <w:rFonts w:ascii="Arial" w:cs="Arial" w:eastAsia="Arial" w:hAnsi="Arial"/>
                <w:sz w:val="16"/>
                <w:szCs w:val="16"/>
                <w:color w:val="auto"/>
              </w:rPr>
              <w:t>5,630,472</w:t>
            </w:r>
          </w:p>
        </w:tc>
        <w:tc>
          <w:tcPr>
            <w:tcW w:w="220" w:type="dxa"/>
            <w:vAlign w:val="bottom"/>
          </w:tcPr>
          <w:p>
            <w:pPr>
              <w:spacing w:after="0"/>
              <w:rPr>
                <w:sz w:val="16"/>
                <w:szCs w:val="16"/>
                <w:color w:val="auto"/>
              </w:rPr>
            </w:pPr>
          </w:p>
        </w:tc>
        <w:tc>
          <w:tcPr>
            <w:tcW w:w="9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383"/>
              <w:spacing w:after="0"/>
              <w:rPr>
                <w:sz w:val="20"/>
                <w:szCs w:val="20"/>
                <w:color w:val="auto"/>
              </w:rPr>
            </w:pPr>
            <w:r>
              <w:rPr>
                <w:rFonts w:ascii="Arial" w:cs="Arial" w:eastAsia="Arial" w:hAnsi="Arial"/>
                <w:sz w:val="16"/>
                <w:szCs w:val="16"/>
                <w:color w:val="auto"/>
                <w:w w:val="94"/>
              </w:rPr>
              <w:t>44.79</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76"/>
        </w:trPr>
        <w:tc>
          <w:tcPr>
            <w:tcW w:w="4860" w:type="dxa"/>
            <w:vAlign w:val="bottom"/>
          </w:tcPr>
          <w:p>
            <w:pPr>
              <w:ind w:left="180"/>
              <w:spacing w:after="0" w:line="176" w:lineRule="exact"/>
              <w:rPr>
                <w:sz w:val="20"/>
                <w:szCs w:val="20"/>
                <w:color w:val="auto"/>
              </w:rPr>
            </w:pPr>
            <w:r>
              <w:rPr>
                <w:rFonts w:ascii="Arial" w:cs="Arial" w:eastAsia="Arial" w:hAnsi="Arial"/>
                <w:sz w:val="16"/>
                <w:szCs w:val="16"/>
                <w:color w:val="auto"/>
              </w:rPr>
              <w:t>Exercised</w:t>
            </w:r>
          </w:p>
        </w:tc>
        <w:tc>
          <w:tcPr>
            <w:tcW w:w="1700" w:type="dxa"/>
            <w:vAlign w:val="bottom"/>
          </w:tcPr>
          <w:p>
            <w:pPr>
              <w:jc w:val="right"/>
              <w:spacing w:after="0" w:line="176" w:lineRule="exact"/>
              <w:rPr>
                <w:sz w:val="20"/>
                <w:szCs w:val="20"/>
                <w:color w:val="auto"/>
              </w:rPr>
            </w:pPr>
            <w:r>
              <w:rPr>
                <w:rFonts w:ascii="Arial" w:cs="Arial" w:eastAsia="Arial" w:hAnsi="Arial"/>
                <w:sz w:val="16"/>
                <w:szCs w:val="16"/>
                <w:color w:val="auto"/>
              </w:rPr>
              <w:t>(958,126)</w:t>
            </w:r>
          </w:p>
        </w:tc>
        <w:tc>
          <w:tcPr>
            <w:tcW w:w="220" w:type="dxa"/>
            <w:vAlign w:val="bottom"/>
          </w:tcPr>
          <w:p>
            <w:pPr>
              <w:spacing w:after="0"/>
              <w:rPr>
                <w:sz w:val="15"/>
                <w:szCs w:val="15"/>
                <w:color w:val="auto"/>
              </w:rPr>
            </w:pPr>
          </w:p>
        </w:tc>
        <w:tc>
          <w:tcPr>
            <w:tcW w:w="900" w:type="dxa"/>
            <w:vAlign w:val="bottom"/>
          </w:tcPr>
          <w:p>
            <w:pPr>
              <w:jc w:val="right"/>
              <w:ind w:right="403"/>
              <w:spacing w:after="0" w:line="176" w:lineRule="exact"/>
              <w:rPr>
                <w:sz w:val="20"/>
                <w:szCs w:val="20"/>
                <w:color w:val="auto"/>
              </w:rPr>
            </w:pPr>
            <w:r>
              <w:rPr>
                <w:rFonts w:ascii="Arial" w:cs="Arial" w:eastAsia="Arial" w:hAnsi="Arial"/>
                <w:sz w:val="16"/>
                <w:szCs w:val="16"/>
                <w:color w:val="auto"/>
              </w:rPr>
              <w:t>$</w:t>
            </w:r>
          </w:p>
        </w:tc>
        <w:tc>
          <w:tcPr>
            <w:tcW w:w="1860" w:type="dxa"/>
            <w:vAlign w:val="bottom"/>
          </w:tcPr>
          <w:p>
            <w:pPr>
              <w:jc w:val="right"/>
              <w:ind w:right="1383"/>
              <w:spacing w:after="0" w:line="176" w:lineRule="exact"/>
              <w:rPr>
                <w:sz w:val="20"/>
                <w:szCs w:val="20"/>
                <w:color w:val="auto"/>
              </w:rPr>
            </w:pPr>
            <w:r>
              <w:rPr>
                <w:rFonts w:ascii="Arial" w:cs="Arial" w:eastAsia="Arial" w:hAnsi="Arial"/>
                <w:sz w:val="16"/>
                <w:szCs w:val="16"/>
                <w:color w:val="auto"/>
                <w:w w:val="94"/>
              </w:rPr>
              <w:t>29.41</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4"/>
        </w:trPr>
        <w:tc>
          <w:tcPr>
            <w:tcW w:w="4860" w:type="dxa"/>
            <w:vAlign w:val="bottom"/>
          </w:tcPr>
          <w:p>
            <w:pPr>
              <w:ind w:left="180"/>
              <w:spacing w:after="0"/>
              <w:rPr>
                <w:sz w:val="20"/>
                <w:szCs w:val="20"/>
                <w:color w:val="auto"/>
              </w:rPr>
            </w:pPr>
            <w:r>
              <w:rPr>
                <w:rFonts w:ascii="Arial" w:cs="Arial" w:eastAsia="Arial" w:hAnsi="Arial"/>
                <w:sz w:val="16"/>
                <w:szCs w:val="16"/>
                <w:color w:val="auto"/>
              </w:rPr>
              <w:t>Forfeited/canceled</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(41,375)</w:t>
            </w:r>
          </w:p>
        </w:tc>
        <w:tc>
          <w:tcPr>
            <w:tcW w:w="9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383"/>
              <w:spacing w:after="0"/>
              <w:rPr>
                <w:sz w:val="20"/>
                <w:szCs w:val="20"/>
                <w:color w:val="auto"/>
              </w:rPr>
            </w:pPr>
            <w:r>
              <w:rPr>
                <w:rFonts w:ascii="Arial" w:cs="Arial" w:eastAsia="Arial" w:hAnsi="Arial"/>
                <w:sz w:val="16"/>
                <w:szCs w:val="16"/>
                <w:color w:val="auto"/>
                <w:w w:val="94"/>
              </w:rPr>
              <w:t>57.75</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3"/>
        </w:trPr>
        <w:tc>
          <w:tcPr>
            <w:tcW w:w="4860" w:type="dxa"/>
            <w:vAlign w:val="bottom"/>
          </w:tcPr>
          <w:p>
            <w:pPr>
              <w:spacing w:after="0" w:line="176" w:lineRule="exact"/>
              <w:rPr>
                <w:sz w:val="20"/>
                <w:szCs w:val="20"/>
                <w:color w:val="auto"/>
              </w:rPr>
            </w:pPr>
            <w:r>
              <w:rPr>
                <w:rFonts w:ascii="Arial" w:cs="Arial" w:eastAsia="Arial" w:hAnsi="Arial"/>
                <w:sz w:val="16"/>
                <w:szCs w:val="16"/>
                <w:color w:val="auto"/>
              </w:rPr>
              <w:t>Outstanding at December 31, 2011</w:t>
            </w:r>
          </w:p>
        </w:tc>
        <w:tc>
          <w:tcPr>
            <w:tcW w:w="17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4,630,971</w:t>
            </w:r>
          </w:p>
        </w:tc>
        <w:tc>
          <w:tcPr>
            <w:tcW w:w="220" w:type="dxa"/>
            <w:vAlign w:val="bottom"/>
          </w:tcPr>
          <w:p>
            <w:pPr>
              <w:spacing w:after="0"/>
              <w:rPr>
                <w:sz w:val="15"/>
                <w:szCs w:val="15"/>
                <w:color w:val="auto"/>
              </w:rPr>
            </w:pPr>
          </w:p>
        </w:tc>
        <w:tc>
          <w:tcPr>
            <w:tcW w:w="900" w:type="dxa"/>
            <w:vAlign w:val="bottom"/>
          </w:tcPr>
          <w:p>
            <w:pPr>
              <w:jc w:val="right"/>
              <w:ind w:right="403"/>
              <w:spacing w:after="0" w:line="176" w:lineRule="exact"/>
              <w:rPr>
                <w:sz w:val="20"/>
                <w:szCs w:val="20"/>
                <w:color w:val="auto"/>
              </w:rPr>
            </w:pPr>
            <w:r>
              <w:rPr>
                <w:rFonts w:ascii="Arial" w:cs="Arial" w:eastAsia="Arial" w:hAnsi="Arial"/>
                <w:sz w:val="16"/>
                <w:szCs w:val="16"/>
                <w:color w:val="auto"/>
              </w:rPr>
              <w:t>$</w:t>
            </w:r>
          </w:p>
        </w:tc>
        <w:tc>
          <w:tcPr>
            <w:tcW w:w="1860" w:type="dxa"/>
            <w:vAlign w:val="bottom"/>
          </w:tcPr>
          <w:p>
            <w:pPr>
              <w:jc w:val="right"/>
              <w:ind w:right="1383"/>
              <w:spacing w:after="0" w:line="176" w:lineRule="exact"/>
              <w:rPr>
                <w:sz w:val="20"/>
                <w:szCs w:val="20"/>
                <w:color w:val="auto"/>
              </w:rPr>
            </w:pPr>
            <w:r>
              <w:rPr>
                <w:rFonts w:ascii="Arial" w:cs="Arial" w:eastAsia="Arial" w:hAnsi="Arial"/>
                <w:sz w:val="16"/>
                <w:szCs w:val="16"/>
                <w:color w:val="auto"/>
                <w:w w:val="94"/>
              </w:rPr>
              <w:t>47.85</w:t>
            </w:r>
          </w:p>
        </w:tc>
        <w:tc>
          <w:tcPr>
            <w:tcW w:w="4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4.9</w:t>
            </w:r>
          </w:p>
        </w:tc>
        <w:tc>
          <w:tcPr>
            <w:tcW w:w="1160" w:type="dxa"/>
            <w:vAlign w:val="bottom"/>
          </w:tcPr>
          <w:p>
            <w:pPr>
              <w:jc w:val="right"/>
              <w:ind w:right="443"/>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r>
      <w:tr>
        <w:trPr>
          <w:trHeight w:val="340"/>
        </w:trPr>
        <w:tc>
          <w:tcPr>
            <w:tcW w:w="4860" w:type="dxa"/>
            <w:vAlign w:val="bottom"/>
          </w:tcPr>
          <w:p>
            <w:pPr>
              <w:spacing w:after="0"/>
              <w:rPr>
                <w:sz w:val="20"/>
                <w:szCs w:val="20"/>
                <w:color w:val="auto"/>
              </w:rPr>
            </w:pPr>
            <w:r>
              <w:rPr>
                <w:rFonts w:ascii="Arial" w:cs="Arial" w:eastAsia="Arial" w:hAnsi="Arial"/>
                <w:sz w:val="16"/>
                <w:szCs w:val="16"/>
                <w:color w:val="auto"/>
              </w:rPr>
              <w:t>Vested or expected to vest, at December 31, 2011</w:t>
            </w:r>
          </w:p>
        </w:tc>
        <w:tc>
          <w:tcPr>
            <w:tcW w:w="1700" w:type="dxa"/>
            <w:vAlign w:val="bottom"/>
          </w:tcPr>
          <w:p>
            <w:pPr>
              <w:jc w:val="right"/>
              <w:spacing w:after="0"/>
              <w:rPr>
                <w:sz w:val="20"/>
                <w:szCs w:val="20"/>
                <w:color w:val="auto"/>
              </w:rPr>
            </w:pPr>
            <w:r>
              <w:rPr>
                <w:rFonts w:ascii="Arial" w:cs="Arial" w:eastAsia="Arial" w:hAnsi="Arial"/>
                <w:sz w:val="16"/>
                <w:szCs w:val="16"/>
                <w:color w:val="auto"/>
              </w:rPr>
              <w:t>4,615,468</w:t>
            </w:r>
          </w:p>
        </w:tc>
        <w:tc>
          <w:tcPr>
            <w:tcW w:w="220" w:type="dxa"/>
            <w:vAlign w:val="bottom"/>
          </w:tcPr>
          <w:p>
            <w:pPr>
              <w:spacing w:after="0"/>
              <w:rPr>
                <w:sz w:val="24"/>
                <w:szCs w:val="24"/>
                <w:color w:val="auto"/>
              </w:rPr>
            </w:pPr>
          </w:p>
        </w:tc>
        <w:tc>
          <w:tcPr>
            <w:tcW w:w="9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383"/>
              <w:spacing w:after="0"/>
              <w:rPr>
                <w:sz w:val="20"/>
                <w:szCs w:val="20"/>
                <w:color w:val="auto"/>
              </w:rPr>
            </w:pPr>
            <w:r>
              <w:rPr>
                <w:rFonts w:ascii="Arial" w:cs="Arial" w:eastAsia="Arial" w:hAnsi="Arial"/>
                <w:sz w:val="16"/>
                <w:szCs w:val="16"/>
                <w:color w:val="auto"/>
                <w:w w:val="94"/>
              </w:rPr>
              <w:t>47.83</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4.8</w:t>
            </w:r>
          </w:p>
        </w:tc>
        <w:tc>
          <w:tcPr>
            <w:tcW w:w="116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94"/>
        </w:trPr>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Exercisable at December 31, 2011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3,542,346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1383"/>
              <w:spacing w:after="0"/>
              <w:rPr>
                <w:sz w:val="20"/>
                <w:szCs w:val="20"/>
                <w:color w:val="auto"/>
              </w:rPr>
            </w:pPr>
            <w:r>
              <w:rPr>
                <w:rFonts w:ascii="Arial" w:cs="Arial" w:eastAsia="Arial" w:hAnsi="Arial"/>
                <w:sz w:val="16"/>
                <w:szCs w:val="16"/>
                <w:color w:val="auto"/>
                <w:w w:val="94"/>
              </w:rPr>
              <w:t>46.56</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w:t>
            </w: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at December 31, 2011 is the total of the difference between Sempra Energy’s closing stock price and the exercise price for all in-the-money options. The aggregate intrinsic value for non-qualified stock options exercised in the last three years was</w:t>
      </w:r>
    </w:p>
    <w:p>
      <w:pPr>
        <w:spacing w:after="0" w:line="170" w:lineRule="exact"/>
        <w:rPr>
          <w:sz w:val="20"/>
          <w:szCs w:val="20"/>
          <w:color w:val="auto"/>
        </w:rPr>
      </w:pPr>
    </w:p>
    <w:p>
      <w:pPr>
        <w:ind w:left="340" w:hanging="188"/>
        <w:spacing w:after="0"/>
        <w:tabs>
          <w:tab w:leader="none" w:pos="3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$23 million in 2011</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$22 million in 2010</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$45 million in 2009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shares vested in the last three years was</w:t>
      </w:r>
    </w:p>
    <w:p>
      <w:pPr>
        <w:sectPr>
          <w:pgSz w:w="11900" w:h="16838" w:orient="portrait"/>
          <w:cols w:equalWidth="0" w:num="1">
            <w:col w:w="11420"/>
          </w:cols>
          <w:pgMar w:left="240" w:top="125" w:right="239" w:bottom="0" w:gutter="0" w:footer="0" w:header="0"/>
        </w:sectPr>
      </w:pPr>
    </w:p>
    <w:bookmarkStart w:id="245" w:name="page246"/>
    <w:bookmarkEnd w:id="245"/>
    <w:p>
      <w:pPr>
        <w:ind w:left="340" w:hanging="188"/>
        <w:spacing w:after="0"/>
        <w:tabs>
          <w:tab w:leader="none" w:pos="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$7 million in 2011</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$8 million in 2010</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$9 million in 2009</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$1 million of total compensation cost related to nonvested stock options not yet recognized as of December 31, 2011 is expected to be recognized over a weighted-average period of 1.7 years.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received cash from option exercises during 2011 totaling $28 million. There were no realized tax benefits for the share-based payment award deductions in 2011 over and above the $18 million income tax benefit shown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RESTRICTED STOCK AWARDS AND UNITS</w:t>
      </w:r>
    </w:p>
    <w:p>
      <w:pPr>
        <w:spacing w:after="0" w:line="23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use a Monte-Carlo simulation model to estimate the fair value of the restricted stock awards and units. Our determination of fair value is affected by the volatility of the stock price and the dividend yields for Sempra Energy and its peer group companies. The valuation also is affected by the risk-free rates of return, and a number of other variables. Below are key assumptions for Sempra Energy: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6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1160" w:type="dxa"/>
            <w:vAlign w:val="bottom"/>
          </w:tcPr>
          <w:p>
            <w:pPr>
              <w:spacing w:after="0"/>
              <w:rPr>
                <w:sz w:val="14"/>
                <w:szCs w:val="14"/>
                <w:color w:val="auto"/>
              </w:rPr>
            </w:pPr>
          </w:p>
        </w:tc>
        <w:tc>
          <w:tcPr>
            <w:tcW w:w="2280" w:type="dxa"/>
            <w:vAlign w:val="bottom"/>
          </w:tcPr>
          <w:p>
            <w:pPr>
              <w:jc w:val="right"/>
              <w:ind w:right="1081"/>
              <w:spacing w:after="0"/>
              <w:rPr>
                <w:sz w:val="20"/>
                <w:szCs w:val="20"/>
                <w:color w:val="auto"/>
              </w:rPr>
            </w:pPr>
            <w:r>
              <w:rPr>
                <w:rFonts w:ascii="Arial" w:cs="Arial" w:eastAsia="Arial" w:hAnsi="Arial"/>
                <w:sz w:val="14"/>
                <w:szCs w:val="14"/>
                <w:color w:val="auto"/>
              </w:rPr>
              <w:t>2010</w:t>
            </w:r>
          </w:p>
        </w:tc>
        <w:tc>
          <w:tcPr>
            <w:tcW w:w="2120" w:type="dxa"/>
            <w:vAlign w:val="bottom"/>
          </w:tcPr>
          <w:p>
            <w:pPr>
              <w:jc w:val="right"/>
              <w:ind w:right="92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584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Risk-free rate of return</w:t>
            </w:r>
          </w:p>
        </w:tc>
        <w:tc>
          <w:tcPr>
            <w:tcW w:w="1160" w:type="dxa"/>
            <w:vAlign w:val="bottom"/>
            <w:tcBorders>
              <w:top w:val="single" w:sz="8" w:color="auto"/>
            </w:tcBorders>
          </w:tcPr>
          <w:p>
            <w:pPr>
              <w:jc w:val="right"/>
              <w:ind w:right="699"/>
              <w:spacing w:after="0" w:line="164" w:lineRule="exact"/>
              <w:rPr>
                <w:sz w:val="20"/>
                <w:szCs w:val="20"/>
                <w:color w:val="auto"/>
              </w:rPr>
            </w:pPr>
            <w:r>
              <w:rPr>
                <w:rFonts w:ascii="Arial" w:cs="Arial" w:eastAsia="Arial" w:hAnsi="Arial"/>
                <w:sz w:val="16"/>
                <w:szCs w:val="16"/>
                <w:color w:val="auto"/>
                <w:w w:val="98"/>
              </w:rPr>
              <w:t>1.5%</w:t>
            </w:r>
          </w:p>
        </w:tc>
        <w:tc>
          <w:tcPr>
            <w:tcW w:w="2280" w:type="dxa"/>
            <w:vAlign w:val="bottom"/>
            <w:tcBorders>
              <w:top w:val="single" w:sz="8" w:color="auto"/>
            </w:tcBorders>
          </w:tcPr>
          <w:p>
            <w:pPr>
              <w:jc w:val="right"/>
              <w:ind w:right="701"/>
              <w:spacing w:after="0" w:line="164" w:lineRule="exact"/>
              <w:rPr>
                <w:sz w:val="20"/>
                <w:szCs w:val="20"/>
                <w:color w:val="auto"/>
              </w:rPr>
            </w:pPr>
            <w:r>
              <w:rPr>
                <w:rFonts w:ascii="Arial" w:cs="Arial" w:eastAsia="Arial" w:hAnsi="Arial"/>
                <w:sz w:val="16"/>
                <w:szCs w:val="16"/>
                <w:color w:val="auto"/>
              </w:rPr>
              <w:t>2.1%</w:t>
            </w:r>
          </w:p>
        </w:tc>
        <w:tc>
          <w:tcPr>
            <w:tcW w:w="2120" w:type="dxa"/>
            <w:vAlign w:val="bottom"/>
            <w:tcBorders>
              <w:top w:val="single" w:sz="8" w:color="auto"/>
            </w:tcBorders>
          </w:tcPr>
          <w:p>
            <w:pPr>
              <w:jc w:val="right"/>
              <w:ind w:right="541"/>
              <w:spacing w:after="0" w:line="164" w:lineRule="exact"/>
              <w:rPr>
                <w:sz w:val="20"/>
                <w:szCs w:val="20"/>
                <w:color w:val="auto"/>
              </w:rPr>
            </w:pPr>
            <w:r>
              <w:rPr>
                <w:rFonts w:ascii="Arial" w:cs="Arial" w:eastAsia="Arial" w:hAnsi="Arial"/>
                <w:sz w:val="16"/>
                <w:szCs w:val="16"/>
                <w:color w:val="auto"/>
              </w:rPr>
              <w:t>1.4%</w:t>
            </w:r>
          </w:p>
        </w:tc>
      </w:tr>
      <w:tr>
        <w:trPr>
          <w:trHeight w:val="176"/>
        </w:trPr>
        <w:tc>
          <w:tcPr>
            <w:tcW w:w="5860" w:type="dxa"/>
            <w:vAlign w:val="bottom"/>
            <w:gridSpan w:val="2"/>
          </w:tcPr>
          <w:p>
            <w:pPr>
              <w:spacing w:after="0" w:line="176" w:lineRule="exact"/>
              <w:rPr>
                <w:sz w:val="20"/>
                <w:szCs w:val="20"/>
                <w:color w:val="auto"/>
              </w:rPr>
            </w:pPr>
            <w:r>
              <w:rPr>
                <w:rFonts w:ascii="Arial" w:cs="Arial" w:eastAsia="Arial" w:hAnsi="Arial"/>
                <w:sz w:val="16"/>
                <w:szCs w:val="16"/>
                <w:color w:val="auto"/>
              </w:rPr>
              <w:t>Annual dividend yield</w:t>
            </w:r>
          </w:p>
        </w:tc>
        <w:tc>
          <w:tcPr>
            <w:tcW w:w="1160" w:type="dxa"/>
            <w:vAlign w:val="bottom"/>
          </w:tcPr>
          <w:p>
            <w:pPr>
              <w:jc w:val="right"/>
              <w:ind w:right="699"/>
              <w:spacing w:after="0" w:line="176" w:lineRule="exact"/>
              <w:rPr>
                <w:sz w:val="20"/>
                <w:szCs w:val="20"/>
                <w:color w:val="auto"/>
              </w:rPr>
            </w:pPr>
            <w:r>
              <w:rPr>
                <w:rFonts w:ascii="Arial" w:cs="Arial" w:eastAsia="Arial" w:hAnsi="Arial"/>
                <w:sz w:val="16"/>
                <w:szCs w:val="16"/>
                <w:color w:val="auto"/>
                <w:w w:val="98"/>
              </w:rPr>
              <w:t>3.0%</w:t>
            </w:r>
          </w:p>
        </w:tc>
        <w:tc>
          <w:tcPr>
            <w:tcW w:w="2280" w:type="dxa"/>
            <w:vAlign w:val="bottom"/>
          </w:tcPr>
          <w:p>
            <w:pPr>
              <w:jc w:val="right"/>
              <w:ind w:right="701"/>
              <w:spacing w:after="0" w:line="176" w:lineRule="exact"/>
              <w:rPr>
                <w:sz w:val="20"/>
                <w:szCs w:val="20"/>
                <w:color w:val="auto"/>
              </w:rPr>
            </w:pPr>
            <w:r>
              <w:rPr>
                <w:rFonts w:ascii="Arial" w:cs="Arial" w:eastAsia="Arial" w:hAnsi="Arial"/>
                <w:sz w:val="16"/>
                <w:szCs w:val="16"/>
                <w:color w:val="auto"/>
              </w:rPr>
              <w:t>2.8%</w:t>
            </w:r>
          </w:p>
        </w:tc>
        <w:tc>
          <w:tcPr>
            <w:tcW w:w="2120" w:type="dxa"/>
            <w:vAlign w:val="bottom"/>
          </w:tcPr>
          <w:p>
            <w:pPr>
              <w:jc w:val="right"/>
              <w:ind w:right="541"/>
              <w:spacing w:after="0" w:line="176" w:lineRule="exact"/>
              <w:rPr>
                <w:sz w:val="20"/>
                <w:szCs w:val="20"/>
                <w:color w:val="auto"/>
              </w:rPr>
            </w:pPr>
            <w:r>
              <w:rPr>
                <w:rFonts w:ascii="Arial" w:cs="Arial" w:eastAsia="Arial" w:hAnsi="Arial"/>
                <w:sz w:val="16"/>
                <w:szCs w:val="16"/>
                <w:color w:val="auto"/>
              </w:rPr>
              <w:t>3.2%</w:t>
            </w:r>
          </w:p>
        </w:tc>
      </w:tr>
      <w:tr>
        <w:trPr>
          <w:trHeight w:val="194"/>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Stock price volatility</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27%</w:t>
            </w:r>
          </w:p>
        </w:tc>
        <w:tc>
          <w:tcPr>
            <w:tcW w:w="22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26%</w:t>
            </w:r>
          </w:p>
        </w:tc>
        <w:tc>
          <w:tcPr>
            <w:tcW w:w="21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provide a summary of Sempra Energy’s restricted stock awards as of December 31, 2011 and the activity during the year below.</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jc w:val="center"/>
              <w:ind w:right="503"/>
              <w:spacing w:after="0"/>
              <w:rPr>
                <w:sz w:val="20"/>
                <w:szCs w:val="20"/>
                <w:color w:val="auto"/>
              </w:rPr>
            </w:pPr>
            <w:r>
              <w:rPr>
                <w:rFonts w:ascii="Arial" w:cs="Arial" w:eastAsia="Arial" w:hAnsi="Arial"/>
                <w:sz w:val="14"/>
                <w:szCs w:val="14"/>
                <w:color w:val="auto"/>
              </w:rPr>
              <w:t>Weighted-</w:t>
            </w:r>
          </w:p>
        </w:tc>
      </w:tr>
      <w:tr>
        <w:trPr>
          <w:trHeight w:val="176"/>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jc w:val="center"/>
              <w:ind w:right="503"/>
              <w:spacing w:after="0"/>
              <w:rPr>
                <w:sz w:val="20"/>
                <w:szCs w:val="20"/>
                <w:color w:val="auto"/>
              </w:rPr>
            </w:pPr>
            <w:r>
              <w:rPr>
                <w:rFonts w:ascii="Arial" w:cs="Arial" w:eastAsia="Arial" w:hAnsi="Arial"/>
                <w:sz w:val="14"/>
                <w:szCs w:val="14"/>
                <w:color w:val="auto"/>
              </w:rPr>
              <w:t>Average</w:t>
            </w:r>
          </w:p>
        </w:tc>
      </w:tr>
      <w:tr>
        <w:trPr>
          <w:trHeight w:val="176"/>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jc w:val="center"/>
              <w:ind w:right="503"/>
              <w:spacing w:after="0"/>
              <w:rPr>
                <w:sz w:val="20"/>
                <w:szCs w:val="20"/>
                <w:color w:val="auto"/>
              </w:rPr>
            </w:pPr>
            <w:r>
              <w:rPr>
                <w:rFonts w:ascii="Arial" w:cs="Arial" w:eastAsia="Arial" w:hAnsi="Arial"/>
                <w:sz w:val="14"/>
                <w:szCs w:val="14"/>
                <w:color w:val="auto"/>
              </w:rPr>
              <w:t>Grant-Date</w:t>
            </w:r>
          </w:p>
        </w:tc>
      </w:tr>
      <w:tr>
        <w:trPr>
          <w:trHeight w:val="168"/>
        </w:trPr>
        <w:tc>
          <w:tcPr>
            <w:tcW w:w="20" w:type="dxa"/>
            <w:vAlign w:val="bottom"/>
          </w:tcPr>
          <w:p>
            <w:pPr>
              <w:spacing w:after="0"/>
              <w:rPr>
                <w:sz w:val="14"/>
                <w:szCs w:val="14"/>
                <w:color w:val="auto"/>
              </w:rPr>
            </w:pPr>
          </w:p>
        </w:tc>
        <w:tc>
          <w:tcPr>
            <w:tcW w:w="68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Shares</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03"/>
              <w:spacing w:after="0"/>
              <w:rPr>
                <w:sz w:val="20"/>
                <w:szCs w:val="20"/>
                <w:color w:val="auto"/>
              </w:rPr>
            </w:pPr>
            <w:r>
              <w:rPr>
                <w:rFonts w:ascii="Arial" w:cs="Arial" w:eastAsia="Arial" w:hAnsi="Arial"/>
                <w:sz w:val="14"/>
                <w:szCs w:val="14"/>
                <w:color w:val="auto"/>
              </w:rPr>
              <w:t>Fair Value</w:t>
            </w:r>
          </w:p>
        </w:tc>
      </w:tr>
      <w:tr>
        <w:trPr>
          <w:trHeight w:val="164"/>
        </w:trPr>
        <w:tc>
          <w:tcPr>
            <w:tcW w:w="20" w:type="dxa"/>
            <w:vAlign w:val="bottom"/>
          </w:tcPr>
          <w:p>
            <w:pPr>
              <w:spacing w:after="0"/>
              <w:rPr>
                <w:sz w:val="14"/>
                <w:szCs w:val="14"/>
                <w:color w:val="auto"/>
              </w:rPr>
            </w:pPr>
          </w:p>
        </w:tc>
        <w:tc>
          <w:tcPr>
            <w:tcW w:w="8560" w:type="dxa"/>
            <w:vAlign w:val="bottom"/>
            <w:gridSpan w:val="2"/>
          </w:tcPr>
          <w:p>
            <w:pPr>
              <w:spacing w:after="0" w:line="164" w:lineRule="exact"/>
              <w:rPr>
                <w:sz w:val="20"/>
                <w:szCs w:val="20"/>
                <w:color w:val="auto"/>
              </w:rPr>
            </w:pPr>
            <w:r>
              <w:rPr>
                <w:rFonts w:ascii="Arial" w:cs="Arial" w:eastAsia="Arial" w:hAnsi="Arial"/>
                <w:sz w:val="16"/>
                <w:szCs w:val="16"/>
                <w:color w:val="auto"/>
              </w:rPr>
              <w:t>Nonvested at December 31, 2010</w:t>
            </w:r>
          </w:p>
        </w:tc>
        <w:tc>
          <w:tcPr>
            <w:tcW w:w="860" w:type="dxa"/>
            <w:vAlign w:val="bottom"/>
          </w:tcPr>
          <w:p>
            <w:pPr>
              <w:jc w:val="right"/>
              <w:spacing w:after="0" w:line="164" w:lineRule="exact"/>
              <w:rPr>
                <w:sz w:val="20"/>
                <w:szCs w:val="20"/>
                <w:color w:val="auto"/>
              </w:rPr>
            </w:pPr>
            <w:r>
              <w:rPr>
                <w:rFonts w:ascii="Arial" w:cs="Arial" w:eastAsia="Arial" w:hAnsi="Arial"/>
                <w:sz w:val="16"/>
                <w:szCs w:val="16"/>
                <w:color w:val="auto"/>
              </w:rPr>
              <w:t>787,973</w:t>
            </w:r>
          </w:p>
        </w:tc>
        <w:tc>
          <w:tcPr>
            <w:tcW w:w="58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64" w:lineRule="exact"/>
              <w:rPr>
                <w:sz w:val="20"/>
                <w:szCs w:val="20"/>
                <w:color w:val="auto"/>
              </w:rPr>
            </w:pPr>
            <w:r>
              <w:rPr>
                <w:rFonts w:ascii="Arial" w:cs="Arial" w:eastAsia="Arial" w:hAnsi="Arial"/>
                <w:sz w:val="16"/>
                <w:szCs w:val="16"/>
                <w:color w:val="auto"/>
              </w:rPr>
              <w:t>36.73</w:t>
            </w: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Granted</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11,876</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52.96</w:t>
            </w:r>
          </w:p>
        </w:tc>
      </w:tr>
      <w:tr>
        <w:trPr>
          <w:trHeight w:val="194"/>
        </w:trPr>
        <w:tc>
          <w:tcPr>
            <w:tcW w:w="20" w:type="dxa"/>
            <w:vAlign w:val="bottom"/>
          </w:tcPr>
          <w:p>
            <w:pPr>
              <w:spacing w:after="0"/>
              <w:rPr>
                <w:sz w:val="16"/>
                <w:szCs w:val="16"/>
                <w:color w:val="auto"/>
              </w:rPr>
            </w:pPr>
          </w:p>
        </w:tc>
        <w:tc>
          <w:tcPr>
            <w:tcW w:w="6880" w:type="dxa"/>
            <w:vAlign w:val="bottom"/>
          </w:tcPr>
          <w:p>
            <w:pPr>
              <w:ind w:left="160"/>
              <w:spacing w:after="0"/>
              <w:rPr>
                <w:sz w:val="20"/>
                <w:szCs w:val="20"/>
                <w:color w:val="auto"/>
              </w:rPr>
            </w:pPr>
            <w:r>
              <w:rPr>
                <w:rFonts w:ascii="Arial" w:cs="Arial" w:eastAsia="Arial" w:hAnsi="Arial"/>
                <w:sz w:val="16"/>
                <w:szCs w:val="16"/>
                <w:color w:val="auto"/>
              </w:rPr>
              <w:t>Vested</w:t>
            </w:r>
          </w:p>
        </w:tc>
        <w:tc>
          <w:tcPr>
            <w:tcW w:w="1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(775,573)</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36.67</w:t>
            </w:r>
          </w:p>
        </w:tc>
      </w:tr>
      <w:tr>
        <w:trPr>
          <w:trHeight w:val="183"/>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Nonvested at December 31, 2011</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24,276</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46.51</w:t>
            </w:r>
          </w:p>
        </w:tc>
      </w:tr>
      <w:tr>
        <w:trPr>
          <w:trHeight w:val="176"/>
        </w:trPr>
        <w:tc>
          <w:tcPr>
            <w:tcW w:w="6900" w:type="dxa"/>
            <w:vAlign w:val="bottom"/>
            <w:gridSpan w:val="2"/>
          </w:tcPr>
          <w:p>
            <w:pPr>
              <w:spacing w:after="0" w:line="176" w:lineRule="exact"/>
              <w:rPr>
                <w:sz w:val="20"/>
                <w:szCs w:val="20"/>
                <w:color w:val="auto"/>
              </w:rPr>
            </w:pPr>
            <w:r>
              <w:rPr>
                <w:rFonts w:ascii="Arial" w:cs="Arial" w:eastAsia="Arial" w:hAnsi="Arial"/>
                <w:sz w:val="16"/>
                <w:szCs w:val="16"/>
                <w:color w:val="auto"/>
              </w:rPr>
              <w:t>Vested or expected to vest, at December 31, 2011</w:t>
            </w:r>
          </w:p>
        </w:tc>
        <w:tc>
          <w:tcPr>
            <w:tcW w:w="16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24,276</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46.51</w:t>
            </w:r>
          </w:p>
        </w:tc>
      </w:tr>
      <w:tr>
        <w:trPr>
          <w:trHeight w:val="27"/>
        </w:trPr>
        <w:tc>
          <w:tcPr>
            <w:tcW w:w="20" w:type="dxa"/>
            <w:vAlign w:val="bottom"/>
          </w:tcPr>
          <w:p>
            <w:pPr>
              <w:spacing w:after="0"/>
              <w:rPr>
                <w:sz w:val="2"/>
                <w:szCs w:val="2"/>
                <w:color w:val="auto"/>
              </w:rPr>
            </w:pPr>
          </w:p>
        </w:tc>
        <w:tc>
          <w:tcPr>
            <w:tcW w:w="688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$1 million of total compensation cost related to nonvested restricted stock awards not yet recognized as of December 31, 2011 is expected to be recognized in 2012. The weighted-average per-share fair value for restricted stock awards granted in 2009 was $40.34.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shares vested in the last three years was</w:t>
      </w:r>
    </w:p>
    <w:p>
      <w:pPr>
        <w:spacing w:after="0" w:line="225" w:lineRule="exact"/>
        <w:rPr>
          <w:sz w:val="20"/>
          <w:szCs w:val="20"/>
          <w:color w:val="auto"/>
        </w:rPr>
      </w:pPr>
    </w:p>
    <w:p>
      <w:pPr>
        <w:ind w:left="340" w:hanging="188"/>
        <w:spacing w:after="0"/>
        <w:tabs>
          <w:tab w:leader="none" w:pos="3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$28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$4 million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$27 million in 2009</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provide a summary of Sempra Energy’s restricted stock units as of December 31, 2011 and the activity during the year below.</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center"/>
              <w:ind w:right="523"/>
              <w:spacing w:after="0"/>
              <w:rPr>
                <w:sz w:val="20"/>
                <w:szCs w:val="20"/>
                <w:color w:val="auto"/>
              </w:rPr>
            </w:pPr>
            <w:r>
              <w:rPr>
                <w:rFonts w:ascii="Arial" w:cs="Arial" w:eastAsia="Arial" w:hAnsi="Arial"/>
                <w:sz w:val="14"/>
                <w:szCs w:val="14"/>
                <w:color w:val="auto"/>
              </w:rPr>
              <w:t>Weighted-</w:t>
            </w: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center"/>
              <w:ind w:right="523"/>
              <w:spacing w:after="0"/>
              <w:rPr>
                <w:sz w:val="20"/>
                <w:szCs w:val="20"/>
                <w:color w:val="auto"/>
              </w:rPr>
            </w:pPr>
            <w:r>
              <w:rPr>
                <w:rFonts w:ascii="Arial" w:cs="Arial" w:eastAsia="Arial" w:hAnsi="Arial"/>
                <w:sz w:val="14"/>
                <w:szCs w:val="14"/>
                <w:color w:val="auto"/>
                <w:w w:val="99"/>
              </w:rPr>
              <w:t>Average</w:t>
            </w: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center"/>
              <w:ind w:right="523"/>
              <w:spacing w:after="0"/>
              <w:rPr>
                <w:sz w:val="20"/>
                <w:szCs w:val="20"/>
                <w:color w:val="auto"/>
              </w:rPr>
            </w:pPr>
            <w:r>
              <w:rPr>
                <w:rFonts w:ascii="Arial" w:cs="Arial" w:eastAsia="Arial" w:hAnsi="Arial"/>
                <w:sz w:val="14"/>
                <w:szCs w:val="14"/>
                <w:color w:val="auto"/>
              </w:rPr>
              <w:t>Grant-Date</w:t>
            </w:r>
          </w:p>
        </w:tc>
      </w:tr>
      <w:tr>
        <w:trPr>
          <w:trHeight w:val="168"/>
        </w:trPr>
        <w:tc>
          <w:tcPr>
            <w:tcW w:w="20" w:type="dxa"/>
            <w:vAlign w:val="bottom"/>
          </w:tcPr>
          <w:p>
            <w:pPr>
              <w:spacing w:after="0"/>
              <w:rPr>
                <w:sz w:val="14"/>
                <w:szCs w:val="14"/>
                <w:color w:val="auto"/>
              </w:rPr>
            </w:pPr>
          </w:p>
        </w:tc>
        <w:tc>
          <w:tcPr>
            <w:tcW w:w="68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Units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523"/>
              <w:spacing w:after="0"/>
              <w:rPr>
                <w:sz w:val="20"/>
                <w:szCs w:val="20"/>
                <w:color w:val="auto"/>
              </w:rPr>
            </w:pPr>
            <w:r>
              <w:rPr>
                <w:rFonts w:ascii="Arial" w:cs="Arial" w:eastAsia="Arial" w:hAnsi="Arial"/>
                <w:sz w:val="14"/>
                <w:szCs w:val="14"/>
                <w:color w:val="auto"/>
              </w:rPr>
              <w:t>Fair Value</w:t>
            </w:r>
          </w:p>
        </w:tc>
      </w:tr>
      <w:tr>
        <w:trPr>
          <w:trHeight w:val="164"/>
        </w:trPr>
        <w:tc>
          <w:tcPr>
            <w:tcW w:w="20" w:type="dxa"/>
            <w:vAlign w:val="bottom"/>
          </w:tcPr>
          <w:p>
            <w:pPr>
              <w:spacing w:after="0"/>
              <w:rPr>
                <w:sz w:val="14"/>
                <w:szCs w:val="14"/>
                <w:color w:val="auto"/>
              </w:rPr>
            </w:pPr>
          </w:p>
        </w:tc>
        <w:tc>
          <w:tcPr>
            <w:tcW w:w="8420" w:type="dxa"/>
            <w:vAlign w:val="bottom"/>
            <w:gridSpan w:val="2"/>
          </w:tcPr>
          <w:p>
            <w:pPr>
              <w:spacing w:after="0" w:line="164" w:lineRule="exact"/>
              <w:rPr>
                <w:sz w:val="20"/>
                <w:szCs w:val="20"/>
                <w:color w:val="auto"/>
              </w:rPr>
            </w:pPr>
            <w:r>
              <w:rPr>
                <w:rFonts w:ascii="Arial" w:cs="Arial" w:eastAsia="Arial" w:hAnsi="Arial"/>
                <w:sz w:val="16"/>
                <w:szCs w:val="16"/>
                <w:color w:val="auto"/>
              </w:rPr>
              <w:t>Nonvested at December 31, 2010</w:t>
            </w:r>
          </w:p>
        </w:tc>
        <w:tc>
          <w:tcPr>
            <w:tcW w:w="940" w:type="dxa"/>
            <w:vAlign w:val="bottom"/>
          </w:tcPr>
          <w:p>
            <w:pPr>
              <w:jc w:val="right"/>
              <w:spacing w:after="0" w:line="164" w:lineRule="exact"/>
              <w:rPr>
                <w:sz w:val="20"/>
                <w:szCs w:val="20"/>
                <w:color w:val="auto"/>
              </w:rPr>
            </w:pPr>
            <w:r>
              <w:rPr>
                <w:rFonts w:ascii="Arial" w:cs="Arial" w:eastAsia="Arial" w:hAnsi="Arial"/>
                <w:sz w:val="16"/>
                <w:szCs w:val="16"/>
                <w:color w:val="auto"/>
              </w:rPr>
              <w:t>2,231,325</w:t>
            </w:r>
          </w:p>
        </w:tc>
        <w:tc>
          <w:tcPr>
            <w:tcW w:w="240" w:type="dxa"/>
            <w:vAlign w:val="bottom"/>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43.46</w:t>
            </w:r>
          </w:p>
        </w:tc>
      </w:tr>
      <w:tr>
        <w:trPr>
          <w:trHeight w:val="176"/>
        </w:trPr>
        <w:tc>
          <w:tcPr>
            <w:tcW w:w="20" w:type="dxa"/>
            <w:vAlign w:val="bottom"/>
          </w:tcPr>
          <w:p>
            <w:pPr>
              <w:spacing w:after="0"/>
              <w:rPr>
                <w:sz w:val="15"/>
                <w:szCs w:val="15"/>
                <w:color w:val="auto"/>
              </w:rPr>
            </w:pPr>
          </w:p>
        </w:tc>
        <w:tc>
          <w:tcPr>
            <w:tcW w:w="842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Granted</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1,089,223</w:t>
            </w:r>
          </w:p>
        </w:tc>
        <w:tc>
          <w:tcPr>
            <w:tcW w:w="24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42.35</w:t>
            </w:r>
          </w:p>
        </w:tc>
      </w:tr>
      <w:tr>
        <w:trPr>
          <w:trHeight w:val="176"/>
        </w:trPr>
        <w:tc>
          <w:tcPr>
            <w:tcW w:w="20" w:type="dxa"/>
            <w:vAlign w:val="bottom"/>
          </w:tcPr>
          <w:p>
            <w:pPr>
              <w:spacing w:after="0"/>
              <w:rPr>
                <w:sz w:val="15"/>
                <w:szCs w:val="15"/>
                <w:color w:val="auto"/>
              </w:rPr>
            </w:pPr>
          </w:p>
        </w:tc>
        <w:tc>
          <w:tcPr>
            <w:tcW w:w="842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Vested</w:t>
            </w:r>
          </w:p>
        </w:tc>
        <w:tc>
          <w:tcPr>
            <w:tcW w:w="1180" w:type="dxa"/>
            <w:vAlign w:val="bottom"/>
            <w:gridSpan w:val="2"/>
          </w:tcPr>
          <w:p>
            <w:pPr>
              <w:jc w:val="right"/>
              <w:ind w:right="240"/>
              <w:spacing w:after="0" w:line="176" w:lineRule="exact"/>
              <w:rPr>
                <w:sz w:val="20"/>
                <w:szCs w:val="20"/>
                <w:color w:val="auto"/>
              </w:rPr>
            </w:pPr>
            <w:r>
              <w:rPr>
                <w:rFonts w:ascii="Arial" w:cs="Arial" w:eastAsia="Arial" w:hAnsi="Arial"/>
                <w:sz w:val="16"/>
                <w:szCs w:val="16"/>
                <w:color w:val="auto"/>
              </w:rPr>
              <w:t>(10,336)</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50.40</w:t>
            </w:r>
          </w:p>
        </w:tc>
      </w:tr>
      <w:tr>
        <w:trPr>
          <w:trHeight w:val="194"/>
        </w:trPr>
        <w:tc>
          <w:tcPr>
            <w:tcW w:w="20" w:type="dxa"/>
            <w:vAlign w:val="bottom"/>
          </w:tcPr>
          <w:p>
            <w:pPr>
              <w:spacing w:after="0"/>
              <w:rPr>
                <w:sz w:val="16"/>
                <w:szCs w:val="16"/>
                <w:color w:val="auto"/>
              </w:rPr>
            </w:pPr>
          </w:p>
        </w:tc>
        <w:tc>
          <w:tcPr>
            <w:tcW w:w="6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6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(17,700)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42.34</w:t>
            </w:r>
          </w:p>
        </w:tc>
      </w:tr>
      <w:tr>
        <w:trPr>
          <w:trHeight w:val="183"/>
        </w:trPr>
        <w:tc>
          <w:tcPr>
            <w:tcW w:w="6820" w:type="dxa"/>
            <w:vAlign w:val="bottom"/>
            <w:gridSpan w:val="2"/>
          </w:tcPr>
          <w:p>
            <w:pPr>
              <w:spacing w:after="0" w:line="176" w:lineRule="exact"/>
              <w:rPr>
                <w:sz w:val="20"/>
                <w:szCs w:val="20"/>
                <w:color w:val="auto"/>
              </w:rPr>
            </w:pPr>
            <w:r>
              <w:rPr>
                <w:rFonts w:ascii="Arial" w:cs="Arial" w:eastAsia="Arial" w:hAnsi="Arial"/>
                <w:sz w:val="16"/>
                <w:szCs w:val="16"/>
                <w:color w:val="auto"/>
              </w:rPr>
              <w:t>Nonvested at December 31, 2011(1)</w:t>
            </w:r>
          </w:p>
        </w:tc>
        <w:tc>
          <w:tcPr>
            <w:tcW w:w="16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3,292,512</w:t>
            </w:r>
          </w:p>
        </w:tc>
        <w:tc>
          <w:tcPr>
            <w:tcW w:w="24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43.08</w:t>
            </w:r>
          </w:p>
        </w:tc>
      </w:tr>
      <w:tr>
        <w:trPr>
          <w:trHeight w:val="195"/>
        </w:trPr>
        <w:tc>
          <w:tcPr>
            <w:tcW w:w="6820" w:type="dxa"/>
            <w:vAlign w:val="bottom"/>
            <w:gridSpan w:val="2"/>
          </w:tcPr>
          <w:p>
            <w:pPr>
              <w:spacing w:after="0"/>
              <w:rPr>
                <w:sz w:val="20"/>
                <w:szCs w:val="20"/>
                <w:color w:val="auto"/>
              </w:rPr>
            </w:pPr>
            <w:r>
              <w:rPr>
                <w:rFonts w:ascii="Arial" w:cs="Arial" w:eastAsia="Arial" w:hAnsi="Arial"/>
                <w:sz w:val="16"/>
                <w:szCs w:val="16"/>
                <w:color w:val="auto"/>
              </w:rPr>
              <w:t>Vested or expected to vest, at December 31, 2011</w:t>
            </w:r>
          </w:p>
        </w:tc>
        <w:tc>
          <w:tcPr>
            <w:tcW w:w="1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3,231,843</w:t>
            </w: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20" w:right="460" w:hanging="712"/>
        <w:spacing w:after="0" w:line="277" w:lineRule="auto"/>
        <w:tabs>
          <w:tab w:leader="none" w:pos="720" w:val="left"/>
        </w:tabs>
        <w:numPr>
          <w:ilvl w:val="0"/>
          <w:numId w:val="347"/>
        </w:numPr>
        <w:rPr>
          <w:rFonts w:ascii="Arial" w:cs="Arial" w:eastAsia="Arial" w:hAnsi="Arial"/>
          <w:sz w:val="14"/>
          <w:szCs w:val="14"/>
          <w:i w:val="1"/>
          <w:iCs w:val="1"/>
          <w:color w:val="auto"/>
        </w:rPr>
      </w:pPr>
      <w:r>
        <w:rPr>
          <w:rFonts w:ascii="Arial" w:cs="Arial" w:eastAsia="Arial" w:hAnsi="Arial"/>
          <w:sz w:val="14"/>
          <w:szCs w:val="14"/>
          <w:i w:val="1"/>
          <w:iCs w:val="1"/>
          <w:color w:val="auto"/>
        </w:rPr>
        <w:t>Each unit represents the right to receive one share of our common stock if applicable performance conditions are satisfied. Up to an additional 50% of the shares represented by the units may be issued if Sempra Energy exceeds target performance conditions.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$24 million of total compensation cost related to nonvested restricted stock units not yet recognized as of December 31, 2011 is expected to be recognized over a weighted-average period of 2.3 years. The weighted-average per-share fair values for restricted stock units granted were $44.44 in 2010 and $35.96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NOTE 10. DERIVATIVE FINANCIAL INSTRUMENTS</w:t>
      </w:r>
    </w:p>
    <w:p>
      <w:pPr>
        <w:sectPr>
          <w:pgSz w:w="11900" w:h="16838" w:orient="portrait"/>
          <w:cols w:equalWidth="0" w:num="1">
            <w:col w:w="11420"/>
          </w:cols>
          <w:pgMar w:left="240" w:top="125" w:right="239" w:bottom="0" w:gutter="0" w:footer="0" w:header="0"/>
        </w:sectPr>
      </w:pPr>
    </w:p>
    <w:p>
      <w:pPr>
        <w:spacing w:after="0" w:line="19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w:t>
      </w:r>
    </w:p>
    <w:p>
      <w:pPr>
        <w:sectPr>
          <w:pgSz w:w="11900" w:h="16838" w:orient="portrait"/>
          <w:cols w:equalWidth="0" w:num="1">
            <w:col w:w="11420"/>
          </w:cols>
          <w:pgMar w:left="240" w:top="125" w:right="239" w:bottom="0" w:gutter="0" w:footer="0" w:header="0"/>
          <w:type w:val="continuous"/>
        </w:sectPr>
      </w:pPr>
    </w:p>
    <w:bookmarkStart w:id="246" w:name="page247"/>
    <w:bookmarkEnd w:id="246"/>
    <w:p>
      <w:pPr>
        <w:spacing w:after="0"/>
        <w:rPr>
          <w:sz w:val="20"/>
          <w:szCs w:val="20"/>
          <w:color w:val="auto"/>
        </w:rPr>
      </w:pPr>
      <w:r>
        <w:rPr>
          <w:rFonts w:ascii="Arial" w:cs="Arial" w:eastAsia="Arial" w:hAnsi="Arial"/>
          <w:sz w:val="16"/>
          <w:szCs w:val="16"/>
          <w:color w:val="auto"/>
        </w:rPr>
        <w:t>into the economic management of our anticipated revenues, anticipated expenses, assets and liabilities. Derivatives may be effective in mitigating these risks</w:t>
      </w:r>
    </w:p>
    <w:p>
      <w:pPr>
        <w:spacing w:after="0" w:line="46" w:lineRule="exact"/>
        <w:rPr>
          <w:sz w:val="20"/>
          <w:szCs w:val="20"/>
          <w:color w:val="auto"/>
        </w:rPr>
      </w:pPr>
    </w:p>
    <w:p>
      <w:pPr>
        <w:jc w:val="both"/>
        <w:ind w:right="460" w:firstLine="8"/>
        <w:spacing w:after="0" w:line="255" w:lineRule="auto"/>
        <w:tabs>
          <w:tab w:leader="none" w:pos="25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record all derivatives at fair value on the Consolidated Balance Sheets. We designate each derivative as (1) a cash flow hedge, (2) a fair value hedge, or</w:t>
      </w:r>
    </w:p>
    <w:p>
      <w:pPr>
        <w:spacing w:after="0" w:line="46" w:lineRule="exact"/>
        <w:rPr>
          <w:sz w:val="20"/>
          <w:szCs w:val="20"/>
          <w:color w:val="auto"/>
        </w:rPr>
      </w:pPr>
    </w:p>
    <w:p>
      <w:pPr>
        <w:ind w:right="120" w:firstLine="8"/>
        <w:spacing w:after="0" w:line="254" w:lineRule="auto"/>
        <w:tabs>
          <w:tab w:leader="none" w:pos="25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undesignated. Depending on the applicability of hedge accounting and, for the Sempra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Consolidated Statements of Cash Flows.</w:t>
      </w:r>
    </w:p>
    <w:p>
      <w:pPr>
        <w:spacing w:after="0" w:line="1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3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81" w:lineRule="exact"/>
        <w:rPr>
          <w:sz w:val="20"/>
          <w:szCs w:val="20"/>
          <w:color w:val="auto"/>
        </w:rPr>
      </w:pPr>
    </w:p>
    <w:p>
      <w:pPr>
        <w:jc w:val="both"/>
        <w:ind w:left="340" w:hanging="188"/>
        <w:spacing w:after="0" w:line="255" w:lineRule="auto"/>
        <w:tabs>
          <w:tab w:leader="none" w:pos="3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Sempra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Consolidated Statements of Operations are reflected in Cost of Electric Fuel and Purchased Power or in Cost of Natural Gas.</w:t>
      </w:r>
    </w:p>
    <w:p>
      <w:pPr>
        <w:spacing w:after="0" w:line="220"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Consolidated Statements of Operations.</w:t>
      </w:r>
    </w:p>
    <w:p>
      <w:pPr>
        <w:spacing w:after="0" w:line="213"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Sempra Generation uses natural gas and electricity instruments to market energy products and optimize the earnings of its natural gas power plants. Gains and losses associated with these undesignated derivatives are recognized in Energy-Related Businesses Revenues or in Cost of Natural Gas, Electric Fuel and Purchased Power on the Consolidated Statements of Operations.</w:t>
      </w:r>
    </w:p>
    <w:p>
      <w:pPr>
        <w:spacing w:after="0" w:line="208" w:lineRule="exact"/>
        <w:rPr>
          <w:rFonts w:ascii="Arial" w:cs="Arial" w:eastAsia="Arial" w:hAnsi="Arial"/>
          <w:sz w:val="18"/>
          <w:szCs w:val="18"/>
          <w:color w:val="auto"/>
        </w:rPr>
      </w:pPr>
    </w:p>
    <w:p>
      <w:pPr>
        <w:jc w:val="both"/>
        <w:ind w:left="340" w:hanging="188"/>
        <w:spacing w:after="0" w:line="271" w:lineRule="auto"/>
        <w:tabs>
          <w:tab w:leader="none" w:pos="34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Sempra LNG and Sempra Pipelines &amp; Storage use natural gas derivatives to market energy products and optimize the earnings of our liquefied natural gas business and Sempra Pipelines &amp; Storage’s natural gas storage and transportation assets. Sempra Pipelines &amp; Storage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Consolidated Statements of Operations. At Sempra Pipelines &amp; Storage’s non-utility businesses, derivatives are undesignated, and their impact on earnings is recorded in Energy-Related Businesses Revenues or in Cost of Natural Gas, Electric Fuel and Purchased Power on the Consolidated Statements of Operations. Sempra LNG’s derivatives are undesignated, and their impact on earnings is recorded in Energy-Related Businesses Revenues on the Consolidated Statements of Operations.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Sempra Utilities, may use other energy derivatives to hedge exposures such as the price of vehicle fuel.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as of December 31, 2011 and 2010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80" w:type="dxa"/>
            <w:vAlign w:val="bottom"/>
          </w:tcPr>
          <w:p>
            <w:pPr>
              <w:spacing w:after="0"/>
              <w:rPr>
                <w:sz w:val="14"/>
                <w:szCs w:val="14"/>
                <w:color w:val="auto"/>
              </w:rPr>
            </w:pPr>
          </w:p>
        </w:tc>
        <w:tc>
          <w:tcPr>
            <w:tcW w:w="35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December 31,</w:t>
            </w:r>
          </w:p>
        </w:tc>
        <w:tc>
          <w:tcPr>
            <w:tcW w:w="2140" w:type="dxa"/>
            <w:vAlign w:val="bottom"/>
            <w:tcBorders>
              <w:bottom w:val="single" w:sz="8" w:color="auto"/>
            </w:tcBorders>
          </w:tcPr>
          <w:p>
            <w:pPr>
              <w:spacing w:after="0"/>
              <w:rPr>
                <w:sz w:val="14"/>
                <w:szCs w:val="14"/>
                <w:color w:val="auto"/>
              </w:rPr>
            </w:pPr>
          </w:p>
        </w:tc>
      </w:tr>
      <w:tr>
        <w:trPr>
          <w:trHeight w:val="169"/>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 Unit and Commodity</w:t>
            </w:r>
          </w:p>
        </w:tc>
        <w:tc>
          <w:tcPr>
            <w:tcW w:w="3500" w:type="dxa"/>
            <w:vAlign w:val="bottom"/>
            <w:tcBorders>
              <w:bottom w:val="single" w:sz="8" w:color="auto"/>
            </w:tcBorders>
          </w:tcPr>
          <w:p>
            <w:pPr>
              <w:jc w:val="right"/>
              <w:ind w:right="2022"/>
              <w:spacing w:after="0"/>
              <w:rPr>
                <w:sz w:val="20"/>
                <w:szCs w:val="20"/>
                <w:color w:val="auto"/>
              </w:rPr>
            </w:pPr>
            <w:r>
              <w:rPr>
                <w:rFonts w:ascii="Arial" w:cs="Arial" w:eastAsia="Arial" w:hAnsi="Arial"/>
                <w:sz w:val="14"/>
                <w:szCs w:val="14"/>
                <w:color w:val="auto"/>
              </w:rPr>
              <w:t>2011</w:t>
            </w:r>
          </w:p>
        </w:tc>
        <w:tc>
          <w:tcPr>
            <w:tcW w:w="2140" w:type="dxa"/>
            <w:vAlign w:val="bottom"/>
            <w:tcBorders>
              <w:bottom w:val="single" w:sz="8" w:color="auto"/>
            </w:tcBorders>
          </w:tcPr>
          <w:p>
            <w:pPr>
              <w:jc w:val="right"/>
              <w:ind w:right="1360"/>
              <w:spacing w:after="0"/>
              <w:rPr>
                <w:sz w:val="20"/>
                <w:szCs w:val="20"/>
                <w:color w:val="auto"/>
              </w:rPr>
            </w:pPr>
            <w:r>
              <w:rPr>
                <w:rFonts w:ascii="Arial" w:cs="Arial" w:eastAsia="Arial" w:hAnsi="Arial"/>
                <w:sz w:val="14"/>
                <w:szCs w:val="14"/>
                <w:color w:val="auto"/>
              </w:rPr>
              <w:t>2010</w:t>
            </w:r>
          </w:p>
        </w:tc>
      </w:tr>
      <w:tr>
        <w:trPr>
          <w:trHeight w:val="210"/>
        </w:trPr>
        <w:tc>
          <w:tcPr>
            <w:tcW w:w="5780" w:type="dxa"/>
            <w:vAlign w:val="bottom"/>
          </w:tcPr>
          <w:p>
            <w:pPr>
              <w:spacing w:after="0"/>
              <w:rPr>
                <w:sz w:val="20"/>
                <w:szCs w:val="20"/>
                <w:color w:val="auto"/>
              </w:rPr>
            </w:pPr>
            <w:r>
              <w:rPr>
                <w:rFonts w:ascii="Arial" w:cs="Arial" w:eastAsia="Arial" w:hAnsi="Arial"/>
                <w:sz w:val="16"/>
                <w:szCs w:val="16"/>
                <w:color w:val="auto"/>
              </w:rPr>
              <w:t>Sempra Utilities:</w:t>
            </w:r>
          </w:p>
        </w:tc>
        <w:tc>
          <w:tcPr>
            <w:tcW w:w="35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183"/>
        </w:trPr>
        <w:tc>
          <w:tcPr>
            <w:tcW w:w="5780" w:type="dxa"/>
            <w:vAlign w:val="bottom"/>
          </w:tcPr>
          <w:p>
            <w:pPr>
              <w:ind w:left="180"/>
              <w:spacing w:after="0"/>
              <w:rPr>
                <w:sz w:val="20"/>
                <w:szCs w:val="20"/>
                <w:color w:val="auto"/>
              </w:rPr>
            </w:pPr>
            <w:r>
              <w:rPr>
                <w:rFonts w:ascii="Arial" w:cs="Arial" w:eastAsia="Arial" w:hAnsi="Arial"/>
                <w:sz w:val="16"/>
                <w:szCs w:val="16"/>
                <w:color w:val="auto"/>
              </w:rPr>
              <w:t>SDG&amp;E:</w:t>
            </w:r>
          </w:p>
        </w:tc>
        <w:tc>
          <w:tcPr>
            <w:tcW w:w="35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6"/>
        </w:trPr>
        <w:tc>
          <w:tcPr>
            <w:tcW w:w="5780" w:type="dxa"/>
            <w:vAlign w:val="bottom"/>
          </w:tcPr>
          <w:p>
            <w:pPr>
              <w:ind w:left="660"/>
              <w:spacing w:after="0" w:line="176" w:lineRule="exact"/>
              <w:rPr>
                <w:sz w:val="20"/>
                <w:szCs w:val="20"/>
                <w:color w:val="auto"/>
              </w:rPr>
            </w:pPr>
            <w:r>
              <w:rPr>
                <w:rFonts w:ascii="Arial" w:cs="Arial" w:eastAsia="Arial" w:hAnsi="Arial"/>
                <w:sz w:val="16"/>
                <w:szCs w:val="16"/>
                <w:color w:val="auto"/>
              </w:rPr>
              <w:t>Natural gas</w:t>
            </w:r>
          </w:p>
        </w:tc>
        <w:tc>
          <w:tcPr>
            <w:tcW w:w="3500" w:type="dxa"/>
            <w:vAlign w:val="bottom"/>
          </w:tcPr>
          <w:p>
            <w:pPr>
              <w:jc w:val="right"/>
              <w:ind w:right="922"/>
              <w:spacing w:after="0" w:line="176" w:lineRule="exact"/>
              <w:rPr>
                <w:sz w:val="20"/>
                <w:szCs w:val="20"/>
                <w:color w:val="auto"/>
              </w:rPr>
            </w:pPr>
            <w:r>
              <w:rPr>
                <w:rFonts w:ascii="Arial" w:cs="Arial" w:eastAsia="Arial" w:hAnsi="Arial"/>
                <w:sz w:val="16"/>
                <w:szCs w:val="16"/>
                <w:color w:val="auto"/>
              </w:rPr>
              <w:t>35 million MMBtu</w:t>
            </w:r>
          </w:p>
        </w:tc>
        <w:tc>
          <w:tcPr>
            <w:tcW w:w="214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51 million MMBtu</w:t>
            </w:r>
            <w:r>
              <w:rPr>
                <w:rFonts w:ascii="Arial" w:cs="Arial" w:eastAsia="Arial" w:hAnsi="Arial"/>
                <w:sz w:val="14"/>
                <w:szCs w:val="14"/>
                <w:color w:val="auto"/>
              </w:rPr>
              <w:t>(1)</w:t>
            </w:r>
          </w:p>
        </w:tc>
      </w:tr>
      <w:tr>
        <w:trPr>
          <w:trHeight w:val="202"/>
        </w:trPr>
        <w:tc>
          <w:tcPr>
            <w:tcW w:w="5780" w:type="dxa"/>
            <w:vAlign w:val="bottom"/>
          </w:tcPr>
          <w:p>
            <w:pPr>
              <w:ind w:left="660"/>
              <w:spacing w:after="0"/>
              <w:rPr>
                <w:sz w:val="20"/>
                <w:szCs w:val="20"/>
                <w:color w:val="auto"/>
              </w:rPr>
            </w:pPr>
            <w:r>
              <w:rPr>
                <w:rFonts w:ascii="Arial" w:cs="Arial" w:eastAsia="Arial" w:hAnsi="Arial"/>
                <w:sz w:val="16"/>
                <w:szCs w:val="16"/>
                <w:color w:val="auto"/>
              </w:rPr>
              <w:t>Congestion revenue rights</w:t>
            </w:r>
          </w:p>
        </w:tc>
        <w:tc>
          <w:tcPr>
            <w:tcW w:w="3500" w:type="dxa"/>
            <w:vAlign w:val="bottom"/>
          </w:tcPr>
          <w:p>
            <w:pPr>
              <w:jc w:val="right"/>
              <w:ind w:right="922"/>
              <w:spacing w:after="0"/>
              <w:rPr>
                <w:sz w:val="20"/>
                <w:szCs w:val="20"/>
                <w:color w:val="auto"/>
              </w:rPr>
            </w:pPr>
            <w:r>
              <w:rPr>
                <w:rFonts w:ascii="Arial" w:cs="Arial" w:eastAsia="Arial" w:hAnsi="Arial"/>
                <w:sz w:val="16"/>
                <w:szCs w:val="16"/>
                <w:color w:val="auto"/>
              </w:rPr>
              <w:t>19 million MWh</w:t>
            </w:r>
          </w:p>
        </w:tc>
        <w:tc>
          <w:tcPr>
            <w:tcW w:w="2140" w:type="dxa"/>
            <w:vAlign w:val="bottom"/>
          </w:tcPr>
          <w:p>
            <w:pPr>
              <w:jc w:val="right"/>
              <w:ind w:right="400"/>
              <w:spacing w:after="0"/>
              <w:rPr>
                <w:sz w:val="20"/>
                <w:szCs w:val="20"/>
                <w:color w:val="auto"/>
              </w:rPr>
            </w:pPr>
            <w:r>
              <w:rPr>
                <w:rFonts w:ascii="Arial" w:cs="Arial" w:eastAsia="Arial" w:hAnsi="Arial"/>
                <w:sz w:val="16"/>
                <w:szCs w:val="16"/>
                <w:color w:val="auto"/>
              </w:rPr>
              <w:t xml:space="preserve">21 million MWh </w:t>
            </w:r>
            <w:r>
              <w:rPr>
                <w:rFonts w:ascii="Arial" w:cs="Arial" w:eastAsia="Arial" w:hAnsi="Arial"/>
                <w:sz w:val="14"/>
                <w:szCs w:val="14"/>
                <w:color w:val="auto"/>
              </w:rPr>
              <w:t>(2)</w:t>
            </w:r>
          </w:p>
        </w:tc>
      </w:tr>
      <w:tr>
        <w:trPr>
          <w:trHeight w:val="325"/>
        </w:trPr>
        <w:tc>
          <w:tcPr>
            <w:tcW w:w="578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3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6"/>
        </w:trPr>
        <w:tc>
          <w:tcPr>
            <w:tcW w:w="5780" w:type="dxa"/>
            <w:vAlign w:val="bottom"/>
          </w:tcPr>
          <w:p>
            <w:pPr>
              <w:ind w:left="180"/>
              <w:spacing w:after="0" w:line="176" w:lineRule="exact"/>
              <w:rPr>
                <w:sz w:val="20"/>
                <w:szCs w:val="20"/>
                <w:color w:val="auto"/>
              </w:rPr>
            </w:pPr>
            <w:r>
              <w:rPr>
                <w:rFonts w:ascii="Arial" w:cs="Arial" w:eastAsia="Arial" w:hAnsi="Arial"/>
                <w:sz w:val="16"/>
                <w:szCs w:val="16"/>
                <w:color w:val="auto"/>
              </w:rPr>
              <w:t>Sempra Generation - electric power</w:t>
            </w:r>
          </w:p>
        </w:tc>
        <w:tc>
          <w:tcPr>
            <w:tcW w:w="3500" w:type="dxa"/>
            <w:vAlign w:val="bottom"/>
          </w:tcPr>
          <w:p>
            <w:pPr>
              <w:jc w:val="right"/>
              <w:ind w:right="922"/>
              <w:spacing w:after="0" w:line="176" w:lineRule="exact"/>
              <w:rPr>
                <w:sz w:val="20"/>
                <w:szCs w:val="20"/>
                <w:color w:val="auto"/>
              </w:rPr>
            </w:pPr>
            <w:r>
              <w:rPr>
                <w:rFonts w:ascii="Arial" w:cs="Arial" w:eastAsia="Arial" w:hAnsi="Arial"/>
                <w:sz w:val="16"/>
                <w:szCs w:val="16"/>
                <w:color w:val="auto"/>
              </w:rPr>
              <w:t>5 million MWh</w:t>
            </w:r>
          </w:p>
        </w:tc>
        <w:tc>
          <w:tcPr>
            <w:tcW w:w="214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1 million MWh</w:t>
            </w:r>
          </w:p>
        </w:tc>
      </w:tr>
      <w:tr>
        <w:trPr>
          <w:trHeight w:val="176"/>
        </w:trPr>
        <w:tc>
          <w:tcPr>
            <w:tcW w:w="5780" w:type="dxa"/>
            <w:vAlign w:val="bottom"/>
          </w:tcPr>
          <w:p>
            <w:pPr>
              <w:ind w:left="180"/>
              <w:spacing w:after="0" w:line="176" w:lineRule="exact"/>
              <w:rPr>
                <w:sz w:val="20"/>
                <w:szCs w:val="20"/>
                <w:color w:val="auto"/>
              </w:rPr>
            </w:pPr>
            <w:r>
              <w:rPr>
                <w:rFonts w:ascii="Arial" w:cs="Arial" w:eastAsia="Arial" w:hAnsi="Arial"/>
                <w:sz w:val="16"/>
                <w:szCs w:val="16"/>
                <w:color w:val="auto"/>
              </w:rPr>
              <w:t>Sempra Pipelines &amp; Storage - natural gas</w:t>
            </w:r>
          </w:p>
        </w:tc>
        <w:tc>
          <w:tcPr>
            <w:tcW w:w="3500" w:type="dxa"/>
            <w:vAlign w:val="bottom"/>
          </w:tcPr>
          <w:p>
            <w:pPr>
              <w:jc w:val="right"/>
              <w:ind w:right="922"/>
              <w:spacing w:after="0" w:line="176" w:lineRule="exact"/>
              <w:rPr>
                <w:sz w:val="20"/>
                <w:szCs w:val="20"/>
                <w:color w:val="auto"/>
              </w:rPr>
            </w:pPr>
            <w:r>
              <w:rPr>
                <w:rFonts w:ascii="Arial" w:cs="Arial" w:eastAsia="Arial" w:hAnsi="Arial"/>
                <w:sz w:val="16"/>
                <w:szCs w:val="16"/>
                <w:color w:val="auto"/>
              </w:rPr>
              <w:t>16 million MMBtu</w:t>
            </w:r>
          </w:p>
        </w:tc>
        <w:tc>
          <w:tcPr>
            <w:tcW w:w="214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8 million MMBtu</w:t>
            </w:r>
          </w:p>
        </w:tc>
      </w:tr>
      <w:tr>
        <w:trPr>
          <w:trHeight w:val="195"/>
        </w:trPr>
        <w:tc>
          <w:tcPr>
            <w:tcW w:w="5780" w:type="dxa"/>
            <w:vAlign w:val="bottom"/>
          </w:tcPr>
          <w:p>
            <w:pPr>
              <w:ind w:left="180"/>
              <w:spacing w:after="0"/>
              <w:rPr>
                <w:sz w:val="20"/>
                <w:szCs w:val="20"/>
                <w:color w:val="auto"/>
              </w:rPr>
            </w:pPr>
            <w:r>
              <w:rPr>
                <w:rFonts w:ascii="Arial" w:cs="Arial" w:eastAsia="Arial" w:hAnsi="Arial"/>
                <w:sz w:val="16"/>
                <w:szCs w:val="16"/>
                <w:color w:val="auto"/>
              </w:rPr>
              <w:t>Sempra LNG - natural gas</w:t>
            </w:r>
          </w:p>
        </w:tc>
        <w:tc>
          <w:tcPr>
            <w:tcW w:w="3500" w:type="dxa"/>
            <w:vAlign w:val="bottom"/>
          </w:tcPr>
          <w:p>
            <w:pPr>
              <w:jc w:val="right"/>
              <w:ind w:right="922"/>
              <w:spacing w:after="0"/>
              <w:rPr>
                <w:sz w:val="20"/>
                <w:szCs w:val="20"/>
                <w:color w:val="auto"/>
              </w:rPr>
            </w:pPr>
            <w:r>
              <w:rPr>
                <w:rFonts w:ascii="Arial" w:cs="Arial" w:eastAsia="Arial" w:hAnsi="Arial"/>
                <w:sz w:val="16"/>
                <w:szCs w:val="16"/>
                <w:color w:val="auto"/>
              </w:rPr>
              <w:t>5 million MMBtu</w:t>
            </w:r>
          </w:p>
        </w:tc>
        <w:tc>
          <w:tcPr>
            <w:tcW w:w="2140" w:type="dxa"/>
            <w:vAlign w:val="bottom"/>
          </w:tcPr>
          <w:p>
            <w:pPr>
              <w:jc w:val="right"/>
              <w:ind w:right="580"/>
              <w:spacing w:after="0"/>
              <w:rPr>
                <w:sz w:val="20"/>
                <w:szCs w:val="20"/>
                <w:color w:val="auto"/>
              </w:rPr>
            </w:pPr>
            <w:r>
              <w:rPr>
                <w:rFonts w:ascii="Arial" w:cs="Arial" w:eastAsia="Arial" w:hAnsi="Arial"/>
                <w:sz w:val="16"/>
                <w:szCs w:val="16"/>
                <w:color w:val="auto"/>
              </w:rPr>
              <w:t>7 million MMBtu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60" w:hanging="652"/>
        <w:spacing w:after="0"/>
        <w:tabs>
          <w:tab w:leader="none" w:pos="660" w:val="left"/>
        </w:tabs>
        <w:numPr>
          <w:ilvl w:val="0"/>
          <w:numId w:val="351"/>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15" w:lineRule="exact"/>
        <w:rPr>
          <w:rFonts w:ascii="Arial" w:cs="Arial" w:eastAsia="Arial" w:hAnsi="Arial"/>
          <w:sz w:val="14"/>
          <w:szCs w:val="14"/>
          <w:i w:val="1"/>
          <w:iCs w:val="1"/>
          <w:color w:val="auto"/>
        </w:rPr>
      </w:pPr>
    </w:p>
    <w:p>
      <w:pPr>
        <w:ind w:left="660" w:hanging="652"/>
        <w:spacing w:after="0"/>
        <w:tabs>
          <w:tab w:leader="none" w:pos="660" w:val="left"/>
        </w:tabs>
        <w:numPr>
          <w:ilvl w:val="0"/>
          <w:numId w:val="351"/>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ectPr>
          <w:pgSz w:w="11900" w:h="16838" w:orient="portrait"/>
          <w:cols w:equalWidth="0" w:num="1">
            <w:col w:w="11420"/>
          </w:cols>
          <w:pgMar w:left="240" w:top="125" w:right="239" w:bottom="0" w:gutter="0" w:footer="0" w:header="0"/>
        </w:sectPr>
      </w:pPr>
    </w:p>
    <w:bookmarkStart w:id="247" w:name="page248"/>
    <w:bookmarkEnd w:id="247"/>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customers, assets and other contractual obligations, such as natural gas purchases and sales.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5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Interest rate derivatives are utilized by the Sempra Utilities as well as by other Sempra Energy subsidiaries. Although the Sempra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Sempra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amounts of our interest rate derivatives as of December 31, 2011 and 2010 were: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981"/>
              <w:spacing w:after="0"/>
              <w:rPr>
                <w:sz w:val="20"/>
                <w:szCs w:val="20"/>
                <w:color w:val="auto"/>
              </w:rPr>
            </w:pPr>
            <w:r>
              <w:rPr>
                <w:rFonts w:ascii="Arial" w:cs="Arial" w:eastAsia="Arial" w:hAnsi="Arial"/>
                <w:sz w:val="14"/>
                <w:szCs w:val="14"/>
                <w:color w:val="auto"/>
              </w:rPr>
              <w:t>December 31, 2011</w:t>
            </w:r>
          </w:p>
        </w:tc>
        <w:tc>
          <w:tcPr>
            <w:tcW w:w="5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841"/>
              <w:spacing w:after="0"/>
              <w:rPr>
                <w:sz w:val="20"/>
                <w:szCs w:val="20"/>
                <w:color w:val="auto"/>
              </w:rPr>
            </w:pPr>
            <w:r>
              <w:rPr>
                <w:rFonts w:ascii="Arial" w:cs="Arial" w:eastAsia="Arial" w:hAnsi="Arial"/>
                <w:sz w:val="14"/>
                <w:szCs w:val="14"/>
                <w:color w:val="auto"/>
              </w:rPr>
              <w:t>December 31, 2010</w:t>
            </w:r>
          </w:p>
        </w:tc>
        <w:tc>
          <w:tcPr>
            <w:tcW w:w="20" w:type="dxa"/>
            <w:vAlign w:val="bottom"/>
          </w:tcPr>
          <w:p>
            <w:pPr>
              <w:spacing w:after="0"/>
              <w:rPr>
                <w:sz w:val="14"/>
                <w:szCs w:val="14"/>
                <w:color w:val="auto"/>
              </w:rPr>
            </w:pPr>
          </w:p>
        </w:tc>
      </w:tr>
      <w:tr>
        <w:trPr>
          <w:trHeight w:val="169"/>
        </w:trPr>
        <w:tc>
          <w:tcPr>
            <w:tcW w:w="5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820" w:type="dxa"/>
            <w:vAlign w:val="bottom"/>
            <w:gridSpan w:val="2"/>
          </w:tcPr>
          <w:p>
            <w:pPr>
              <w:jc w:val="right"/>
              <w:ind w:right="501"/>
              <w:spacing w:after="0"/>
              <w:rPr>
                <w:sz w:val="20"/>
                <w:szCs w:val="20"/>
                <w:color w:val="auto"/>
              </w:rPr>
            </w:pPr>
            <w:r>
              <w:rPr>
                <w:rFonts w:ascii="Arial" w:cs="Arial" w:eastAsia="Arial" w:hAnsi="Arial"/>
                <w:sz w:val="14"/>
                <w:szCs w:val="14"/>
                <w:color w:val="auto"/>
              </w:rPr>
              <w:t>Notional Debt</w:t>
            </w:r>
          </w:p>
        </w:tc>
        <w:tc>
          <w:tcPr>
            <w:tcW w:w="1420" w:type="dxa"/>
            <w:vAlign w:val="bottom"/>
          </w:tcPr>
          <w:p>
            <w:pPr>
              <w:jc w:val="right"/>
              <w:ind w:right="501"/>
              <w:spacing w:after="0"/>
              <w:rPr>
                <w:sz w:val="20"/>
                <w:szCs w:val="20"/>
                <w:color w:val="auto"/>
              </w:rPr>
            </w:pPr>
            <w:r>
              <w:rPr>
                <w:rFonts w:ascii="Arial" w:cs="Arial" w:eastAsia="Arial" w:hAnsi="Arial"/>
                <w:sz w:val="14"/>
                <w:szCs w:val="14"/>
                <w:color w:val="auto"/>
              </w:rPr>
              <w:t>Maturities</w:t>
            </w:r>
          </w:p>
        </w:tc>
        <w:tc>
          <w:tcPr>
            <w:tcW w:w="1660" w:type="dxa"/>
            <w:vAlign w:val="bottom"/>
            <w:gridSpan w:val="2"/>
          </w:tcPr>
          <w:p>
            <w:pPr>
              <w:jc w:val="right"/>
              <w:ind w:right="501"/>
              <w:spacing w:after="0"/>
              <w:rPr>
                <w:sz w:val="20"/>
                <w:szCs w:val="20"/>
                <w:color w:val="auto"/>
              </w:rPr>
            </w:pPr>
            <w:r>
              <w:rPr>
                <w:rFonts w:ascii="Arial" w:cs="Arial" w:eastAsia="Arial" w:hAnsi="Arial"/>
                <w:sz w:val="14"/>
                <w:szCs w:val="14"/>
                <w:color w:val="auto"/>
              </w:rPr>
              <w:t>Notional Debt</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color w:val="auto"/>
              </w:rPr>
              <w:t>Maturities</w:t>
            </w:r>
          </w:p>
        </w:tc>
      </w:tr>
      <w:tr>
        <w:trPr>
          <w:trHeight w:val="164"/>
        </w:trPr>
        <w:tc>
          <w:tcPr>
            <w:tcW w:w="20" w:type="dxa"/>
            <w:vAlign w:val="bottom"/>
          </w:tcPr>
          <w:p>
            <w:pPr>
              <w:spacing w:after="0"/>
              <w:rPr>
                <w:sz w:val="14"/>
                <w:szCs w:val="14"/>
                <w:color w:val="auto"/>
              </w:rPr>
            </w:pPr>
          </w:p>
        </w:tc>
        <w:tc>
          <w:tcPr>
            <w:tcW w:w="52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Sempra Energy Consolidated(1)</w:t>
            </w:r>
          </w:p>
        </w:tc>
        <w:tc>
          <w:tcPr>
            <w:tcW w:w="660" w:type="dxa"/>
            <w:vAlign w:val="bottom"/>
            <w:tcBorders>
              <w:top w:val="single" w:sz="8" w:color="auto"/>
            </w:tcBorders>
          </w:tcPr>
          <w:p>
            <w:pPr>
              <w:jc w:val="right"/>
              <w:ind w:right="183"/>
              <w:spacing w:after="0" w:line="164"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21"/>
              <w:spacing w:after="0" w:line="164" w:lineRule="exact"/>
              <w:rPr>
                <w:sz w:val="20"/>
                <w:szCs w:val="20"/>
                <w:color w:val="auto"/>
              </w:rPr>
            </w:pPr>
            <w:r>
              <w:rPr>
                <w:rFonts w:ascii="Arial" w:cs="Arial" w:eastAsia="Arial" w:hAnsi="Arial"/>
                <w:sz w:val="16"/>
                <w:szCs w:val="16"/>
                <w:color w:val="auto"/>
              </w:rPr>
              <w:t>15-305</w:t>
            </w:r>
          </w:p>
        </w:tc>
        <w:tc>
          <w:tcPr>
            <w:tcW w:w="1420" w:type="dxa"/>
            <w:vAlign w:val="bottom"/>
            <w:tcBorders>
              <w:top w:val="single" w:sz="8" w:color="auto"/>
            </w:tcBorders>
          </w:tcPr>
          <w:p>
            <w:pPr>
              <w:jc w:val="right"/>
              <w:ind w:right="81"/>
              <w:spacing w:after="0" w:line="164" w:lineRule="exact"/>
              <w:rPr>
                <w:sz w:val="20"/>
                <w:szCs w:val="20"/>
                <w:color w:val="auto"/>
              </w:rPr>
            </w:pPr>
            <w:r>
              <w:rPr>
                <w:rFonts w:ascii="Arial" w:cs="Arial" w:eastAsia="Arial" w:hAnsi="Arial"/>
                <w:sz w:val="16"/>
                <w:szCs w:val="16"/>
                <w:color w:val="auto"/>
              </w:rPr>
              <w:t>2013-2019</w:t>
            </w:r>
          </w:p>
        </w:tc>
        <w:tc>
          <w:tcPr>
            <w:tcW w:w="500" w:type="dxa"/>
            <w:vAlign w:val="bottom"/>
            <w:tcBorders>
              <w:top w:val="single" w:sz="8" w:color="auto"/>
            </w:tcBorders>
          </w:tcPr>
          <w:p>
            <w:pPr>
              <w:jc w:val="right"/>
              <w:ind w:right="183"/>
              <w:spacing w:after="0" w:line="164"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21"/>
              <w:spacing w:after="0" w:line="164" w:lineRule="exact"/>
              <w:rPr>
                <w:sz w:val="20"/>
                <w:szCs w:val="20"/>
                <w:color w:val="auto"/>
              </w:rPr>
            </w:pPr>
            <w:r>
              <w:rPr>
                <w:rFonts w:ascii="Arial" w:cs="Arial" w:eastAsia="Arial" w:hAnsi="Arial"/>
                <w:sz w:val="16"/>
                <w:szCs w:val="16"/>
                <w:color w:val="auto"/>
              </w:rPr>
              <w:t>215-355</w:t>
            </w:r>
          </w:p>
        </w:tc>
        <w:tc>
          <w:tcPr>
            <w:tcW w:w="12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2011-2019</w:t>
            </w:r>
          </w:p>
        </w:tc>
        <w:tc>
          <w:tcPr>
            <w:tcW w:w="20" w:type="dxa"/>
            <w:vAlign w:val="bottom"/>
          </w:tcPr>
          <w:p>
            <w:pPr>
              <w:spacing w:after="0"/>
              <w:rPr>
                <w:sz w:val="14"/>
                <w:szCs w:val="14"/>
                <w:color w:val="auto"/>
              </w:rPr>
            </w:pPr>
          </w:p>
        </w:tc>
      </w:tr>
      <w:tr>
        <w:trPr>
          <w:trHeight w:val="176"/>
        </w:trPr>
        <w:tc>
          <w:tcPr>
            <w:tcW w:w="5240" w:type="dxa"/>
            <w:vAlign w:val="bottom"/>
            <w:gridSpan w:val="2"/>
          </w:tcPr>
          <w:p>
            <w:pPr>
              <w:spacing w:after="0" w:line="176" w:lineRule="exact"/>
              <w:rPr>
                <w:sz w:val="20"/>
                <w:szCs w:val="20"/>
                <w:color w:val="auto"/>
              </w:rPr>
            </w:pPr>
            <w:r>
              <w:rPr>
                <w:rFonts w:ascii="Arial" w:cs="Arial" w:eastAsia="Arial" w:hAnsi="Arial"/>
                <w:sz w:val="16"/>
                <w:szCs w:val="16"/>
                <w:color w:val="auto"/>
              </w:rPr>
              <w:t>SDG&amp;E(1)</w:t>
            </w:r>
          </w:p>
        </w:tc>
        <w:tc>
          <w:tcPr>
            <w:tcW w:w="660" w:type="dxa"/>
            <w:vAlign w:val="bottom"/>
          </w:tcPr>
          <w:p>
            <w:pPr>
              <w:spacing w:after="0"/>
              <w:rPr>
                <w:sz w:val="15"/>
                <w:szCs w:val="15"/>
                <w:color w:val="auto"/>
              </w:rPr>
            </w:pPr>
          </w:p>
        </w:tc>
        <w:tc>
          <w:tcPr>
            <w:tcW w:w="1160" w:type="dxa"/>
            <w:vAlign w:val="bottom"/>
          </w:tcPr>
          <w:p>
            <w:pPr>
              <w:jc w:val="right"/>
              <w:ind w:right="121"/>
              <w:spacing w:after="0" w:line="176" w:lineRule="exact"/>
              <w:rPr>
                <w:sz w:val="20"/>
                <w:szCs w:val="20"/>
                <w:color w:val="auto"/>
              </w:rPr>
            </w:pPr>
            <w:r>
              <w:rPr>
                <w:rFonts w:ascii="Arial" w:cs="Arial" w:eastAsia="Arial" w:hAnsi="Arial"/>
                <w:sz w:val="16"/>
                <w:szCs w:val="16"/>
                <w:color w:val="auto"/>
              </w:rPr>
              <w:t>285-355</w:t>
            </w:r>
          </w:p>
        </w:tc>
        <w:tc>
          <w:tcPr>
            <w:tcW w:w="1420" w:type="dxa"/>
            <w:vAlign w:val="bottom"/>
          </w:tcPr>
          <w:p>
            <w:pPr>
              <w:jc w:val="right"/>
              <w:ind w:right="81"/>
              <w:spacing w:after="0" w:line="176" w:lineRule="exact"/>
              <w:rPr>
                <w:sz w:val="20"/>
                <w:szCs w:val="20"/>
                <w:color w:val="auto"/>
              </w:rPr>
            </w:pPr>
            <w:r>
              <w:rPr>
                <w:rFonts w:ascii="Arial" w:cs="Arial" w:eastAsia="Arial" w:hAnsi="Arial"/>
                <w:sz w:val="16"/>
                <w:szCs w:val="16"/>
                <w:color w:val="auto"/>
              </w:rPr>
              <w:t>2019</w:t>
            </w:r>
          </w:p>
        </w:tc>
        <w:tc>
          <w:tcPr>
            <w:tcW w:w="500" w:type="dxa"/>
            <w:vAlign w:val="bottom"/>
          </w:tcPr>
          <w:p>
            <w:pPr>
              <w:spacing w:after="0"/>
              <w:rPr>
                <w:sz w:val="15"/>
                <w:szCs w:val="15"/>
                <w:color w:val="auto"/>
              </w:rPr>
            </w:pPr>
          </w:p>
        </w:tc>
        <w:tc>
          <w:tcPr>
            <w:tcW w:w="1160" w:type="dxa"/>
            <w:vAlign w:val="bottom"/>
          </w:tcPr>
          <w:p>
            <w:pPr>
              <w:jc w:val="right"/>
              <w:ind w:right="121"/>
              <w:spacing w:after="0" w:line="176" w:lineRule="exact"/>
              <w:rPr>
                <w:sz w:val="20"/>
                <w:szCs w:val="20"/>
                <w:color w:val="auto"/>
              </w:rPr>
            </w:pPr>
            <w:r>
              <w:rPr>
                <w:rFonts w:ascii="Arial" w:cs="Arial" w:eastAsia="Arial" w:hAnsi="Arial"/>
                <w:sz w:val="16"/>
                <w:szCs w:val="16"/>
                <w:color w:val="auto"/>
              </w:rPr>
              <w:t>285-365</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2019</w:t>
            </w:r>
          </w:p>
        </w:tc>
      </w:tr>
      <w:tr>
        <w:trPr>
          <w:trHeight w:val="195"/>
        </w:trPr>
        <w:tc>
          <w:tcPr>
            <w:tcW w:w="524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660" w:type="dxa"/>
            <w:vAlign w:val="bottom"/>
          </w:tcPr>
          <w:p>
            <w:pPr>
              <w:spacing w:after="0"/>
              <w:rPr>
                <w:sz w:val="16"/>
                <w:szCs w:val="16"/>
                <w:color w:val="auto"/>
              </w:rPr>
            </w:pPr>
          </w:p>
        </w:tc>
        <w:tc>
          <w:tcPr>
            <w:tcW w:w="11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150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hanging="532"/>
        <w:spacing w:after="0"/>
        <w:tabs>
          <w:tab w:leader="none" w:pos="540" w:val="left"/>
        </w:tabs>
        <w:numPr>
          <w:ilvl w:val="0"/>
          <w:numId w:val="35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exposed to exchange rate movements primarily as a result of our Mexican subsidiaries, which have U.S. dollar denominated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provide the fair values of derivative instruments, without consideration of margin deposits held or posted, on the Consolidated Balance Sheets as of December 31, 2011 and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1042"/>
              <w:spacing w:after="0" w:line="159" w:lineRule="exact"/>
              <w:rPr>
                <w:sz w:val="20"/>
                <w:szCs w:val="20"/>
                <w:color w:val="auto"/>
              </w:rPr>
            </w:pPr>
            <w:r>
              <w:rPr>
                <w:rFonts w:ascii="Arial" w:cs="Arial" w:eastAsia="Arial" w:hAnsi="Arial"/>
                <w:sz w:val="14"/>
                <w:szCs w:val="14"/>
                <w:color w:val="auto"/>
              </w:rPr>
              <w:t>December 31, 2011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Deferred</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credits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142"/>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and other</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liabilities: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4"/>
                <w:szCs w:val="14"/>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color w:val="auto"/>
              </w:rPr>
              <w:t>Fixed-price</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Fixed-price</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4"/>
                <w:szCs w:val="14"/>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color w:val="auto"/>
              </w:rPr>
              <w:t>contracts</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contracts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320" w:type="dxa"/>
            <w:vAlign w:val="bottom"/>
          </w:tcPr>
          <w:p>
            <w:pPr>
              <w:spacing w:after="0"/>
              <w:rPr>
                <w:sz w:val="14"/>
                <w:szCs w:val="14"/>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and other</w:t>
            </w:r>
          </w:p>
        </w:tc>
      </w:tr>
      <w:tr>
        <w:trPr>
          <w:trHeight w:val="164"/>
        </w:trPr>
        <w:tc>
          <w:tcPr>
            <w:tcW w:w="5200" w:type="dxa"/>
            <w:vAlign w:val="bottom"/>
            <w:gridSpan w:val="2"/>
          </w:tcPr>
          <w:p>
            <w:pPr>
              <w:spacing w:after="0" w:line="137" w:lineRule="exact"/>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4"/>
                <w:szCs w:val="14"/>
                <w:color w:val="auto"/>
              </w:rPr>
            </w:pPr>
          </w:p>
        </w:tc>
        <w:tc>
          <w:tcPr>
            <w:tcW w:w="1260" w:type="dxa"/>
            <w:vAlign w:val="bottom"/>
          </w:tcPr>
          <w:p>
            <w:pPr>
              <w:jc w:val="center"/>
              <w:ind w:right="102"/>
              <w:spacing w:after="0" w:line="137" w:lineRule="exact"/>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4"/>
                <w:szCs w:val="14"/>
                <w:color w:val="auto"/>
              </w:rPr>
            </w:pPr>
          </w:p>
        </w:tc>
        <w:tc>
          <w:tcPr>
            <w:tcW w:w="1240" w:type="dxa"/>
            <w:vAlign w:val="bottom"/>
          </w:tcPr>
          <w:p>
            <w:pPr>
              <w:jc w:val="center"/>
              <w:ind w:right="121"/>
              <w:spacing w:after="0" w:line="137" w:lineRule="exact"/>
              <w:rPr>
                <w:sz w:val="20"/>
                <w:szCs w:val="20"/>
                <w:color w:val="auto"/>
              </w:rPr>
            </w:pPr>
            <w:r>
              <w:rPr>
                <w:rFonts w:ascii="Arial" w:cs="Arial" w:eastAsia="Arial" w:hAnsi="Arial"/>
                <w:sz w:val="14"/>
                <w:szCs w:val="14"/>
                <w:color w:val="auto"/>
                <w:w w:val="99"/>
              </w:rPr>
              <w:t>Sundry</w:t>
            </w:r>
          </w:p>
        </w:tc>
        <w:tc>
          <w:tcPr>
            <w:tcW w:w="320" w:type="dxa"/>
            <w:vAlign w:val="bottom"/>
          </w:tcPr>
          <w:p>
            <w:pPr>
              <w:spacing w:after="0"/>
              <w:rPr>
                <w:sz w:val="14"/>
                <w:szCs w:val="14"/>
                <w:color w:val="auto"/>
              </w:rPr>
            </w:pPr>
          </w:p>
        </w:tc>
        <w:tc>
          <w:tcPr>
            <w:tcW w:w="1380" w:type="dxa"/>
            <w:vAlign w:val="bottom"/>
          </w:tcPr>
          <w:p>
            <w:pPr>
              <w:jc w:val="center"/>
              <w:ind w:right="162"/>
              <w:spacing w:after="0" w:line="137" w:lineRule="exact"/>
              <w:rPr>
                <w:sz w:val="20"/>
                <w:szCs w:val="20"/>
                <w:color w:val="auto"/>
              </w:rPr>
            </w:pPr>
            <w:r>
              <w:rPr>
                <w:rFonts w:ascii="Arial" w:cs="Arial" w:eastAsia="Arial" w:hAnsi="Arial"/>
                <w:sz w:val="14"/>
                <w:szCs w:val="14"/>
                <w:color w:val="auto"/>
              </w:rPr>
              <w:t>derivatives(2)</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line="137" w:lineRule="exact"/>
              <w:rPr>
                <w:sz w:val="20"/>
                <w:szCs w:val="20"/>
                <w:color w:val="auto"/>
              </w:rPr>
            </w:pPr>
            <w:r>
              <w:rPr>
                <w:rFonts w:ascii="Arial" w:cs="Arial" w:eastAsia="Arial" w:hAnsi="Arial"/>
                <w:sz w:val="14"/>
                <w:szCs w:val="14"/>
                <w:color w:val="auto"/>
              </w:rPr>
              <w:t>derivatives</w:t>
            </w: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r>
      <w:tr>
        <w:trPr>
          <w:trHeight w:val="164"/>
        </w:trPr>
        <w:tc>
          <w:tcPr>
            <w:tcW w:w="20" w:type="dxa"/>
            <w:vAlign w:val="bottom"/>
          </w:tcPr>
          <w:p>
            <w:pPr>
              <w:spacing w:after="0"/>
              <w:rPr>
                <w:sz w:val="14"/>
                <w:szCs w:val="14"/>
                <w:color w:val="auto"/>
              </w:rPr>
            </w:pPr>
          </w:p>
        </w:tc>
        <w:tc>
          <w:tcPr>
            <w:tcW w:w="5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Interest rate instruments(3)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r>
      <w:tr>
        <w:trPr>
          <w:trHeight w:val="372"/>
        </w:trPr>
        <w:tc>
          <w:tcPr>
            <w:tcW w:w="5200" w:type="dxa"/>
            <w:vAlign w:val="bottom"/>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r>
      <w:tr>
        <w:trPr>
          <w:trHeight w:val="203"/>
        </w:trPr>
        <w:tc>
          <w:tcPr>
            <w:tcW w:w="20" w:type="dxa"/>
            <w:vAlign w:val="bottom"/>
          </w:tcPr>
          <w:p>
            <w:pPr>
              <w:spacing w:after="0"/>
              <w:rPr>
                <w:sz w:val="17"/>
                <w:szCs w:val="17"/>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156</w:t>
            </w:r>
          </w:p>
        </w:tc>
        <w:tc>
          <w:tcPr>
            <w:tcW w:w="30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r>
      <w:tr>
        <w:trPr>
          <w:trHeight w:val="203"/>
        </w:trPr>
        <w:tc>
          <w:tcPr>
            <w:tcW w:w="20" w:type="dxa"/>
            <w:vAlign w:val="bottom"/>
          </w:tcPr>
          <w:p>
            <w:pPr>
              <w:spacing w:after="0"/>
              <w:rPr>
                <w:sz w:val="17"/>
                <w:szCs w:val="17"/>
                <w:color w:val="auto"/>
              </w:rPr>
            </w:pPr>
          </w:p>
        </w:tc>
        <w:tc>
          <w:tcPr>
            <w:tcW w:w="5180" w:type="dxa"/>
            <w:vAlign w:val="bottom"/>
          </w:tcPr>
          <w:p>
            <w:pPr>
              <w:ind w:left="6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320" w:type="dxa"/>
            <w:vAlign w:val="bottom"/>
          </w:tcPr>
          <w:p>
            <w:pPr>
              <w:spacing w:after="0"/>
              <w:rPr>
                <w:sz w:val="17"/>
                <w:szCs w:val="17"/>
                <w:color w:val="auto"/>
              </w:rPr>
            </w:pPr>
          </w:p>
        </w:tc>
        <w:tc>
          <w:tcPr>
            <w:tcW w:w="1380" w:type="dxa"/>
            <w:vAlign w:val="bottom"/>
          </w:tcPr>
          <w:p>
            <w:pPr>
              <w:jc w:val="right"/>
              <w:ind w:right="62"/>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5"/>
                <w:szCs w:val="15"/>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194"/>
        </w:trPr>
        <w:tc>
          <w:tcPr>
            <w:tcW w:w="20" w:type="dxa"/>
            <w:vAlign w:val="bottom"/>
          </w:tcPr>
          <w:p>
            <w:pPr>
              <w:spacing w:after="0"/>
              <w:rPr>
                <w:sz w:val="16"/>
                <w:szCs w:val="16"/>
                <w:color w:val="auto"/>
              </w:rPr>
            </w:pPr>
          </w:p>
        </w:tc>
        <w:tc>
          <w:tcPr>
            <w:tcW w:w="5180" w:type="dxa"/>
            <w:vAlign w:val="bottom"/>
          </w:tcPr>
          <w:p>
            <w:pPr>
              <w:ind w:left="6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4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62</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51</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(87)</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(84)</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48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22</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8</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2"/>
              <w:spacing w:after="0" w:line="176" w:lineRule="exact"/>
              <w:rPr>
                <w:sz w:val="20"/>
                <w:szCs w:val="20"/>
                <w:color w:val="auto"/>
              </w:rPr>
            </w:pPr>
            <w:r>
              <w:rPr>
                <w:rFonts w:ascii="Arial" w:cs="Arial" w:eastAsia="Arial" w:hAnsi="Arial"/>
                <w:sz w:val="16"/>
                <w:szCs w:val="16"/>
                <w:color w:val="auto"/>
              </w:rPr>
              <w:t>(55)</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(24)</w:t>
            </w:r>
          </w:p>
        </w:tc>
      </w:tr>
      <w:tr>
        <w:trPr>
          <w:trHeight w:val="194"/>
        </w:trPr>
        <w:tc>
          <w:tcPr>
            <w:tcW w:w="20" w:type="dxa"/>
            <w:vAlign w:val="bottom"/>
          </w:tcPr>
          <w:p>
            <w:pPr>
              <w:spacing w:after="0"/>
              <w:rPr>
                <w:sz w:val="16"/>
                <w:szCs w:val="16"/>
                <w:color w:val="auto"/>
              </w:rPr>
            </w:pPr>
          </w:p>
        </w:tc>
        <w:tc>
          <w:tcPr>
            <w:tcW w:w="5180" w:type="dxa"/>
            <w:vAlign w:val="bottom"/>
          </w:tcPr>
          <w:p>
            <w:pPr>
              <w:ind w:left="6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4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48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6</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2"/>
              <w:spacing w:after="0" w:line="176" w:lineRule="exact"/>
              <w:rPr>
                <w:sz w:val="20"/>
                <w:szCs w:val="20"/>
                <w:color w:val="auto"/>
              </w:rPr>
            </w:pPr>
            <w:r>
              <w:rPr>
                <w:rFonts w:ascii="Arial" w:cs="Arial" w:eastAsia="Arial" w:hAnsi="Arial"/>
                <w:sz w:val="16"/>
                <w:szCs w:val="16"/>
                <w:color w:val="auto"/>
              </w:rPr>
              <w:t>(7)</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180" w:type="dxa"/>
            <w:vAlign w:val="bottom"/>
          </w:tcPr>
          <w:p>
            <w:pPr>
              <w:ind w:left="6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6"/>
                <w:szCs w:val="16"/>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5"/>
        </w:trPr>
        <w:tc>
          <w:tcPr>
            <w:tcW w:w="20" w:type="dxa"/>
            <w:vAlign w:val="bottom"/>
          </w:tcPr>
          <w:p>
            <w:pPr>
              <w:spacing w:after="0"/>
              <w:rPr>
                <w:sz w:val="16"/>
                <w:szCs w:val="16"/>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35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3" w:lineRule="exact"/>
        <w:rPr>
          <w:rFonts w:ascii="Arial" w:cs="Arial" w:eastAsia="Arial" w:hAnsi="Arial"/>
          <w:sz w:val="14"/>
          <w:szCs w:val="14"/>
          <w:i w:val="1"/>
          <w:iCs w:val="1"/>
          <w:color w:val="auto"/>
        </w:rPr>
      </w:pPr>
    </w:p>
    <w:p>
      <w:pPr>
        <w:ind w:left="500" w:hanging="492"/>
        <w:spacing w:after="0"/>
        <w:tabs>
          <w:tab w:leader="none" w:pos="500" w:val="left"/>
        </w:tabs>
        <w:numPr>
          <w:ilvl w:val="0"/>
          <w:numId w:val="35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5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ON THE CONSOLIDATED BALANCE SHEETS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-1905</wp:posOffset>
            </wp:positionV>
            <wp:extent cx="3944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944620" cy="17145"/>
                    </a:xfrm>
                    <a:prstGeom prst="rect">
                      <a:avLst/>
                    </a:prstGeom>
                    <a:noFill/>
                  </pic:spPr>
                </pic:pic>
              </a:graphicData>
            </a:graphic>
          </wp:anchor>
        </w:drawing>
      </w:r>
    </w:p>
    <w:p>
      <w:pPr>
        <w:spacing w:after="0" w:line="8"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Deferred</w:t>
      </w:r>
    </w:p>
    <w:p>
      <w:pPr>
        <w:sectPr>
          <w:pgSz w:w="11900" w:h="16915" w:orient="portrait"/>
          <w:cols w:equalWidth="0" w:num="1">
            <w:col w:w="11420"/>
          </w:cols>
          <w:pgMar w:left="240" w:top="125" w:right="239" w:bottom="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credits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141"/>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and other</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liabilities: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4"/>
                <w:szCs w:val="14"/>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color w:val="auto"/>
              </w:rPr>
              <w:t>Fixed-price</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Fixed-price</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4"/>
                <w:szCs w:val="14"/>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color w:val="auto"/>
              </w:rPr>
              <w:t>contracts</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contracts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320" w:type="dxa"/>
            <w:vAlign w:val="bottom"/>
          </w:tcPr>
          <w:p>
            <w:pPr>
              <w:spacing w:after="0"/>
              <w:rPr>
                <w:sz w:val="14"/>
                <w:szCs w:val="14"/>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and other</w:t>
            </w:r>
          </w:p>
        </w:tc>
      </w:tr>
      <w:tr>
        <w:trPr>
          <w:trHeight w:val="164"/>
        </w:trPr>
        <w:tc>
          <w:tcPr>
            <w:tcW w:w="5200" w:type="dxa"/>
            <w:vAlign w:val="bottom"/>
            <w:gridSpan w:val="2"/>
          </w:tcPr>
          <w:p>
            <w:pPr>
              <w:spacing w:after="0" w:line="137" w:lineRule="exact"/>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4"/>
                <w:szCs w:val="14"/>
                <w:color w:val="auto"/>
              </w:rPr>
            </w:pPr>
          </w:p>
        </w:tc>
        <w:tc>
          <w:tcPr>
            <w:tcW w:w="1260" w:type="dxa"/>
            <w:vAlign w:val="bottom"/>
          </w:tcPr>
          <w:p>
            <w:pPr>
              <w:jc w:val="center"/>
              <w:ind w:right="101"/>
              <w:spacing w:after="0" w:line="137" w:lineRule="exact"/>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4"/>
                <w:szCs w:val="14"/>
                <w:color w:val="auto"/>
              </w:rPr>
            </w:pPr>
          </w:p>
        </w:tc>
        <w:tc>
          <w:tcPr>
            <w:tcW w:w="1240" w:type="dxa"/>
            <w:vAlign w:val="bottom"/>
          </w:tcPr>
          <w:p>
            <w:pPr>
              <w:jc w:val="center"/>
              <w:ind w:right="121"/>
              <w:spacing w:after="0" w:line="137" w:lineRule="exact"/>
              <w:rPr>
                <w:sz w:val="20"/>
                <w:szCs w:val="20"/>
                <w:color w:val="auto"/>
              </w:rPr>
            </w:pPr>
            <w:r>
              <w:rPr>
                <w:rFonts w:ascii="Arial" w:cs="Arial" w:eastAsia="Arial" w:hAnsi="Arial"/>
                <w:sz w:val="14"/>
                <w:szCs w:val="14"/>
                <w:color w:val="auto"/>
                <w:w w:val="99"/>
              </w:rPr>
              <w:t>Sundry</w:t>
            </w:r>
          </w:p>
        </w:tc>
        <w:tc>
          <w:tcPr>
            <w:tcW w:w="320" w:type="dxa"/>
            <w:vAlign w:val="bottom"/>
          </w:tcPr>
          <w:p>
            <w:pPr>
              <w:spacing w:after="0"/>
              <w:rPr>
                <w:sz w:val="14"/>
                <w:szCs w:val="14"/>
                <w:color w:val="auto"/>
              </w:rPr>
            </w:pPr>
          </w:p>
        </w:tc>
        <w:tc>
          <w:tcPr>
            <w:tcW w:w="1380" w:type="dxa"/>
            <w:vAlign w:val="bottom"/>
          </w:tcPr>
          <w:p>
            <w:pPr>
              <w:jc w:val="center"/>
              <w:ind w:right="161"/>
              <w:spacing w:after="0" w:line="137" w:lineRule="exact"/>
              <w:rPr>
                <w:sz w:val="20"/>
                <w:szCs w:val="20"/>
                <w:color w:val="auto"/>
              </w:rPr>
            </w:pPr>
            <w:r>
              <w:rPr>
                <w:rFonts w:ascii="Arial" w:cs="Arial" w:eastAsia="Arial" w:hAnsi="Arial"/>
                <w:sz w:val="14"/>
                <w:szCs w:val="14"/>
                <w:color w:val="auto"/>
              </w:rPr>
              <w:t>derivatives(2)</w:t>
            </w:r>
          </w:p>
        </w:tc>
        <w:tc>
          <w:tcPr>
            <w:tcW w:w="280" w:type="dxa"/>
            <w:vAlign w:val="bottom"/>
          </w:tcPr>
          <w:p>
            <w:pPr>
              <w:spacing w:after="0"/>
              <w:rPr>
                <w:sz w:val="14"/>
                <w:szCs w:val="14"/>
                <w:color w:val="auto"/>
              </w:rPr>
            </w:pPr>
          </w:p>
        </w:tc>
        <w:tc>
          <w:tcPr>
            <w:tcW w:w="1100" w:type="dxa"/>
            <w:vAlign w:val="bottom"/>
            <w:gridSpan w:val="2"/>
          </w:tcPr>
          <w:p>
            <w:pPr>
              <w:jc w:val="center"/>
              <w:ind w:right="140"/>
              <w:spacing w:after="0" w:line="137" w:lineRule="exact"/>
              <w:rPr>
                <w:sz w:val="20"/>
                <w:szCs w:val="20"/>
                <w:color w:val="auto"/>
              </w:rPr>
            </w:pPr>
            <w:r>
              <w:rPr>
                <w:rFonts w:ascii="Arial" w:cs="Arial" w:eastAsia="Arial" w:hAnsi="Arial"/>
                <w:sz w:val="14"/>
                <w:szCs w:val="14"/>
                <w:color w:val="auto"/>
              </w:rPr>
              <w:t>derivatives</w:t>
            </w: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Interest rate instrument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64"/>
        </w:trPr>
        <w:tc>
          <w:tcPr>
            <w:tcW w:w="20" w:type="dxa"/>
            <w:vAlign w:val="bottom"/>
          </w:tcPr>
          <w:p>
            <w:pPr>
              <w:spacing w:after="0"/>
              <w:rPr>
                <w:sz w:val="14"/>
                <w:szCs w:val="14"/>
                <w:color w:val="auto"/>
              </w:rPr>
            </w:pPr>
          </w:p>
        </w:tc>
        <w:tc>
          <w:tcPr>
            <w:tcW w:w="5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Interest rate instrument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372"/>
        </w:trPr>
        <w:tc>
          <w:tcPr>
            <w:tcW w:w="5200" w:type="dxa"/>
            <w:vAlign w:val="bottom"/>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r>
      <w:tr>
        <w:trPr>
          <w:trHeight w:val="203"/>
        </w:trPr>
        <w:tc>
          <w:tcPr>
            <w:tcW w:w="20" w:type="dxa"/>
            <w:vAlign w:val="bottom"/>
          </w:tcPr>
          <w:p>
            <w:pPr>
              <w:spacing w:after="0"/>
              <w:rPr>
                <w:sz w:val="17"/>
                <w:szCs w:val="17"/>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7"/>
                <w:szCs w:val="17"/>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r>
      <w:tr>
        <w:trPr>
          <w:trHeight w:val="203"/>
        </w:trPr>
        <w:tc>
          <w:tcPr>
            <w:tcW w:w="20" w:type="dxa"/>
            <w:vAlign w:val="bottom"/>
          </w:tcPr>
          <w:p>
            <w:pPr>
              <w:spacing w:after="0"/>
              <w:rPr>
                <w:sz w:val="17"/>
                <w:szCs w:val="17"/>
                <w:color w:val="auto"/>
              </w:rPr>
            </w:pPr>
          </w:p>
        </w:tc>
        <w:tc>
          <w:tcPr>
            <w:tcW w:w="5180" w:type="dxa"/>
            <w:vAlign w:val="bottom"/>
          </w:tcPr>
          <w:p>
            <w:pPr>
              <w:ind w:left="6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5"/>
                <w:szCs w:val="15"/>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194"/>
        </w:trPr>
        <w:tc>
          <w:tcPr>
            <w:tcW w:w="20" w:type="dxa"/>
            <w:vAlign w:val="bottom"/>
          </w:tcPr>
          <w:p>
            <w:pPr>
              <w:spacing w:after="0"/>
              <w:rPr>
                <w:sz w:val="16"/>
                <w:szCs w:val="16"/>
                <w:color w:val="auto"/>
              </w:rPr>
            </w:pPr>
          </w:p>
        </w:tc>
        <w:tc>
          <w:tcPr>
            <w:tcW w:w="5180" w:type="dxa"/>
            <w:vAlign w:val="bottom"/>
          </w:tcPr>
          <w:p>
            <w:pPr>
              <w:ind w:left="6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4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34</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(73)</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(84)</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r>
        <w:trPr>
          <w:trHeight w:val="203"/>
        </w:trPr>
        <w:tc>
          <w:tcPr>
            <w:tcW w:w="20" w:type="dxa"/>
            <w:vAlign w:val="bottom"/>
          </w:tcPr>
          <w:p>
            <w:pPr>
              <w:spacing w:after="0"/>
              <w:rPr>
                <w:sz w:val="17"/>
                <w:szCs w:val="17"/>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7"/>
                <w:szCs w:val="17"/>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5"/>
                <w:szCs w:val="15"/>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194"/>
        </w:trPr>
        <w:tc>
          <w:tcPr>
            <w:tcW w:w="20" w:type="dxa"/>
            <w:vAlign w:val="bottom"/>
          </w:tcPr>
          <w:p>
            <w:pPr>
              <w:spacing w:after="0"/>
              <w:rPr>
                <w:sz w:val="16"/>
                <w:szCs w:val="16"/>
                <w:color w:val="auto"/>
              </w:rPr>
            </w:pPr>
          </w:p>
        </w:tc>
        <w:tc>
          <w:tcPr>
            <w:tcW w:w="5180" w:type="dxa"/>
            <w:vAlign w:val="bottom"/>
          </w:tcPr>
          <w:p>
            <w:pPr>
              <w:ind w:left="6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4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(31)</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(18)</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(42)</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5"/>
                <w:szCs w:val="15"/>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180" w:type="dxa"/>
            <w:vAlign w:val="bottom"/>
          </w:tcPr>
          <w:p>
            <w:pPr>
              <w:ind w:left="6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6"/>
                <w:szCs w:val="16"/>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5"/>
        </w:trPr>
        <w:tc>
          <w:tcPr>
            <w:tcW w:w="20" w:type="dxa"/>
            <w:vAlign w:val="bottom"/>
          </w:tcPr>
          <w:p>
            <w:pPr>
              <w:spacing w:after="0"/>
              <w:rPr>
                <w:sz w:val="16"/>
                <w:szCs w:val="16"/>
                <w:color w:val="auto"/>
              </w:rPr>
            </w:pPr>
          </w:p>
        </w:tc>
        <w:tc>
          <w:tcPr>
            <w:tcW w:w="5180" w:type="dxa"/>
            <w:vAlign w:val="bottom"/>
          </w:tcPr>
          <w:p>
            <w:pPr>
              <w:ind w:left="4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35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3" w:lineRule="exact"/>
        <w:rPr>
          <w:rFonts w:ascii="Arial" w:cs="Arial" w:eastAsia="Arial" w:hAnsi="Arial"/>
          <w:sz w:val="14"/>
          <w:szCs w:val="14"/>
          <w:i w:val="1"/>
          <w:iCs w:val="1"/>
          <w:color w:val="auto"/>
        </w:rPr>
      </w:pPr>
    </w:p>
    <w:p>
      <w:pPr>
        <w:ind w:left="500" w:hanging="492"/>
        <w:spacing w:after="0"/>
        <w:tabs>
          <w:tab w:leader="none" w:pos="500" w:val="left"/>
        </w:tabs>
        <w:numPr>
          <w:ilvl w:val="0"/>
          <w:numId w:val="35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5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derivative instruments designated as hedges on the Consolidated Statements of Operations and on Other Comprehensive Income (OCI)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(AOCI) for the years ended December 31 were:</w:t>
      </w:r>
    </w:p>
    <w:p>
      <w:pPr>
        <w:spacing w:after="0" w:line="207" w:lineRule="exact"/>
        <w:rPr>
          <w:sz w:val="20"/>
          <w:szCs w:val="20"/>
          <w:color w:val="auto"/>
        </w:rPr>
      </w:pPr>
    </w:p>
    <w:p>
      <w:pPr>
        <w:ind w:right="4700"/>
        <w:spacing w:after="0" w:line="243" w:lineRule="auto"/>
        <w:rPr>
          <w:sz w:val="20"/>
          <w:szCs w:val="20"/>
          <w:color w:val="auto"/>
        </w:rPr>
      </w:pPr>
      <w:r>
        <w:rPr>
          <w:rFonts w:ascii="Arial" w:cs="Arial" w:eastAsia="Arial" w:hAnsi="Arial"/>
          <w:sz w:val="16"/>
          <w:szCs w:val="16"/>
          <w:b w:val="1"/>
          <w:bCs w:val="1"/>
          <w:color w:val="auto"/>
        </w:rPr>
        <w:t xml:space="preserve">FAIR VALUE HEDGE IMPACT ON THE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Gain (loss) on derivatives recognized in earnings</w:t>
            </w:r>
          </w:p>
        </w:tc>
        <w:tc>
          <w:tcPr>
            <w:tcW w:w="112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Years ended December 31,</w:t>
            </w: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Location</w:t>
            </w: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33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2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340" w:type="dxa"/>
            <w:vAlign w:val="bottom"/>
          </w:tcPr>
          <w:p>
            <w:pPr>
              <w:ind w:left="680"/>
              <w:spacing w:after="0" w:line="176" w:lineRule="exact"/>
              <w:rPr>
                <w:sz w:val="20"/>
                <w:szCs w:val="20"/>
                <w:color w:val="auto"/>
              </w:rPr>
            </w:pPr>
            <w:r>
              <w:rPr>
                <w:rFonts w:ascii="Arial" w:cs="Arial" w:eastAsia="Arial" w:hAnsi="Arial"/>
                <w:sz w:val="16"/>
                <w:szCs w:val="16"/>
                <w:color w:val="auto"/>
              </w:rPr>
              <w:t>Interest rate instruments</w:t>
            </w:r>
          </w:p>
        </w:tc>
        <w:tc>
          <w:tcPr>
            <w:tcW w:w="2660" w:type="dxa"/>
            <w:vAlign w:val="bottom"/>
          </w:tcPr>
          <w:p>
            <w:pPr>
              <w:spacing w:after="0" w:line="176" w:lineRule="exact"/>
              <w:rPr>
                <w:sz w:val="20"/>
                <w:szCs w:val="20"/>
                <w:color w:val="auto"/>
              </w:rPr>
            </w:pPr>
            <w:r>
              <w:rPr>
                <w:rFonts w:ascii="Arial" w:cs="Arial" w:eastAsia="Arial" w:hAnsi="Arial"/>
                <w:sz w:val="16"/>
                <w:szCs w:val="16"/>
                <w:color w:val="auto"/>
              </w:rPr>
              <w:t>Interest Expense</w:t>
            </w:r>
          </w:p>
        </w:tc>
        <w:tc>
          <w:tcPr>
            <w:tcW w:w="4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480" w:type="dxa"/>
            <w:vAlign w:val="bottom"/>
          </w:tcPr>
          <w:p>
            <w:pPr>
              <w:jc w:val="right"/>
              <w:ind w:right="141"/>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10</w:t>
            </w:r>
          </w:p>
        </w:tc>
        <w:tc>
          <w:tcPr>
            <w:tcW w:w="60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94"/>
        </w:trPr>
        <w:tc>
          <w:tcPr>
            <w:tcW w:w="20" w:type="dxa"/>
            <w:vAlign w:val="bottom"/>
          </w:tcPr>
          <w:p>
            <w:pPr>
              <w:spacing w:after="0"/>
              <w:rPr>
                <w:sz w:val="16"/>
                <w:szCs w:val="16"/>
                <w:color w:val="auto"/>
              </w:rPr>
            </w:pPr>
          </w:p>
        </w:tc>
        <w:tc>
          <w:tcPr>
            <w:tcW w:w="3340" w:type="dxa"/>
            <w:vAlign w:val="bottom"/>
          </w:tcPr>
          <w:p>
            <w:pPr>
              <w:ind w:left="680"/>
              <w:spacing w:after="0"/>
              <w:rPr>
                <w:sz w:val="20"/>
                <w:szCs w:val="20"/>
                <w:color w:val="auto"/>
              </w:rPr>
            </w:pPr>
            <w:r>
              <w:rPr>
                <w:rFonts w:ascii="Arial" w:cs="Arial" w:eastAsia="Arial" w:hAnsi="Arial"/>
                <w:sz w:val="16"/>
                <w:szCs w:val="16"/>
                <w:color w:val="auto"/>
              </w:rPr>
              <w:t>Interest rate instruments</w:t>
            </w:r>
          </w:p>
        </w:tc>
        <w:tc>
          <w:tcPr>
            <w:tcW w:w="2660" w:type="dxa"/>
            <w:vAlign w:val="bottom"/>
          </w:tcPr>
          <w:p>
            <w:pPr>
              <w:spacing w:after="0"/>
              <w:rPr>
                <w:sz w:val="20"/>
                <w:szCs w:val="20"/>
                <w:color w:val="auto"/>
              </w:rPr>
            </w:pPr>
            <w:r>
              <w:rPr>
                <w:rFonts w:ascii="Arial" w:cs="Arial" w:eastAsia="Arial" w:hAnsi="Arial"/>
                <w:sz w:val="16"/>
                <w:szCs w:val="16"/>
                <w:color w:val="auto"/>
              </w:rPr>
              <w:t>Other Income, Net</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83"/>
        </w:trPr>
        <w:tc>
          <w:tcPr>
            <w:tcW w:w="20" w:type="dxa"/>
            <w:vAlign w:val="bottom"/>
          </w:tcPr>
          <w:p>
            <w:pPr>
              <w:spacing w:after="0"/>
              <w:rPr>
                <w:sz w:val="15"/>
                <w:szCs w:val="15"/>
                <w:color w:val="auto"/>
              </w:rPr>
            </w:pPr>
          </w:p>
        </w:tc>
        <w:tc>
          <w:tcPr>
            <w:tcW w:w="3340" w:type="dxa"/>
            <w:vAlign w:val="bottom"/>
            <w:tcBorders>
              <w:bottom w:val="single" w:sz="8" w:color="auto"/>
            </w:tcBorders>
          </w:tcPr>
          <w:p>
            <w:pPr>
              <w:ind w:left="680"/>
              <w:spacing w:after="0" w:line="176" w:lineRule="exact"/>
              <w:rPr>
                <w:sz w:val="20"/>
                <w:szCs w:val="20"/>
                <w:color w:val="auto"/>
              </w:rPr>
            </w:pPr>
            <w:r>
              <w:rPr>
                <w:rFonts w:ascii="Arial" w:cs="Arial" w:eastAsia="Arial" w:hAnsi="Arial"/>
                <w:sz w:val="16"/>
                <w:szCs w:val="16"/>
                <w:color w:val="auto"/>
              </w:rPr>
              <w:t>Total(1)</w:t>
            </w:r>
          </w:p>
        </w:tc>
        <w:tc>
          <w:tcPr>
            <w:tcW w:w="26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w:t>
            </w:r>
          </w:p>
        </w:tc>
        <w:tc>
          <w:tcPr>
            <w:tcW w:w="480" w:type="dxa"/>
            <w:vAlign w:val="bottom"/>
            <w:tcBorders>
              <w:bottom w:val="single" w:sz="8" w:color="auto"/>
            </w:tcBorders>
          </w:tcPr>
          <w:p>
            <w:pPr>
              <w:jc w:val="right"/>
              <w:ind w:right="141"/>
              <w:spacing w:after="0" w:line="176"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w:t>
            </w:r>
          </w:p>
        </w:tc>
      </w:tr>
      <w:tr>
        <w:trPr>
          <w:trHeight w:val="164"/>
        </w:trPr>
        <w:tc>
          <w:tcPr>
            <w:tcW w:w="20" w:type="dxa"/>
            <w:vAlign w:val="bottom"/>
          </w:tcPr>
          <w:p>
            <w:pPr>
              <w:spacing w:after="0"/>
              <w:rPr>
                <w:sz w:val="14"/>
                <w:szCs w:val="14"/>
                <w:color w:val="auto"/>
              </w:rPr>
            </w:pPr>
          </w:p>
        </w:tc>
        <w:tc>
          <w:tcPr>
            <w:tcW w:w="334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2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340" w:type="dxa"/>
            <w:vAlign w:val="bottom"/>
          </w:tcPr>
          <w:p>
            <w:pPr>
              <w:ind w:left="680"/>
              <w:spacing w:after="0" w:line="176" w:lineRule="exact"/>
              <w:rPr>
                <w:sz w:val="20"/>
                <w:szCs w:val="20"/>
                <w:color w:val="auto"/>
              </w:rPr>
            </w:pPr>
            <w:r>
              <w:rPr>
                <w:rFonts w:ascii="Arial" w:cs="Arial" w:eastAsia="Arial" w:hAnsi="Arial"/>
                <w:sz w:val="16"/>
                <w:szCs w:val="16"/>
                <w:color w:val="auto"/>
              </w:rPr>
              <w:t>Interest rate instrument</w:t>
            </w:r>
          </w:p>
        </w:tc>
        <w:tc>
          <w:tcPr>
            <w:tcW w:w="2660" w:type="dxa"/>
            <w:vAlign w:val="bottom"/>
          </w:tcPr>
          <w:p>
            <w:pPr>
              <w:spacing w:after="0" w:line="176" w:lineRule="exact"/>
              <w:rPr>
                <w:sz w:val="20"/>
                <w:szCs w:val="20"/>
                <w:color w:val="auto"/>
              </w:rPr>
            </w:pPr>
            <w:r>
              <w:rPr>
                <w:rFonts w:ascii="Arial" w:cs="Arial" w:eastAsia="Arial" w:hAnsi="Arial"/>
                <w:sz w:val="16"/>
                <w:szCs w:val="16"/>
                <w:color w:val="auto"/>
              </w:rPr>
              <w:t>Interest Expense</w:t>
            </w:r>
          </w:p>
        </w:tc>
        <w:tc>
          <w:tcPr>
            <w:tcW w:w="4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480" w:type="dxa"/>
            <w:vAlign w:val="bottom"/>
          </w:tcPr>
          <w:p>
            <w:pPr>
              <w:jc w:val="right"/>
              <w:ind w:right="141"/>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6</w:t>
            </w:r>
          </w:p>
        </w:tc>
        <w:tc>
          <w:tcPr>
            <w:tcW w:w="60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94"/>
        </w:trPr>
        <w:tc>
          <w:tcPr>
            <w:tcW w:w="20" w:type="dxa"/>
            <w:vAlign w:val="bottom"/>
          </w:tcPr>
          <w:p>
            <w:pPr>
              <w:spacing w:after="0"/>
              <w:rPr>
                <w:sz w:val="16"/>
                <w:szCs w:val="16"/>
                <w:color w:val="auto"/>
              </w:rPr>
            </w:pPr>
          </w:p>
        </w:tc>
        <w:tc>
          <w:tcPr>
            <w:tcW w:w="3340" w:type="dxa"/>
            <w:vAlign w:val="bottom"/>
          </w:tcPr>
          <w:p>
            <w:pPr>
              <w:ind w:left="680"/>
              <w:spacing w:after="0"/>
              <w:rPr>
                <w:sz w:val="20"/>
                <w:szCs w:val="20"/>
                <w:color w:val="auto"/>
              </w:rPr>
            </w:pPr>
            <w:r>
              <w:rPr>
                <w:rFonts w:ascii="Arial" w:cs="Arial" w:eastAsia="Arial" w:hAnsi="Arial"/>
                <w:sz w:val="16"/>
                <w:szCs w:val="16"/>
                <w:color w:val="auto"/>
              </w:rPr>
              <w:t>Interest rate instrument</w:t>
            </w:r>
          </w:p>
        </w:tc>
        <w:tc>
          <w:tcPr>
            <w:tcW w:w="2660" w:type="dxa"/>
            <w:vAlign w:val="bottom"/>
          </w:tcPr>
          <w:p>
            <w:pPr>
              <w:spacing w:after="0"/>
              <w:rPr>
                <w:sz w:val="20"/>
                <w:szCs w:val="20"/>
                <w:color w:val="auto"/>
              </w:rPr>
            </w:pPr>
            <w:r>
              <w:rPr>
                <w:rFonts w:ascii="Arial" w:cs="Arial" w:eastAsia="Arial" w:hAnsi="Arial"/>
                <w:sz w:val="16"/>
                <w:szCs w:val="16"/>
                <w:color w:val="auto"/>
              </w:rPr>
              <w:t>Other Income, Net</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95"/>
        </w:trPr>
        <w:tc>
          <w:tcPr>
            <w:tcW w:w="20" w:type="dxa"/>
            <w:vAlign w:val="bottom"/>
          </w:tcPr>
          <w:p>
            <w:pPr>
              <w:spacing w:after="0"/>
              <w:rPr>
                <w:sz w:val="16"/>
                <w:szCs w:val="16"/>
                <w:color w:val="auto"/>
              </w:rPr>
            </w:pPr>
          </w:p>
        </w:tc>
        <w:tc>
          <w:tcPr>
            <w:tcW w:w="3340" w:type="dxa"/>
            <w:vAlign w:val="bottom"/>
          </w:tcPr>
          <w:p>
            <w:pPr>
              <w:ind w:left="680"/>
              <w:spacing w:after="0"/>
              <w:rPr>
                <w:sz w:val="20"/>
                <w:szCs w:val="20"/>
                <w:color w:val="auto"/>
              </w:rPr>
            </w:pPr>
            <w:r>
              <w:rPr>
                <w:rFonts w:ascii="Arial" w:cs="Arial" w:eastAsia="Arial" w:hAnsi="Arial"/>
                <w:sz w:val="16"/>
                <w:szCs w:val="16"/>
                <w:color w:val="auto"/>
              </w:rPr>
              <w:t>Total(1)</w:t>
            </w:r>
          </w:p>
        </w:tc>
        <w:tc>
          <w:tcPr>
            <w:tcW w:w="2660" w:type="dxa"/>
            <w:vAlign w:val="bottom"/>
          </w:tcPr>
          <w:p>
            <w:pPr>
              <w:spacing w:after="0"/>
              <w:rPr>
                <w:sz w:val="16"/>
                <w:szCs w:val="16"/>
                <w:color w:val="auto"/>
              </w:rPr>
            </w:pPr>
          </w:p>
        </w:tc>
        <w:tc>
          <w:tcPr>
            <w:tcW w:w="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4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00" w:hanging="692"/>
        <w:spacing w:after="0" w:line="277" w:lineRule="auto"/>
        <w:tabs>
          <w:tab w:leader="none" w:pos="700" w:val="left"/>
        </w:tabs>
        <w:numPr>
          <w:ilvl w:val="0"/>
          <w:numId w:val="355"/>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 IMPACT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6"/>
                <w:szCs w:val="16"/>
                <w:color w:val="auto"/>
              </w:rPr>
            </w:pPr>
          </w:p>
        </w:tc>
        <w:tc>
          <w:tcPr>
            <w:tcW w:w="1600" w:type="dxa"/>
            <w:vAlign w:val="bottom"/>
            <w:gridSpan w:val="3"/>
            <w:vMerge w:val="restart"/>
          </w:tcPr>
          <w:p>
            <w:pPr>
              <w:jc w:val="center"/>
              <w:ind w:left="368"/>
              <w:spacing w:after="0"/>
              <w:rPr>
                <w:sz w:val="20"/>
                <w:szCs w:val="20"/>
                <w:color w:val="auto"/>
              </w:rPr>
            </w:pPr>
            <w:r>
              <w:rPr>
                <w:rFonts w:ascii="Arial" w:cs="Arial" w:eastAsia="Arial" w:hAnsi="Arial"/>
                <w:sz w:val="14"/>
                <w:szCs w:val="14"/>
                <w:color w:val="auto"/>
              </w:rPr>
              <w:t>Pretax gain (loss)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4"/>
            <w:vMerge w:val="restart"/>
          </w:tcPr>
          <w:p>
            <w:pPr>
              <w:jc w:val="center"/>
              <w:ind w:left="148"/>
              <w:spacing w:after="0"/>
              <w:rPr>
                <w:sz w:val="20"/>
                <w:szCs w:val="20"/>
                <w:color w:val="auto"/>
              </w:rPr>
            </w:pPr>
            <w:r>
              <w:rPr>
                <w:rFonts w:ascii="Arial" w:cs="Arial" w:eastAsia="Arial" w:hAnsi="Arial"/>
                <w:sz w:val="14"/>
                <w:szCs w:val="14"/>
                <w:color w:val="auto"/>
              </w:rPr>
              <w:t>Gain (loss) reclassified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center"/>
              <w:ind w:left="348"/>
              <w:spacing w:after="0"/>
              <w:rPr>
                <w:sz w:val="20"/>
                <w:szCs w:val="20"/>
                <w:color w:val="auto"/>
              </w:rPr>
            </w:pPr>
            <w:r>
              <w:rPr>
                <w:rFonts w:ascii="Arial" w:cs="Arial" w:eastAsia="Arial" w:hAnsi="Arial"/>
                <w:sz w:val="14"/>
                <w:szCs w:val="14"/>
                <w:color w:val="auto"/>
              </w:rPr>
              <w:t>recognized in OCI</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center"/>
              <w:ind w:left="148"/>
              <w:spacing w:after="0"/>
              <w:rPr>
                <w:sz w:val="20"/>
                <w:szCs w:val="20"/>
                <w:color w:val="auto"/>
              </w:rPr>
            </w:pPr>
            <w:r>
              <w:rPr>
                <w:rFonts w:ascii="Arial" w:cs="Arial" w:eastAsia="Arial" w:hAnsi="Arial"/>
                <w:sz w:val="14"/>
                <w:szCs w:val="14"/>
                <w:color w:val="auto"/>
              </w:rPr>
              <w:t>from AOCI into earnings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center"/>
              <w:ind w:left="348"/>
              <w:spacing w:after="0"/>
              <w:rPr>
                <w:sz w:val="20"/>
                <w:szCs w:val="20"/>
                <w:color w:val="auto"/>
              </w:rPr>
            </w:pPr>
            <w:r>
              <w:rPr>
                <w:rFonts w:ascii="Arial" w:cs="Arial" w:eastAsia="Arial" w:hAnsi="Arial"/>
                <w:sz w:val="14"/>
                <w:szCs w:val="14"/>
                <w:color w:val="auto"/>
              </w:rPr>
              <w:t>(effective portion)</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3"/>
          </w:tcPr>
          <w:p>
            <w:pPr>
              <w:jc w:val="center"/>
              <w:ind w:left="348"/>
              <w:spacing w:after="0"/>
              <w:rPr>
                <w:sz w:val="20"/>
                <w:szCs w:val="20"/>
                <w:color w:val="auto"/>
              </w:rPr>
            </w:pPr>
            <w:r>
              <w:rPr>
                <w:rFonts w:ascii="Arial" w:cs="Arial" w:eastAsia="Arial" w:hAnsi="Arial"/>
                <w:sz w:val="14"/>
                <w:szCs w:val="14"/>
                <w:color w:val="auto"/>
              </w:rPr>
              <w:t>(effective portion)</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208"/>
              <w:spacing w:after="0" w:line="157" w:lineRule="exact"/>
              <w:rPr>
                <w:sz w:val="20"/>
                <w:szCs w:val="20"/>
                <w:color w:val="auto"/>
              </w:rPr>
            </w:pPr>
            <w:r>
              <w:rPr>
                <w:rFonts w:ascii="Arial" w:cs="Arial" w:eastAsia="Arial" w:hAnsi="Arial"/>
                <w:sz w:val="14"/>
                <w:szCs w:val="14"/>
                <w:color w:val="auto"/>
              </w:rPr>
              <w:t>Years ended December 31,</w:t>
            </w:r>
          </w:p>
        </w:tc>
        <w:tc>
          <w:tcPr>
            <w:tcW w:w="3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right="248"/>
              <w:spacing w:after="0" w:line="157" w:lineRule="exact"/>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2009</w:t>
            </w:r>
          </w:p>
        </w:tc>
        <w:tc>
          <w:tcPr>
            <w:tcW w:w="304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Location</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Interest rate instruments(1)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48"/>
              <w:spacing w:after="0"/>
              <w:rPr>
                <w:sz w:val="20"/>
                <w:szCs w:val="20"/>
                <w:color w:val="auto"/>
              </w:rPr>
            </w:pPr>
            <w:r>
              <w:rPr>
                <w:rFonts w:ascii="Arial" w:cs="Arial" w:eastAsia="Arial" w:hAnsi="Arial"/>
                <w:sz w:val="14"/>
                <w:szCs w:val="14"/>
                <w:color w:val="auto"/>
              </w:rPr>
              <w:t>(42)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Interest rate instruments</w:t>
            </w:r>
          </w:p>
        </w:tc>
        <w:tc>
          <w:tcPr>
            <w:tcW w:w="280" w:type="dxa"/>
            <w:vAlign w:val="bottom"/>
          </w:tcPr>
          <w:p>
            <w:pPr>
              <w:spacing w:after="0"/>
              <w:rPr>
                <w:sz w:val="14"/>
                <w:szCs w:val="14"/>
                <w:color w:val="auto"/>
              </w:rPr>
            </w:pPr>
          </w:p>
        </w:tc>
        <w:tc>
          <w:tcPr>
            <w:tcW w:w="6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3040" w:type="dxa"/>
            <w:vAlign w:val="bottom"/>
          </w:tcPr>
          <w:p>
            <w:pPr>
              <w:ind w:left="260"/>
              <w:spacing w:after="0"/>
              <w:rPr>
                <w:sz w:val="20"/>
                <w:szCs w:val="20"/>
                <w:color w:val="auto"/>
              </w:rPr>
            </w:pPr>
            <w:r>
              <w:rPr>
                <w:rFonts w:ascii="Arial" w:cs="Arial" w:eastAsia="Arial" w:hAnsi="Arial"/>
                <w:sz w:val="14"/>
                <w:szCs w:val="14"/>
                <w:color w:val="auto"/>
              </w:rPr>
              <w:t>Other Income, Net(2)</w:t>
            </w:r>
          </w:p>
        </w:tc>
        <w:tc>
          <w:tcPr>
            <w:tcW w:w="3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Arial" w:cs="Arial" w:eastAsia="Arial" w:hAnsi="Arial"/>
                <w:sz w:val="14"/>
                <w:szCs w:val="14"/>
                <w:color w:val="auto"/>
              </w:rPr>
              <w:t>Equity Earnings, Net of Income</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Interest rate instruments</w:t>
            </w:r>
          </w:p>
        </w:tc>
        <w:tc>
          <w:tcPr>
            <w:tcW w:w="280" w:type="dxa"/>
            <w:vAlign w:val="bottom"/>
          </w:tcPr>
          <w:p>
            <w:pPr>
              <w:spacing w:after="0"/>
              <w:rPr>
                <w:sz w:val="14"/>
                <w:szCs w:val="14"/>
                <w:color w:val="auto"/>
              </w:rPr>
            </w:pPr>
          </w:p>
        </w:tc>
        <w:tc>
          <w:tcPr>
            <w:tcW w:w="640" w:type="dxa"/>
            <w:vAlign w:val="bottom"/>
          </w:tcPr>
          <w:p>
            <w:pPr>
              <w:jc w:val="center"/>
              <w:ind w:left="148"/>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ind w:left="400"/>
              <w:spacing w:after="0"/>
              <w:rPr>
                <w:sz w:val="20"/>
                <w:szCs w:val="20"/>
                <w:color w:val="auto"/>
              </w:rPr>
            </w:pPr>
            <w:r>
              <w:rPr>
                <w:rFonts w:ascii="Arial" w:cs="Arial" w:eastAsia="Arial" w:hAnsi="Arial"/>
                <w:sz w:val="14"/>
                <w:szCs w:val="14"/>
                <w:color w:val="auto"/>
              </w:rPr>
              <w:t>Tax</w:t>
            </w:r>
          </w:p>
        </w:tc>
        <w:tc>
          <w:tcPr>
            <w:tcW w:w="3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Commodity contracts not subject</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Arial" w:cs="Arial" w:eastAsia="Arial" w:hAnsi="Arial"/>
                <w:sz w:val="14"/>
                <w:szCs w:val="14"/>
                <w:color w:val="auto"/>
              </w:rPr>
              <w:t>Revenues: Energy-Related</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640"/>
              <w:spacing w:after="0"/>
              <w:rPr>
                <w:sz w:val="20"/>
                <w:szCs w:val="20"/>
                <w:color w:val="auto"/>
              </w:rPr>
            </w:pPr>
            <w:r>
              <w:rPr>
                <w:rFonts w:ascii="Arial" w:cs="Arial" w:eastAsia="Arial" w:hAnsi="Arial"/>
                <w:sz w:val="14"/>
                <w:szCs w:val="14"/>
                <w:color w:val="auto"/>
              </w:rPr>
              <w:t>to rate recovery</w:t>
            </w:r>
          </w:p>
        </w:tc>
        <w:tc>
          <w:tcPr>
            <w:tcW w:w="280" w:type="dxa"/>
            <w:vAlign w:val="bottom"/>
          </w:tcPr>
          <w:p>
            <w:pPr>
              <w:spacing w:after="0"/>
              <w:rPr>
                <w:sz w:val="14"/>
                <w:szCs w:val="14"/>
                <w:color w:val="auto"/>
              </w:rPr>
            </w:pPr>
          </w:p>
        </w:tc>
        <w:tc>
          <w:tcPr>
            <w:tcW w:w="6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w:t>
            </w:r>
          </w:p>
        </w:tc>
        <w:tc>
          <w:tcPr>
            <w:tcW w:w="3040" w:type="dxa"/>
            <w:vAlign w:val="bottom"/>
          </w:tcPr>
          <w:p>
            <w:pPr>
              <w:ind w:left="420"/>
              <w:spacing w:after="0"/>
              <w:rPr>
                <w:sz w:val="20"/>
                <w:szCs w:val="20"/>
                <w:color w:val="auto"/>
              </w:rPr>
            </w:pPr>
            <w:r>
              <w:rPr>
                <w:rFonts w:ascii="Arial" w:cs="Arial" w:eastAsia="Arial" w:hAnsi="Arial"/>
                <w:sz w:val="14"/>
                <w:szCs w:val="14"/>
                <w:color w:val="auto"/>
              </w:rPr>
              <w:t>Businesses</w:t>
            </w:r>
          </w:p>
        </w:tc>
        <w:tc>
          <w:tcPr>
            <w:tcW w:w="3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Commodity contracts not subject</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Arial" w:cs="Arial" w:eastAsia="Arial" w:hAnsi="Arial"/>
                <w:sz w:val="14"/>
                <w:szCs w:val="14"/>
                <w:color w:val="auto"/>
              </w:rPr>
              <w:t>Cost of Natural Gas, Electric</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640"/>
              <w:spacing w:after="0"/>
              <w:rPr>
                <w:sz w:val="20"/>
                <w:szCs w:val="20"/>
                <w:color w:val="auto"/>
              </w:rPr>
            </w:pPr>
            <w:r>
              <w:rPr>
                <w:rFonts w:ascii="Arial" w:cs="Arial" w:eastAsia="Arial" w:hAnsi="Arial"/>
                <w:sz w:val="14"/>
                <w:szCs w:val="14"/>
                <w:color w:val="auto"/>
              </w:rPr>
              <w:t>to rate recovery</w:t>
            </w:r>
          </w:p>
        </w:tc>
        <w:tc>
          <w:tcPr>
            <w:tcW w:w="280" w:type="dxa"/>
            <w:vAlign w:val="bottom"/>
          </w:tcPr>
          <w:p>
            <w:pPr>
              <w:spacing w:after="0"/>
              <w:rPr>
                <w:sz w:val="14"/>
                <w:szCs w:val="14"/>
                <w:color w:val="auto"/>
              </w:rPr>
            </w:pPr>
          </w:p>
        </w:tc>
        <w:tc>
          <w:tcPr>
            <w:tcW w:w="6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ind w:left="420"/>
              <w:spacing w:after="0"/>
              <w:rPr>
                <w:sz w:val="20"/>
                <w:szCs w:val="20"/>
                <w:color w:val="auto"/>
              </w:rPr>
            </w:pPr>
            <w:r>
              <w:rPr>
                <w:rFonts w:ascii="Arial" w:cs="Arial" w:eastAsia="Arial" w:hAnsi="Arial"/>
                <w:sz w:val="14"/>
                <w:szCs w:val="14"/>
                <w:color w:val="auto"/>
              </w:rPr>
              <w:t>Fuel and Purchased Power</w:t>
            </w:r>
          </w:p>
        </w:tc>
        <w:tc>
          <w:tcPr>
            <w:tcW w:w="3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Commodity contracts not subject</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640"/>
              <w:spacing w:after="0"/>
              <w:rPr>
                <w:sz w:val="20"/>
                <w:szCs w:val="20"/>
                <w:color w:val="auto"/>
              </w:rPr>
            </w:pPr>
            <w:r>
              <w:rPr>
                <w:rFonts w:ascii="Arial" w:cs="Arial" w:eastAsia="Arial" w:hAnsi="Arial"/>
                <w:sz w:val="14"/>
                <w:szCs w:val="14"/>
                <w:color w:val="auto"/>
              </w:rPr>
              <w:t>to rate recovery</w:t>
            </w:r>
          </w:p>
        </w:tc>
        <w:tc>
          <w:tcPr>
            <w:tcW w:w="280" w:type="dxa"/>
            <w:vAlign w:val="bottom"/>
          </w:tcPr>
          <w:p>
            <w:pPr>
              <w:spacing w:after="0"/>
              <w:rPr>
                <w:sz w:val="14"/>
                <w:szCs w:val="14"/>
                <w:color w:val="auto"/>
              </w:rPr>
            </w:pPr>
          </w:p>
        </w:tc>
        <w:tc>
          <w:tcPr>
            <w:tcW w:w="6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3040" w:type="dxa"/>
            <w:vAlign w:val="bottom"/>
          </w:tcPr>
          <w:p>
            <w:pPr>
              <w:ind w:left="260"/>
              <w:spacing w:after="0"/>
              <w:rPr>
                <w:sz w:val="20"/>
                <w:szCs w:val="20"/>
                <w:color w:val="auto"/>
              </w:rPr>
            </w:pPr>
            <w:r>
              <w:rPr>
                <w:rFonts w:ascii="Arial" w:cs="Arial" w:eastAsia="Arial" w:hAnsi="Arial"/>
                <w:sz w:val="14"/>
                <w:szCs w:val="14"/>
                <w:color w:val="auto"/>
              </w:rPr>
              <w:t>Other Operation and Maintenance</w:t>
            </w:r>
          </w:p>
        </w:tc>
        <w:tc>
          <w:tcPr>
            <w:tcW w:w="3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Commodity contracts not subject</w:t>
            </w:r>
          </w:p>
        </w:tc>
        <w:tc>
          <w:tcPr>
            <w:tcW w:w="280" w:type="dxa"/>
            <w:vAlign w:val="bottom"/>
          </w:tcPr>
          <w:p>
            <w:pPr>
              <w:spacing w:after="0"/>
              <w:rPr>
                <w:sz w:val="14"/>
                <w:szCs w:val="14"/>
                <w:color w:val="auto"/>
              </w:rPr>
            </w:pPr>
          </w:p>
        </w:tc>
        <w:tc>
          <w:tcPr>
            <w:tcW w:w="640" w:type="dxa"/>
            <w:vAlign w:val="bottom"/>
            <w:vMerge w:val="restart"/>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3040" w:type="dxa"/>
            <w:vAlign w:val="bottom"/>
          </w:tcPr>
          <w:p>
            <w:pPr>
              <w:ind w:left="260"/>
              <w:spacing w:after="0"/>
              <w:rPr>
                <w:sz w:val="20"/>
                <w:szCs w:val="20"/>
                <w:color w:val="auto"/>
              </w:rPr>
            </w:pPr>
            <w:r>
              <w:rPr>
                <w:rFonts w:ascii="Arial" w:cs="Arial" w:eastAsia="Arial" w:hAnsi="Arial"/>
                <w:sz w:val="14"/>
                <w:szCs w:val="14"/>
                <w:color w:val="auto"/>
              </w:rPr>
              <w:t>Equity Earnings (Losses): RBS</w:t>
            </w:r>
          </w:p>
        </w:tc>
        <w:tc>
          <w:tcPr>
            <w:tcW w:w="320" w:type="dxa"/>
            <w:vAlign w:val="bottom"/>
          </w:tcPr>
          <w:p>
            <w:pPr>
              <w:spacing w:after="0"/>
              <w:rPr>
                <w:sz w:val="14"/>
                <w:szCs w:val="14"/>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40" w:type="dxa"/>
            <w:vAlign w:val="bottom"/>
          </w:tcPr>
          <w:p>
            <w:pPr>
              <w:ind w:left="640"/>
              <w:spacing w:after="0" w:line="127" w:lineRule="exact"/>
              <w:rPr>
                <w:sz w:val="20"/>
                <w:szCs w:val="20"/>
                <w:color w:val="auto"/>
              </w:rPr>
            </w:pPr>
            <w:r>
              <w:rPr>
                <w:rFonts w:ascii="Arial" w:cs="Arial" w:eastAsia="Arial" w:hAnsi="Arial"/>
                <w:sz w:val="14"/>
                <w:szCs w:val="14"/>
                <w:color w:val="auto"/>
              </w:rPr>
              <w:t>to rate recovery</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3040" w:type="dxa"/>
            <w:vAlign w:val="bottom"/>
          </w:tcPr>
          <w:p>
            <w:pPr>
              <w:ind w:left="420"/>
              <w:spacing w:after="0" w:line="127" w:lineRule="exact"/>
              <w:rPr>
                <w:sz w:val="20"/>
                <w:szCs w:val="20"/>
                <w:color w:val="auto"/>
              </w:rPr>
            </w:pPr>
            <w:r>
              <w:rPr>
                <w:rFonts w:ascii="Arial" w:cs="Arial" w:eastAsia="Arial" w:hAnsi="Arial"/>
                <w:sz w:val="14"/>
                <w:szCs w:val="14"/>
                <w:color w:val="auto"/>
              </w:rPr>
              <w:t>Sempra Commodities LLP</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3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Interest rate instruments(1)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48"/>
              <w:spacing w:after="0"/>
              <w:rPr>
                <w:sz w:val="20"/>
                <w:szCs w:val="20"/>
                <w:color w:val="auto"/>
              </w:rPr>
            </w:pPr>
            <w:r>
              <w:rPr>
                <w:rFonts w:ascii="Arial" w:cs="Arial" w:eastAsia="Arial" w:hAnsi="Arial"/>
                <w:sz w:val="14"/>
                <w:szCs w:val="14"/>
                <w:color w:val="auto"/>
              </w:rPr>
              <w:t>(40)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Commodity contracts not subject</w:t>
            </w:r>
          </w:p>
        </w:tc>
        <w:tc>
          <w:tcPr>
            <w:tcW w:w="280" w:type="dxa"/>
            <w:vAlign w:val="bottom"/>
          </w:tcPr>
          <w:p>
            <w:pPr>
              <w:spacing w:after="0"/>
              <w:rPr>
                <w:sz w:val="14"/>
                <w:szCs w:val="14"/>
                <w:color w:val="auto"/>
              </w:rPr>
            </w:pPr>
          </w:p>
        </w:tc>
        <w:tc>
          <w:tcPr>
            <w:tcW w:w="640" w:type="dxa"/>
            <w:vAlign w:val="bottom"/>
            <w:vMerge w:val="restart"/>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40" w:type="dxa"/>
            <w:vAlign w:val="bottom"/>
          </w:tcPr>
          <w:p>
            <w:pPr>
              <w:ind w:left="640"/>
              <w:spacing w:after="0" w:line="127" w:lineRule="exact"/>
              <w:rPr>
                <w:sz w:val="20"/>
                <w:szCs w:val="20"/>
                <w:color w:val="auto"/>
              </w:rPr>
            </w:pPr>
            <w:r>
              <w:rPr>
                <w:rFonts w:ascii="Arial" w:cs="Arial" w:eastAsia="Arial" w:hAnsi="Arial"/>
                <w:sz w:val="14"/>
                <w:szCs w:val="14"/>
                <w:color w:val="auto"/>
              </w:rPr>
              <w:t>to rate recovery</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3040" w:type="dxa"/>
            <w:vAlign w:val="bottom"/>
          </w:tcPr>
          <w:p>
            <w:pPr>
              <w:ind w:left="260"/>
              <w:spacing w:after="0" w:line="127" w:lineRule="exact"/>
              <w:rPr>
                <w:sz w:val="20"/>
                <w:szCs w:val="20"/>
                <w:color w:val="auto"/>
              </w:rPr>
            </w:pPr>
            <w:r>
              <w:rPr>
                <w:rFonts w:ascii="Arial" w:cs="Arial" w:eastAsia="Arial" w:hAnsi="Arial"/>
                <w:sz w:val="14"/>
                <w:szCs w:val="14"/>
                <w:color w:val="auto"/>
              </w:rPr>
              <w:t>Operation and Maintenance</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Interest rate instrument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480"/>
              <w:spacing w:after="0"/>
              <w:rPr>
                <w:sz w:val="20"/>
                <w:szCs w:val="20"/>
                <w:color w:val="auto"/>
              </w:rPr>
            </w:pPr>
            <w:r>
              <w:rPr>
                <w:rFonts w:ascii="Arial" w:cs="Arial" w:eastAsia="Arial" w:hAnsi="Arial"/>
                <w:sz w:val="14"/>
                <w:szCs w:val="14"/>
                <w:color w:val="auto"/>
              </w:rPr>
              <w:t>Commodity contracts not subject</w:t>
            </w:r>
          </w:p>
        </w:tc>
        <w:tc>
          <w:tcPr>
            <w:tcW w:w="280" w:type="dxa"/>
            <w:vAlign w:val="bottom"/>
          </w:tcPr>
          <w:p>
            <w:pPr>
              <w:spacing w:after="0"/>
              <w:rPr>
                <w:sz w:val="14"/>
                <w:szCs w:val="14"/>
                <w:color w:val="auto"/>
              </w:rPr>
            </w:pPr>
          </w:p>
        </w:tc>
        <w:tc>
          <w:tcPr>
            <w:tcW w:w="640" w:type="dxa"/>
            <w:vAlign w:val="bottom"/>
            <w:vMerge w:val="restart"/>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40" w:type="dxa"/>
            <w:vAlign w:val="bottom"/>
          </w:tcPr>
          <w:p>
            <w:pPr>
              <w:ind w:left="640"/>
              <w:spacing w:after="0" w:line="127" w:lineRule="exact"/>
              <w:rPr>
                <w:sz w:val="20"/>
                <w:szCs w:val="20"/>
                <w:color w:val="auto"/>
              </w:rPr>
            </w:pPr>
            <w:r>
              <w:rPr>
                <w:rFonts w:ascii="Arial" w:cs="Arial" w:eastAsia="Arial" w:hAnsi="Arial"/>
                <w:sz w:val="14"/>
                <w:szCs w:val="14"/>
                <w:color w:val="auto"/>
              </w:rPr>
              <w:t>to rate recovery</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3040" w:type="dxa"/>
            <w:vAlign w:val="bottom"/>
          </w:tcPr>
          <w:p>
            <w:pPr>
              <w:ind w:left="260"/>
              <w:spacing w:after="0" w:line="127" w:lineRule="exact"/>
              <w:rPr>
                <w:sz w:val="20"/>
                <w:szCs w:val="20"/>
                <w:color w:val="auto"/>
              </w:rPr>
            </w:pPr>
            <w:r>
              <w:rPr>
                <w:rFonts w:ascii="Arial" w:cs="Arial" w:eastAsia="Arial" w:hAnsi="Arial"/>
                <w:sz w:val="14"/>
                <w:szCs w:val="14"/>
                <w:color w:val="auto"/>
              </w:rPr>
              <w:t>Operation and Maintenance</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ind w:left="500" w:right="700" w:hanging="492"/>
        <w:spacing w:after="0" w:line="245" w:lineRule="auto"/>
        <w:tabs>
          <w:tab w:leader="none" w:pos="500" w:val="left"/>
        </w:tabs>
        <w:numPr>
          <w:ilvl w:val="0"/>
          <w:numId w:val="356"/>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2010 and 2011 interest rate derivative activity relates to Otay Mesa VIE. There has been a negligible amount of ineffectiveness related to these swaps.</w:t>
      </w:r>
    </w:p>
    <w:p>
      <w:pPr>
        <w:ind w:left="500" w:right="80" w:hanging="492"/>
        <w:spacing w:after="0" w:line="258" w:lineRule="auto"/>
        <w:tabs>
          <w:tab w:leader="none" w:pos="500" w:val="left"/>
        </w:tabs>
        <w:numPr>
          <w:ilvl w:val="0"/>
          <w:numId w:val="356"/>
        </w:numPr>
        <w:rPr>
          <w:rFonts w:ascii="Arial" w:cs="Arial" w:eastAsia="Arial" w:hAnsi="Arial"/>
          <w:sz w:val="14"/>
          <w:szCs w:val="14"/>
          <w:i w:val="1"/>
          <w:iCs w:val="1"/>
          <w:color w:val="auto"/>
        </w:rPr>
      </w:pPr>
      <w:r>
        <w:rPr>
          <w:rFonts w:ascii="Arial" w:cs="Arial" w:eastAsia="Arial" w:hAnsi="Arial"/>
          <w:sz w:val="14"/>
          <w:szCs w:val="14"/>
          <w:i w:val="1"/>
          <w:iCs w:val="1"/>
          <w:color w:val="auto"/>
        </w:rPr>
        <w:t>Gains reclassified into earnings due to changes in cash requirements and associated impacts on forecasted interest payments, primarily related to proceeds received from RBS Sempra Commodities. See Note 4.</w:t>
      </w:r>
    </w:p>
    <w:p>
      <w:pPr>
        <w:sectPr>
          <w:pgSz w:w="11900" w:h="16838" w:orient="portrait"/>
          <w:cols w:equalWidth="0" w:num="1">
            <w:col w:w="11420"/>
          </w:cols>
          <w:pgMar w:left="240" w:top="144" w:right="239" w:bottom="0" w:gutter="0" w:footer="0" w:header="0"/>
        </w:sectPr>
      </w:pPr>
    </w:p>
    <w:bookmarkStart w:id="249" w:name="page250"/>
    <w:bookmarkEnd w:id="249"/>
    <w:p>
      <w:pPr>
        <w:spacing w:after="0" w:line="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Sempra Energy expects that losses of $8 million, which are net of income tax benefit, that are currently recorded in AOCI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w:t>
      </w:r>
    </w:p>
    <w:p>
      <w:pPr>
        <w:spacing w:after="0" w:line="181"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SDG&amp;E and SoCalGas expect that losses of $3 million and $1 million, respectively, which are net of income tax benefit, that are currently recorded in AOCI related to cash flow hedges will be reclassified into earnings during the next twelve months as the hedged items affect earnings.</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all forecasted transactions, the maximum term over which we are hedging exposure to the variability of cash flows at December 31, 2011 is 88 months for Sempra Energy and SDG&amp;E. The maximum term of exposure related to contracts at Sempra Generation’s equity method investees is 18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recorded negligible hedge ineffectiveness in 2011, 2010 and 2009.</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effects of derivative instruments not designated as hedging instruments on the Consolidated Statements of Operations for the years ended December 31 were:</w:t>
      </w:r>
    </w:p>
    <w:p>
      <w:pPr>
        <w:spacing w:after="0" w:line="167" w:lineRule="exact"/>
        <w:rPr>
          <w:sz w:val="20"/>
          <w:szCs w:val="20"/>
          <w:color w:val="auto"/>
        </w:rPr>
      </w:pPr>
    </w:p>
    <w:p>
      <w:pPr>
        <w:ind w:right="4000"/>
        <w:spacing w:after="0" w:line="243" w:lineRule="auto"/>
        <w:rPr>
          <w:sz w:val="20"/>
          <w:szCs w:val="20"/>
          <w:color w:val="auto"/>
        </w:rPr>
      </w:pPr>
      <w:r>
        <w:rPr>
          <w:rFonts w:ascii="Arial" w:cs="Arial" w:eastAsia="Arial" w:hAnsi="Arial"/>
          <w:sz w:val="16"/>
          <w:szCs w:val="16"/>
          <w:b w:val="1"/>
          <w:bCs w:val="1"/>
          <w:color w:val="auto"/>
        </w:rPr>
        <w:t xml:space="preserve">UNDESIGNATED DERIVATIVE IMPACT ON THE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gridSpan w:val="5"/>
          </w:tcPr>
          <w:p>
            <w:pPr>
              <w:jc w:val="right"/>
              <w:ind w:right="620"/>
              <w:spacing w:after="0"/>
              <w:rPr>
                <w:sz w:val="20"/>
                <w:szCs w:val="20"/>
                <w:color w:val="auto"/>
              </w:rPr>
            </w:pPr>
            <w:r>
              <w:rPr>
                <w:rFonts w:ascii="Arial" w:cs="Arial" w:eastAsia="Arial" w:hAnsi="Arial"/>
                <w:sz w:val="14"/>
                <w:szCs w:val="14"/>
                <w:color w:val="auto"/>
              </w:rPr>
              <w:t>Gain (loss) on derivatives recognized in earnings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Years ended December 31,</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rPr>
              <w:t>Location</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80"/>
              <w:spacing w:after="0" w:line="176" w:lineRule="exact"/>
              <w:rPr>
                <w:sz w:val="20"/>
                <w:szCs w:val="20"/>
                <w:color w:val="auto"/>
              </w:rPr>
            </w:pPr>
            <w:r>
              <w:rPr>
                <w:rFonts w:ascii="Arial" w:cs="Arial" w:eastAsia="Arial" w:hAnsi="Arial"/>
                <w:sz w:val="16"/>
                <w:szCs w:val="16"/>
                <w:color w:val="auto"/>
              </w:rPr>
              <w:t>Interest rate and foreign</w:t>
            </w:r>
          </w:p>
        </w:tc>
        <w:tc>
          <w:tcPr>
            <w:tcW w:w="3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660"/>
              <w:spacing w:after="0" w:line="176" w:lineRule="exact"/>
              <w:rPr>
                <w:sz w:val="20"/>
                <w:szCs w:val="20"/>
                <w:color w:val="auto"/>
              </w:rPr>
            </w:pPr>
            <w:r>
              <w:rPr>
                <w:rFonts w:ascii="Arial" w:cs="Arial" w:eastAsia="Arial" w:hAnsi="Arial"/>
                <w:sz w:val="16"/>
                <w:szCs w:val="16"/>
                <w:color w:val="auto"/>
              </w:rPr>
              <w:t>exchange instruments(1)</w:t>
            </w:r>
          </w:p>
        </w:tc>
        <w:tc>
          <w:tcPr>
            <w:tcW w:w="3720" w:type="dxa"/>
            <w:vAlign w:val="bottom"/>
          </w:tcPr>
          <w:p>
            <w:pPr>
              <w:ind w:left="320"/>
              <w:spacing w:after="0" w:line="176" w:lineRule="exact"/>
              <w:rPr>
                <w:sz w:val="20"/>
                <w:szCs w:val="20"/>
                <w:color w:val="auto"/>
              </w:rPr>
            </w:pPr>
            <w:r>
              <w:rPr>
                <w:rFonts w:ascii="Arial" w:cs="Arial" w:eastAsia="Arial" w:hAnsi="Arial"/>
                <w:sz w:val="16"/>
                <w:szCs w:val="16"/>
                <w:color w:val="auto"/>
              </w:rPr>
              <w:t>Other Income, Net</w:t>
            </w:r>
          </w:p>
        </w:tc>
        <w:tc>
          <w:tcPr>
            <w:tcW w:w="4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line="176" w:lineRule="exact"/>
              <w:rPr>
                <w:sz w:val="20"/>
                <w:szCs w:val="20"/>
                <w:color w:val="auto"/>
              </w:rPr>
            </w:pPr>
            <w:r>
              <w:rPr>
                <w:rFonts w:ascii="Arial" w:cs="Arial" w:eastAsia="Arial" w:hAnsi="Arial"/>
                <w:sz w:val="16"/>
                <w:szCs w:val="16"/>
                <w:color w:val="auto"/>
              </w:rPr>
              <w:t>(14)</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(34)</w:t>
            </w:r>
          </w:p>
        </w:tc>
        <w:tc>
          <w:tcPr>
            <w:tcW w:w="2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80"/>
              <w:spacing w:after="0" w:line="176" w:lineRule="exact"/>
              <w:rPr>
                <w:sz w:val="20"/>
                <w:szCs w:val="20"/>
                <w:color w:val="auto"/>
              </w:rPr>
            </w:pPr>
            <w:r>
              <w:rPr>
                <w:rFonts w:ascii="Arial" w:cs="Arial" w:eastAsia="Arial" w:hAnsi="Arial"/>
                <w:sz w:val="16"/>
                <w:szCs w:val="16"/>
                <w:color w:val="auto"/>
              </w:rPr>
              <w:t>Commodity contracts not subject</w:t>
            </w:r>
          </w:p>
        </w:tc>
        <w:tc>
          <w:tcPr>
            <w:tcW w:w="3720" w:type="dxa"/>
            <w:vAlign w:val="bottom"/>
          </w:tcPr>
          <w:p>
            <w:pPr>
              <w:ind w:left="320"/>
              <w:spacing w:after="0" w:line="176" w:lineRule="exact"/>
              <w:rPr>
                <w:sz w:val="20"/>
                <w:szCs w:val="20"/>
                <w:color w:val="auto"/>
              </w:rPr>
            </w:pPr>
            <w:r>
              <w:rPr>
                <w:rFonts w:ascii="Arial" w:cs="Arial" w:eastAsia="Arial" w:hAnsi="Arial"/>
                <w:sz w:val="16"/>
                <w:szCs w:val="16"/>
                <w:color w:val="auto"/>
              </w:rPr>
              <w:t>Revenues: Energy-Related</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660"/>
              <w:spacing w:after="0" w:line="176" w:lineRule="exact"/>
              <w:rPr>
                <w:sz w:val="20"/>
                <w:szCs w:val="20"/>
                <w:color w:val="auto"/>
              </w:rPr>
            </w:pPr>
            <w:r>
              <w:rPr>
                <w:rFonts w:ascii="Arial" w:cs="Arial" w:eastAsia="Arial" w:hAnsi="Arial"/>
                <w:sz w:val="16"/>
                <w:szCs w:val="16"/>
                <w:color w:val="auto"/>
              </w:rPr>
              <w:t>to rate recovery</w:t>
            </w:r>
          </w:p>
        </w:tc>
        <w:tc>
          <w:tcPr>
            <w:tcW w:w="3720" w:type="dxa"/>
            <w:vAlign w:val="bottom"/>
          </w:tcPr>
          <w:p>
            <w:pPr>
              <w:ind w:left="500"/>
              <w:spacing w:after="0" w:line="176" w:lineRule="exact"/>
              <w:rPr>
                <w:sz w:val="20"/>
                <w:szCs w:val="20"/>
                <w:color w:val="auto"/>
              </w:rPr>
            </w:pPr>
            <w:r>
              <w:rPr>
                <w:rFonts w:ascii="Arial" w:cs="Arial" w:eastAsia="Arial" w:hAnsi="Arial"/>
                <w:sz w:val="16"/>
                <w:szCs w:val="16"/>
                <w:color w:val="auto"/>
              </w:rPr>
              <w:t>Businesses</w:t>
            </w:r>
          </w:p>
        </w:tc>
        <w:tc>
          <w:tcPr>
            <w:tcW w:w="400" w:type="dxa"/>
            <w:vAlign w:val="bottom"/>
          </w:tcPr>
          <w:p>
            <w:pPr>
              <w:spacing w:after="0"/>
              <w:rPr>
                <w:sz w:val="15"/>
                <w:szCs w:val="15"/>
                <w:color w:val="auto"/>
              </w:rPr>
            </w:pPr>
          </w:p>
        </w:tc>
        <w:tc>
          <w:tcPr>
            <w:tcW w:w="1180" w:type="dxa"/>
            <w:vAlign w:val="bottom"/>
          </w:tcPr>
          <w:p>
            <w:pPr>
              <w:jc w:val="right"/>
              <w:ind w:right="61"/>
              <w:spacing w:after="0" w:line="176" w:lineRule="exact"/>
              <w:rPr>
                <w:sz w:val="20"/>
                <w:szCs w:val="20"/>
                <w:color w:val="auto"/>
              </w:rPr>
            </w:pPr>
            <w:r>
              <w:rPr>
                <w:rFonts w:ascii="Arial" w:cs="Arial" w:eastAsia="Arial" w:hAnsi="Arial"/>
                <w:sz w:val="16"/>
                <w:szCs w:val="16"/>
                <w:color w:val="auto"/>
              </w:rPr>
              <w:t>30</w:t>
            </w:r>
          </w:p>
        </w:tc>
        <w:tc>
          <w:tcPr>
            <w:tcW w:w="320" w:type="dxa"/>
            <w:vAlign w:val="bottom"/>
          </w:tcPr>
          <w:p>
            <w:pPr>
              <w:spacing w:after="0"/>
              <w:rPr>
                <w:sz w:val="15"/>
                <w:szCs w:val="15"/>
                <w:color w:val="auto"/>
              </w:rPr>
            </w:pPr>
          </w:p>
        </w:tc>
        <w:tc>
          <w:tcPr>
            <w:tcW w:w="124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47</w:t>
            </w:r>
          </w:p>
        </w:tc>
        <w:tc>
          <w:tcPr>
            <w:tcW w:w="2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80"/>
              <w:spacing w:after="0" w:line="176" w:lineRule="exact"/>
              <w:rPr>
                <w:sz w:val="20"/>
                <w:szCs w:val="20"/>
                <w:color w:val="auto"/>
              </w:rPr>
            </w:pPr>
            <w:r>
              <w:rPr>
                <w:rFonts w:ascii="Arial" w:cs="Arial" w:eastAsia="Arial" w:hAnsi="Arial"/>
                <w:sz w:val="16"/>
                <w:szCs w:val="16"/>
                <w:color w:val="auto"/>
              </w:rPr>
              <w:t>Commodity contracts not subject</w:t>
            </w:r>
          </w:p>
        </w:tc>
        <w:tc>
          <w:tcPr>
            <w:tcW w:w="3720" w:type="dxa"/>
            <w:vAlign w:val="bottom"/>
          </w:tcPr>
          <w:p>
            <w:pPr>
              <w:ind w:left="320"/>
              <w:spacing w:after="0" w:line="176" w:lineRule="exact"/>
              <w:rPr>
                <w:sz w:val="20"/>
                <w:szCs w:val="20"/>
                <w:color w:val="auto"/>
              </w:rPr>
            </w:pPr>
            <w:r>
              <w:rPr>
                <w:rFonts w:ascii="Arial" w:cs="Arial" w:eastAsia="Arial" w:hAnsi="Arial"/>
                <w:sz w:val="16"/>
                <w:szCs w:val="16"/>
                <w:color w:val="auto"/>
              </w:rPr>
              <w:t>Cost of Natural Gas, Electric</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660"/>
              <w:spacing w:after="0" w:line="176" w:lineRule="exact"/>
              <w:rPr>
                <w:sz w:val="20"/>
                <w:szCs w:val="20"/>
                <w:color w:val="auto"/>
              </w:rPr>
            </w:pPr>
            <w:r>
              <w:rPr>
                <w:rFonts w:ascii="Arial" w:cs="Arial" w:eastAsia="Arial" w:hAnsi="Arial"/>
                <w:sz w:val="16"/>
                <w:szCs w:val="16"/>
                <w:color w:val="auto"/>
              </w:rPr>
              <w:t>to rate recovery</w:t>
            </w:r>
          </w:p>
        </w:tc>
        <w:tc>
          <w:tcPr>
            <w:tcW w:w="3720" w:type="dxa"/>
            <w:vAlign w:val="bottom"/>
          </w:tcPr>
          <w:p>
            <w:pPr>
              <w:ind w:left="500"/>
              <w:spacing w:after="0" w:line="176" w:lineRule="exact"/>
              <w:rPr>
                <w:sz w:val="20"/>
                <w:szCs w:val="20"/>
                <w:color w:val="auto"/>
              </w:rPr>
            </w:pPr>
            <w:r>
              <w:rPr>
                <w:rFonts w:ascii="Arial" w:cs="Arial" w:eastAsia="Arial" w:hAnsi="Arial"/>
                <w:sz w:val="16"/>
                <w:szCs w:val="16"/>
                <w:color w:val="auto"/>
              </w:rPr>
              <w:t>Fuel and Purchased Power</w:t>
            </w:r>
          </w:p>
        </w:tc>
        <w:tc>
          <w:tcPr>
            <w:tcW w:w="400" w:type="dxa"/>
            <w:vAlign w:val="bottom"/>
          </w:tcPr>
          <w:p>
            <w:pPr>
              <w:spacing w:after="0"/>
              <w:rPr>
                <w:sz w:val="15"/>
                <w:szCs w:val="15"/>
                <w:color w:val="auto"/>
              </w:rPr>
            </w:pPr>
          </w:p>
        </w:tc>
        <w:tc>
          <w:tcPr>
            <w:tcW w:w="1180" w:type="dxa"/>
            <w:vAlign w:val="bottom"/>
          </w:tcPr>
          <w:p>
            <w:pPr>
              <w:jc w:val="right"/>
              <w:ind w:right="41"/>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2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(29)</w:t>
            </w:r>
          </w:p>
        </w:tc>
        <w:tc>
          <w:tcPr>
            <w:tcW w:w="2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80"/>
              <w:spacing w:after="0" w:line="176" w:lineRule="exact"/>
              <w:rPr>
                <w:sz w:val="20"/>
                <w:szCs w:val="20"/>
                <w:color w:val="auto"/>
              </w:rPr>
            </w:pPr>
            <w:r>
              <w:rPr>
                <w:rFonts w:ascii="Arial" w:cs="Arial" w:eastAsia="Arial" w:hAnsi="Arial"/>
                <w:sz w:val="16"/>
                <w:szCs w:val="16"/>
                <w:color w:val="auto"/>
              </w:rPr>
              <w:t>Commodity contracts not subject</w:t>
            </w:r>
          </w:p>
        </w:tc>
        <w:tc>
          <w:tcPr>
            <w:tcW w:w="3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660"/>
              <w:spacing w:after="0" w:line="176" w:lineRule="exact"/>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line="176" w:lineRule="exact"/>
              <w:rPr>
                <w:sz w:val="20"/>
                <w:szCs w:val="20"/>
                <w:color w:val="auto"/>
              </w:rPr>
            </w:pPr>
            <w:r>
              <w:rPr>
                <w:rFonts w:ascii="Arial" w:cs="Arial" w:eastAsia="Arial" w:hAnsi="Arial"/>
                <w:sz w:val="16"/>
                <w:szCs w:val="16"/>
                <w:color w:val="auto"/>
              </w:rPr>
              <w:t>Other Operation and Maintenance</w:t>
            </w:r>
          </w:p>
        </w:tc>
        <w:tc>
          <w:tcPr>
            <w:tcW w:w="400" w:type="dxa"/>
            <w:vAlign w:val="bottom"/>
          </w:tcPr>
          <w:p>
            <w:pPr>
              <w:spacing w:after="0"/>
              <w:rPr>
                <w:sz w:val="15"/>
                <w:szCs w:val="15"/>
                <w:color w:val="auto"/>
              </w:rPr>
            </w:pPr>
          </w:p>
        </w:tc>
        <w:tc>
          <w:tcPr>
            <w:tcW w:w="1180" w:type="dxa"/>
            <w:vAlign w:val="bottom"/>
          </w:tcPr>
          <w:p>
            <w:pPr>
              <w:jc w:val="right"/>
              <w:ind w:right="41"/>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24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80"/>
              <w:spacing w:after="0" w:line="176" w:lineRule="exact"/>
              <w:rPr>
                <w:sz w:val="20"/>
                <w:szCs w:val="20"/>
                <w:color w:val="auto"/>
              </w:rPr>
            </w:pPr>
            <w:r>
              <w:rPr>
                <w:rFonts w:ascii="Arial" w:cs="Arial" w:eastAsia="Arial" w:hAnsi="Arial"/>
                <w:sz w:val="16"/>
                <w:szCs w:val="16"/>
                <w:color w:val="auto"/>
              </w:rPr>
              <w:t>Commodity contracts subject</w:t>
            </w:r>
          </w:p>
        </w:tc>
        <w:tc>
          <w:tcPr>
            <w:tcW w:w="3720" w:type="dxa"/>
            <w:vAlign w:val="bottom"/>
          </w:tcPr>
          <w:p>
            <w:pPr>
              <w:ind w:left="320"/>
              <w:spacing w:after="0" w:line="176" w:lineRule="exact"/>
              <w:rPr>
                <w:sz w:val="20"/>
                <w:szCs w:val="20"/>
                <w:color w:val="auto"/>
              </w:rPr>
            </w:pPr>
            <w:r>
              <w:rPr>
                <w:rFonts w:ascii="Arial" w:cs="Arial" w:eastAsia="Arial" w:hAnsi="Arial"/>
                <w:sz w:val="16"/>
                <w:szCs w:val="16"/>
                <w:color w:val="auto"/>
              </w:rPr>
              <w:t>Cost of Electric Fuel</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660"/>
              <w:spacing w:after="0" w:line="176" w:lineRule="exact"/>
              <w:rPr>
                <w:sz w:val="20"/>
                <w:szCs w:val="20"/>
                <w:color w:val="auto"/>
              </w:rPr>
            </w:pPr>
            <w:r>
              <w:rPr>
                <w:rFonts w:ascii="Arial" w:cs="Arial" w:eastAsia="Arial" w:hAnsi="Arial"/>
                <w:sz w:val="16"/>
                <w:szCs w:val="16"/>
                <w:color w:val="auto"/>
              </w:rPr>
              <w:t>to rate recovery</w:t>
            </w:r>
          </w:p>
        </w:tc>
        <w:tc>
          <w:tcPr>
            <w:tcW w:w="3720" w:type="dxa"/>
            <w:vAlign w:val="bottom"/>
          </w:tcPr>
          <w:p>
            <w:pPr>
              <w:ind w:left="500"/>
              <w:spacing w:after="0" w:line="176" w:lineRule="exact"/>
              <w:rPr>
                <w:sz w:val="20"/>
                <w:szCs w:val="20"/>
                <w:color w:val="auto"/>
              </w:rPr>
            </w:pPr>
            <w:r>
              <w:rPr>
                <w:rFonts w:ascii="Arial" w:cs="Arial" w:eastAsia="Arial" w:hAnsi="Arial"/>
                <w:sz w:val="16"/>
                <w:szCs w:val="16"/>
                <w:color w:val="auto"/>
              </w:rPr>
              <w:t>and Purchased Power</w:t>
            </w:r>
          </w:p>
        </w:tc>
        <w:tc>
          <w:tcPr>
            <w:tcW w:w="400" w:type="dxa"/>
            <w:vAlign w:val="bottom"/>
          </w:tcPr>
          <w:p>
            <w:pPr>
              <w:spacing w:after="0"/>
              <w:rPr>
                <w:sz w:val="15"/>
                <w:szCs w:val="15"/>
                <w:color w:val="auto"/>
              </w:rPr>
            </w:pPr>
          </w:p>
        </w:tc>
        <w:tc>
          <w:tcPr>
            <w:tcW w:w="1180" w:type="dxa"/>
            <w:vAlign w:val="bottom"/>
          </w:tcPr>
          <w:p>
            <w:pPr>
              <w:jc w:val="right"/>
              <w:ind w:right="1"/>
              <w:spacing w:after="0" w:line="176" w:lineRule="exact"/>
              <w:rPr>
                <w:sz w:val="20"/>
                <w:szCs w:val="20"/>
                <w:color w:val="auto"/>
              </w:rPr>
            </w:pPr>
            <w:r>
              <w:rPr>
                <w:rFonts w:ascii="Arial" w:cs="Arial" w:eastAsia="Arial" w:hAnsi="Arial"/>
                <w:sz w:val="16"/>
                <w:szCs w:val="16"/>
                <w:color w:val="auto"/>
              </w:rPr>
              <w:t>(14)</w:t>
            </w:r>
          </w:p>
        </w:tc>
        <w:tc>
          <w:tcPr>
            <w:tcW w:w="320" w:type="dxa"/>
            <w:vAlign w:val="bottom"/>
          </w:tcPr>
          <w:p>
            <w:pPr>
              <w:spacing w:after="0"/>
              <w:rPr>
                <w:sz w:val="15"/>
                <w:szCs w:val="15"/>
                <w:color w:val="auto"/>
              </w:rPr>
            </w:pPr>
          </w:p>
        </w:tc>
        <w:tc>
          <w:tcPr>
            <w:tcW w:w="12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(102)</w:t>
            </w:r>
          </w:p>
        </w:tc>
        <w:tc>
          <w:tcPr>
            <w:tcW w:w="2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Pr>
          <w:p>
            <w:pPr>
              <w:ind w:left="480"/>
              <w:spacing w:after="0"/>
              <w:rPr>
                <w:sz w:val="20"/>
                <w:szCs w:val="20"/>
                <w:color w:val="auto"/>
              </w:rPr>
            </w:pPr>
            <w:r>
              <w:rPr>
                <w:rFonts w:ascii="Arial" w:cs="Arial" w:eastAsia="Arial" w:hAnsi="Arial"/>
                <w:sz w:val="16"/>
                <w:szCs w:val="16"/>
                <w:color w:val="auto"/>
              </w:rPr>
              <w:t>Commodity contracts subject</w:t>
            </w:r>
          </w:p>
        </w:tc>
        <w:tc>
          <w:tcPr>
            <w:tcW w:w="3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1240" w:type="dxa"/>
            <w:vAlign w:val="bottom"/>
            <w:vMerge w:val="restart"/>
          </w:tcPr>
          <w:p>
            <w:pPr>
              <w:jc w:val="right"/>
              <w:ind w:right="6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ind w:left="660"/>
              <w:spacing w:after="0" w:line="168" w:lineRule="exact"/>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line="168" w:lineRule="exact"/>
              <w:rPr>
                <w:sz w:val="20"/>
                <w:szCs w:val="20"/>
                <w:color w:val="auto"/>
              </w:rPr>
            </w:pPr>
            <w:r>
              <w:rPr>
                <w:rFonts w:ascii="Arial" w:cs="Arial" w:eastAsia="Arial" w:hAnsi="Arial"/>
                <w:sz w:val="16"/>
                <w:szCs w:val="16"/>
                <w:color w:val="auto"/>
              </w:rPr>
              <w:t>Cost of Natural Gas</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tcBorders>
              <w:bottom w:val="single" w:sz="8" w:color="auto"/>
            </w:tcBorders>
          </w:tcPr>
          <w:p>
            <w:pPr>
              <w:ind w:left="480"/>
              <w:spacing w:after="0" w:line="176" w:lineRule="exact"/>
              <w:rPr>
                <w:sz w:val="20"/>
                <w:szCs w:val="20"/>
                <w:color w:val="auto"/>
              </w:rPr>
            </w:pPr>
            <w:r>
              <w:rPr>
                <w:rFonts w:ascii="Arial" w:cs="Arial" w:eastAsia="Arial" w:hAnsi="Arial"/>
                <w:sz w:val="16"/>
                <w:szCs w:val="16"/>
                <w:color w:val="auto"/>
              </w:rPr>
              <w:t>Total</w:t>
            </w:r>
          </w:p>
        </w:tc>
        <w:tc>
          <w:tcPr>
            <w:tcW w:w="3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(125)</w:t>
            </w:r>
          </w:p>
        </w:tc>
        <w:tc>
          <w:tcPr>
            <w:tcW w:w="2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80"/>
              <w:spacing w:after="0" w:line="176" w:lineRule="exact"/>
              <w:rPr>
                <w:sz w:val="20"/>
                <w:szCs w:val="20"/>
                <w:color w:val="auto"/>
              </w:rPr>
            </w:pPr>
            <w:r>
              <w:rPr>
                <w:rFonts w:ascii="Arial" w:cs="Arial" w:eastAsia="Arial" w:hAnsi="Arial"/>
                <w:sz w:val="16"/>
                <w:szCs w:val="16"/>
                <w:color w:val="auto"/>
              </w:rPr>
              <w:t>Interest rate instruments(1)</w:t>
            </w:r>
          </w:p>
        </w:tc>
        <w:tc>
          <w:tcPr>
            <w:tcW w:w="3720" w:type="dxa"/>
            <w:vAlign w:val="bottom"/>
          </w:tcPr>
          <w:p>
            <w:pPr>
              <w:ind w:left="320"/>
              <w:spacing w:after="0" w:line="176" w:lineRule="exact"/>
              <w:rPr>
                <w:sz w:val="20"/>
                <w:szCs w:val="20"/>
                <w:color w:val="auto"/>
              </w:rPr>
            </w:pPr>
            <w:r>
              <w:rPr>
                <w:rFonts w:ascii="Arial" w:cs="Arial" w:eastAsia="Arial" w:hAnsi="Arial"/>
                <w:sz w:val="16"/>
                <w:szCs w:val="16"/>
                <w:color w:val="auto"/>
              </w:rPr>
              <w:t>Other Income, Net</w:t>
            </w:r>
          </w:p>
        </w:tc>
        <w:tc>
          <w:tcPr>
            <w:tcW w:w="4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line="176" w:lineRule="exact"/>
              <w:rPr>
                <w:sz w:val="20"/>
                <w:szCs w:val="20"/>
                <w:color w:val="auto"/>
              </w:rPr>
            </w:pPr>
            <w:r>
              <w:rPr>
                <w:rFonts w:ascii="Arial" w:cs="Arial" w:eastAsia="Arial" w:hAnsi="Arial"/>
                <w:sz w:val="16"/>
                <w:szCs w:val="16"/>
                <w:color w:val="auto"/>
              </w:rPr>
              <w:t>(34)</w:t>
            </w:r>
          </w:p>
        </w:tc>
        <w:tc>
          <w:tcPr>
            <w:tcW w:w="2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80"/>
              <w:spacing w:after="0" w:line="176" w:lineRule="exact"/>
              <w:rPr>
                <w:sz w:val="20"/>
                <w:szCs w:val="20"/>
                <w:color w:val="auto"/>
              </w:rPr>
            </w:pPr>
            <w:r>
              <w:rPr>
                <w:rFonts w:ascii="Arial" w:cs="Arial" w:eastAsia="Arial" w:hAnsi="Arial"/>
                <w:sz w:val="16"/>
                <w:szCs w:val="16"/>
                <w:color w:val="auto"/>
              </w:rPr>
              <w:t>Commodity contracts not subject</w:t>
            </w:r>
          </w:p>
        </w:tc>
        <w:tc>
          <w:tcPr>
            <w:tcW w:w="3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660"/>
              <w:spacing w:after="0" w:line="176" w:lineRule="exact"/>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line="176" w:lineRule="exact"/>
              <w:rPr>
                <w:sz w:val="20"/>
                <w:szCs w:val="20"/>
                <w:color w:val="auto"/>
              </w:rPr>
            </w:pPr>
            <w:r>
              <w:rPr>
                <w:rFonts w:ascii="Arial" w:cs="Arial" w:eastAsia="Arial" w:hAnsi="Arial"/>
                <w:sz w:val="16"/>
                <w:szCs w:val="16"/>
                <w:color w:val="auto"/>
              </w:rPr>
              <w:t>Operation and Maintenance</w:t>
            </w:r>
          </w:p>
        </w:tc>
        <w:tc>
          <w:tcPr>
            <w:tcW w:w="400" w:type="dxa"/>
            <w:vAlign w:val="bottom"/>
          </w:tcPr>
          <w:p>
            <w:pPr>
              <w:spacing w:after="0"/>
              <w:rPr>
                <w:sz w:val="15"/>
                <w:szCs w:val="15"/>
                <w:color w:val="auto"/>
              </w:rPr>
            </w:pPr>
          </w:p>
        </w:tc>
        <w:tc>
          <w:tcPr>
            <w:tcW w:w="1180" w:type="dxa"/>
            <w:vAlign w:val="bottom"/>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24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Pr>
          <w:p>
            <w:pPr>
              <w:ind w:left="480"/>
              <w:spacing w:after="0"/>
              <w:rPr>
                <w:sz w:val="20"/>
                <w:szCs w:val="20"/>
                <w:color w:val="auto"/>
              </w:rPr>
            </w:pPr>
            <w:r>
              <w:rPr>
                <w:rFonts w:ascii="Arial" w:cs="Arial" w:eastAsia="Arial" w:hAnsi="Arial"/>
                <w:sz w:val="16"/>
                <w:szCs w:val="16"/>
                <w:color w:val="auto"/>
              </w:rPr>
              <w:t>Commodity contracts subject</w:t>
            </w:r>
          </w:p>
        </w:tc>
        <w:tc>
          <w:tcPr>
            <w:tcW w:w="3720" w:type="dxa"/>
            <w:vAlign w:val="bottom"/>
          </w:tcPr>
          <w:p>
            <w:pPr>
              <w:ind w:left="320"/>
              <w:spacing w:after="0"/>
              <w:rPr>
                <w:sz w:val="20"/>
                <w:szCs w:val="20"/>
                <w:color w:val="auto"/>
              </w:rPr>
            </w:pPr>
            <w:r>
              <w:rPr>
                <w:rFonts w:ascii="Arial" w:cs="Arial" w:eastAsia="Arial" w:hAnsi="Arial"/>
                <w:sz w:val="16"/>
                <w:szCs w:val="16"/>
                <w:color w:val="auto"/>
              </w:rPr>
              <w:t>Cost of Electric Fuel</w:t>
            </w:r>
          </w:p>
        </w:tc>
        <w:tc>
          <w:tcPr>
            <w:tcW w:w="400" w:type="dxa"/>
            <w:vAlign w:val="bottom"/>
          </w:tcPr>
          <w:p>
            <w:pPr>
              <w:spacing w:after="0"/>
              <w:rPr>
                <w:sz w:val="16"/>
                <w:szCs w:val="16"/>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6"/>
                <w:szCs w:val="16"/>
                <w:color w:val="auto"/>
              </w:rPr>
            </w:pPr>
          </w:p>
        </w:tc>
        <w:tc>
          <w:tcPr>
            <w:tcW w:w="1240" w:type="dxa"/>
            <w:vAlign w:val="bottom"/>
            <w:vMerge w:val="restart"/>
          </w:tcPr>
          <w:p>
            <w:pPr>
              <w:jc w:val="right"/>
              <w:ind w:right="60"/>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ind w:left="660"/>
              <w:spacing w:after="0" w:line="168" w:lineRule="exact"/>
              <w:rPr>
                <w:sz w:val="20"/>
                <w:szCs w:val="20"/>
                <w:color w:val="auto"/>
              </w:rPr>
            </w:pPr>
            <w:r>
              <w:rPr>
                <w:rFonts w:ascii="Arial" w:cs="Arial" w:eastAsia="Arial" w:hAnsi="Arial"/>
                <w:sz w:val="16"/>
                <w:szCs w:val="16"/>
                <w:color w:val="auto"/>
              </w:rPr>
              <w:t>to rate recovery</w:t>
            </w:r>
          </w:p>
        </w:tc>
        <w:tc>
          <w:tcPr>
            <w:tcW w:w="3720" w:type="dxa"/>
            <w:vAlign w:val="bottom"/>
          </w:tcPr>
          <w:p>
            <w:pPr>
              <w:ind w:left="500"/>
              <w:spacing w:after="0" w:line="168" w:lineRule="exact"/>
              <w:rPr>
                <w:sz w:val="20"/>
                <w:szCs w:val="20"/>
                <w:color w:val="auto"/>
              </w:rPr>
            </w:pPr>
            <w:r>
              <w:rPr>
                <w:rFonts w:ascii="Arial" w:cs="Arial" w:eastAsia="Arial" w:hAnsi="Arial"/>
                <w:sz w:val="16"/>
                <w:szCs w:val="16"/>
                <w:color w:val="auto"/>
              </w:rPr>
              <w:t>and Purchased Power</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tcBorders>
              <w:bottom w:val="single" w:sz="8" w:color="auto"/>
            </w:tcBorders>
          </w:tcPr>
          <w:p>
            <w:pPr>
              <w:ind w:left="480"/>
              <w:spacing w:after="0" w:line="176" w:lineRule="exact"/>
              <w:rPr>
                <w:sz w:val="20"/>
                <w:szCs w:val="20"/>
                <w:color w:val="auto"/>
              </w:rPr>
            </w:pPr>
            <w:r>
              <w:rPr>
                <w:rFonts w:ascii="Arial" w:cs="Arial" w:eastAsia="Arial" w:hAnsi="Arial"/>
                <w:sz w:val="16"/>
                <w:szCs w:val="16"/>
                <w:color w:val="auto"/>
              </w:rPr>
              <w:t>Total</w:t>
            </w:r>
          </w:p>
        </w:tc>
        <w:tc>
          <w:tcPr>
            <w:tcW w:w="3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(135)</w:t>
            </w:r>
          </w:p>
        </w:tc>
        <w:tc>
          <w:tcPr>
            <w:tcW w:w="2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80"/>
              <w:spacing w:after="0" w:line="176" w:lineRule="exact"/>
              <w:rPr>
                <w:sz w:val="20"/>
                <w:szCs w:val="20"/>
                <w:color w:val="auto"/>
              </w:rPr>
            </w:pPr>
            <w:r>
              <w:rPr>
                <w:rFonts w:ascii="Arial" w:cs="Arial" w:eastAsia="Arial" w:hAnsi="Arial"/>
                <w:sz w:val="16"/>
                <w:szCs w:val="16"/>
                <w:color w:val="auto"/>
              </w:rPr>
              <w:t>Commodity contracts not subject</w:t>
            </w:r>
          </w:p>
        </w:tc>
        <w:tc>
          <w:tcPr>
            <w:tcW w:w="3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Pr>
          <w:p>
            <w:pPr>
              <w:ind w:left="66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rPr>
                <w:sz w:val="20"/>
                <w:szCs w:val="20"/>
                <w:color w:val="auto"/>
              </w:rPr>
            </w:pPr>
            <w:r>
              <w:rPr>
                <w:rFonts w:ascii="Arial" w:cs="Arial" w:eastAsia="Arial" w:hAnsi="Arial"/>
                <w:sz w:val="16"/>
                <w:szCs w:val="16"/>
                <w:color w:val="auto"/>
              </w:rPr>
              <w:t>Operation and Maintenance</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480"/>
              <w:spacing w:after="0"/>
              <w:rPr>
                <w:sz w:val="20"/>
                <w:szCs w:val="20"/>
                <w:color w:val="auto"/>
              </w:rPr>
            </w:pPr>
            <w:r>
              <w:rPr>
                <w:rFonts w:ascii="Arial" w:cs="Arial" w:eastAsia="Arial" w:hAnsi="Arial"/>
                <w:sz w:val="16"/>
                <w:szCs w:val="16"/>
                <w:color w:val="auto"/>
              </w:rPr>
              <w:t>Commodity contracts subject</w:t>
            </w:r>
          </w:p>
        </w:tc>
        <w:tc>
          <w:tcPr>
            <w:tcW w:w="3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7"/>
                <w:szCs w:val="17"/>
                <w:color w:val="auto"/>
              </w:rPr>
            </w:pPr>
          </w:p>
        </w:tc>
        <w:tc>
          <w:tcPr>
            <w:tcW w:w="1240" w:type="dxa"/>
            <w:vAlign w:val="bottom"/>
            <w:vMerge w:val="restart"/>
          </w:tcPr>
          <w:p>
            <w:pPr>
              <w:jc w:val="right"/>
              <w:ind w:right="6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ind w:left="660"/>
              <w:spacing w:after="0" w:line="168" w:lineRule="exact"/>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line="168" w:lineRule="exact"/>
              <w:rPr>
                <w:sz w:val="20"/>
                <w:szCs w:val="20"/>
                <w:color w:val="auto"/>
              </w:rPr>
            </w:pPr>
            <w:r>
              <w:rPr>
                <w:rFonts w:ascii="Arial" w:cs="Arial" w:eastAsia="Arial" w:hAnsi="Arial"/>
                <w:sz w:val="16"/>
                <w:szCs w:val="16"/>
                <w:color w:val="auto"/>
              </w:rPr>
              <w:t>Cost of Natural Gas</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tcBorders>
              <w:bottom w:val="single" w:sz="8" w:color="auto"/>
            </w:tcBorders>
          </w:tcPr>
          <w:p>
            <w:pPr>
              <w:ind w:left="480"/>
              <w:spacing w:after="0" w:line="176" w:lineRule="exact"/>
              <w:rPr>
                <w:sz w:val="20"/>
                <w:szCs w:val="20"/>
                <w:color w:val="auto"/>
              </w:rPr>
            </w:pPr>
            <w:r>
              <w:rPr>
                <w:rFonts w:ascii="Arial" w:cs="Arial" w:eastAsia="Arial" w:hAnsi="Arial"/>
                <w:sz w:val="16"/>
                <w:szCs w:val="16"/>
                <w:color w:val="auto"/>
              </w:rPr>
              <w:t>Total</w:t>
            </w:r>
          </w:p>
        </w:tc>
        <w:tc>
          <w:tcPr>
            <w:tcW w:w="3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(1)Amounts are related to Otay Mesa VIE. Sempra Energy Consolidated also includes additional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2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Sempra Energy, the total fair value of this group of derivative instruments in a net liability position at December 31, 2011 is $24 million. As of December 31, 2011, if the credit ratings of Sempra Energy were reduced below investment grade, $24 million of additional assets could be required to be posted as collateral for these derivative contracts.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SDG&amp;E, the total fair value of this group of derivative instruments in a net liability position at December 31, 2011 is $11 million. As of December 31, 2011, if the credit ratings of SDG&amp;E were reduced below investment grade, $11 million of additional assets could be required to be posted as collateral for these derivative contracts.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NOTE 11. FAIR VALUE MEASUREMENTS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certain other</w:t>
      </w:r>
    </w:p>
    <w:p>
      <w:pPr>
        <w:sectPr>
          <w:pgSz w:w="11900" w:h="16867" w:orient="portrait"/>
          <w:cols w:equalWidth="0" w:num="1">
            <w:col w:w="11420"/>
          </w:cols>
          <w:pgMar w:left="240" w:top="369" w:right="239" w:bottom="0" w:gutter="0" w:footer="0" w:header="0"/>
        </w:sectPr>
      </w:pPr>
    </w:p>
    <w:bookmarkStart w:id="250" w:name="page251"/>
    <w:bookmarkEnd w:id="250"/>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at December 31: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400" w:type="dxa"/>
            <w:vAlign w:val="bottom"/>
            <w:gridSpan w:val="3"/>
            <w:vMerge w:val="restart"/>
          </w:tcPr>
          <w:p>
            <w:pPr>
              <w:jc w:val="right"/>
              <w:ind w:right="223"/>
              <w:spacing w:after="0"/>
              <w:rPr>
                <w:sz w:val="20"/>
                <w:szCs w:val="20"/>
                <w:color w:val="auto"/>
              </w:rPr>
            </w:pPr>
            <w:r>
              <w:rPr>
                <w:rFonts w:ascii="Arial" w:cs="Arial" w:eastAsia="Arial" w:hAnsi="Arial"/>
                <w:sz w:val="14"/>
                <w:szCs w:val="14"/>
                <w:color w:val="auto"/>
              </w:rPr>
              <w:t>December 31, 2011</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3"/>
            <w:vMerge w:val="restart"/>
          </w:tcPr>
          <w:p>
            <w:pPr>
              <w:jc w:val="right"/>
              <w:ind w:right="781"/>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40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Carrying</w:t>
            </w: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Fair</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21"/>
              <w:spacing w:after="0"/>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6"/>
                <w:szCs w:val="16"/>
                <w:color w:val="auto"/>
              </w:rPr>
            </w:pPr>
          </w:p>
        </w:tc>
        <w:tc>
          <w:tcPr>
            <w:tcW w:w="1020" w:type="dxa"/>
            <w:vAlign w:val="bottom"/>
          </w:tcPr>
          <w:p>
            <w:pPr>
              <w:jc w:val="right"/>
              <w:ind w:right="561"/>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Value</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Amount</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Investments in affordable housing partnerships(1)</w:t>
            </w:r>
          </w:p>
        </w:tc>
        <w:tc>
          <w:tcPr>
            <w:tcW w:w="1020" w:type="dxa"/>
            <w:vAlign w:val="bottom"/>
          </w:tcPr>
          <w:p>
            <w:pPr>
              <w:jc w:val="right"/>
              <w:ind w:right="543"/>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21</w:t>
            </w:r>
          </w:p>
        </w:tc>
        <w:tc>
          <w:tcPr>
            <w:tcW w:w="780" w:type="dxa"/>
            <w:vAlign w:val="bottom"/>
          </w:tcPr>
          <w:p>
            <w:pPr>
              <w:jc w:val="right"/>
              <w:ind w:right="443"/>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48</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28</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debt(2)</w:t>
            </w:r>
          </w:p>
        </w:tc>
        <w:tc>
          <w:tcPr>
            <w:tcW w:w="1020" w:type="dxa"/>
            <w:vAlign w:val="bottom"/>
          </w:tcPr>
          <w:p>
            <w:pPr>
              <w:spacing w:after="0"/>
              <w:rPr>
                <w:sz w:val="15"/>
                <w:szCs w:val="15"/>
                <w:color w:val="auto"/>
              </w:rPr>
            </w:pP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w w:val="99"/>
              </w:rPr>
              <w:t>9,826</w:t>
            </w:r>
          </w:p>
        </w:tc>
        <w:tc>
          <w:tcPr>
            <w:tcW w:w="780" w:type="dxa"/>
            <w:vAlign w:val="bottom"/>
          </w:tcPr>
          <w:p>
            <w:pPr>
              <w:spacing w:after="0"/>
              <w:rPr>
                <w:sz w:val="15"/>
                <w:szCs w:val="15"/>
                <w:color w:val="auto"/>
              </w:rPr>
            </w:pPr>
          </w:p>
        </w:tc>
        <w:tc>
          <w:tcPr>
            <w:tcW w:w="7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11,047</w:t>
            </w:r>
          </w:p>
        </w:tc>
        <w:tc>
          <w:tcPr>
            <w:tcW w:w="300" w:type="dxa"/>
            <w:vAlign w:val="bottom"/>
          </w:tcPr>
          <w:p>
            <w:pPr>
              <w:spacing w:after="0"/>
              <w:rPr>
                <w:sz w:val="15"/>
                <w:szCs w:val="15"/>
                <w:color w:val="auto"/>
              </w:rPr>
            </w:pP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8,330</w:t>
            </w:r>
          </w:p>
        </w:tc>
        <w:tc>
          <w:tcPr>
            <w:tcW w:w="3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8,883</w:t>
            </w: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Due to unconsolidated affiliate(3)</w:t>
            </w:r>
          </w:p>
        </w:tc>
        <w:tc>
          <w:tcPr>
            <w:tcW w:w="1020" w:type="dxa"/>
            <w:vAlign w:val="bottom"/>
          </w:tcPr>
          <w:p>
            <w:pPr>
              <w:spacing w:after="0"/>
              <w:rPr>
                <w:sz w:val="15"/>
                <w:szCs w:val="15"/>
                <w:color w:val="auto"/>
              </w:rPr>
            </w:pP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spacing w:after="0"/>
              <w:rPr>
                <w:sz w:val="15"/>
                <w:szCs w:val="15"/>
                <w:color w:val="auto"/>
              </w:rPr>
            </w:pPr>
          </w:p>
        </w:tc>
        <w:tc>
          <w:tcPr>
            <w:tcW w:w="7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4"/>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Preferred stock of subsidiaries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99</w:t>
            </w: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106</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179</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64"/>
        </w:trPr>
        <w:tc>
          <w:tcPr>
            <w:tcW w:w="54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debt(4)</w:t>
            </w:r>
          </w:p>
        </w:tc>
        <w:tc>
          <w:tcPr>
            <w:tcW w:w="1020" w:type="dxa"/>
            <w:vAlign w:val="bottom"/>
          </w:tcPr>
          <w:p>
            <w:pPr>
              <w:jc w:val="right"/>
              <w:ind w:right="543"/>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w w:val="99"/>
              </w:rPr>
              <w:t>3,895</w:t>
            </w:r>
          </w:p>
        </w:tc>
        <w:tc>
          <w:tcPr>
            <w:tcW w:w="780" w:type="dxa"/>
            <w:vAlign w:val="bottom"/>
          </w:tcPr>
          <w:p>
            <w:pPr>
              <w:jc w:val="right"/>
              <w:ind w:right="443"/>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4,288</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3,305</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194"/>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Contingently redeemable preferred stock</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w:t>
            </w: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79</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4"/>
        </w:trPr>
        <w:tc>
          <w:tcPr>
            <w:tcW w:w="54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debt(5)</w:t>
            </w:r>
          </w:p>
        </w:tc>
        <w:tc>
          <w:tcPr>
            <w:tcW w:w="1020" w:type="dxa"/>
            <w:vAlign w:val="bottom"/>
          </w:tcPr>
          <w:p>
            <w:pPr>
              <w:jc w:val="right"/>
              <w:ind w:right="543"/>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line="176" w:lineRule="exact"/>
              <w:rPr>
                <w:sz w:val="20"/>
                <w:szCs w:val="20"/>
                <w:color w:val="auto"/>
              </w:rPr>
            </w:pPr>
            <w:r>
              <w:rPr>
                <w:rFonts w:ascii="Arial" w:cs="Arial" w:eastAsia="Arial" w:hAnsi="Arial"/>
                <w:sz w:val="16"/>
                <w:szCs w:val="16"/>
                <w:color w:val="auto"/>
                <w:w w:val="99"/>
              </w:rPr>
              <w:t>1,313</w:t>
            </w:r>
          </w:p>
        </w:tc>
        <w:tc>
          <w:tcPr>
            <w:tcW w:w="780" w:type="dxa"/>
            <w:vAlign w:val="bottom"/>
          </w:tcPr>
          <w:p>
            <w:pPr>
              <w:jc w:val="right"/>
              <w:ind w:right="443"/>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1,506</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1,566</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195"/>
        </w:trPr>
        <w:tc>
          <w:tcPr>
            <w:tcW w:w="546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1020" w:type="dxa"/>
            <w:vAlign w:val="bottom"/>
          </w:tcPr>
          <w:p>
            <w:pPr>
              <w:spacing w:after="0"/>
              <w:rPr>
                <w:sz w:val="16"/>
                <w:szCs w:val="16"/>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780" w:type="dxa"/>
            <w:vAlign w:val="bottom"/>
          </w:tcPr>
          <w:p>
            <w:pPr>
              <w:spacing w:after="0"/>
              <w:rPr>
                <w:sz w:val="16"/>
                <w:szCs w:val="16"/>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6"/>
                <w:szCs w:val="16"/>
                <w:color w:val="auto"/>
              </w:rPr>
            </w:pP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hanging="357"/>
        <w:spacing w:after="0"/>
        <w:tabs>
          <w:tab w:leader="none" w:pos="540" w:val="left"/>
        </w:tabs>
        <w:numPr>
          <w:ilvl w:val="0"/>
          <w:numId w:val="357"/>
        </w:numPr>
        <w:rPr>
          <w:rFonts w:ascii="Arial" w:cs="Arial" w:eastAsia="Arial" w:hAnsi="Arial"/>
          <w:sz w:val="14"/>
          <w:szCs w:val="14"/>
          <w:i w:val="1"/>
          <w:iCs w:val="1"/>
          <w:color w:val="auto"/>
        </w:rPr>
      </w:pPr>
      <w:r>
        <w:rPr>
          <w:rFonts w:ascii="Arial" w:cs="Arial" w:eastAsia="Arial" w:hAnsi="Arial"/>
          <w:sz w:val="14"/>
          <w:szCs w:val="14"/>
          <w:i w:val="1"/>
          <w:iCs w:val="1"/>
          <w:color w:val="auto"/>
        </w:rPr>
        <w:t>We discuss our investments in affordable housing partnerships in Note 4.</w:t>
      </w:r>
    </w:p>
    <w:p>
      <w:pPr>
        <w:spacing w:after="0" w:line="15" w:lineRule="exact"/>
        <w:rPr>
          <w:rFonts w:ascii="Arial" w:cs="Arial" w:eastAsia="Arial" w:hAnsi="Arial"/>
          <w:sz w:val="14"/>
          <w:szCs w:val="14"/>
          <w:i w:val="1"/>
          <w:iCs w:val="1"/>
          <w:color w:val="auto"/>
        </w:rPr>
      </w:pPr>
    </w:p>
    <w:p>
      <w:pPr>
        <w:ind w:left="540" w:right="100" w:hanging="357"/>
        <w:spacing w:after="0" w:line="241" w:lineRule="auto"/>
        <w:tabs>
          <w:tab w:leader="none" w:pos="540" w:val="left"/>
        </w:tabs>
        <w:numPr>
          <w:ilvl w:val="0"/>
          <w:numId w:val="357"/>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$16 million at December 31, 2011 and $22 million at December 31, 2010, and excluding capital leases of $204 million at December 31, 2011 and $221 million at December 31, 2010, and commercial paper classified as long-term debt of $400 million at December 31, 2011 and $800 million at December 31, 2010. We discuss our long-term debt in Note 5.</w:t>
      </w:r>
    </w:p>
    <w:p>
      <w:pPr>
        <w:spacing w:after="0" w:line="1" w:lineRule="exact"/>
        <w:rPr>
          <w:rFonts w:ascii="Arial" w:cs="Arial" w:eastAsia="Arial" w:hAnsi="Arial"/>
          <w:sz w:val="14"/>
          <w:szCs w:val="14"/>
          <w:i w:val="1"/>
          <w:iCs w:val="1"/>
          <w:color w:val="auto"/>
        </w:rPr>
      </w:pPr>
    </w:p>
    <w:p>
      <w:pPr>
        <w:ind w:left="540" w:hanging="357"/>
        <w:spacing w:after="0"/>
        <w:tabs>
          <w:tab w:leader="none" w:pos="540" w:val="left"/>
        </w:tabs>
        <w:numPr>
          <w:ilvl w:val="0"/>
          <w:numId w:val="357"/>
        </w:numPr>
        <w:rPr>
          <w:rFonts w:ascii="Arial" w:cs="Arial" w:eastAsia="Arial" w:hAnsi="Arial"/>
          <w:sz w:val="14"/>
          <w:szCs w:val="14"/>
          <w:i w:val="1"/>
          <w:iCs w:val="1"/>
          <w:color w:val="auto"/>
        </w:rPr>
      </w:pPr>
      <w:r>
        <w:rPr>
          <w:rFonts w:ascii="Arial" w:cs="Arial" w:eastAsia="Arial" w:hAnsi="Arial"/>
          <w:sz w:val="14"/>
          <w:szCs w:val="14"/>
          <w:i w:val="1"/>
          <w:iCs w:val="1"/>
          <w:color w:val="auto"/>
        </w:rPr>
        <w:t>Note payable was extinguished due to the increase in our ownership of Chilquinta Energía to 100% in 2011.</w:t>
      </w:r>
    </w:p>
    <w:p>
      <w:pPr>
        <w:spacing w:after="0" w:line="1" w:lineRule="exact"/>
        <w:rPr>
          <w:rFonts w:ascii="Arial" w:cs="Arial" w:eastAsia="Arial" w:hAnsi="Arial"/>
          <w:sz w:val="14"/>
          <w:szCs w:val="14"/>
          <w:i w:val="1"/>
          <w:iCs w:val="1"/>
          <w:color w:val="auto"/>
        </w:rPr>
      </w:pPr>
    </w:p>
    <w:p>
      <w:pPr>
        <w:ind w:left="540" w:right="380" w:hanging="357"/>
        <w:spacing w:after="0" w:line="241" w:lineRule="auto"/>
        <w:tabs>
          <w:tab w:leader="none" w:pos="540" w:val="left"/>
        </w:tabs>
        <w:numPr>
          <w:ilvl w:val="0"/>
          <w:numId w:val="357"/>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$11 million at December 31, 2011 and $9 million at December 31, 2010, and excluding capital leases of $193 million at December 31, 2011 and $202 million at December 31, 2010.</w:t>
      </w:r>
    </w:p>
    <w:p>
      <w:pPr>
        <w:ind w:left="540" w:right="120" w:hanging="357"/>
        <w:spacing w:after="0" w:line="258" w:lineRule="auto"/>
        <w:tabs>
          <w:tab w:leader="none" w:pos="540" w:val="left"/>
        </w:tabs>
        <w:numPr>
          <w:ilvl w:val="0"/>
          <w:numId w:val="357"/>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$3 million at both December 31, 2011 and 2010, and excluding capital leases of $11 million at December 31, 2011 and $19 million at December 31, 2010.</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Sempra Energy based the fair values of investments in affordable housing partnerships on the present value of estimated future cash flows, discounted at rates available for similar investments. All entities based the fair values of long-term debt and preferred stock on their quoted market prices or quoted market prices for similar securities.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2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Consolidated Balance Sheet reflects the offsetting of net derivative positions with fair value amounts for cash collateral with the same counterparty when management believes a legal right of offset exists.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the amount of fair value of cash collateral receivables that were not offset in the Consolidated Balance Sheets as of December 31, 2011 and 2010: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color w:val="auto"/>
              </w:rPr>
              <w:t>December 31,</w:t>
            </w:r>
          </w:p>
        </w:tc>
        <w:tc>
          <w:tcPr>
            <w:tcW w:w="1440" w:type="dxa"/>
            <w:vAlign w:val="bottom"/>
            <w:tcBorders>
              <w:bottom w:val="single" w:sz="8" w:color="auto"/>
            </w:tcBorders>
          </w:tcPr>
          <w:p>
            <w:pPr>
              <w:spacing w:after="0"/>
              <w:rPr>
                <w:sz w:val="14"/>
                <w:szCs w:val="14"/>
                <w:color w:val="auto"/>
              </w:rPr>
            </w:pPr>
          </w:p>
        </w:tc>
      </w:tr>
      <w:tr>
        <w:trPr>
          <w:trHeight w:val="169"/>
        </w:trPr>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00" w:type="dxa"/>
            <w:vAlign w:val="bottom"/>
          </w:tcPr>
          <w:p>
            <w:pPr>
              <w:spacing w:after="0"/>
              <w:rPr>
                <w:sz w:val="14"/>
                <w:szCs w:val="14"/>
                <w:color w:val="auto"/>
              </w:rPr>
            </w:pPr>
          </w:p>
        </w:tc>
        <w:tc>
          <w:tcPr>
            <w:tcW w:w="1620" w:type="dxa"/>
            <w:vAlign w:val="bottom"/>
          </w:tcPr>
          <w:p>
            <w:pPr>
              <w:jc w:val="right"/>
              <w:ind w:right="1043"/>
              <w:spacing w:after="0"/>
              <w:rPr>
                <w:sz w:val="20"/>
                <w:szCs w:val="20"/>
                <w:color w:val="auto"/>
              </w:rPr>
            </w:pPr>
            <w:r>
              <w:rPr>
                <w:rFonts w:ascii="Arial" w:cs="Arial" w:eastAsia="Arial" w:hAnsi="Arial"/>
                <w:sz w:val="14"/>
                <w:szCs w:val="14"/>
                <w:color w:val="auto"/>
              </w:rPr>
              <w:t>2011</w:t>
            </w:r>
          </w:p>
        </w:tc>
        <w:tc>
          <w:tcPr>
            <w:tcW w:w="520" w:type="dxa"/>
            <w:vAlign w:val="bottom"/>
          </w:tcPr>
          <w:p>
            <w:pPr>
              <w:spacing w:after="0"/>
              <w:rPr>
                <w:sz w:val="14"/>
                <w:szCs w:val="14"/>
                <w:color w:val="auto"/>
              </w:rPr>
            </w:pPr>
          </w:p>
        </w:tc>
        <w:tc>
          <w:tcPr>
            <w:tcW w:w="1440" w:type="dxa"/>
            <w:vAlign w:val="bottom"/>
          </w:tcPr>
          <w:p>
            <w:pPr>
              <w:jc w:val="right"/>
              <w:ind w:right="861"/>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71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Sempra Energy Consolidated</w:t>
            </w:r>
          </w:p>
        </w:tc>
        <w:tc>
          <w:tcPr>
            <w:tcW w:w="700" w:type="dxa"/>
            <w:vAlign w:val="bottom"/>
            <w:tcBorders>
              <w:top w:val="single" w:sz="8" w:color="auto"/>
            </w:tcBorders>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163"/>
              <w:spacing w:after="0" w:line="164" w:lineRule="exact"/>
              <w:rPr>
                <w:sz w:val="20"/>
                <w:szCs w:val="20"/>
                <w:color w:val="auto"/>
              </w:rPr>
            </w:pPr>
            <w:r>
              <w:rPr>
                <w:rFonts w:ascii="Arial" w:cs="Arial" w:eastAsia="Arial" w:hAnsi="Arial"/>
                <w:sz w:val="16"/>
                <w:szCs w:val="16"/>
                <w:color w:val="auto"/>
              </w:rPr>
              <w:t>20</w:t>
            </w:r>
          </w:p>
        </w:tc>
        <w:tc>
          <w:tcPr>
            <w:tcW w:w="520" w:type="dxa"/>
            <w:vAlign w:val="bottom"/>
            <w:tcBorders>
              <w:top w:val="single" w:sz="8" w:color="auto"/>
            </w:tcBorders>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32</w:t>
            </w:r>
          </w:p>
        </w:tc>
      </w:tr>
      <w:tr>
        <w:trPr>
          <w:trHeight w:val="176"/>
        </w:trPr>
        <w:tc>
          <w:tcPr>
            <w:tcW w:w="714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700" w:type="dxa"/>
            <w:vAlign w:val="bottom"/>
          </w:tcPr>
          <w:p>
            <w:pPr>
              <w:spacing w:after="0"/>
              <w:rPr>
                <w:sz w:val="15"/>
                <w:szCs w:val="15"/>
                <w:color w:val="auto"/>
              </w:rPr>
            </w:pPr>
          </w:p>
        </w:tc>
        <w:tc>
          <w:tcPr>
            <w:tcW w:w="1620" w:type="dxa"/>
            <w:vAlign w:val="bottom"/>
          </w:tcPr>
          <w:p>
            <w:pPr>
              <w:jc w:val="right"/>
              <w:ind w:right="163"/>
              <w:spacing w:after="0" w:line="176" w:lineRule="exact"/>
              <w:rPr>
                <w:sz w:val="20"/>
                <w:szCs w:val="20"/>
                <w:color w:val="auto"/>
              </w:rPr>
            </w:pPr>
            <w:r>
              <w:rPr>
                <w:rFonts w:ascii="Arial" w:cs="Arial" w:eastAsia="Arial" w:hAnsi="Arial"/>
                <w:sz w:val="16"/>
                <w:szCs w:val="16"/>
                <w:color w:val="auto"/>
              </w:rPr>
              <w:t>10</w:t>
            </w:r>
          </w:p>
        </w:tc>
        <w:tc>
          <w:tcPr>
            <w:tcW w:w="5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r>
      <w:tr>
        <w:trPr>
          <w:trHeight w:val="194"/>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7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 1 under “Fair Value Measurements.”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three tables below, by level within the fair value hierarchy, set forth our financial assets and liabilities that were accounted for at fair value on a recurring basis as of December 31, 2011 and 2010. We also discuss our financial assets and liabilities recorded at fair value on a non-recurring basis.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commodity derivative assets and liabilities is determined in accordance with our netting policy, as discussed above under “Derivative Positions Net of Cash Collateral.”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financial assets and liabilities that were accounted for at fair value on a recurring basis as of December 31, 2011 and 2010 in the tables below include the following:</w:t>
      </w:r>
    </w:p>
    <w:p>
      <w:pPr>
        <w:spacing w:after="0" w:line="170" w:lineRule="exact"/>
        <w:rPr>
          <w:sz w:val="20"/>
          <w:szCs w:val="20"/>
          <w:color w:val="auto"/>
        </w:rPr>
      </w:pPr>
    </w:p>
    <w:p>
      <w:pPr>
        <w:jc w:val="both"/>
        <w:ind w:left="340" w:hanging="188"/>
        <w:spacing w:after="0" w:line="256" w:lineRule="auto"/>
        <w:tabs>
          <w:tab w:leader="none" w:pos="3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Nuclear decommissioning trusts reflect the assets of SDG&amp;E’s nuclear decommissioning trusts, excluding cash balances, as we discuss in Note 6. The trust assets are valued by a third party trustee. The trustee obtains prices from pricing services that are derived from observable data. We monitor the prices supplied by pricing services by validating pricing with other sources of data.</w:t>
      </w:r>
    </w:p>
    <w:p>
      <w:pPr>
        <w:ind w:left="340" w:right="20" w:hanging="188"/>
        <w:spacing w:after="0" w:line="250" w:lineRule="auto"/>
        <w:tabs>
          <w:tab w:leader="none" w:pos="3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Investments include marketable securities and are primarily priced based on observable interest rates for similar instruments actively trading in the marketplace.</w:t>
      </w:r>
    </w:p>
    <w:p>
      <w:pPr>
        <w:jc w:val="both"/>
        <w:ind w:left="340" w:hanging="188"/>
        <w:spacing w:after="0" w:line="302" w:lineRule="auto"/>
        <w:tabs>
          <w:tab w:leader="none" w:pos="34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Commodity and other derivative positions, which include other interest rate management instruments, are entered into primarily as a means to manage price exposures. We use market participant assumptions to price these derivatives. Market participant assumptions include those about risk, and the risk inherent in the inputs to the valuation technique. These inputs can be readily observable, market corroborated, or generally unobservable.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At fair value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wp:posOffset>
            </wp:positionV>
            <wp:extent cx="377317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ectPr>
          <w:pgSz w:w="11900" w:h="16861" w:orient="portrait"/>
          <w:cols w:equalWidth="0" w:num="1">
            <w:col w:w="11420"/>
          </w:cols>
          <w:pgMar w:left="240" w:top="125" w:right="239" w:bottom="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rPr>
              <w:t>Collateral</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Netted</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468</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4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4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54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4"/>
        </w:trPr>
        <w:tc>
          <w:tcPr>
            <w:tcW w:w="54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78</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9"/>
        </w:trPr>
        <w:tc>
          <w:tcPr>
            <w:tcW w:w="54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92</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54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560</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67"/>
        </w:trPr>
        <w:tc>
          <w:tcPr>
            <w:tcW w:w="54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4"/>
        </w:trPr>
        <w:tc>
          <w:tcPr>
            <w:tcW w:w="5480" w:type="dxa"/>
            <w:vAlign w:val="bottom"/>
          </w:tcPr>
          <w:p>
            <w:pPr>
              <w:ind w:left="160"/>
              <w:spacing w:after="0" w:line="137" w:lineRule="exact"/>
              <w:rPr>
                <w:sz w:val="20"/>
                <w:szCs w:val="20"/>
                <w:color w:val="auto"/>
              </w:rPr>
            </w:pPr>
            <w:r>
              <w:rPr>
                <w:rFonts w:ascii="Arial" w:cs="Arial" w:eastAsia="Arial" w:hAnsi="Arial"/>
                <w:sz w:val="14"/>
                <w:szCs w:val="14"/>
                <w:color w:val="auto"/>
              </w:rPr>
              <w:t>Investments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5</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9"/>
        </w:trPr>
        <w:tc>
          <w:tcPr>
            <w:tcW w:w="54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590</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335</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124</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2"/>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4"/>
        </w:trPr>
        <w:tc>
          <w:tcPr>
            <w:tcW w:w="54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52</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(4)</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345"/>
        </w:trPr>
        <w:tc>
          <w:tcPr>
            <w:tcW w:w="54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color w:val="auto"/>
              </w:rPr>
              <w:t>At fair value as of December 31, 2010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rPr>
              <w:t>Collateral</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netted</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460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59"/>
        </w:trPr>
        <w:tc>
          <w:tcPr>
            <w:tcW w:w="54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4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144</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54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4"/>
        </w:trPr>
        <w:tc>
          <w:tcPr>
            <w:tcW w:w="54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25</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9"/>
        </w:trPr>
        <w:tc>
          <w:tcPr>
            <w:tcW w:w="54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144</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155</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69"/>
        </w:trPr>
        <w:tc>
          <w:tcPr>
            <w:tcW w:w="54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604</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155</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67"/>
        </w:trPr>
        <w:tc>
          <w:tcPr>
            <w:tcW w:w="54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4"/>
        </w:trPr>
        <w:tc>
          <w:tcPr>
            <w:tcW w:w="5480" w:type="dxa"/>
            <w:vAlign w:val="bottom"/>
          </w:tcPr>
          <w:p>
            <w:pPr>
              <w:ind w:left="160"/>
              <w:spacing w:after="0" w:line="137" w:lineRule="exact"/>
              <w:rPr>
                <w:sz w:val="20"/>
                <w:szCs w:val="20"/>
                <w:color w:val="auto"/>
              </w:rPr>
            </w:pPr>
            <w:r>
              <w:rPr>
                <w:rFonts w:ascii="Arial" w:cs="Arial" w:eastAsia="Arial" w:hAnsi="Arial"/>
                <w:sz w:val="14"/>
                <w:szCs w:val="14"/>
                <w:color w:val="auto"/>
              </w:rPr>
              <w:t>Investments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4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639</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256</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(22)</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82</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2"/>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4"/>
        </w:trPr>
        <w:tc>
          <w:tcPr>
            <w:tcW w:w="54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67</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00" w:hanging="492"/>
        <w:spacing w:after="0"/>
        <w:tabs>
          <w:tab w:leader="none" w:pos="500" w:val="left"/>
        </w:tabs>
        <w:numPr>
          <w:ilvl w:val="0"/>
          <w:numId w:val="35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ind w:left="300"/>
              <w:spacing w:after="0" w:line="159" w:lineRule="exact"/>
              <w:rPr>
                <w:sz w:val="20"/>
                <w:szCs w:val="20"/>
                <w:color w:val="auto"/>
              </w:rPr>
            </w:pPr>
            <w:r>
              <w:rPr>
                <w:rFonts w:ascii="Arial" w:cs="Arial" w:eastAsia="Arial" w:hAnsi="Arial"/>
                <w:sz w:val="14"/>
                <w:szCs w:val="14"/>
                <w:color w:val="auto"/>
              </w:rPr>
              <w:t>At fair value as of December 31, 2011</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8"/>
              <w:spacing w:after="0" w:line="157" w:lineRule="exact"/>
              <w:rPr>
                <w:sz w:val="20"/>
                <w:szCs w:val="20"/>
                <w:color w:val="auto"/>
              </w:rPr>
            </w:pPr>
            <w:r>
              <w:rPr>
                <w:rFonts w:ascii="Arial" w:cs="Arial" w:eastAsia="Arial" w:hAnsi="Arial"/>
                <w:sz w:val="14"/>
                <w:szCs w:val="14"/>
                <w:color w:val="auto"/>
              </w:rPr>
              <w:t>netted</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36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468</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36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36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3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536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3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4"/>
        </w:trPr>
        <w:tc>
          <w:tcPr>
            <w:tcW w:w="536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78</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48"/>
              <w:spacing w:after="0" w:line="137"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9"/>
        </w:trPr>
        <w:tc>
          <w:tcPr>
            <w:tcW w:w="536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92</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48"/>
              <w:spacing w:after="0" w:line="142"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536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560</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48"/>
              <w:spacing w:after="0" w:line="142"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67"/>
        </w:trPr>
        <w:tc>
          <w:tcPr>
            <w:tcW w:w="536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4"/>
                <w:szCs w:val="1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4"/>
        </w:trPr>
        <w:tc>
          <w:tcPr>
            <w:tcW w:w="536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48"/>
              <w:spacing w:after="0" w:line="137"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36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570</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48"/>
              <w:spacing w:after="0" w:line="142"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329"/>
        </w:trPr>
        <w:tc>
          <w:tcPr>
            <w:tcW w:w="5360" w:type="dxa"/>
            <w:vAlign w:val="bottom"/>
          </w:tcPr>
          <w:p>
            <w:pPr>
              <w:spacing w:after="0"/>
              <w:rPr>
                <w:sz w:val="20"/>
                <w:szCs w:val="20"/>
                <w:color w:val="auto"/>
              </w:rPr>
            </w:pPr>
            <w:r>
              <w:rPr>
                <w:rFonts w:ascii="Arial" w:cs="Arial" w:eastAsia="Arial" w:hAnsi="Arial"/>
                <w:sz w:val="14"/>
                <w:szCs w:val="14"/>
                <w:color w:val="auto"/>
              </w:rPr>
              <w:t>Liabilities: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4"/>
        </w:trPr>
        <w:tc>
          <w:tcPr>
            <w:tcW w:w="536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subject to rate recovery</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61</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12</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28"/>
              <w:spacing w:after="0" w:line="137" w:lineRule="exact"/>
              <w:rPr>
                <w:sz w:val="20"/>
                <w:szCs w:val="20"/>
                <w:color w:val="auto"/>
              </w:rPr>
            </w:pPr>
            <w:r>
              <w:rPr>
                <w:rFonts w:ascii="Arial" w:cs="Arial" w:eastAsia="Arial" w:hAnsi="Arial"/>
                <w:sz w:val="14"/>
                <w:szCs w:val="14"/>
                <w:color w:val="auto"/>
                <w:w w:val="96"/>
              </w:rPr>
              <w:t>(61)</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9"/>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w w:val="96"/>
              </w:rPr>
              <w:t>(61)</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345"/>
        </w:trPr>
        <w:tc>
          <w:tcPr>
            <w:tcW w:w="5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At fair value as of December 31, 2010</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8"/>
              <w:spacing w:after="0" w:line="157" w:lineRule="exact"/>
              <w:rPr>
                <w:sz w:val="20"/>
                <w:szCs w:val="20"/>
                <w:color w:val="auto"/>
              </w:rPr>
            </w:pPr>
            <w:r>
              <w:rPr>
                <w:rFonts w:ascii="Arial" w:cs="Arial" w:eastAsia="Arial" w:hAnsi="Arial"/>
                <w:sz w:val="14"/>
                <w:szCs w:val="14"/>
                <w:color w:val="auto"/>
              </w:rPr>
              <w:t>netted</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36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460</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59"/>
        </w:trPr>
        <w:tc>
          <w:tcPr>
            <w:tcW w:w="536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36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144</w:t>
            </w:r>
          </w:p>
        </w:tc>
        <w:tc>
          <w:tcPr>
            <w:tcW w:w="3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3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536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3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4"/>
        </w:trPr>
        <w:tc>
          <w:tcPr>
            <w:tcW w:w="536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25</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48"/>
              <w:spacing w:after="0" w:line="137"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9"/>
        </w:trPr>
        <w:tc>
          <w:tcPr>
            <w:tcW w:w="536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144</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155</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48"/>
              <w:spacing w:after="0" w:line="142"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69"/>
        </w:trPr>
        <w:tc>
          <w:tcPr>
            <w:tcW w:w="536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604</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155</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48"/>
              <w:spacing w:after="0" w:line="142"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67"/>
        </w:trPr>
        <w:tc>
          <w:tcPr>
            <w:tcW w:w="536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4"/>
        </w:trPr>
        <w:tc>
          <w:tcPr>
            <w:tcW w:w="536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48"/>
              <w:spacing w:after="0" w:line="137"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536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630</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155</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48"/>
              <w:spacing w:after="0" w:line="142"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329"/>
        </w:trPr>
        <w:tc>
          <w:tcPr>
            <w:tcW w:w="5360" w:type="dxa"/>
            <w:vAlign w:val="bottom"/>
          </w:tcPr>
          <w:p>
            <w:pPr>
              <w:spacing w:after="0"/>
              <w:rPr>
                <w:sz w:val="20"/>
                <w:szCs w:val="20"/>
                <w:color w:val="auto"/>
              </w:rPr>
            </w:pPr>
            <w:r>
              <w:rPr>
                <w:rFonts w:ascii="Arial" w:cs="Arial" w:eastAsia="Arial" w:hAnsi="Arial"/>
                <w:sz w:val="14"/>
                <w:szCs w:val="14"/>
                <w:color w:val="auto"/>
              </w:rPr>
              <w:t>Liabilities: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4"/>
        </w:trPr>
        <w:tc>
          <w:tcPr>
            <w:tcW w:w="536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subject to rate recovery</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60</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428"/>
              <w:spacing w:after="0" w:line="137" w:lineRule="exact"/>
              <w:rPr>
                <w:sz w:val="20"/>
                <w:szCs w:val="20"/>
                <w:color w:val="auto"/>
              </w:rPr>
            </w:pPr>
            <w:r>
              <w:rPr>
                <w:rFonts w:ascii="Arial" w:cs="Arial" w:eastAsia="Arial" w:hAnsi="Arial"/>
                <w:sz w:val="14"/>
                <w:szCs w:val="14"/>
                <w:color w:val="auto"/>
                <w:w w:val="96"/>
              </w:rPr>
              <w:t>(60)</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 w:right="239" w:bottom="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5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6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218"/>
        </w:trPr>
        <w:tc>
          <w:tcPr>
            <w:tcW w:w="400" w:type="dxa"/>
            <w:vAlign w:val="bottom"/>
          </w:tcPr>
          <w:p>
            <w:pPr>
              <w:spacing w:after="0"/>
              <w:rPr>
                <w:sz w:val="20"/>
                <w:szCs w:val="20"/>
                <w:color w:val="auto"/>
              </w:rPr>
            </w:pPr>
            <w:r>
              <w:rPr>
                <w:rFonts w:ascii="Arial" w:cs="Arial" w:eastAsia="Arial" w:hAnsi="Arial"/>
                <w:sz w:val="14"/>
                <w:szCs w:val="14"/>
                <w:i w:val="1"/>
                <w:iCs w:val="1"/>
                <w:color w:val="auto"/>
              </w:rPr>
              <w:t>(1)</w:t>
            </w:r>
          </w:p>
        </w:tc>
        <w:tc>
          <w:tcPr>
            <w:tcW w:w="5580" w:type="dxa"/>
            <w:vAlign w:val="bottom"/>
          </w:tcPr>
          <w:p>
            <w:pPr>
              <w:jc w:val="right"/>
              <w:ind w:right="2428"/>
              <w:spacing w:after="0"/>
              <w:rPr>
                <w:sz w:val="20"/>
                <w:szCs w:val="20"/>
                <w:color w:val="auto"/>
              </w:rPr>
            </w:pPr>
            <w:r>
              <w:rPr>
                <w:rFonts w:ascii="Arial" w:cs="Arial" w:eastAsia="Arial" w:hAnsi="Arial"/>
                <w:sz w:val="14"/>
                <w:szCs w:val="14"/>
                <w:i w:val="1"/>
                <w:iCs w:val="1"/>
                <w:color w:val="auto"/>
              </w:rPr>
              <w:t>Excludes cash balances and cash equivalents.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5"/>
          </w:tcPr>
          <w:p>
            <w:pPr>
              <w:jc w:val="right"/>
              <w:spacing w:after="0" w:line="159" w:lineRule="exact"/>
              <w:rPr>
                <w:sz w:val="20"/>
                <w:szCs w:val="20"/>
                <w:color w:val="auto"/>
              </w:rPr>
            </w:pPr>
            <w:r>
              <w:rPr>
                <w:rFonts w:ascii="Arial" w:cs="Arial" w:eastAsia="Arial" w:hAnsi="Arial"/>
                <w:sz w:val="14"/>
                <w:szCs w:val="14"/>
                <w:color w:val="auto"/>
              </w:rPr>
              <w:t>At fair value as of December 31, 2011</w:t>
            </w: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4620" w:type="dxa"/>
            <w:vAlign w:val="bottom"/>
          </w:tcPr>
          <w:p>
            <w:pPr>
              <w:spacing w:after="0"/>
              <w:rPr>
                <w:sz w:val="20"/>
                <w:szCs w:val="20"/>
                <w:color w:val="auto"/>
              </w:rPr>
            </w:pPr>
            <w:r>
              <w:rPr>
                <w:rFonts w:ascii="Arial" w:cs="Arial" w:eastAsia="Arial" w:hAnsi="Arial"/>
                <w:sz w:val="14"/>
                <w:szCs w:val="14"/>
                <w:color w:val="auto"/>
              </w:rPr>
              <w:t>Assets:</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ind w:left="6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462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w:t>
            </w: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62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462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w:t>
            </w:r>
          </w:p>
        </w:tc>
        <w:tc>
          <w:tcPr>
            <w:tcW w:w="102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0"/>
                <w:szCs w:val="20"/>
                <w:color w:val="auto"/>
              </w:rPr>
            </w:pPr>
            <w:r>
              <w:rPr>
                <w:rFonts w:ascii="Arial" w:cs="Arial" w:eastAsia="Arial" w:hAnsi="Arial"/>
                <w:sz w:val="14"/>
                <w:szCs w:val="14"/>
                <w:color w:val="auto"/>
              </w:rPr>
              <w:t>Liabilities:</w:t>
            </w:r>
          </w:p>
        </w:tc>
        <w:tc>
          <w:tcPr>
            <w:tcW w:w="112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62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1"/>
        </w:trPr>
        <w:tc>
          <w:tcPr>
            <w:tcW w:w="46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2010</w:t>
            </w: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4620" w:type="dxa"/>
            <w:vAlign w:val="bottom"/>
          </w:tcPr>
          <w:p>
            <w:pPr>
              <w:spacing w:after="0"/>
              <w:rPr>
                <w:sz w:val="20"/>
                <w:szCs w:val="20"/>
                <w:color w:val="auto"/>
              </w:rPr>
            </w:pPr>
            <w:r>
              <w:rPr>
                <w:rFonts w:ascii="Arial" w:cs="Arial" w:eastAsia="Arial" w:hAnsi="Arial"/>
                <w:sz w:val="14"/>
                <w:szCs w:val="14"/>
                <w:color w:val="auto"/>
              </w:rPr>
              <w:t>Assets:</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1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ind w:left="6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46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2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2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40" w:type="dxa"/>
            <w:vAlign w:val="bottom"/>
          </w:tcPr>
          <w:p>
            <w:pPr>
              <w:ind w:left="6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462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3</w:t>
            </w: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62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or Level 2 for Sempra Energy Consolidated, SDG&amp;E or SoCalGas during the periods presented.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reconciliations of changes in the fair value of net trading and other derivatives classified as Level 3 in the fair value hierarchy for Sempra Energy Consolidated and SDG&amp;E:</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Years ended December 31,</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7140" w:type="dxa"/>
            <w:vAlign w:val="bottom"/>
          </w:tcPr>
          <w:p>
            <w:pPr>
              <w:spacing w:after="0" w:line="164" w:lineRule="exact"/>
              <w:rPr>
                <w:sz w:val="20"/>
                <w:szCs w:val="20"/>
                <w:color w:val="auto"/>
              </w:rPr>
            </w:pPr>
            <w:r>
              <w:rPr>
                <w:rFonts w:ascii="Arial" w:cs="Arial" w:eastAsia="Arial" w:hAnsi="Arial"/>
                <w:sz w:val="16"/>
                <w:szCs w:val="16"/>
                <w:color w:val="auto"/>
              </w:rPr>
              <w:t>Balance as of January 1</w:t>
            </w:r>
          </w:p>
        </w:tc>
        <w:tc>
          <w:tcPr>
            <w:tcW w:w="880" w:type="dxa"/>
            <w:vAlign w:val="bottom"/>
          </w:tcPr>
          <w:p>
            <w:pPr>
              <w:jc w:val="right"/>
              <w:ind w:right="461"/>
              <w:spacing w:after="0" w:line="164"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c>
          <w:tcPr>
            <w:tcW w:w="500" w:type="dxa"/>
            <w:vAlign w:val="bottom"/>
          </w:tcPr>
          <w:p>
            <w:pPr>
              <w:jc w:val="right"/>
              <w:ind w:right="21"/>
              <w:spacing w:after="0" w:line="164"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20"/>
              <w:spacing w:after="0" w:line="164" w:lineRule="exact"/>
              <w:rPr>
                <w:sz w:val="20"/>
                <w:szCs w:val="20"/>
                <w:color w:val="auto"/>
              </w:rPr>
            </w:pPr>
            <w:r>
              <w:rPr>
                <w:rFonts w:ascii="Arial" w:cs="Arial" w:eastAsia="Arial" w:hAnsi="Arial"/>
                <w:sz w:val="16"/>
                <w:szCs w:val="16"/>
                <w:color w:val="auto"/>
              </w:rPr>
              <w:t>10</w:t>
            </w:r>
          </w:p>
        </w:tc>
        <w:tc>
          <w:tcPr>
            <w:tcW w:w="200" w:type="dxa"/>
            <w:vAlign w:val="bottom"/>
          </w:tcPr>
          <w:p>
            <w:pPr>
              <w:jc w:val="right"/>
              <w:ind w:right="19"/>
              <w:spacing w:after="0" w:line="164"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64" w:lineRule="exact"/>
              <w:rPr>
                <w:sz w:val="20"/>
                <w:szCs w:val="20"/>
                <w:color w:val="auto"/>
              </w:rPr>
            </w:pPr>
            <w:r>
              <w:rPr>
                <w:rFonts w:ascii="Arial" w:cs="Arial" w:eastAsia="Arial" w:hAnsi="Arial"/>
                <w:sz w:val="16"/>
                <w:szCs w:val="16"/>
                <w:color w:val="auto"/>
              </w:rPr>
              <w:t>27</w:t>
            </w:r>
          </w:p>
        </w:tc>
      </w:tr>
      <w:tr>
        <w:trPr>
          <w:trHeight w:val="176"/>
        </w:trPr>
        <w:tc>
          <w:tcPr>
            <w:tcW w:w="20" w:type="dxa"/>
            <w:vAlign w:val="bottom"/>
          </w:tcPr>
          <w:p>
            <w:pPr>
              <w:spacing w:after="0"/>
              <w:rPr>
                <w:sz w:val="15"/>
                <w:szCs w:val="15"/>
                <w:color w:val="auto"/>
              </w:rPr>
            </w:pPr>
          </w:p>
        </w:tc>
        <w:tc>
          <w:tcPr>
            <w:tcW w:w="7140" w:type="dxa"/>
            <w:vAlign w:val="bottom"/>
          </w:tcPr>
          <w:p>
            <w:pPr>
              <w:ind w:left="160"/>
              <w:spacing w:after="0" w:line="176" w:lineRule="exact"/>
              <w:rPr>
                <w:sz w:val="20"/>
                <w:szCs w:val="20"/>
                <w:color w:val="auto"/>
              </w:rPr>
            </w:pPr>
            <w:r>
              <w:rPr>
                <w:rFonts w:ascii="Arial" w:cs="Arial" w:eastAsia="Arial" w:hAnsi="Arial"/>
                <w:sz w:val="16"/>
                <w:szCs w:val="16"/>
                <w:color w:val="auto"/>
              </w:rPr>
              <w:t>Realized and unrealized gains (losses)</w:t>
            </w:r>
          </w:p>
        </w:tc>
        <w:tc>
          <w:tcPr>
            <w:tcW w:w="88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500" w:type="dxa"/>
            <w:vAlign w:val="bottom"/>
          </w:tcPr>
          <w:p>
            <w:pPr>
              <w:spacing w:after="0"/>
              <w:rPr>
                <w:sz w:val="15"/>
                <w:szCs w:val="15"/>
                <w:color w:val="auto"/>
              </w:rPr>
            </w:pPr>
          </w:p>
        </w:tc>
        <w:tc>
          <w:tcPr>
            <w:tcW w:w="128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(16)</w:t>
            </w:r>
          </w:p>
        </w:tc>
        <w:tc>
          <w:tcPr>
            <w:tcW w:w="2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r>
      <w:tr>
        <w:trPr>
          <w:trHeight w:val="176"/>
        </w:trPr>
        <w:tc>
          <w:tcPr>
            <w:tcW w:w="20" w:type="dxa"/>
            <w:vAlign w:val="bottom"/>
          </w:tcPr>
          <w:p>
            <w:pPr>
              <w:spacing w:after="0"/>
              <w:rPr>
                <w:sz w:val="15"/>
                <w:szCs w:val="15"/>
                <w:color w:val="auto"/>
              </w:rPr>
            </w:pPr>
          </w:p>
        </w:tc>
        <w:tc>
          <w:tcPr>
            <w:tcW w:w="7140" w:type="dxa"/>
            <w:vAlign w:val="bottom"/>
          </w:tcPr>
          <w:p>
            <w:pPr>
              <w:ind w:left="160"/>
              <w:spacing w:after="0" w:line="176" w:lineRule="exact"/>
              <w:rPr>
                <w:sz w:val="20"/>
                <w:szCs w:val="20"/>
                <w:color w:val="auto"/>
              </w:rPr>
            </w:pPr>
            <w:r>
              <w:rPr>
                <w:rFonts w:ascii="Arial" w:cs="Arial" w:eastAsia="Arial" w:hAnsi="Arial"/>
                <w:sz w:val="16"/>
                <w:szCs w:val="16"/>
                <w:color w:val="auto"/>
              </w:rPr>
              <w:t>Allocated transmission instruments</w:t>
            </w:r>
          </w:p>
        </w:tc>
        <w:tc>
          <w:tcPr>
            <w:tcW w:w="88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500" w:type="dxa"/>
            <w:vAlign w:val="bottom"/>
          </w:tcPr>
          <w:p>
            <w:pPr>
              <w:spacing w:after="0"/>
              <w:rPr>
                <w:sz w:val="15"/>
                <w:szCs w:val="15"/>
                <w:color w:val="auto"/>
              </w:rPr>
            </w:pPr>
          </w:p>
        </w:tc>
        <w:tc>
          <w:tcPr>
            <w:tcW w:w="12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8</w:t>
            </w:r>
          </w:p>
        </w:tc>
        <w:tc>
          <w:tcPr>
            <w:tcW w:w="2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r>
      <w:tr>
        <w:trPr>
          <w:trHeight w:val="194"/>
        </w:trPr>
        <w:tc>
          <w:tcPr>
            <w:tcW w:w="20" w:type="dxa"/>
            <w:vAlign w:val="bottom"/>
          </w:tcPr>
          <w:p>
            <w:pPr>
              <w:spacing w:after="0"/>
              <w:rPr>
                <w:sz w:val="16"/>
                <w:szCs w:val="16"/>
                <w:color w:val="auto"/>
              </w:rPr>
            </w:pPr>
          </w:p>
        </w:tc>
        <w:tc>
          <w:tcPr>
            <w:tcW w:w="714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6"/>
                <w:szCs w:val="16"/>
                <w:color w:val="auto"/>
              </w:rPr>
              <w:t>(18)</w:t>
            </w: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716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December 31</w:t>
            </w:r>
          </w:p>
        </w:tc>
        <w:tc>
          <w:tcPr>
            <w:tcW w:w="880" w:type="dxa"/>
            <w:vAlign w:val="bottom"/>
            <w:tcBorders>
              <w:bottom w:val="single" w:sz="8" w:color="auto"/>
            </w:tcBorders>
          </w:tcPr>
          <w:p>
            <w:pPr>
              <w:jc w:val="right"/>
              <w:ind w:right="461"/>
              <w:spacing w:after="0" w:line="176"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w:t>
            </w:r>
          </w:p>
        </w:tc>
        <w:tc>
          <w:tcPr>
            <w:tcW w:w="500" w:type="dxa"/>
            <w:vAlign w:val="bottom"/>
            <w:tcBorders>
              <w:bottom w:val="single" w:sz="8" w:color="auto"/>
            </w:tcBorders>
          </w:tcPr>
          <w:p>
            <w:pPr>
              <w:jc w:val="right"/>
              <w:ind w:right="21"/>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0"/>
              <w:spacing w:after="0" w:line="176" w:lineRule="exact"/>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64"/>
        </w:trPr>
        <w:tc>
          <w:tcPr>
            <w:tcW w:w="7160" w:type="dxa"/>
            <w:vAlign w:val="bottom"/>
            <w:gridSpan w:val="2"/>
          </w:tcPr>
          <w:p>
            <w:pPr>
              <w:spacing w:after="0" w:line="164" w:lineRule="exact"/>
              <w:rPr>
                <w:sz w:val="20"/>
                <w:szCs w:val="20"/>
                <w:color w:val="auto"/>
              </w:rPr>
            </w:pPr>
            <w:r>
              <w:rPr>
                <w:rFonts w:ascii="Arial" w:cs="Arial" w:eastAsia="Arial" w:hAnsi="Arial"/>
                <w:sz w:val="16"/>
                <w:szCs w:val="16"/>
                <w:color w:val="auto"/>
              </w:rPr>
              <w:t>Change in unrealized gains or losses relating to</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71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December 31</w:t>
            </w:r>
          </w:p>
        </w:tc>
        <w:tc>
          <w:tcPr>
            <w:tcW w:w="8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3 during the periods presented.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Level 3 recurring items are related to CRRs at SDG&amp;E. These instruments are recorded at fair value based on the most current auction prices published by the California Independent System Operator (ISO). The earnings impacts of CRRs are deferred and recorded in regulatory accounts to the extent they are recoverable or refundable through rates. Upon settlement, CRRs are included in Cost of Electric Fuel and Purchased Power on the Consolidated Statements of Operations for each of the three years in the period ended December 31, 2011.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Non-Recurring Fair Value Measures – Sempra Energy Consolidated</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discuss non-recurring fair value measures and the associated accounting impact on our investments in RBS Sempra Commodities and Argentina in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637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NOTE 12. PREFERRED STOCK</w:t>
      </w:r>
    </w:p>
    <w:p>
      <w:pPr>
        <w:spacing w:after="0" w:line="19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 below shows the details of preferred stock for SDG&amp;E, SoCalGas and Pacific Enterprises (PE). All series of PE preferred stock were redeemed during 2011 as we discuss below.</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489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Call/</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3"/>
            <w:vMerge w:val="restart"/>
          </w:tcPr>
          <w:p>
            <w:pPr>
              <w:jc w:val="center"/>
              <w:ind w:right="20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4"/>
        </w:trPr>
        <w:tc>
          <w:tcPr>
            <w:tcW w:w="55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20" w:type="dxa"/>
            <w:vAlign w:val="bottom"/>
          </w:tcPr>
          <w:p>
            <w:pPr>
              <w:jc w:val="center"/>
              <w:spacing w:after="0" w:line="127" w:lineRule="exact"/>
              <w:rPr>
                <w:sz w:val="20"/>
                <w:szCs w:val="20"/>
                <w:color w:val="auto"/>
              </w:rPr>
            </w:pPr>
            <w:r>
              <w:rPr>
                <w:rFonts w:ascii="Arial" w:cs="Arial" w:eastAsia="Arial" w:hAnsi="Arial"/>
                <w:sz w:val="14"/>
                <w:szCs w:val="14"/>
                <w:color w:val="auto"/>
              </w:rPr>
              <w:t>Redemption</w:t>
            </w: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5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Price</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8"/>
        </w:trPr>
        <w:tc>
          <w:tcPr>
            <w:tcW w:w="5560" w:type="dxa"/>
            <w:vAlign w:val="bottom"/>
            <w:vMerge w:val="restart"/>
          </w:tcPr>
          <w:p>
            <w:pPr>
              <w:spacing w:after="0"/>
              <w:rPr>
                <w:sz w:val="20"/>
                <w:szCs w:val="20"/>
                <w:color w:val="auto"/>
              </w:rPr>
            </w:pPr>
            <w:r>
              <w:rPr>
                <w:rFonts w:ascii="Arial" w:cs="Arial" w:eastAsia="Arial" w:hAnsi="Arial"/>
                <w:sz w:val="16"/>
                <w:szCs w:val="16"/>
                <w:color w:val="auto"/>
              </w:rPr>
              <w:t>Contingently redeemable:</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left="523"/>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560" w:type="dxa"/>
            <w:vAlign w:val="bottom"/>
            <w:vMerge w:val="continue"/>
          </w:tcPr>
          <w:p>
            <w:pPr>
              <w:spacing w:after="0"/>
              <w:rPr>
                <w:sz w:val="11"/>
                <w:szCs w:val="11"/>
                <w:color w:val="auto"/>
              </w:rPr>
            </w:pPr>
          </w:p>
        </w:tc>
        <w:tc>
          <w:tcPr>
            <w:tcW w:w="2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560" w:type="dxa"/>
            <w:vAlign w:val="bottom"/>
          </w:tcPr>
          <w:p>
            <w:pPr>
              <w:ind w:left="420"/>
              <w:spacing w:after="0"/>
              <w:rPr>
                <w:sz w:val="20"/>
                <w:szCs w:val="20"/>
                <w:color w:val="auto"/>
              </w:rPr>
            </w:pPr>
            <w:r>
              <w:rPr>
                <w:rFonts w:ascii="Arial" w:cs="Arial" w:eastAsia="Arial" w:hAnsi="Arial"/>
                <w:sz w:val="16"/>
                <w:szCs w:val="16"/>
                <w:b w:val="1"/>
                <w:bCs w:val="1"/>
                <w:color w:val="auto"/>
              </w:rPr>
              <w:t>SDG&amp;E:</w:t>
            </w: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600"/>
              <w:spacing w:after="0" w:line="176" w:lineRule="exact"/>
              <w:rPr>
                <w:sz w:val="20"/>
                <w:szCs w:val="20"/>
                <w:color w:val="auto"/>
              </w:rPr>
            </w:pPr>
            <w:r>
              <w:rPr>
                <w:rFonts w:ascii="Arial" w:cs="Arial" w:eastAsia="Arial" w:hAnsi="Arial"/>
                <w:sz w:val="16"/>
                <w:szCs w:val="16"/>
                <w:color w:val="auto"/>
              </w:rPr>
              <w:t>$20 par value, authorized 1,375,000 shares:</w:t>
            </w:r>
          </w:p>
        </w:tc>
        <w:tc>
          <w:tcPr>
            <w:tcW w:w="2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780"/>
              <w:spacing w:after="0" w:line="176" w:lineRule="exact"/>
              <w:rPr>
                <w:sz w:val="20"/>
                <w:szCs w:val="20"/>
                <w:color w:val="auto"/>
              </w:rPr>
            </w:pPr>
            <w:r>
              <w:rPr>
                <w:rFonts w:ascii="Arial" w:cs="Arial" w:eastAsia="Arial" w:hAnsi="Arial"/>
                <w:sz w:val="16"/>
                <w:szCs w:val="16"/>
                <w:color w:val="auto"/>
              </w:rPr>
              <w:t>5% Series, 375,000 shares outstanding</w:t>
            </w:r>
          </w:p>
        </w:tc>
        <w:tc>
          <w:tcPr>
            <w:tcW w:w="21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24.00</w:t>
            </w:r>
          </w:p>
        </w:tc>
        <w:tc>
          <w:tcPr>
            <w:tcW w:w="280" w:type="dxa"/>
            <w:vAlign w:val="bottom"/>
            <w:gridSpan w:val="2"/>
          </w:tcPr>
          <w:p>
            <w:pPr>
              <w:jc w:val="right"/>
              <w:ind w:right="180"/>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44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6"/>
        </w:trPr>
        <w:tc>
          <w:tcPr>
            <w:tcW w:w="5560" w:type="dxa"/>
            <w:vAlign w:val="bottom"/>
          </w:tcPr>
          <w:p>
            <w:pPr>
              <w:ind w:left="780"/>
              <w:spacing w:after="0" w:line="176" w:lineRule="exact"/>
              <w:rPr>
                <w:sz w:val="20"/>
                <w:szCs w:val="20"/>
                <w:color w:val="auto"/>
              </w:rPr>
            </w:pPr>
            <w:r>
              <w:rPr>
                <w:rFonts w:ascii="Arial" w:cs="Arial" w:eastAsia="Arial" w:hAnsi="Arial"/>
                <w:sz w:val="16"/>
                <w:szCs w:val="16"/>
                <w:color w:val="auto"/>
              </w:rPr>
              <w:t>4.5% Series, 300,000 shares outstanding</w:t>
            </w:r>
          </w:p>
        </w:tc>
        <w:tc>
          <w:tcPr>
            <w:tcW w:w="21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21.20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6"/>
        </w:trPr>
        <w:tc>
          <w:tcPr>
            <w:tcW w:w="5560" w:type="dxa"/>
            <w:vAlign w:val="bottom"/>
          </w:tcPr>
          <w:p>
            <w:pPr>
              <w:ind w:left="780"/>
              <w:spacing w:after="0" w:line="176" w:lineRule="exact"/>
              <w:rPr>
                <w:sz w:val="20"/>
                <w:szCs w:val="20"/>
                <w:color w:val="auto"/>
              </w:rPr>
            </w:pPr>
            <w:r>
              <w:rPr>
                <w:rFonts w:ascii="Arial" w:cs="Arial" w:eastAsia="Arial" w:hAnsi="Arial"/>
                <w:sz w:val="16"/>
                <w:szCs w:val="16"/>
                <w:color w:val="auto"/>
              </w:rPr>
              <w:t>4.4% Series, 325,000 shares outstanding</w:t>
            </w:r>
          </w:p>
        </w:tc>
        <w:tc>
          <w:tcPr>
            <w:tcW w:w="21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21.00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4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5"/>
        </w:trPr>
        <w:tc>
          <w:tcPr>
            <w:tcW w:w="5560" w:type="dxa"/>
            <w:vAlign w:val="bottom"/>
          </w:tcPr>
          <w:p>
            <w:pPr>
              <w:ind w:left="780"/>
              <w:spacing w:after="0"/>
              <w:rPr>
                <w:sz w:val="20"/>
                <w:szCs w:val="20"/>
                <w:color w:val="auto"/>
              </w:rPr>
            </w:pPr>
            <w:r>
              <w:rPr>
                <w:rFonts w:ascii="Arial" w:cs="Arial" w:eastAsia="Arial" w:hAnsi="Arial"/>
                <w:sz w:val="16"/>
                <w:szCs w:val="16"/>
                <w:color w:val="auto"/>
              </w:rPr>
              <w:t>4.6% Series, 373,770 shares outstanding</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20.25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ind w:left="600"/>
              <w:spacing w:after="0"/>
              <w:rPr>
                <w:sz w:val="20"/>
                <w:szCs w:val="20"/>
                <w:color w:val="auto"/>
              </w:rPr>
            </w:pPr>
            <w:r>
              <w:rPr>
                <w:rFonts w:ascii="Arial" w:cs="Arial" w:eastAsia="Arial" w:hAnsi="Arial"/>
                <w:sz w:val="16"/>
                <w:szCs w:val="16"/>
                <w:color w:val="auto"/>
              </w:rPr>
              <w:t>Without par value:</w:t>
            </w:r>
          </w:p>
        </w:tc>
        <w:tc>
          <w:tcPr>
            <w:tcW w:w="1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780"/>
              <w:spacing w:after="0" w:line="176" w:lineRule="exact"/>
              <w:rPr>
                <w:sz w:val="20"/>
                <w:szCs w:val="20"/>
                <w:color w:val="auto"/>
              </w:rPr>
            </w:pPr>
            <w:r>
              <w:rPr>
                <w:rFonts w:ascii="Arial" w:cs="Arial" w:eastAsia="Arial" w:hAnsi="Arial"/>
                <w:sz w:val="16"/>
                <w:szCs w:val="16"/>
                <w:color w:val="auto"/>
              </w:rPr>
              <w:t>$1.70 Series, 1,400,000 shares outstanding</w:t>
            </w:r>
          </w:p>
        </w:tc>
        <w:tc>
          <w:tcPr>
            <w:tcW w:w="178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25.17</w:t>
            </w:r>
          </w:p>
        </w:tc>
        <w:tc>
          <w:tcPr>
            <w:tcW w:w="5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c>
          <w:tcPr>
            <w:tcW w:w="5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4"/>
        </w:trPr>
        <w:tc>
          <w:tcPr>
            <w:tcW w:w="6120" w:type="dxa"/>
            <w:vAlign w:val="bottom"/>
          </w:tcPr>
          <w:p>
            <w:pPr>
              <w:ind w:left="780"/>
              <w:spacing w:after="0"/>
              <w:rPr>
                <w:sz w:val="20"/>
                <w:szCs w:val="20"/>
                <w:color w:val="auto"/>
              </w:rPr>
            </w:pPr>
            <w:r>
              <w:rPr>
                <w:rFonts w:ascii="Arial" w:cs="Arial" w:eastAsia="Arial" w:hAnsi="Arial"/>
                <w:sz w:val="16"/>
                <w:szCs w:val="16"/>
                <w:color w:val="auto"/>
              </w:rPr>
              <w:t>$1.82 Series, 640,000 shares outstanding</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26.00</w:t>
            </w: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6120" w:type="dxa"/>
            <w:vAlign w:val="bottom"/>
          </w:tcPr>
          <w:p>
            <w:pPr>
              <w:ind w:left="600"/>
              <w:spacing w:after="0" w:line="176" w:lineRule="exact"/>
              <w:rPr>
                <w:sz w:val="20"/>
                <w:szCs w:val="20"/>
                <w:color w:val="auto"/>
              </w:rPr>
            </w:pPr>
            <w:r>
              <w:rPr>
                <w:rFonts w:ascii="Arial" w:cs="Arial" w:eastAsia="Arial" w:hAnsi="Arial"/>
                <w:sz w:val="16"/>
                <w:szCs w:val="16"/>
                <w:b w:val="1"/>
                <w:bCs w:val="1"/>
                <w:color w:val="auto"/>
              </w:rPr>
              <w:t>SDG&amp;E - Total contingently redeemable preferred stock</w:t>
            </w:r>
          </w:p>
        </w:tc>
        <w:tc>
          <w:tcPr>
            <w:tcW w:w="1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71"/>
        </w:trPr>
        <w:tc>
          <w:tcPr>
            <w:tcW w:w="6120" w:type="dxa"/>
            <w:vAlign w:val="bottom"/>
          </w:tcPr>
          <w:p>
            <w:pPr>
              <w:ind w:left="600"/>
              <w:spacing w:after="0" w:line="171" w:lineRule="exact"/>
              <w:rPr>
                <w:sz w:val="20"/>
                <w:szCs w:val="20"/>
                <w:color w:val="auto"/>
              </w:rPr>
            </w:pPr>
            <w:r>
              <w:rPr>
                <w:rFonts w:ascii="Arial" w:cs="Arial" w:eastAsia="Arial" w:hAnsi="Arial"/>
                <w:sz w:val="16"/>
                <w:szCs w:val="16"/>
                <w:b w:val="1"/>
                <w:bCs w:val="1"/>
                <w:color w:val="auto"/>
              </w:rPr>
              <w:t>Sempra Energy - Total preferred stock of subsidiary,</w:t>
            </w:r>
          </w:p>
        </w:tc>
        <w:tc>
          <w:tcPr>
            <w:tcW w:w="1780" w:type="dxa"/>
            <w:vAlign w:val="bottom"/>
          </w:tcPr>
          <w:p>
            <w:pPr>
              <w:spacing w:after="0"/>
              <w:rPr>
                <w:sz w:val="14"/>
                <w:szCs w:val="14"/>
                <w:color w:val="auto"/>
              </w:rPr>
            </w:pPr>
          </w:p>
        </w:tc>
        <w:tc>
          <w:tcPr>
            <w:tcW w:w="156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520" w:type="dxa"/>
            <w:vAlign w:val="bottom"/>
            <w:vMerge w:val="restart"/>
          </w:tcPr>
          <w:p>
            <w:pPr>
              <w:jc w:val="right"/>
              <w:ind w:right="364"/>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7"/>
        </w:trPr>
        <w:tc>
          <w:tcPr>
            <w:tcW w:w="6120" w:type="dxa"/>
            <w:vAlign w:val="bottom"/>
          </w:tcPr>
          <w:p>
            <w:pPr>
              <w:ind w:left="780"/>
              <w:spacing w:after="0" w:line="181" w:lineRule="exact"/>
              <w:rPr>
                <w:sz w:val="20"/>
                <w:szCs w:val="20"/>
                <w:color w:val="auto"/>
              </w:rPr>
            </w:pPr>
            <w:r>
              <w:rPr>
                <w:rFonts w:ascii="Arial" w:cs="Arial" w:eastAsia="Arial" w:hAnsi="Arial"/>
                <w:sz w:val="16"/>
                <w:szCs w:val="16"/>
                <w:b w:val="1"/>
                <w:bCs w:val="1"/>
                <w:color w:val="auto"/>
              </w:rPr>
              <w:t>contingently redeemable</w:t>
            </w:r>
          </w:p>
        </w:tc>
        <w:tc>
          <w:tcPr>
            <w:tcW w:w="17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61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line="176" w:lineRule="exact"/>
              <w:rPr>
                <w:sz w:val="20"/>
                <w:szCs w:val="20"/>
                <w:color w:val="auto"/>
              </w:rPr>
            </w:pPr>
            <w:r>
              <w:rPr>
                <w:rFonts w:ascii="Arial" w:cs="Arial" w:eastAsia="Arial" w:hAnsi="Arial"/>
                <w:sz w:val="16"/>
                <w:szCs w:val="16"/>
                <w:color w:val="auto"/>
              </w:rPr>
              <w:t>$25 par value, authorized 1,000,000 shares:</w:t>
            </w:r>
          </w:p>
        </w:tc>
        <w:tc>
          <w:tcPr>
            <w:tcW w:w="1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360"/>
              <w:spacing w:after="0" w:line="176" w:lineRule="exact"/>
              <w:rPr>
                <w:sz w:val="20"/>
                <w:szCs w:val="20"/>
                <w:color w:val="auto"/>
              </w:rPr>
            </w:pPr>
            <w:r>
              <w:rPr>
                <w:rFonts w:ascii="Arial" w:cs="Arial" w:eastAsia="Arial" w:hAnsi="Arial"/>
                <w:sz w:val="16"/>
                <w:szCs w:val="16"/>
                <w:color w:val="auto"/>
              </w:rPr>
              <w:t>6% Series, 79,011 shares outstanding</w:t>
            </w:r>
          </w:p>
        </w:tc>
        <w:tc>
          <w:tcPr>
            <w:tcW w:w="1780" w:type="dxa"/>
            <w:vAlign w:val="bottom"/>
          </w:tcPr>
          <w:p>
            <w:pPr>
              <w:spacing w:after="0"/>
              <w:rPr>
                <w:sz w:val="15"/>
                <w:szCs w:val="15"/>
                <w:color w:val="auto"/>
              </w:rPr>
            </w:pPr>
          </w:p>
        </w:tc>
        <w:tc>
          <w:tcPr>
            <w:tcW w:w="1560" w:type="dxa"/>
            <w:vAlign w:val="bottom"/>
            <w:gridSpan w:val="2"/>
          </w:tcPr>
          <w:p>
            <w:pPr>
              <w:jc w:val="right"/>
              <w:ind w:right="480"/>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6120" w:type="dxa"/>
            <w:vAlign w:val="bottom"/>
          </w:tcPr>
          <w:p>
            <w:pPr>
              <w:ind w:left="360"/>
              <w:spacing w:after="0"/>
              <w:rPr>
                <w:sz w:val="20"/>
                <w:szCs w:val="20"/>
                <w:color w:val="auto"/>
              </w:rPr>
            </w:pPr>
            <w:r>
              <w:rPr>
                <w:rFonts w:ascii="Arial" w:cs="Arial" w:eastAsia="Arial" w:hAnsi="Arial"/>
                <w:sz w:val="16"/>
                <w:szCs w:val="16"/>
                <w:color w:val="auto"/>
              </w:rPr>
              <w:t>6% Series A, 783,032 shares outstanding</w:t>
            </w:r>
          </w:p>
        </w:tc>
        <w:tc>
          <w:tcPr>
            <w:tcW w:w="1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4"/>
        </w:trPr>
        <w:tc>
          <w:tcPr>
            <w:tcW w:w="6120" w:type="dxa"/>
            <w:vAlign w:val="bottom"/>
          </w:tcPr>
          <w:p>
            <w:pPr>
              <w:ind w:left="180"/>
              <w:spacing w:after="0" w:line="164" w:lineRule="exact"/>
              <w:rPr>
                <w:sz w:val="20"/>
                <w:szCs w:val="20"/>
                <w:color w:val="auto"/>
              </w:rPr>
            </w:pPr>
            <w:r>
              <w:rPr>
                <w:rFonts w:ascii="Arial" w:cs="Arial" w:eastAsia="Arial" w:hAnsi="Arial"/>
                <w:sz w:val="16"/>
                <w:szCs w:val="16"/>
                <w:b w:val="1"/>
                <w:bCs w:val="1"/>
                <w:color w:val="auto"/>
              </w:rPr>
              <w:t>Total preferred stock of SoCalGas</w:t>
            </w:r>
          </w:p>
        </w:tc>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line="164" w:lineRule="exact"/>
              <w:rPr>
                <w:sz w:val="20"/>
                <w:szCs w:val="20"/>
                <w:color w:val="auto"/>
              </w:rPr>
            </w:pPr>
            <w:r>
              <w:rPr>
                <w:rFonts w:ascii="Arial" w:cs="Arial" w:eastAsia="Arial" w:hAnsi="Arial"/>
                <w:sz w:val="16"/>
                <w:szCs w:val="16"/>
                <w:color w:val="auto"/>
              </w:rPr>
              <w:t>22</w:t>
            </w:r>
          </w:p>
        </w:tc>
        <w:tc>
          <w:tcPr>
            <w:tcW w:w="52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Arial" w:cs="Arial" w:eastAsia="Arial" w:hAnsi="Arial"/>
                <w:sz w:val="16"/>
                <w:szCs w:val="16"/>
                <w:color w:val="auto"/>
              </w:rPr>
              <w:t>Less: 50,970 shares of the 6% Series outstanding owned by PE</w:t>
            </w:r>
          </w:p>
        </w:tc>
        <w:tc>
          <w:tcPr>
            <w:tcW w:w="1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6120" w:type="dxa"/>
            <w:vAlign w:val="bottom"/>
            <w:vMerge w:val="restart"/>
          </w:tcPr>
          <w:p>
            <w:pPr>
              <w:spacing w:after="0"/>
              <w:rPr>
                <w:sz w:val="20"/>
                <w:szCs w:val="20"/>
                <w:color w:val="auto"/>
              </w:rPr>
            </w:pPr>
            <w:r>
              <w:rPr>
                <w:rFonts w:ascii="Arial" w:cs="Arial" w:eastAsia="Arial" w:hAnsi="Arial"/>
                <w:sz w:val="16"/>
                <w:szCs w:val="16"/>
                <w:b w:val="1"/>
                <w:bCs w:val="1"/>
                <w:color w:val="auto"/>
              </w:rPr>
              <w:t>Pacific Enterprises:</w:t>
            </w:r>
          </w:p>
        </w:tc>
        <w:tc>
          <w:tcPr>
            <w:tcW w:w="1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w:t>
            </w: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4"/>
        </w:trPr>
        <w:tc>
          <w:tcPr>
            <w:tcW w:w="61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line="176" w:lineRule="exact"/>
              <w:rPr>
                <w:sz w:val="20"/>
                <w:szCs w:val="20"/>
                <w:color w:val="auto"/>
              </w:rPr>
            </w:pPr>
            <w:r>
              <w:rPr>
                <w:rFonts w:ascii="Arial" w:cs="Arial" w:eastAsia="Arial" w:hAnsi="Arial"/>
                <w:sz w:val="16"/>
                <w:szCs w:val="16"/>
                <w:color w:val="auto"/>
              </w:rPr>
              <w:t>Without par value, authorized 15,000,000 shares; outstanding</w:t>
            </w:r>
          </w:p>
        </w:tc>
        <w:tc>
          <w:tcPr>
            <w:tcW w:w="1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120" w:type="dxa"/>
            <w:vAlign w:val="bottom"/>
          </w:tcPr>
          <w:p>
            <w:pPr>
              <w:ind w:left="560"/>
              <w:spacing w:after="0"/>
              <w:rPr>
                <w:sz w:val="20"/>
                <w:szCs w:val="20"/>
                <w:color w:val="auto"/>
              </w:rPr>
            </w:pPr>
            <w:r>
              <w:rPr>
                <w:rFonts w:ascii="Arial" w:cs="Arial" w:eastAsia="Arial" w:hAnsi="Arial"/>
                <w:sz w:val="16"/>
                <w:szCs w:val="16"/>
                <w:color w:val="auto"/>
              </w:rPr>
              <w:t>as of December 31, 2010:</w:t>
            </w:r>
          </w:p>
        </w:tc>
        <w:tc>
          <w:tcPr>
            <w:tcW w:w="1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20" w:type="dxa"/>
            <w:vAlign w:val="bottom"/>
          </w:tcPr>
          <w:p>
            <w:pPr>
              <w:ind w:left="640"/>
              <w:spacing w:after="0"/>
              <w:rPr>
                <w:sz w:val="20"/>
                <w:szCs w:val="20"/>
                <w:color w:val="auto"/>
              </w:rPr>
            </w:pPr>
            <w:r>
              <w:rPr>
                <w:rFonts w:ascii="Arial" w:cs="Arial" w:eastAsia="Arial" w:hAnsi="Arial"/>
                <w:sz w:val="16"/>
                <w:szCs w:val="16"/>
                <w:color w:val="auto"/>
              </w:rPr>
              <w:t>$4.75 Dividend, 200,000 shares</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6"/>
        </w:trPr>
        <w:tc>
          <w:tcPr>
            <w:tcW w:w="6120" w:type="dxa"/>
            <w:vAlign w:val="bottom"/>
          </w:tcPr>
          <w:p>
            <w:pPr>
              <w:ind w:left="640"/>
              <w:spacing w:after="0" w:line="176" w:lineRule="exact"/>
              <w:rPr>
                <w:sz w:val="20"/>
                <w:szCs w:val="20"/>
                <w:color w:val="auto"/>
              </w:rPr>
            </w:pPr>
            <w:r>
              <w:rPr>
                <w:rFonts w:ascii="Arial" w:cs="Arial" w:eastAsia="Arial" w:hAnsi="Arial"/>
                <w:sz w:val="16"/>
                <w:szCs w:val="16"/>
                <w:color w:val="auto"/>
              </w:rPr>
              <w:t>$4.50 Dividend, 300,000 shares</w:t>
            </w:r>
          </w:p>
        </w:tc>
        <w:tc>
          <w:tcPr>
            <w:tcW w:w="178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100.00</w:t>
            </w:r>
          </w:p>
        </w:tc>
        <w:tc>
          <w:tcPr>
            <w:tcW w:w="5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6"/>
        </w:trPr>
        <w:tc>
          <w:tcPr>
            <w:tcW w:w="6120" w:type="dxa"/>
            <w:vAlign w:val="bottom"/>
          </w:tcPr>
          <w:p>
            <w:pPr>
              <w:ind w:left="640"/>
              <w:spacing w:after="0" w:line="176" w:lineRule="exact"/>
              <w:rPr>
                <w:sz w:val="20"/>
                <w:szCs w:val="20"/>
                <w:color w:val="auto"/>
              </w:rPr>
            </w:pPr>
            <w:r>
              <w:rPr>
                <w:rFonts w:ascii="Arial" w:cs="Arial" w:eastAsia="Arial" w:hAnsi="Arial"/>
                <w:sz w:val="16"/>
                <w:szCs w:val="16"/>
                <w:color w:val="auto"/>
              </w:rPr>
              <w:t>$4.40 Dividend, 100,000 shares</w:t>
            </w:r>
          </w:p>
        </w:tc>
        <w:tc>
          <w:tcPr>
            <w:tcW w:w="178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101.50</w:t>
            </w:r>
          </w:p>
        </w:tc>
        <w:tc>
          <w:tcPr>
            <w:tcW w:w="5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6"/>
        </w:trPr>
        <w:tc>
          <w:tcPr>
            <w:tcW w:w="6120" w:type="dxa"/>
            <w:vAlign w:val="bottom"/>
          </w:tcPr>
          <w:p>
            <w:pPr>
              <w:ind w:left="640"/>
              <w:spacing w:after="0" w:line="176" w:lineRule="exact"/>
              <w:rPr>
                <w:sz w:val="20"/>
                <w:szCs w:val="20"/>
                <w:color w:val="auto"/>
              </w:rPr>
            </w:pPr>
            <w:r>
              <w:rPr>
                <w:rFonts w:ascii="Arial" w:cs="Arial" w:eastAsia="Arial" w:hAnsi="Arial"/>
                <w:sz w:val="16"/>
                <w:szCs w:val="16"/>
                <w:color w:val="auto"/>
              </w:rPr>
              <w:t>$4.36 Dividend, 200,000 shares</w:t>
            </w:r>
          </w:p>
        </w:tc>
        <w:tc>
          <w:tcPr>
            <w:tcW w:w="178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101.00</w:t>
            </w:r>
          </w:p>
        </w:tc>
        <w:tc>
          <w:tcPr>
            <w:tcW w:w="5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4"/>
        </w:trPr>
        <w:tc>
          <w:tcPr>
            <w:tcW w:w="6120" w:type="dxa"/>
            <w:vAlign w:val="bottom"/>
          </w:tcPr>
          <w:p>
            <w:pPr>
              <w:ind w:left="640"/>
              <w:spacing w:after="0"/>
              <w:rPr>
                <w:sz w:val="20"/>
                <w:szCs w:val="20"/>
                <w:color w:val="auto"/>
              </w:rPr>
            </w:pPr>
            <w:r>
              <w:rPr>
                <w:rFonts w:ascii="Arial" w:cs="Arial" w:eastAsia="Arial" w:hAnsi="Arial"/>
                <w:sz w:val="16"/>
                <w:szCs w:val="16"/>
                <w:color w:val="auto"/>
              </w:rPr>
              <w:t>$4.75 Dividend, 253 shares</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101.00</w:t>
            </w: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120" w:type="dxa"/>
            <w:vAlign w:val="bottom"/>
          </w:tcPr>
          <w:p>
            <w:pPr>
              <w:ind w:left="180"/>
              <w:spacing w:after="0" w:line="176" w:lineRule="exact"/>
              <w:rPr>
                <w:sz w:val="20"/>
                <w:szCs w:val="20"/>
                <w:color w:val="auto"/>
              </w:rPr>
            </w:pPr>
            <w:r>
              <w:rPr>
                <w:rFonts w:ascii="Arial" w:cs="Arial" w:eastAsia="Arial" w:hAnsi="Arial"/>
                <w:sz w:val="16"/>
                <w:szCs w:val="16"/>
                <w:color w:val="auto"/>
              </w:rPr>
              <w:t>Total preferred stock of Pacific Enterprises</w:t>
            </w:r>
          </w:p>
        </w:tc>
        <w:tc>
          <w:tcPr>
            <w:tcW w:w="1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85"/>
        </w:trPr>
        <w:tc>
          <w:tcPr>
            <w:tcW w:w="61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Sempra Energy - Total preferred stock of subsidiaries</w:t>
            </w:r>
          </w:p>
        </w:tc>
        <w:tc>
          <w:tcPr>
            <w:tcW w:w="1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attributes of each company’s preferred stock. No amounts currently outstanding are subject to mandatory redemption.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w:t>
      </w:r>
    </w:p>
    <w:p>
      <w:pPr>
        <w:spacing w:after="0" w:line="234" w:lineRule="exact"/>
        <w:rPr>
          <w:sz w:val="20"/>
          <w:szCs w:val="20"/>
          <w:color w:val="auto"/>
        </w:rPr>
      </w:pPr>
    </w:p>
    <w:p>
      <w:pPr>
        <w:ind w:left="340" w:hanging="188"/>
        <w:spacing w:after="0"/>
        <w:tabs>
          <w:tab w:leader="none" w:pos="340"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All outstanding series are callable.</w:t>
      </w:r>
    </w:p>
    <w:p>
      <w:pPr>
        <w:spacing w:after="0" w:line="252" w:lineRule="exact"/>
        <w:rPr>
          <w:rFonts w:ascii="Arial" w:cs="Arial" w:eastAsia="Arial" w:hAnsi="Arial"/>
          <w:sz w:val="18"/>
          <w:szCs w:val="18"/>
          <w:b w:val="1"/>
          <w:bCs w:val="1"/>
          <w:color w:val="auto"/>
        </w:rPr>
      </w:pPr>
    </w:p>
    <w:p>
      <w:pPr>
        <w:ind w:left="340" w:right="20" w:hanging="188"/>
        <w:spacing w:after="0" w:line="277" w:lineRule="auto"/>
        <w:tabs>
          <w:tab w:leader="none" w:pos="340"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The $20 par value preferred stock has two votes per share on matters being voted upon by shareholders of SDG&amp;E and a liquidation preference at par plus any unpaid dividends.</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All outstanding series of SDG&amp;E’s preferred stock have cumulative preferences as to dividends.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The no-par-value preferred stock is nonvoting and has a liquidation preference of $25 per share plus any unpaid dividends.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SDG&amp;E is authorized to issue 10 million shares of no-par-value preferred stock (both subject to and not subject to mandatory redemption).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SDG&amp;E is currently authorized to issue up to 25 million shares of an additional class of preference shares designated as “Series Preference Stock.” The Series Preference Stock is in addition to the Cumulative Preferred Stock, Preference Stock (Cumulative) and Common Stock that SDG&amp;E was otherwise authorized to issue, and when issued would rank junior to the Cumulative Preferred Stock and Preference Stock (Cumulative). The stock’s rights, preferences and privileges would be established by the board of directors at the time of issuance.</w:t>
      </w:r>
    </w:p>
    <w:p>
      <w:pPr>
        <w:spacing w:after="0" w:line="18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SDG&amp;E’s outstanding preferred securities are classified as contingently redeemable because they contain a contingent redemption feature that allows the holder to elect a majority of SDG&amp;E’s board of directors if dividends are not paid for eight consecutive quarters, and such a redemption triggering event is not solely within the control of SDG&amp;E. They are therefore presented separate from and outside of equity in a manner consistent with temporary equity.</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w:t>
      </w:r>
    </w:p>
    <w:p>
      <w:pPr>
        <w:spacing w:after="0" w:line="234" w:lineRule="exact"/>
        <w:rPr>
          <w:sz w:val="20"/>
          <w:szCs w:val="20"/>
          <w:color w:val="auto"/>
        </w:rPr>
      </w:pPr>
    </w:p>
    <w:p>
      <w:pPr>
        <w:ind w:left="340" w:hanging="188"/>
        <w:spacing w:after="0"/>
        <w:tabs>
          <w:tab w:leader="none" w:pos="3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None of SoCalGas’ outstanding preferred stock is callable.</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All outstanding series have one vote per share, cumulative preferences as to dividends and liquidation preferences of $25 per share plus any unpaid dividends.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SoCalGas currently is authorized to issue 5 million shares of series preferred stock and 5 million shares of preference stock, both without par value and with cumulative preferences as to dividends and liquidation value. The preference stock would rank junior to all series of preferred stock. Other rights and privileges of the stock would be established by the board of directors at the time of issuance.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ENTERPRISES</w:t>
      </w:r>
    </w:p>
    <w:p>
      <w:pPr>
        <w:spacing w:after="0" w:line="23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June 30, 2011, PE redeemed all five series of its outstanding preferred stock for $81 million. Each series was redeemed for cash at redemption prices ranging from $100 to $101.50 per share, plus accrued dividends up to the redemption date of an aggregate of $1 million. The redeemed shares are no longer outstanding and represent only the right to receive the applicable redemption price, to the extent that shares have not yet been presented for payment.</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PE currently is authorized to issue 10 million shares of series preferred stock and 5 million shares of Class A series preferred stock, both without par value and with cumulative preferences as to dividends and liquidation value. No shares of preferred stock or Class A series preferred stock are outstanding. Class A series preferred stock, when issued, would rank junior to all other series of preferred stock with respect to dividends and liquidation value. Other rights and privileges of each series of the preferred stock and Class A series preferred stock would be established by the board of directors at the time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637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NOTE 13. SEMPRA ENERGY – SHAREHOLDERS’ EQUITY AND EARNINGS PER SHARE</w:t>
      </w:r>
    </w:p>
    <w:p>
      <w:pPr>
        <w:sectPr>
          <w:pgSz w:w="11900" w:h="16838" w:orient="portrait"/>
          <w:cols w:equalWidth="0" w:num="1">
            <w:col w:w="11420"/>
          </w:cols>
          <w:pgMar w:left="240" w:top="120" w:right="239" w:bottom="0" w:gutter="0" w:footer="0" w:header="0"/>
          <w:type w:val="continuous"/>
        </w:sectPr>
      </w:pPr>
    </w:p>
    <w:bookmarkStart w:id="254" w:name="page255"/>
    <w:bookmarkEnd w:id="254"/>
    <w:p>
      <w:pPr>
        <w:spacing w:after="0" w:line="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provides the per share computations for our earnings for years ended December 31. Basic earnings per common share (EPS) is calculated by dividing earnings attributable to common stock by the weighted-average number of common shares outstanding for the year. Diluted EPS includes the potential dilution of common stock equivalent shares that could occur if securities or other contracts to issue common stock were exercised or converted into common stock.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20"/>
              <w:spacing w:after="0" w:line="159" w:lineRule="exact"/>
              <w:rPr>
                <w:sz w:val="20"/>
                <w:szCs w:val="20"/>
                <w:color w:val="auto"/>
              </w:rPr>
            </w:pPr>
            <w:r>
              <w:rPr>
                <w:rFonts w:ascii="Arial" w:cs="Arial" w:eastAsia="Arial" w:hAnsi="Arial"/>
                <w:sz w:val="14"/>
                <w:szCs w:val="14"/>
                <w:color w:val="auto"/>
              </w:rPr>
              <w:t>Years ended December 31,</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7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60"/>
              <w:spacing w:after="0"/>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680" w:type="dxa"/>
            <w:vAlign w:val="bottom"/>
          </w:tcPr>
          <w:p>
            <w:pPr>
              <w:spacing w:after="0" w:line="164" w:lineRule="exact"/>
              <w:rPr>
                <w:sz w:val="20"/>
                <w:szCs w:val="20"/>
                <w:color w:val="auto"/>
              </w:rPr>
            </w:pPr>
            <w:r>
              <w:rPr>
                <w:rFonts w:ascii="Arial" w:cs="Arial" w:eastAsia="Arial" w:hAnsi="Arial"/>
                <w:sz w:val="16"/>
                <w:szCs w:val="16"/>
                <w:color w:val="auto"/>
              </w:rPr>
              <w:t>Numerator:</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Earnings/Income attributable to common shareholders</w:t>
            </w:r>
          </w:p>
        </w:tc>
        <w:tc>
          <w:tcPr>
            <w:tcW w:w="92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1,357</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739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1,119</w:t>
            </w:r>
          </w:p>
        </w:tc>
      </w:tr>
      <w:tr>
        <w:trPr>
          <w:trHeight w:val="332"/>
        </w:trPr>
        <w:tc>
          <w:tcPr>
            <w:tcW w:w="6700" w:type="dxa"/>
            <w:vAlign w:val="bottom"/>
            <w:gridSpan w:val="2"/>
          </w:tcPr>
          <w:p>
            <w:pPr>
              <w:spacing w:after="0"/>
              <w:rPr>
                <w:sz w:val="20"/>
                <w:szCs w:val="20"/>
                <w:color w:val="auto"/>
              </w:rPr>
            </w:pPr>
            <w:r>
              <w:rPr>
                <w:rFonts w:ascii="Arial" w:cs="Arial" w:eastAsia="Arial" w:hAnsi="Arial"/>
                <w:sz w:val="16"/>
                <w:szCs w:val="16"/>
                <w:color w:val="auto"/>
              </w:rPr>
              <w:t>Denominator:</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Weighted-average common shares outstanding for basic EPS</w:t>
            </w:r>
          </w:p>
        </w:tc>
        <w:tc>
          <w:tcPr>
            <w:tcW w:w="920" w:type="dxa"/>
            <w:vAlign w:val="bottom"/>
          </w:tcPr>
          <w:p>
            <w:pPr>
              <w:spacing w:after="0"/>
              <w:rPr>
                <w:sz w:val="16"/>
                <w:szCs w:val="16"/>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239,720</w:t>
            </w:r>
          </w:p>
        </w:tc>
        <w:tc>
          <w:tcPr>
            <w:tcW w:w="380" w:type="dxa"/>
            <w:vAlign w:val="bottom"/>
          </w:tcPr>
          <w:p>
            <w:pPr>
              <w:spacing w:after="0"/>
              <w:rPr>
                <w:sz w:val="16"/>
                <w:szCs w:val="16"/>
                <w:color w:val="auto"/>
              </w:rPr>
            </w:pP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244,736</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243,339</w:t>
            </w:r>
          </w:p>
        </w:tc>
      </w:tr>
      <w:tr>
        <w:trPr>
          <w:trHeight w:val="183"/>
        </w:trPr>
        <w:tc>
          <w:tcPr>
            <w:tcW w:w="20" w:type="dxa"/>
            <w:vAlign w:val="bottom"/>
          </w:tcPr>
          <w:p>
            <w:pPr>
              <w:spacing w:after="0"/>
              <w:rPr>
                <w:sz w:val="15"/>
                <w:szCs w:val="15"/>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Dilutive effect of stock options, restricted stock awards and</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340"/>
              <w:spacing w:after="0" w:line="176" w:lineRule="exact"/>
              <w:rPr>
                <w:sz w:val="20"/>
                <w:szCs w:val="20"/>
                <w:color w:val="auto"/>
              </w:rPr>
            </w:pPr>
            <w:r>
              <w:rPr>
                <w:rFonts w:ascii="Arial" w:cs="Arial" w:eastAsia="Arial" w:hAnsi="Arial"/>
                <w:sz w:val="16"/>
                <w:szCs w:val="16"/>
                <w:color w:val="auto"/>
              </w:rPr>
              <w:t>restricted stock units</w:t>
            </w:r>
          </w:p>
        </w:tc>
        <w:tc>
          <w:tcPr>
            <w:tcW w:w="920" w:type="dxa"/>
            <w:vAlign w:val="bottom"/>
          </w:tcPr>
          <w:p>
            <w:pPr>
              <w:spacing w:after="0"/>
              <w:rPr>
                <w:sz w:val="15"/>
                <w:szCs w:val="15"/>
                <w:color w:val="auto"/>
              </w:rPr>
            </w:pPr>
          </w:p>
        </w:tc>
        <w:tc>
          <w:tcPr>
            <w:tcW w:w="76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1,803</w:t>
            </w:r>
          </w:p>
        </w:tc>
        <w:tc>
          <w:tcPr>
            <w:tcW w:w="380" w:type="dxa"/>
            <w:vAlign w:val="bottom"/>
          </w:tcPr>
          <w:p>
            <w:pPr>
              <w:spacing w:after="0"/>
              <w:rPr>
                <w:sz w:val="15"/>
                <w:szCs w:val="15"/>
                <w:color w:val="auto"/>
              </w:rPr>
            </w:pPr>
          </w:p>
        </w:tc>
        <w:tc>
          <w:tcPr>
            <w:tcW w:w="1280" w:type="dxa"/>
            <w:vAlign w:val="bottom"/>
          </w:tcPr>
          <w:p>
            <w:pPr>
              <w:jc w:val="right"/>
              <w:ind w:right="160"/>
              <w:spacing w:after="0" w:line="176" w:lineRule="exact"/>
              <w:rPr>
                <w:sz w:val="20"/>
                <w:szCs w:val="20"/>
                <w:color w:val="auto"/>
              </w:rPr>
            </w:pPr>
            <w:r>
              <w:rPr>
                <w:rFonts w:ascii="Arial" w:cs="Arial" w:eastAsia="Arial" w:hAnsi="Arial"/>
                <w:sz w:val="16"/>
                <w:szCs w:val="16"/>
                <w:color w:val="auto"/>
              </w:rPr>
              <w:t>3,206</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4,045</w:t>
            </w:r>
          </w:p>
        </w:tc>
      </w:tr>
      <w:tr>
        <w:trPr>
          <w:trHeight w:val="195"/>
        </w:trPr>
        <w:tc>
          <w:tcPr>
            <w:tcW w:w="20" w:type="dxa"/>
            <w:vAlign w:val="bottom"/>
          </w:tcPr>
          <w:p>
            <w:pPr>
              <w:spacing w:after="0"/>
              <w:rPr>
                <w:sz w:val="16"/>
                <w:szCs w:val="16"/>
                <w:color w:val="auto"/>
              </w:rPr>
            </w:pPr>
          </w:p>
        </w:tc>
        <w:tc>
          <w:tcPr>
            <w:tcW w:w="6680" w:type="dxa"/>
            <w:vAlign w:val="bottom"/>
          </w:tcPr>
          <w:p>
            <w:pPr>
              <w:ind w:left="160"/>
              <w:spacing w:after="0"/>
              <w:rPr>
                <w:sz w:val="20"/>
                <w:szCs w:val="20"/>
                <w:color w:val="auto"/>
              </w:rPr>
            </w:pPr>
            <w:r>
              <w:rPr>
                <w:rFonts w:ascii="Arial" w:cs="Arial" w:eastAsia="Arial" w:hAnsi="Arial"/>
                <w:sz w:val="16"/>
                <w:szCs w:val="16"/>
                <w:color w:val="auto"/>
              </w:rPr>
              <w:t>Weighted-average common shares outstanding for diluted EPS</w:t>
            </w:r>
          </w:p>
        </w:tc>
        <w:tc>
          <w:tcPr>
            <w:tcW w:w="920" w:type="dxa"/>
            <w:vAlign w:val="bottom"/>
          </w:tcPr>
          <w:p>
            <w:pPr>
              <w:spacing w:after="0"/>
              <w:rPr>
                <w:sz w:val="16"/>
                <w:szCs w:val="16"/>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241,523</w:t>
            </w:r>
          </w:p>
        </w:tc>
        <w:tc>
          <w:tcPr>
            <w:tcW w:w="380" w:type="dxa"/>
            <w:vAlign w:val="bottom"/>
          </w:tcPr>
          <w:p>
            <w:pPr>
              <w:spacing w:after="0"/>
              <w:rPr>
                <w:sz w:val="16"/>
                <w:szCs w:val="16"/>
                <w:color w:val="auto"/>
              </w:rPr>
            </w:pP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247,942</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247,384</w:t>
            </w:r>
          </w:p>
        </w:tc>
      </w:tr>
      <w:tr>
        <w:trPr>
          <w:trHeight w:val="359"/>
        </w:trPr>
        <w:tc>
          <w:tcPr>
            <w:tcW w:w="6700" w:type="dxa"/>
            <w:vAlign w:val="bottom"/>
            <w:gridSpan w:val="2"/>
          </w:tcPr>
          <w:p>
            <w:pPr>
              <w:spacing w:after="0"/>
              <w:rPr>
                <w:sz w:val="20"/>
                <w:szCs w:val="20"/>
                <w:color w:val="auto"/>
              </w:rPr>
            </w:pPr>
            <w:r>
              <w:rPr>
                <w:rFonts w:ascii="Arial" w:cs="Arial" w:eastAsia="Arial" w:hAnsi="Arial"/>
                <w:sz w:val="16"/>
                <w:szCs w:val="16"/>
                <w:color w:val="auto"/>
              </w:rPr>
              <w:t>Earnings per share:</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6"/>
                <w:szCs w:val="16"/>
                <w:color w:val="auto"/>
              </w:rPr>
              <w:t>Basic</w:t>
            </w:r>
          </w:p>
        </w:tc>
        <w:tc>
          <w:tcPr>
            <w:tcW w:w="920" w:type="dxa"/>
            <w:vAlign w:val="bottom"/>
          </w:tcPr>
          <w:p>
            <w:pPr>
              <w:jc w:val="right"/>
              <w:ind w:right="461"/>
              <w:spacing w:after="0" w:line="176"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line="176" w:lineRule="exact"/>
              <w:rPr>
                <w:sz w:val="20"/>
                <w:szCs w:val="20"/>
                <w:color w:val="auto"/>
              </w:rPr>
            </w:pPr>
            <w:r>
              <w:rPr>
                <w:rFonts w:ascii="Arial" w:cs="Arial" w:eastAsia="Arial" w:hAnsi="Arial"/>
                <w:sz w:val="16"/>
                <w:szCs w:val="16"/>
                <w:color w:val="auto"/>
              </w:rPr>
              <w:t>5.66</w:t>
            </w:r>
          </w:p>
        </w:tc>
        <w:tc>
          <w:tcPr>
            <w:tcW w:w="3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60"/>
              <w:spacing w:after="0" w:line="176" w:lineRule="exact"/>
              <w:rPr>
                <w:sz w:val="20"/>
                <w:szCs w:val="20"/>
                <w:color w:val="auto"/>
              </w:rPr>
            </w:pPr>
            <w:r>
              <w:rPr>
                <w:rFonts w:ascii="Arial" w:cs="Arial" w:eastAsia="Arial" w:hAnsi="Arial"/>
                <w:sz w:val="16"/>
                <w:szCs w:val="16"/>
                <w:color w:val="auto"/>
              </w:rPr>
              <w:t>3.02</w:t>
            </w:r>
          </w:p>
        </w:tc>
        <w:tc>
          <w:tcPr>
            <w:tcW w:w="3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4.60</w:t>
            </w:r>
          </w:p>
        </w:tc>
      </w:tr>
      <w:tr>
        <w:trPr>
          <w:trHeight w:val="194"/>
        </w:trPr>
        <w:tc>
          <w:tcPr>
            <w:tcW w:w="20" w:type="dxa"/>
            <w:vAlign w:val="bottom"/>
          </w:tcPr>
          <w:p>
            <w:pPr>
              <w:spacing w:after="0"/>
              <w:rPr>
                <w:sz w:val="16"/>
                <w:szCs w:val="16"/>
                <w:color w:val="auto"/>
              </w:rPr>
            </w:pPr>
          </w:p>
        </w:tc>
        <w:tc>
          <w:tcPr>
            <w:tcW w:w="66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5.62</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2.98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r>
    </w:tbl>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dilution from common stock options is based on the treasury stock method. Under this method, proceeds based on the exercise price plus unearned compensation and windfall tax benefits and minus tax shortfalls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2,083,275; 2,138,800 and 1,504,250 of such antidilutive stock options outstanding during 2011, 2010 and 2009, respectively.</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2011 and 2010, respectively, we had 900 and 9,900 stock options outstanding that were antidilutive because of the unearned compensation and windfall tax benefits included in the assumed proceeds under the treasury stock method. There were no such antidilutive stock options outstanding during 2009.</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dilution from unvested restricted stock awards (RSAs) and restricted stock units (RSUs) is also based on the treasury stock method. Assumed proceeds equal to the unearned compensation and windfall tax benefits and minus tax shortfalls related to the awards and units are assumed to be used to repurchase shares on the open market at the average market price for the period. The windfall tax benefits or tax shortfalls are the difference between tax deductions we would receive upon the assumed vesting of RSAs or RSUs and the deferred income taxes we recorded related to the compensation expense on such awards and units. There were no antidilutive restricted stock awards or units from the application of unearned compensation in the treasury stock method in 2011, 2010 or 2009.</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performance based RSU represents the right to receive between zero and 1.5 shares of Sempra Energy common stock based on Sempra Energy’s four-year cumulative total shareholder return compared to the S&amp;P 500 Utilities Index, as follows:</w:t>
      </w:r>
    </w:p>
    <w:p>
      <w:pPr>
        <w:sectPr>
          <w:pgSz w:w="11900" w:h="16905" w:orient="portrait"/>
          <w:cols w:equalWidth="0" w:num="1">
            <w:col w:w="11420"/>
          </w:cols>
          <w:pgMar w:left="240" w:top="341" w:right="239" w:bottom="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Four-Year Cumulative Total Shareholder Return Ranking versus S&amp;P 500 Utilities Index(1)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40"/>
        <w:spacing w:after="0" w:line="238" w:lineRule="auto"/>
        <w:rPr>
          <w:sz w:val="20"/>
          <w:szCs w:val="20"/>
          <w:color w:val="auto"/>
        </w:rPr>
      </w:pPr>
      <w:r>
        <w:rPr>
          <w:rFonts w:ascii="Arial" w:cs="Arial" w:eastAsia="Arial" w:hAnsi="Arial"/>
          <w:sz w:val="14"/>
          <w:szCs w:val="14"/>
          <w:color w:val="auto"/>
        </w:rPr>
        <w:t>Number of Sempra Energy Common Shares Received for Each Restricted Stock Unit(2)</w:t>
      </w:r>
    </w:p>
    <w:p>
      <w:pPr>
        <w:spacing w:after="0" w:line="1" w:lineRule="exact"/>
        <w:rPr>
          <w:sz w:val="20"/>
          <w:szCs w:val="20"/>
          <w:color w:val="auto"/>
        </w:rPr>
      </w:pPr>
    </w:p>
    <w:p>
      <w:pPr>
        <w:sectPr>
          <w:pgSz w:w="11900" w:h="16905" w:orient="portrait"/>
          <w:cols w:equalWidth="0" w:num="2">
            <w:col w:w="6200" w:space="720"/>
            <w:col w:w="45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40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75th Percentile or Above</w:t>
            </w:r>
          </w:p>
        </w:tc>
        <w:tc>
          <w:tcPr>
            <w:tcW w:w="6020" w:type="dxa"/>
            <w:vAlign w:val="bottom"/>
            <w:tcBorders>
              <w:top w:val="single" w:sz="8" w:color="auto"/>
            </w:tcBorders>
          </w:tcPr>
          <w:p>
            <w:pPr>
              <w:jc w:val="right"/>
              <w:ind w:right="2079"/>
              <w:spacing w:after="0" w:line="171" w:lineRule="exact"/>
              <w:rPr>
                <w:sz w:val="20"/>
                <w:szCs w:val="20"/>
                <w:color w:val="auto"/>
              </w:rPr>
            </w:pPr>
            <w:r>
              <w:rPr>
                <w:rFonts w:ascii="Arial" w:cs="Arial" w:eastAsia="Arial" w:hAnsi="Arial"/>
                <w:sz w:val="16"/>
                <w:szCs w:val="16"/>
                <w:color w:val="auto"/>
              </w:rPr>
              <w:t>1.5</w:t>
            </w: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50th Percentile</w:t>
            </w:r>
          </w:p>
        </w:tc>
        <w:tc>
          <w:tcPr>
            <w:tcW w:w="6020" w:type="dxa"/>
            <w:vAlign w:val="bottom"/>
          </w:tcPr>
          <w:p>
            <w:pPr>
              <w:jc w:val="right"/>
              <w:ind w:right="2139"/>
              <w:spacing w:after="0" w:line="176" w:lineRule="exact"/>
              <w:rPr>
                <w:sz w:val="20"/>
                <w:szCs w:val="20"/>
                <w:color w:val="auto"/>
              </w:rPr>
            </w:pPr>
            <w:r>
              <w:rPr>
                <w:rFonts w:ascii="Arial" w:cs="Arial" w:eastAsia="Arial" w:hAnsi="Arial"/>
                <w:sz w:val="16"/>
                <w:szCs w:val="16"/>
                <w:color w:val="auto"/>
              </w:rPr>
              <w:t>1</w:t>
            </w:r>
          </w:p>
        </w:tc>
      </w:tr>
      <w:tr>
        <w:trPr>
          <w:trHeight w:val="195"/>
        </w:trPr>
        <w:tc>
          <w:tcPr>
            <w:tcW w:w="5400" w:type="dxa"/>
            <w:vAlign w:val="bottom"/>
          </w:tcPr>
          <w:p>
            <w:pPr>
              <w:spacing w:after="0"/>
              <w:rPr>
                <w:sz w:val="20"/>
                <w:szCs w:val="20"/>
                <w:color w:val="auto"/>
              </w:rPr>
            </w:pPr>
            <w:r>
              <w:rPr>
                <w:rFonts w:ascii="Arial" w:cs="Arial" w:eastAsia="Arial" w:hAnsi="Arial"/>
                <w:sz w:val="16"/>
                <w:szCs w:val="16"/>
                <w:color w:val="auto"/>
              </w:rPr>
              <w:t>35th Percentile or Below</w:t>
            </w:r>
          </w:p>
        </w:tc>
        <w:tc>
          <w:tcPr>
            <w:tcW w:w="6020" w:type="dxa"/>
            <w:vAlign w:val="bottom"/>
          </w:tcPr>
          <w:p>
            <w:pPr>
              <w:ind w:left="37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i w:val="1"/>
          <w:iCs w:val="1"/>
          <w:color w:val="auto"/>
        </w:rPr>
        <w:t>(1)If Sempra Energy ranks at or above the 50th percentile compared to the S&amp;P 500 Index, participants will receive a minimum of 1.0 share for each restricted stock unit.</w:t>
      </w:r>
    </w:p>
    <w:p>
      <w:pPr>
        <w:spacing w:after="0" w:line="15" w:lineRule="exact"/>
        <w:rPr>
          <w:sz w:val="20"/>
          <w:szCs w:val="20"/>
          <w:color w:val="auto"/>
        </w:rPr>
      </w:pPr>
    </w:p>
    <w:p>
      <w:pPr>
        <w:ind w:left="800" w:right="60" w:hanging="175"/>
        <w:spacing w:after="0" w:line="258" w:lineRule="auto"/>
        <w:rPr>
          <w:sz w:val="20"/>
          <w:szCs w:val="20"/>
          <w:color w:val="auto"/>
        </w:rPr>
      </w:pPr>
      <w:r>
        <w:rPr>
          <w:rFonts w:ascii="Arial" w:cs="Arial" w:eastAsia="Arial" w:hAnsi="Arial"/>
          <w:sz w:val="14"/>
          <w:szCs w:val="14"/>
          <w:i w:val="1"/>
          <w:iCs w:val="1"/>
          <w:color w:val="auto"/>
        </w:rPr>
        <w:t>(2)Participants may also receive additional shares for dividend equivalents on shares subject to restricted stock units, which are reinvested to purchase additional shares that become subject to the same vesting conditions as the restricted stock units to which the dividends relate.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RSAs have a maximum potential of 100 percent vesting. We include our performance based RSAs and RSUs in potential dilutive shares at zero to 100 percent and zero to 150 percent, respectively, to the extent that they currently meet the performance requirements for vesting, subject to the application of the treasury stock method. Due to market fluctuations of both Sempra Energy stock and the comparative index, dilutive RSA and RSU shares may vary widely from period-to-period. We include our service-based RSAs in potential dilutive shares at 100 percent.</w:t>
      </w:r>
    </w:p>
    <w:p>
      <w:pPr>
        <w:spacing w:after="0" w:line="171"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RSUs and RSAs may be excluded from potential dilutive shares by the application of unearned compensation in the treasury stock method or because performance goals are currently not met. The maximum excluded RSUs and RSAs, assuming performance goals were met at maximum levels, were 4,109,717; 2,008,413, and 1,058,521 for the years ended December 31 2011, 2010 and 2009, respectively.</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are authorized to issue 750,000,000 shares of no-par-value common stock. In addition, we are authorized to issue 50,000,000 shares of preferred stock having rights, preferences and privileges that would be established by the Sempra Energy board of directors at the time of issuance.</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Shares of common stock held by the ESOP were 153,625; 504,440 and 868,173 at December 31, 2011, 2010 and 2009, respectively. These shares are unallocated and therefore excluded from the computation of EPS.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Excluding shares held by the ESOP, common stock activity consisted of the following: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tcPr>
          <w:p>
            <w:pPr>
              <w:jc w:val="right"/>
              <w:ind w:right="1061"/>
              <w:spacing w:after="0"/>
              <w:rPr>
                <w:sz w:val="20"/>
                <w:szCs w:val="20"/>
                <w:color w:val="auto"/>
              </w:rPr>
            </w:pPr>
            <w:r>
              <w:rPr>
                <w:rFonts w:ascii="Arial" w:cs="Arial" w:eastAsia="Arial" w:hAnsi="Arial"/>
                <w:sz w:val="14"/>
                <w:szCs w:val="14"/>
                <w:color w:val="auto"/>
              </w:rPr>
              <w:t>2011</w:t>
            </w:r>
          </w:p>
        </w:tc>
        <w:tc>
          <w:tcPr>
            <w:tcW w:w="2020" w:type="dxa"/>
            <w:vAlign w:val="bottom"/>
            <w:tcBorders>
              <w:bottom w:val="single" w:sz="8" w:color="auto"/>
            </w:tcBorders>
          </w:tcPr>
          <w:p>
            <w:pPr>
              <w:jc w:val="right"/>
              <w:ind w:right="1061"/>
              <w:spacing w:after="0"/>
              <w:rPr>
                <w:sz w:val="20"/>
                <w:szCs w:val="20"/>
                <w:color w:val="auto"/>
              </w:rPr>
            </w:pPr>
            <w:r>
              <w:rPr>
                <w:rFonts w:ascii="Arial" w:cs="Arial" w:eastAsia="Arial" w:hAnsi="Arial"/>
                <w:sz w:val="14"/>
                <w:szCs w:val="14"/>
                <w:color w:val="auto"/>
              </w:rPr>
              <w:t>2010</w:t>
            </w:r>
          </w:p>
        </w:tc>
        <w:tc>
          <w:tcPr>
            <w:tcW w:w="15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4620" w:type="dxa"/>
            <w:vAlign w:val="bottom"/>
          </w:tcPr>
          <w:p>
            <w:pPr>
              <w:spacing w:after="0" w:line="164" w:lineRule="exact"/>
              <w:rPr>
                <w:sz w:val="20"/>
                <w:szCs w:val="20"/>
                <w:color w:val="auto"/>
              </w:rPr>
            </w:pPr>
            <w:r>
              <w:rPr>
                <w:rFonts w:ascii="Arial" w:cs="Arial" w:eastAsia="Arial" w:hAnsi="Arial"/>
                <w:sz w:val="16"/>
                <w:szCs w:val="16"/>
                <w:color w:val="auto"/>
              </w:rPr>
              <w:t>Common shares outstanding, January 1</w:t>
            </w:r>
          </w:p>
        </w:tc>
        <w:tc>
          <w:tcPr>
            <w:tcW w:w="3220" w:type="dxa"/>
            <w:vAlign w:val="bottom"/>
          </w:tcPr>
          <w:p>
            <w:pPr>
              <w:jc w:val="right"/>
              <w:ind w:right="461"/>
              <w:spacing w:after="0" w:line="164" w:lineRule="exact"/>
              <w:rPr>
                <w:sz w:val="20"/>
                <w:szCs w:val="20"/>
                <w:color w:val="auto"/>
              </w:rPr>
            </w:pPr>
            <w:r>
              <w:rPr>
                <w:rFonts w:ascii="Arial" w:cs="Arial" w:eastAsia="Arial" w:hAnsi="Arial"/>
                <w:sz w:val="16"/>
                <w:szCs w:val="16"/>
                <w:color w:val="auto"/>
              </w:rPr>
              <w:t>240,447,416</w:t>
            </w:r>
          </w:p>
        </w:tc>
        <w:tc>
          <w:tcPr>
            <w:tcW w:w="2020" w:type="dxa"/>
            <w:vAlign w:val="bottom"/>
          </w:tcPr>
          <w:p>
            <w:pPr>
              <w:jc w:val="right"/>
              <w:ind w:right="461"/>
              <w:spacing w:after="0" w:line="164" w:lineRule="exact"/>
              <w:rPr>
                <w:sz w:val="20"/>
                <w:szCs w:val="20"/>
                <w:color w:val="auto"/>
              </w:rPr>
            </w:pPr>
            <w:r>
              <w:rPr>
                <w:rFonts w:ascii="Arial" w:cs="Arial" w:eastAsia="Arial" w:hAnsi="Arial"/>
                <w:sz w:val="16"/>
                <w:szCs w:val="16"/>
                <w:color w:val="auto"/>
              </w:rPr>
              <w:t>246,507,865</w:t>
            </w:r>
          </w:p>
        </w:tc>
        <w:tc>
          <w:tcPr>
            <w:tcW w:w="1540" w:type="dxa"/>
            <w:vAlign w:val="bottom"/>
          </w:tcPr>
          <w:p>
            <w:pPr>
              <w:jc w:val="right"/>
              <w:spacing w:after="0" w:line="164" w:lineRule="exact"/>
              <w:rPr>
                <w:sz w:val="20"/>
                <w:szCs w:val="20"/>
                <w:color w:val="auto"/>
              </w:rPr>
            </w:pPr>
            <w:r>
              <w:rPr>
                <w:rFonts w:ascii="Arial" w:cs="Arial" w:eastAsia="Arial" w:hAnsi="Arial"/>
                <w:sz w:val="16"/>
                <w:szCs w:val="16"/>
                <w:color w:val="auto"/>
              </w:rPr>
              <w:t>243,324,281</w:t>
            </w:r>
          </w:p>
        </w:tc>
      </w:tr>
      <w:tr>
        <w:trPr>
          <w:trHeight w:val="176"/>
        </w:trPr>
        <w:tc>
          <w:tcPr>
            <w:tcW w:w="20" w:type="dxa"/>
            <w:vAlign w:val="bottom"/>
          </w:tcPr>
          <w:p>
            <w:pPr>
              <w:spacing w:after="0"/>
              <w:rPr>
                <w:sz w:val="15"/>
                <w:szCs w:val="15"/>
                <w:color w:val="auto"/>
              </w:rPr>
            </w:pPr>
          </w:p>
        </w:tc>
        <w:tc>
          <w:tcPr>
            <w:tcW w:w="4620" w:type="dxa"/>
            <w:vAlign w:val="bottom"/>
          </w:tcPr>
          <w:p>
            <w:pPr>
              <w:ind w:left="160"/>
              <w:spacing w:after="0" w:line="176" w:lineRule="exact"/>
              <w:rPr>
                <w:sz w:val="20"/>
                <w:szCs w:val="20"/>
                <w:color w:val="auto"/>
              </w:rPr>
            </w:pPr>
            <w:r>
              <w:rPr>
                <w:rFonts w:ascii="Arial" w:cs="Arial" w:eastAsia="Arial" w:hAnsi="Arial"/>
                <w:sz w:val="16"/>
                <w:szCs w:val="16"/>
                <w:color w:val="auto"/>
              </w:rPr>
              <w:t>Savings plan issuance</w:t>
            </w:r>
          </w:p>
        </w:tc>
        <w:tc>
          <w:tcPr>
            <w:tcW w:w="3220" w:type="dxa"/>
            <w:vAlign w:val="bottom"/>
          </w:tcPr>
          <w:p>
            <w:pPr>
              <w:jc w:val="right"/>
              <w:ind w:right="461"/>
              <w:spacing w:after="0" w:line="176" w:lineRule="exact"/>
              <w:rPr>
                <w:sz w:val="20"/>
                <w:szCs w:val="20"/>
                <w:color w:val="auto"/>
              </w:rPr>
            </w:pPr>
            <w:r>
              <w:rPr>
                <w:rFonts w:ascii="Arial" w:cs="Arial" w:eastAsia="Arial" w:hAnsi="Arial"/>
                <w:sz w:val="16"/>
                <w:szCs w:val="16"/>
                <w:color w:val="auto"/>
              </w:rPr>
              <w:t>―</w:t>
            </w:r>
          </w:p>
        </w:tc>
        <w:tc>
          <w:tcPr>
            <w:tcW w:w="2020" w:type="dxa"/>
            <w:vAlign w:val="bottom"/>
          </w:tcPr>
          <w:p>
            <w:pPr>
              <w:jc w:val="right"/>
              <w:ind w:right="461"/>
              <w:spacing w:after="0" w:line="176" w:lineRule="exact"/>
              <w:rPr>
                <w:sz w:val="20"/>
                <w:szCs w:val="20"/>
                <w:color w:val="auto"/>
              </w:rPr>
            </w:pPr>
            <w:r>
              <w:rPr>
                <w:rFonts w:ascii="Arial" w:cs="Arial" w:eastAsia="Arial" w:hAnsi="Arial"/>
                <w:sz w:val="16"/>
                <w:szCs w:val="16"/>
                <w:color w:val="auto"/>
              </w:rPr>
              <w:t>560,600</w:t>
            </w:r>
          </w:p>
        </w:tc>
        <w:tc>
          <w:tcPr>
            <w:tcW w:w="1540" w:type="dxa"/>
            <w:vAlign w:val="bottom"/>
          </w:tcPr>
          <w:p>
            <w:pPr>
              <w:jc w:val="right"/>
              <w:spacing w:after="0" w:line="176" w:lineRule="exact"/>
              <w:rPr>
                <w:sz w:val="20"/>
                <w:szCs w:val="20"/>
                <w:color w:val="auto"/>
              </w:rPr>
            </w:pPr>
            <w:r>
              <w:rPr>
                <w:rFonts w:ascii="Arial" w:cs="Arial" w:eastAsia="Arial" w:hAnsi="Arial"/>
                <w:sz w:val="16"/>
                <w:szCs w:val="16"/>
                <w:color w:val="auto"/>
              </w:rPr>
              <w:t>1,021,023</w:t>
            </w:r>
          </w:p>
        </w:tc>
      </w:tr>
      <w:tr>
        <w:trPr>
          <w:trHeight w:val="195"/>
        </w:trPr>
        <w:tc>
          <w:tcPr>
            <w:tcW w:w="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6"/>
                <w:szCs w:val="16"/>
                <w:color w:val="auto"/>
              </w:rPr>
              <w:t>Shares released from ESOP</w:t>
            </w:r>
          </w:p>
        </w:tc>
        <w:tc>
          <w:tcPr>
            <w:tcW w:w="3220" w:type="dxa"/>
            <w:vAlign w:val="bottom"/>
          </w:tcPr>
          <w:p>
            <w:pPr>
              <w:jc w:val="right"/>
              <w:ind w:right="461"/>
              <w:spacing w:after="0"/>
              <w:rPr>
                <w:sz w:val="20"/>
                <w:szCs w:val="20"/>
                <w:color w:val="auto"/>
              </w:rPr>
            </w:pPr>
            <w:r>
              <w:rPr>
                <w:rFonts w:ascii="Arial" w:cs="Arial" w:eastAsia="Arial" w:hAnsi="Arial"/>
                <w:sz w:val="16"/>
                <w:szCs w:val="16"/>
                <w:color w:val="auto"/>
              </w:rPr>
              <w:t>350,815</w:t>
            </w:r>
          </w:p>
        </w:tc>
        <w:tc>
          <w:tcPr>
            <w:tcW w:w="2020" w:type="dxa"/>
            <w:vAlign w:val="bottom"/>
          </w:tcPr>
          <w:p>
            <w:pPr>
              <w:jc w:val="right"/>
              <w:ind w:right="461"/>
              <w:spacing w:after="0"/>
              <w:rPr>
                <w:sz w:val="20"/>
                <w:szCs w:val="20"/>
                <w:color w:val="auto"/>
              </w:rPr>
            </w:pPr>
            <w:r>
              <w:rPr>
                <w:rFonts w:ascii="Arial" w:cs="Arial" w:eastAsia="Arial" w:hAnsi="Arial"/>
                <w:sz w:val="16"/>
                <w:szCs w:val="16"/>
                <w:color w:val="auto"/>
              </w:rPr>
              <w:t>363,733</w:t>
            </w:r>
          </w:p>
        </w:tc>
        <w:tc>
          <w:tcPr>
            <w:tcW w:w="1540" w:type="dxa"/>
            <w:vAlign w:val="bottom"/>
          </w:tcPr>
          <w:p>
            <w:pPr>
              <w:jc w:val="right"/>
              <w:spacing w:after="0"/>
              <w:rPr>
                <w:sz w:val="20"/>
                <w:szCs w:val="20"/>
                <w:color w:val="auto"/>
              </w:rPr>
            </w:pPr>
            <w:r>
              <w:rPr>
                <w:rFonts w:ascii="Arial" w:cs="Arial" w:eastAsia="Arial" w:hAnsi="Arial"/>
                <w:sz w:val="16"/>
                <w:szCs w:val="16"/>
                <w:color w:val="auto"/>
              </w:rPr>
              <w:t>309,023</w:t>
            </w:r>
          </w:p>
        </w:tc>
      </w:tr>
    </w:tbl>
    <w:p>
      <w:pPr>
        <w:sectPr>
          <w:pgSz w:w="11900" w:h="16905" w:orient="portrait"/>
          <w:cols w:equalWidth="0" w:num="1">
            <w:col w:w="11420"/>
          </w:cols>
          <w:pgMar w:left="240" w:top="341" w:right="239" w:bottom="0" w:gutter="0" w:footer="0" w:header="0"/>
          <w:type w:val="continuous"/>
        </w:sectPr>
      </w:pPr>
    </w:p>
    <w:bookmarkStart w:id="255" w:name="page256"/>
    <w:bookmarkEnd w:id="2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2540" w:type="dxa"/>
            <w:vAlign w:val="bottom"/>
          </w:tcPr>
          <w:p>
            <w:pPr>
              <w:jc w:val="right"/>
              <w:ind w:right="499"/>
              <w:spacing w:after="0"/>
              <w:rPr>
                <w:sz w:val="20"/>
                <w:szCs w:val="20"/>
                <w:color w:val="auto"/>
              </w:rPr>
            </w:pPr>
            <w:r>
              <w:rPr>
                <w:rFonts w:ascii="Arial" w:cs="Arial" w:eastAsia="Arial" w:hAnsi="Arial"/>
                <w:sz w:val="16"/>
                <w:szCs w:val="16"/>
                <w:color w:val="auto"/>
              </w:rPr>
              <w:t>958,126</w:t>
            </w:r>
          </w:p>
        </w:tc>
        <w:tc>
          <w:tcPr>
            <w:tcW w:w="2020" w:type="dxa"/>
            <w:vAlign w:val="bottom"/>
          </w:tcPr>
          <w:p>
            <w:pPr>
              <w:jc w:val="right"/>
              <w:ind w:right="499"/>
              <w:spacing w:after="0"/>
              <w:rPr>
                <w:sz w:val="20"/>
                <w:szCs w:val="20"/>
                <w:color w:val="auto"/>
              </w:rPr>
            </w:pPr>
            <w:r>
              <w:rPr>
                <w:rFonts w:ascii="Arial" w:cs="Arial" w:eastAsia="Arial" w:hAnsi="Arial"/>
                <w:sz w:val="16"/>
                <w:szCs w:val="16"/>
                <w:color w:val="auto"/>
              </w:rPr>
              <w:t>912,725</w:t>
            </w:r>
          </w:p>
        </w:tc>
        <w:tc>
          <w:tcPr>
            <w:tcW w:w="1500" w:type="dxa"/>
            <w:vAlign w:val="bottom"/>
          </w:tcPr>
          <w:p>
            <w:pPr>
              <w:jc w:val="right"/>
              <w:spacing w:after="0"/>
              <w:rPr>
                <w:sz w:val="20"/>
                <w:szCs w:val="20"/>
                <w:color w:val="auto"/>
              </w:rPr>
            </w:pPr>
            <w:r>
              <w:rPr>
                <w:rFonts w:ascii="Arial" w:cs="Arial" w:eastAsia="Arial" w:hAnsi="Arial"/>
                <w:sz w:val="16"/>
                <w:szCs w:val="16"/>
                <w:color w:val="auto"/>
              </w:rPr>
              <w:t>1,835,184</w:t>
            </w:r>
          </w:p>
        </w:tc>
      </w:tr>
      <w:tr>
        <w:trPr>
          <w:trHeight w:val="176"/>
        </w:trPr>
        <w:tc>
          <w:tcPr>
            <w:tcW w:w="5360" w:type="dxa"/>
            <w:vAlign w:val="bottom"/>
          </w:tcPr>
          <w:p>
            <w:pPr>
              <w:ind w:left="180"/>
              <w:spacing w:after="0" w:line="176" w:lineRule="exact"/>
              <w:rPr>
                <w:sz w:val="20"/>
                <w:szCs w:val="20"/>
                <w:color w:val="auto"/>
              </w:rPr>
            </w:pPr>
            <w:r>
              <w:rPr>
                <w:rFonts w:ascii="Arial" w:cs="Arial" w:eastAsia="Arial" w:hAnsi="Arial"/>
                <w:sz w:val="16"/>
                <w:szCs w:val="16"/>
                <w:color w:val="auto"/>
              </w:rPr>
              <w:t>Restricted stock issuances</w:t>
            </w:r>
          </w:p>
        </w:tc>
        <w:tc>
          <w:tcPr>
            <w:tcW w:w="254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11,876</w:t>
            </w:r>
          </w:p>
        </w:tc>
        <w:tc>
          <w:tcPr>
            <w:tcW w:w="20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37,233</w:t>
            </w:r>
          </w:p>
        </w:tc>
      </w:tr>
      <w:tr>
        <w:trPr>
          <w:trHeight w:val="176"/>
        </w:trPr>
        <w:tc>
          <w:tcPr>
            <w:tcW w:w="5360" w:type="dxa"/>
            <w:vAlign w:val="bottom"/>
          </w:tcPr>
          <w:p>
            <w:pPr>
              <w:ind w:left="180"/>
              <w:spacing w:after="0" w:line="176" w:lineRule="exact"/>
              <w:rPr>
                <w:sz w:val="20"/>
                <w:szCs w:val="20"/>
                <w:color w:val="auto"/>
              </w:rPr>
            </w:pPr>
            <w:r>
              <w:rPr>
                <w:rFonts w:ascii="Arial" w:cs="Arial" w:eastAsia="Arial" w:hAnsi="Arial"/>
                <w:sz w:val="16"/>
                <w:szCs w:val="16"/>
                <w:color w:val="auto"/>
              </w:rPr>
              <w:t>Restricted stock units vesting(1)</w:t>
            </w:r>
          </w:p>
        </w:tc>
        <w:tc>
          <w:tcPr>
            <w:tcW w:w="254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2,625</w:t>
            </w:r>
          </w:p>
        </w:tc>
        <w:tc>
          <w:tcPr>
            <w:tcW w:w="20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5360" w:type="dxa"/>
            <w:vAlign w:val="bottom"/>
          </w:tcPr>
          <w:p>
            <w:pPr>
              <w:ind w:left="180"/>
              <w:spacing w:after="0" w:line="176" w:lineRule="exact"/>
              <w:rPr>
                <w:sz w:val="20"/>
                <w:szCs w:val="20"/>
                <w:color w:val="auto"/>
              </w:rPr>
            </w:pPr>
            <w:r>
              <w:rPr>
                <w:rFonts w:ascii="Arial" w:cs="Arial" w:eastAsia="Arial" w:hAnsi="Arial"/>
                <w:sz w:val="16"/>
                <w:szCs w:val="16"/>
                <w:color w:val="auto"/>
              </w:rPr>
              <w:t>Shares repurchased</w:t>
            </w:r>
          </w:p>
        </w:tc>
        <w:tc>
          <w:tcPr>
            <w:tcW w:w="254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(1,836,177)</w:t>
            </w:r>
          </w:p>
        </w:tc>
        <w:tc>
          <w:tcPr>
            <w:tcW w:w="202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(8,108,579)</w:t>
            </w: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(396,046)</w:t>
            </w:r>
          </w:p>
        </w:tc>
      </w:tr>
      <w:tr>
        <w:trPr>
          <w:trHeight w:val="176"/>
        </w:trPr>
        <w:tc>
          <w:tcPr>
            <w:tcW w:w="5360" w:type="dxa"/>
            <w:vAlign w:val="bottom"/>
          </w:tcPr>
          <w:p>
            <w:pPr>
              <w:ind w:left="180"/>
              <w:spacing w:after="0" w:line="176" w:lineRule="exact"/>
              <w:rPr>
                <w:sz w:val="20"/>
                <w:szCs w:val="20"/>
                <w:color w:val="auto"/>
              </w:rPr>
            </w:pPr>
            <w:r>
              <w:rPr>
                <w:rFonts w:ascii="Arial" w:cs="Arial" w:eastAsia="Arial" w:hAnsi="Arial"/>
                <w:sz w:val="16"/>
                <w:szCs w:val="16"/>
                <w:color w:val="auto"/>
              </w:rPr>
              <w:t>Common stock investment plan(2)</w:t>
            </w:r>
          </w:p>
        </w:tc>
        <w:tc>
          <w:tcPr>
            <w:tcW w:w="254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w:t>
            </w:r>
          </w:p>
        </w:tc>
        <w:tc>
          <w:tcPr>
            <w:tcW w:w="20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217,772</w:t>
            </w: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381,167</w:t>
            </w:r>
          </w:p>
        </w:tc>
      </w:tr>
      <w:tr>
        <w:trPr>
          <w:trHeight w:val="194"/>
        </w:trPr>
        <w:tc>
          <w:tcPr>
            <w:tcW w:w="5360" w:type="dxa"/>
            <w:vAlign w:val="bottom"/>
          </w:tcPr>
          <w:p>
            <w:pPr>
              <w:ind w:left="180"/>
              <w:spacing w:after="0"/>
              <w:rPr>
                <w:sz w:val="20"/>
                <w:szCs w:val="20"/>
                <w:color w:val="auto"/>
              </w:rPr>
            </w:pPr>
            <w:r>
              <w:rPr>
                <w:rFonts w:ascii="Arial" w:cs="Arial" w:eastAsia="Arial" w:hAnsi="Arial"/>
                <w:sz w:val="16"/>
                <w:szCs w:val="16"/>
                <w:color w:val="auto"/>
              </w:rPr>
              <w:t>Shares forfeited and other</w:t>
            </w:r>
          </w:p>
        </w:tc>
        <w:tc>
          <w:tcPr>
            <w:tcW w:w="2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(6,700)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Common shares outstanding, December 31</w:t>
            </w:r>
          </w:p>
        </w:tc>
        <w:tc>
          <w:tcPr>
            <w:tcW w:w="2540" w:type="dxa"/>
            <w:vAlign w:val="bottom"/>
          </w:tcPr>
          <w:p>
            <w:pPr>
              <w:jc w:val="right"/>
              <w:ind w:right="499"/>
              <w:spacing w:after="0"/>
              <w:rPr>
                <w:sz w:val="20"/>
                <w:szCs w:val="20"/>
                <w:color w:val="auto"/>
              </w:rPr>
            </w:pPr>
            <w:r>
              <w:rPr>
                <w:rFonts w:ascii="Arial" w:cs="Arial" w:eastAsia="Arial" w:hAnsi="Arial"/>
                <w:sz w:val="16"/>
                <w:szCs w:val="16"/>
                <w:color w:val="auto"/>
              </w:rPr>
              <w:t>239,934,681</w:t>
            </w:r>
          </w:p>
        </w:tc>
        <w:tc>
          <w:tcPr>
            <w:tcW w:w="2020" w:type="dxa"/>
            <w:vAlign w:val="bottom"/>
          </w:tcPr>
          <w:p>
            <w:pPr>
              <w:jc w:val="right"/>
              <w:ind w:right="499"/>
              <w:spacing w:after="0"/>
              <w:rPr>
                <w:sz w:val="20"/>
                <w:szCs w:val="20"/>
                <w:color w:val="auto"/>
              </w:rPr>
            </w:pPr>
            <w:r>
              <w:rPr>
                <w:rFonts w:ascii="Arial" w:cs="Arial" w:eastAsia="Arial" w:hAnsi="Arial"/>
                <w:sz w:val="16"/>
                <w:szCs w:val="16"/>
                <w:color w:val="auto"/>
              </w:rPr>
              <w:t>240,447,416</w:t>
            </w:r>
          </w:p>
        </w:tc>
        <w:tc>
          <w:tcPr>
            <w:tcW w:w="1500" w:type="dxa"/>
            <w:vAlign w:val="bottom"/>
          </w:tcPr>
          <w:p>
            <w:pPr>
              <w:jc w:val="right"/>
              <w:spacing w:after="0"/>
              <w:rPr>
                <w:sz w:val="20"/>
                <w:szCs w:val="20"/>
                <w:color w:val="auto"/>
              </w:rPr>
            </w:pPr>
            <w:r>
              <w:rPr>
                <w:rFonts w:ascii="Arial" w:cs="Arial" w:eastAsia="Arial" w:hAnsi="Arial"/>
                <w:sz w:val="16"/>
                <w:szCs w:val="16"/>
                <w:color w:val="auto"/>
              </w:rPr>
              <w:t>246,507,865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36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dividend equivalents.</w:t>
      </w:r>
    </w:p>
    <w:p>
      <w:pPr>
        <w:spacing w:after="0" w:line="13" w:lineRule="exact"/>
        <w:rPr>
          <w:rFonts w:ascii="Arial" w:cs="Arial" w:eastAsia="Arial" w:hAnsi="Arial"/>
          <w:sz w:val="14"/>
          <w:szCs w:val="14"/>
          <w:i w:val="1"/>
          <w:iCs w:val="1"/>
          <w:color w:val="auto"/>
        </w:rPr>
      </w:pPr>
    </w:p>
    <w:p>
      <w:pPr>
        <w:ind w:left="580" w:hanging="572"/>
        <w:spacing w:after="0"/>
        <w:tabs>
          <w:tab w:leader="none" w:pos="580" w:val="left"/>
        </w:tabs>
        <w:numPr>
          <w:ilvl w:val="0"/>
          <w:numId w:val="362"/>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in the Direct Stock Purchase Plan may reinvest dividends to purchase newly issued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the discretion to determine the payment and amount of future dividends.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PROGRAMS</w:t>
      </w:r>
    </w:p>
    <w:p>
      <w:pPr>
        <w:spacing w:after="0" w:line="23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September 11, 2007, our board of directors authorized the repurchase of additional shares of our common stock provided that the amounts expended for such purposes did not exceed the greater of $2 billion or amounts expended to purchase no more than 40 million shares. Purchases may include open-market and negotiated transactions, structured purchase arrangements, and tender offers.</w:t>
      </w:r>
    </w:p>
    <w:p>
      <w:pPr>
        <w:spacing w:after="0" w:line="181"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 April 2008, we entered into a share repurchase program under which we prepaid $1 billion to repurchase shares of our common stock to be delivered later in 2008 in a share forward transaction. The $1 billion purchase price was recorded as a reduction in shareholders’ equity, and we received 18,416,241 shares under the program during 2008 based on a final weighted average price of $54.30 per share.</w:t>
      </w:r>
    </w:p>
    <w:p>
      <w:pPr>
        <w:spacing w:after="0" w:line="169"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In September 2010, we entered into a share repurchase program under which we prepaid $500 million to repurchase shares of our common stock in a share forward transaction. The program was completed in March 2011 with a total of 9,574,435 shares repurchased at an average price of $52.22 per share. Our outstanding shares used to calculate earnings per share were reduced by the number of shares repurchased when they were delivered to us, and the $500 million purchase price was recorded as a reduction in shareholders’ equity upon its prepayment. We received 5,670,006 shares during the quarter ended September 30, 2010; 2,407,994 shares on October 4, 2010 and 1,496,435 shares on March 22,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share repurchase programs are unrelated to share based compensation as described in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637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NOTE 14. SEMPRA UTILITIES’ REGULATORY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POWER PROCUREMENT AND RESOURCE PLANNING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Background—Electric Industry Regulation</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California’s legislative response to the 2000 – 2001 energy crisis resulted in the DWR purchasing a substantial portion of power for California’s electricity users. In 2001, the DWR entered into long-term contracts with suppliers, including Sempra Generation, to provide power for the utility procurement customers of each of the California investor-owned utilities (IOUs), including SDG&amp;E. The CPUC allocates the power and its administrative responsibility, including collection of power contract costs from utility customers, among the IOUs.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Effective in 2003, the IOUs resumed responsibility for electric commodity procurement above their allocated share of the DWR’s long-term contracts,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CPUC:</w:t>
      </w:r>
    </w:p>
    <w:p>
      <w:pPr>
        <w:spacing w:after="0" w:line="211" w:lineRule="exact"/>
        <w:rPr>
          <w:sz w:val="20"/>
          <w:szCs w:val="20"/>
          <w:color w:val="auto"/>
        </w:rPr>
      </w:pPr>
    </w:p>
    <w:p>
      <w:pPr>
        <w:ind w:left="340" w:right="20" w:hanging="188"/>
        <w:spacing w:after="0" w:line="277" w:lineRule="auto"/>
        <w:tabs>
          <w:tab w:leader="none" w:pos="3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directed the IOUs, including SDG&amp;E, to resume electric commodity procurement to cover their net short energy requirements, which are the total customer energy requirements minus supply from resources owned, operated or contracted;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implemented legislation regarding procurement and renewable energy portfolio standards;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established a process for review and approval of the utilities’ long-term resource and procurement plans.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process is intended to identify anticipated needs for generation and transmission resources in order to support transmission grid reliability and to better serve customers.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Renewable Energy</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2010, the State of California required certain California electric retail sellers, including SDG&amp;E, to deliver 20 percent of their retail energy sales from renewable energy sources. The rules governing this requirement, administered by both the CPUC and the California Energy Commission (CEC), are known as the Renewables Portfolio Standard (RPS) Program. In December 2011, California Senate Bill 2(1X) (33% RPS Program) went into effect, superseding the previous RPS Program. It requires each California utility to procure 33 percent of its annual electric energy requirements from renewable energy sources by 2020, with an average of 20 percent required from January 1, 2011 to December 31, 2013; 25 percent by December 31, 2016; and 33 percent by December 31, 2020. The CPUC began a rulemaking in May 2011 to address the implementation of the 33% RPS Program.</w:t>
      </w:r>
    </w:p>
    <w:p>
      <w:pPr>
        <w:spacing w:after="0" w:line="17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33% RPS Program contains new flexible compliance mechanisms, more restrictive than the prior mechanisms, that can be used to comply with or meet the 33% RPS Program mandates in 2011 and beyond. The new mechanisms provide for a CPUC waiver under certain conditions, including: 1) a finding of inadequate transmission, 2) delays in the start-up of commercial operations of renewable energy projects due to permitting or interconnection or 3) unexpected curtailment by an electric system balancing authority, such as the California Independent System Operator (ISO).</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SDG&amp;E continues to procure renewable energy supplies to achieve the 33% RPS Program requirements. A substantial number of these supply contracts, however, are contingent upon many factors, including:</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access to electric transmission infrastructure;</w:t>
      </w:r>
    </w:p>
    <w:p>
      <w:pPr>
        <w:sectPr>
          <w:pgSz w:w="11900" w:h="16838" w:orient="portrait"/>
          <w:cols w:equalWidth="0" w:num="1">
            <w:col w:w="11420"/>
          </w:cols>
          <w:pgMar w:left="240" w:top="119" w:right="239" w:bottom="0" w:gutter="0" w:footer="0" w:header="0"/>
        </w:sectPr>
      </w:pPr>
    </w:p>
    <w:bookmarkStart w:id="256" w:name="page257"/>
    <w:bookmarkEnd w:id="256"/>
    <w:p>
      <w:pPr>
        <w:ind w:left="340" w:hanging="188"/>
        <w:spacing w:after="0"/>
        <w:tabs>
          <w:tab w:leader="none" w:pos="3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timely regulatory approval of contracted renewable energy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renewable energy project developers’ ability to obtain project financing and permitting;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successful development and implementation of the renewable energy technologies.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2010, SDG&amp;E satisfied its RPS procurement requirements through a combination of contracted deliveries and application of the flexible compliance mechanism, including the application of certain mechanisms that are no longer available under the 33% RPS Program. For 2011 and beyond, SDG&amp;E believes it will be able to comply with the 33% RPS Program requirements based on its contracting activity and, if necessary, application of the new flexible compliance mechanisms. SDG&amp;E’s failure to comply with the RPS Program requirements could subject it to a CPUC-imposed penalty of 5 cents per kilowatt hour of renewable energy under-delivery.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Purchase of El Dorado</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SDG&amp;E purchased Sempra Generation’s El Dorado natural gas generation plant on October 1, 2011, pursuant to an option to acquire the plant that was exercised in 2007. In accordance with the CPUC’s approval, SDG&amp;E acquired El Dorado (now named Desert Star Energy Center) at a price equal to the closing book value of the plant upon transfer. SDG&amp;E made a compliance filing with the CPUC in September 2011 stating the book value purchase price as $215 million. The final purchase price was $214 million based on the completion of an independent audit of Sempra Generation’s net book value of the plant as of the close of business on September 30, 2011.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East County Substation</w:t>
      </w:r>
    </w:p>
    <w:p>
      <w:pPr>
        <w:spacing w:after="0" w:line="2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response to a CPUC application filed by SDG&amp;E for authorization to proceed with the East County Substation project, the CPUC and Bureau of Land Management jointly issued a favorable final environmental impact report and environmental impact statement in October 2011. The project, which will include construction of a new 500/230/138- kilovolt (kV) substation, rebuilding of the existing Boulevard Substation and construction of a new 138-kV transmission line connecting the two substations, is estimated to cost approximately $435 million. It would allow interconnections from new renewable-generation sources and enhance the reliability of electric service to a number of communities. We expect a CPUC decision on this project in the first half of 2012.</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Onofre Nuclear Generating Station (SONGS)</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Edison (78.21%), SDG&amp;E (20%) and the city of Riverside (1.79%) jointly own SONGS. Edison completed the replacement of the steam generators at San Onofre Units 2 and 3 in April 2010 and February 2011, respectively. The final phase of the project, disposal of the old steam generators, is planned to be completed in 2012. SDG&amp;E’s share of the capital investment in this project is $180 million, including $160 million incurred through December 31, 2011. The CPUC approved SDG&amp;E’s participation in the replacement project. SDG&amp;E has requested continuation of full recovery of current operating and maintenance costs via balancing account treatment in its 2012 General Rate Case application, discussed below.</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RATE CASE (GRC)</w:t>
      </w:r>
    </w:p>
    <w:p>
      <w:pPr>
        <w:spacing w:after="0" w:line="23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CPUC uses a general rate case proceeding to prospectively set rates sufficient to allow the Sempra Utilities to recover their reasonable cost of operations and maintenance and to provide the opportunity to realize their authorized rates of return on their investment. In December 2010, the Sempra Utilities filed their 2012 General Rate Case (GRC) applications to establish their authorized 2012 revenue requirements and the ratemaking mechanisms by which those requirements will change on an annual basis over the subsequent three-year (2013-2015) period. Both SDG&amp;E and SoCalGas filed revised applications with the CPUC in July 2011. Evidentiary hearings were completed in January 2012 and final briefs reflecting the results from these hearings are scheduled to be filed with the CPUC by May 1, 2012. The final decision for the 2012 GRC will be made effective retroactive to January 1, 2012.</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February 2012, the Sempra Utilities filed amendments to update their July 2011 revised applications. With these amendments, SDG&amp;E is requesting a revenue requirement in 2012 of $1.849 billion, an increase of $235 million (or 14.6%) over 2011. SoCalGas is requesting a revenue requirement in 2012 of $2.112 billion, an increase of $268 million (14.5%) over 2011. The Division of Ratepayer Advocates and other intervening parties are recommending that the CPUC reduce the utilities’ revenue requirements in 2012 by approximately 5 percent compared to 2011.</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INCENTIVE MECHANISMS</w:t>
      </w:r>
    </w:p>
    <w:p>
      <w:pPr>
        <w:spacing w:after="0" w:line="2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CPUC applies performance-based measures and incentive mechanisms to all California IOUs. Under these, the Sempra Utilities have earnings potential above authorized base margins if they achieve or exceed specific performance and operating goals. Generally, for performance-based awards, if performance is above or below specific benchmarks, the utility is eligible for financial awards or subject to financial penalties. Both SDG&amp;E and SoCalGas have incentive mechanisms associated with:</w:t>
      </w:r>
    </w:p>
    <w:p>
      <w:pPr>
        <w:spacing w:after="0" w:line="187" w:lineRule="exact"/>
        <w:rPr>
          <w:sz w:val="20"/>
          <w:szCs w:val="20"/>
          <w:color w:val="auto"/>
        </w:rPr>
      </w:pPr>
    </w:p>
    <w:p>
      <w:pPr>
        <w:ind w:left="340" w:hanging="188"/>
        <w:spacing w:after="0"/>
        <w:tabs>
          <w:tab w:leader="none" w:pos="3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operational incentives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energy efficiency/demand side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SoCalGas has additional incentive mechanisms associated with:</w:t>
      </w:r>
    </w:p>
    <w:p>
      <w:pPr>
        <w:spacing w:after="0" w:line="225" w:lineRule="exact"/>
        <w:rPr>
          <w:sz w:val="20"/>
          <w:szCs w:val="20"/>
          <w:color w:val="auto"/>
        </w:rPr>
      </w:pPr>
    </w:p>
    <w:p>
      <w:pPr>
        <w:ind w:left="340" w:hanging="188"/>
        <w:spacing w:after="0"/>
        <w:tabs>
          <w:tab w:leader="none" w:pos="3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natural gas procurement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unbundled natural gas storage and system operator hub services</w:t>
      </w:r>
    </w:p>
    <w:p>
      <w:pPr>
        <w:sectPr>
          <w:pgSz w:w="11900" w:h="16838" w:orient="portrait"/>
          <w:cols w:equalWidth="0" w:num="1">
            <w:col w:w="11400"/>
          </w:cols>
          <w:pgMar w:left="240" w:top="368" w:right="259" w:bottom="154" w:gutter="0" w:footer="0" w:header="0"/>
        </w:sectPr>
      </w:pPr>
    </w:p>
    <w:bookmarkStart w:id="257" w:name="page258"/>
    <w:bookmarkEnd w:id="257"/>
    <w:p>
      <w:pPr>
        <w:ind w:right="260"/>
        <w:spacing w:after="0" w:line="277" w:lineRule="auto"/>
        <w:rPr>
          <w:sz w:val="20"/>
          <w:szCs w:val="20"/>
          <w:color w:val="auto"/>
        </w:rPr>
      </w:pPr>
      <w:r>
        <w:rPr>
          <w:rFonts w:ascii="Arial" w:cs="Arial" w:eastAsia="Arial" w:hAnsi="Arial"/>
          <w:sz w:val="18"/>
          <w:szCs w:val="18"/>
          <w:color w:val="auto"/>
        </w:rPr>
        <w:t>Incentive awards are included in our earnings when we receive any required CPUC approval of the award. We would record penalties for results below the specified benchmarks in earnings when we believe it is more likely than not that the CPUC would assess a penalty.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provide a summary of the incentive awards recognized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60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INCENTIVE AWARDS 2009-2011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06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1520" w:type="dxa"/>
            <w:vAlign w:val="bottom"/>
            <w:shd w:val="clear" w:color="auto" w:fill="C0C0C0"/>
          </w:tcPr>
          <w:p>
            <w:pPr>
              <w:spacing w:after="0"/>
              <w:rPr>
                <w:sz w:val="15"/>
                <w:szCs w:val="15"/>
                <w:color w:val="auto"/>
              </w:rPr>
            </w:pPr>
          </w:p>
        </w:tc>
        <w:tc>
          <w:tcPr>
            <w:tcW w:w="380" w:type="dxa"/>
            <w:vAlign w:val="bottom"/>
            <w:shd w:val="clear" w:color="auto" w:fill="C0C0C0"/>
          </w:tcPr>
          <w:p>
            <w:pPr>
              <w:spacing w:after="0"/>
              <w:rPr>
                <w:sz w:val="15"/>
                <w:szCs w:val="15"/>
                <w:color w:val="auto"/>
              </w:rPr>
            </w:pPr>
          </w:p>
        </w:tc>
        <w:tc>
          <w:tcPr>
            <w:tcW w:w="1260" w:type="dxa"/>
            <w:vAlign w:val="bottom"/>
            <w:shd w:val="clear" w:color="auto" w:fill="C0C0C0"/>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60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08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6"/>
        </w:trPr>
        <w:tc>
          <w:tcPr>
            <w:tcW w:w="6100" w:type="dxa"/>
            <w:vAlign w:val="bottom"/>
            <w:gridSpan w:val="2"/>
          </w:tcPr>
          <w:p>
            <w:pPr>
              <w:spacing w:after="0" w:line="176" w:lineRule="exact"/>
              <w:rPr>
                <w:sz w:val="20"/>
                <w:szCs w:val="20"/>
                <w:color w:val="auto"/>
              </w:rPr>
            </w:pPr>
            <w:r>
              <w:rPr>
                <w:rFonts w:ascii="Arial" w:cs="Arial" w:eastAsia="Arial" w:hAnsi="Arial"/>
                <w:sz w:val="16"/>
                <w:szCs w:val="16"/>
                <w:color w:val="auto"/>
              </w:rPr>
              <w:t>Energy efficiency and demand side management</w:t>
            </w:r>
          </w:p>
        </w:tc>
        <w:tc>
          <w:tcPr>
            <w:tcW w:w="1060" w:type="dxa"/>
            <w:vAlign w:val="bottom"/>
          </w:tcPr>
          <w:p>
            <w:pPr>
              <w:jc w:val="right"/>
              <w:ind w:right="720"/>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16</w:t>
            </w:r>
          </w:p>
        </w:tc>
        <w:tc>
          <w:tcPr>
            <w:tcW w:w="6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15</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w:t>
            </w:r>
          </w:p>
        </w:tc>
      </w:tr>
      <w:tr>
        <w:trPr>
          <w:trHeight w:val="195"/>
        </w:trPr>
        <w:tc>
          <w:tcPr>
            <w:tcW w:w="6100" w:type="dxa"/>
            <w:vAlign w:val="bottom"/>
            <w:gridSpan w:val="2"/>
          </w:tcPr>
          <w:p>
            <w:pPr>
              <w:spacing w:after="0"/>
              <w:rPr>
                <w:sz w:val="20"/>
                <w:szCs w:val="20"/>
                <w:color w:val="auto"/>
              </w:rPr>
            </w:pPr>
            <w:r>
              <w:rPr>
                <w:rFonts w:ascii="Arial" w:cs="Arial" w:eastAsia="Arial" w:hAnsi="Arial"/>
                <w:sz w:val="16"/>
                <w:szCs w:val="16"/>
                <w:color w:val="auto"/>
              </w:rPr>
              <w:t>Unbundled natural gas storage and hub services</w:t>
            </w:r>
          </w:p>
        </w:tc>
        <w:tc>
          <w:tcPr>
            <w:tcW w:w="1060" w:type="dxa"/>
            <w:vAlign w:val="bottom"/>
          </w:tcPr>
          <w:p>
            <w:pPr>
              <w:spacing w:after="0"/>
              <w:rPr>
                <w:sz w:val="16"/>
                <w:szCs w:val="16"/>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6"/>
                <w:szCs w:val="16"/>
                <w:color w:val="auto"/>
              </w:rPr>
            </w:pP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6"/>
                <w:szCs w:val="16"/>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19</w:t>
            </w:r>
          </w:p>
        </w:tc>
      </w:tr>
      <w:tr>
        <w:trPr>
          <w:trHeight w:val="183"/>
        </w:trPr>
        <w:tc>
          <w:tcPr>
            <w:tcW w:w="6100" w:type="dxa"/>
            <w:vAlign w:val="bottom"/>
            <w:gridSpan w:val="2"/>
          </w:tcPr>
          <w:p>
            <w:pPr>
              <w:spacing w:after="0"/>
              <w:rPr>
                <w:sz w:val="20"/>
                <w:szCs w:val="20"/>
                <w:color w:val="auto"/>
              </w:rPr>
            </w:pPr>
            <w:r>
              <w:rPr>
                <w:rFonts w:ascii="Arial" w:cs="Arial" w:eastAsia="Arial" w:hAnsi="Arial"/>
                <w:sz w:val="16"/>
                <w:szCs w:val="16"/>
                <w:color w:val="auto"/>
              </w:rPr>
              <w:t>Natural gas procurement</w:t>
            </w:r>
          </w:p>
        </w:tc>
        <w:tc>
          <w:tcPr>
            <w:tcW w:w="1060" w:type="dxa"/>
            <w:vAlign w:val="bottom"/>
          </w:tcPr>
          <w:p>
            <w:pPr>
              <w:spacing w:after="0"/>
              <w:rPr>
                <w:sz w:val="15"/>
                <w:szCs w:val="15"/>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5"/>
                <w:szCs w:val="15"/>
                <w:color w:val="auto"/>
              </w:rPr>
            </w:pP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5"/>
                <w:szCs w:val="15"/>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7</w:t>
            </w:r>
          </w:p>
        </w:tc>
      </w:tr>
      <w:tr>
        <w:trPr>
          <w:trHeight w:val="194"/>
        </w:trPr>
        <w:tc>
          <w:tcPr>
            <w:tcW w:w="6100" w:type="dxa"/>
            <w:vAlign w:val="bottom"/>
            <w:gridSpan w:val="2"/>
          </w:tcPr>
          <w:p>
            <w:pPr>
              <w:spacing w:after="0"/>
              <w:rPr>
                <w:sz w:val="20"/>
                <w:szCs w:val="20"/>
                <w:color w:val="auto"/>
              </w:rPr>
            </w:pPr>
            <w:r>
              <w:rPr>
                <w:rFonts w:ascii="Arial" w:cs="Arial" w:eastAsia="Arial" w:hAnsi="Arial"/>
                <w:sz w:val="16"/>
                <w:szCs w:val="16"/>
                <w:color w:val="auto"/>
              </w:rPr>
              <w:t>Operational incentives</w:t>
            </w: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w:t>
            </w:r>
          </w:p>
        </w:tc>
      </w:tr>
      <w:tr>
        <w:trPr>
          <w:trHeight w:val="183"/>
        </w:trPr>
        <w:tc>
          <w:tcPr>
            <w:tcW w:w="6100" w:type="dxa"/>
            <w:vAlign w:val="bottom"/>
            <w:gridSpan w:val="2"/>
          </w:tcPr>
          <w:p>
            <w:pPr>
              <w:spacing w:after="0" w:line="176" w:lineRule="exact"/>
              <w:rPr>
                <w:sz w:val="20"/>
                <w:szCs w:val="20"/>
                <w:color w:val="auto"/>
              </w:rPr>
            </w:pPr>
            <w:r>
              <w:rPr>
                <w:rFonts w:ascii="Arial" w:cs="Arial" w:eastAsia="Arial" w:hAnsi="Arial"/>
                <w:sz w:val="16"/>
                <w:szCs w:val="16"/>
                <w:color w:val="auto"/>
              </w:rPr>
              <w:t>Total awards</w:t>
            </w:r>
          </w:p>
        </w:tc>
        <w:tc>
          <w:tcPr>
            <w:tcW w:w="1060" w:type="dxa"/>
            <w:vAlign w:val="bottom"/>
          </w:tcPr>
          <w:p>
            <w:pPr>
              <w:jc w:val="right"/>
              <w:ind w:right="720"/>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29</w:t>
            </w:r>
          </w:p>
        </w:tc>
        <w:tc>
          <w:tcPr>
            <w:tcW w:w="6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43</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29</w:t>
            </w:r>
          </w:p>
        </w:tc>
      </w:tr>
      <w:tr>
        <w:trPr>
          <w:trHeight w:val="164"/>
        </w:trPr>
        <w:tc>
          <w:tcPr>
            <w:tcW w:w="20" w:type="dxa"/>
            <w:vAlign w:val="bottom"/>
          </w:tcPr>
          <w:p>
            <w:pPr>
              <w:spacing w:after="0"/>
              <w:rPr>
                <w:sz w:val="14"/>
                <w:szCs w:val="14"/>
                <w:color w:val="auto"/>
              </w:rPr>
            </w:pPr>
          </w:p>
        </w:tc>
        <w:tc>
          <w:tcPr>
            <w:tcW w:w="60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0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176"/>
        </w:trPr>
        <w:tc>
          <w:tcPr>
            <w:tcW w:w="6100" w:type="dxa"/>
            <w:vAlign w:val="bottom"/>
            <w:gridSpan w:val="2"/>
          </w:tcPr>
          <w:p>
            <w:pPr>
              <w:spacing w:after="0" w:line="176" w:lineRule="exact"/>
              <w:rPr>
                <w:sz w:val="20"/>
                <w:szCs w:val="20"/>
                <w:color w:val="auto"/>
              </w:rPr>
            </w:pPr>
            <w:r>
              <w:rPr>
                <w:rFonts w:ascii="Arial" w:cs="Arial" w:eastAsia="Arial" w:hAnsi="Arial"/>
                <w:sz w:val="16"/>
                <w:szCs w:val="16"/>
                <w:color w:val="auto"/>
              </w:rPr>
              <w:t>Energy efficiency and demand side management</w:t>
            </w:r>
          </w:p>
        </w:tc>
        <w:tc>
          <w:tcPr>
            <w:tcW w:w="1060" w:type="dxa"/>
            <w:vAlign w:val="bottom"/>
          </w:tcPr>
          <w:p>
            <w:pPr>
              <w:jc w:val="right"/>
              <w:ind w:right="720"/>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14</w:t>
            </w:r>
          </w:p>
        </w:tc>
        <w:tc>
          <w:tcPr>
            <w:tcW w:w="6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5</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r>
      <w:tr>
        <w:trPr>
          <w:trHeight w:val="194"/>
        </w:trPr>
        <w:tc>
          <w:tcPr>
            <w:tcW w:w="6100" w:type="dxa"/>
            <w:vAlign w:val="bottom"/>
            <w:gridSpan w:val="2"/>
          </w:tcPr>
          <w:p>
            <w:pPr>
              <w:spacing w:after="0"/>
              <w:rPr>
                <w:sz w:val="20"/>
                <w:szCs w:val="20"/>
                <w:color w:val="auto"/>
              </w:rPr>
            </w:pPr>
            <w:r>
              <w:rPr>
                <w:rFonts w:ascii="Arial" w:cs="Arial" w:eastAsia="Arial" w:hAnsi="Arial"/>
                <w:sz w:val="16"/>
                <w:szCs w:val="16"/>
                <w:color w:val="auto"/>
              </w:rPr>
              <w:t>Operational incentives</w:t>
            </w: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w:t>
            </w:r>
          </w:p>
        </w:tc>
      </w:tr>
      <w:tr>
        <w:trPr>
          <w:trHeight w:val="183"/>
        </w:trPr>
        <w:tc>
          <w:tcPr>
            <w:tcW w:w="6100" w:type="dxa"/>
            <w:vAlign w:val="bottom"/>
            <w:gridSpan w:val="2"/>
          </w:tcPr>
          <w:p>
            <w:pPr>
              <w:spacing w:after="0" w:line="176" w:lineRule="exact"/>
              <w:rPr>
                <w:sz w:val="20"/>
                <w:szCs w:val="20"/>
                <w:color w:val="auto"/>
              </w:rPr>
            </w:pPr>
            <w:r>
              <w:rPr>
                <w:rFonts w:ascii="Arial" w:cs="Arial" w:eastAsia="Arial" w:hAnsi="Arial"/>
                <w:sz w:val="16"/>
                <w:szCs w:val="16"/>
                <w:color w:val="auto"/>
              </w:rPr>
              <w:t>Total awards</w:t>
            </w:r>
          </w:p>
        </w:tc>
        <w:tc>
          <w:tcPr>
            <w:tcW w:w="1060" w:type="dxa"/>
            <w:vAlign w:val="bottom"/>
          </w:tcPr>
          <w:p>
            <w:pPr>
              <w:jc w:val="right"/>
              <w:ind w:right="720"/>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15</w:t>
            </w:r>
          </w:p>
        </w:tc>
        <w:tc>
          <w:tcPr>
            <w:tcW w:w="6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6</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1</w:t>
            </w:r>
          </w:p>
        </w:tc>
      </w:tr>
      <w:tr>
        <w:trPr>
          <w:trHeight w:val="164"/>
        </w:trPr>
        <w:tc>
          <w:tcPr>
            <w:tcW w:w="20" w:type="dxa"/>
            <w:vAlign w:val="bottom"/>
          </w:tcPr>
          <w:p>
            <w:pPr>
              <w:spacing w:after="0"/>
              <w:rPr>
                <w:sz w:val="14"/>
                <w:szCs w:val="14"/>
                <w:color w:val="auto"/>
              </w:rPr>
            </w:pPr>
          </w:p>
        </w:tc>
        <w:tc>
          <w:tcPr>
            <w:tcW w:w="60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0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176"/>
        </w:trPr>
        <w:tc>
          <w:tcPr>
            <w:tcW w:w="6100" w:type="dxa"/>
            <w:vAlign w:val="bottom"/>
            <w:gridSpan w:val="2"/>
          </w:tcPr>
          <w:p>
            <w:pPr>
              <w:spacing w:after="0" w:line="176" w:lineRule="exact"/>
              <w:rPr>
                <w:sz w:val="20"/>
                <w:szCs w:val="20"/>
                <w:color w:val="auto"/>
              </w:rPr>
            </w:pPr>
            <w:r>
              <w:rPr>
                <w:rFonts w:ascii="Arial" w:cs="Arial" w:eastAsia="Arial" w:hAnsi="Arial"/>
                <w:sz w:val="16"/>
                <w:szCs w:val="16"/>
                <w:color w:val="auto"/>
              </w:rPr>
              <w:t>Energy efficiency and demand side management</w:t>
            </w:r>
          </w:p>
        </w:tc>
        <w:tc>
          <w:tcPr>
            <w:tcW w:w="1060" w:type="dxa"/>
            <w:vAlign w:val="bottom"/>
          </w:tcPr>
          <w:p>
            <w:pPr>
              <w:jc w:val="right"/>
              <w:ind w:right="720"/>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w:t>
            </w:r>
          </w:p>
        </w:tc>
        <w:tc>
          <w:tcPr>
            <w:tcW w:w="6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10</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w:t>
            </w:r>
          </w:p>
        </w:tc>
      </w:tr>
      <w:tr>
        <w:trPr>
          <w:trHeight w:val="195"/>
        </w:trPr>
        <w:tc>
          <w:tcPr>
            <w:tcW w:w="6100" w:type="dxa"/>
            <w:vAlign w:val="bottom"/>
            <w:gridSpan w:val="2"/>
          </w:tcPr>
          <w:p>
            <w:pPr>
              <w:spacing w:after="0"/>
              <w:rPr>
                <w:sz w:val="20"/>
                <w:szCs w:val="20"/>
                <w:color w:val="auto"/>
              </w:rPr>
            </w:pPr>
            <w:r>
              <w:rPr>
                <w:rFonts w:ascii="Arial" w:cs="Arial" w:eastAsia="Arial" w:hAnsi="Arial"/>
                <w:sz w:val="16"/>
                <w:szCs w:val="16"/>
                <w:color w:val="auto"/>
              </w:rPr>
              <w:t>Unbundled natural gas storage and hub services</w:t>
            </w:r>
          </w:p>
        </w:tc>
        <w:tc>
          <w:tcPr>
            <w:tcW w:w="1060" w:type="dxa"/>
            <w:vAlign w:val="bottom"/>
          </w:tcPr>
          <w:p>
            <w:pPr>
              <w:spacing w:after="0"/>
              <w:rPr>
                <w:sz w:val="16"/>
                <w:szCs w:val="16"/>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6"/>
                <w:szCs w:val="16"/>
                <w:color w:val="auto"/>
              </w:rPr>
            </w:pP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6"/>
                <w:szCs w:val="16"/>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19</w:t>
            </w:r>
          </w:p>
        </w:tc>
      </w:tr>
      <w:tr>
        <w:trPr>
          <w:trHeight w:val="183"/>
        </w:trPr>
        <w:tc>
          <w:tcPr>
            <w:tcW w:w="6100" w:type="dxa"/>
            <w:vAlign w:val="bottom"/>
            <w:gridSpan w:val="2"/>
          </w:tcPr>
          <w:p>
            <w:pPr>
              <w:spacing w:after="0"/>
              <w:rPr>
                <w:sz w:val="20"/>
                <w:szCs w:val="20"/>
                <w:color w:val="auto"/>
              </w:rPr>
            </w:pPr>
            <w:r>
              <w:rPr>
                <w:rFonts w:ascii="Arial" w:cs="Arial" w:eastAsia="Arial" w:hAnsi="Arial"/>
                <w:sz w:val="16"/>
                <w:szCs w:val="16"/>
                <w:color w:val="auto"/>
              </w:rPr>
              <w:t>Natural gas procurement</w:t>
            </w:r>
          </w:p>
        </w:tc>
        <w:tc>
          <w:tcPr>
            <w:tcW w:w="1060" w:type="dxa"/>
            <w:vAlign w:val="bottom"/>
          </w:tcPr>
          <w:p>
            <w:pPr>
              <w:spacing w:after="0"/>
              <w:rPr>
                <w:sz w:val="15"/>
                <w:szCs w:val="15"/>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5"/>
                <w:szCs w:val="15"/>
                <w:color w:val="auto"/>
              </w:rPr>
            </w:pP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5"/>
                <w:szCs w:val="15"/>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7</w:t>
            </w:r>
          </w:p>
        </w:tc>
      </w:tr>
      <w:tr>
        <w:trPr>
          <w:trHeight w:val="194"/>
        </w:trPr>
        <w:tc>
          <w:tcPr>
            <w:tcW w:w="6100" w:type="dxa"/>
            <w:vAlign w:val="bottom"/>
            <w:gridSpan w:val="2"/>
          </w:tcPr>
          <w:p>
            <w:pPr>
              <w:spacing w:after="0"/>
              <w:rPr>
                <w:sz w:val="20"/>
                <w:szCs w:val="20"/>
                <w:color w:val="auto"/>
              </w:rPr>
            </w:pPr>
            <w:r>
              <w:rPr>
                <w:rFonts w:ascii="Arial" w:cs="Arial" w:eastAsia="Arial" w:hAnsi="Arial"/>
                <w:sz w:val="16"/>
                <w:szCs w:val="16"/>
                <w:color w:val="auto"/>
              </w:rPr>
              <w:t>Operational incentives</w:t>
            </w: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r>
      <w:tr>
        <w:trPr>
          <w:trHeight w:val="176"/>
        </w:trPr>
        <w:tc>
          <w:tcPr>
            <w:tcW w:w="6100" w:type="dxa"/>
            <w:vAlign w:val="bottom"/>
            <w:gridSpan w:val="2"/>
          </w:tcPr>
          <w:p>
            <w:pPr>
              <w:spacing w:after="0" w:line="176" w:lineRule="exact"/>
              <w:rPr>
                <w:sz w:val="20"/>
                <w:szCs w:val="20"/>
                <w:color w:val="auto"/>
              </w:rPr>
            </w:pPr>
            <w:r>
              <w:rPr>
                <w:rFonts w:ascii="Arial" w:cs="Arial" w:eastAsia="Arial" w:hAnsi="Arial"/>
                <w:sz w:val="16"/>
                <w:szCs w:val="16"/>
                <w:color w:val="auto"/>
              </w:rPr>
              <w:t>Total awards</w:t>
            </w:r>
          </w:p>
        </w:tc>
        <w:tc>
          <w:tcPr>
            <w:tcW w:w="1060" w:type="dxa"/>
            <w:vAlign w:val="bottom"/>
          </w:tcPr>
          <w:p>
            <w:pPr>
              <w:jc w:val="right"/>
              <w:ind w:right="720"/>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14</w:t>
            </w:r>
          </w:p>
        </w:tc>
        <w:tc>
          <w:tcPr>
            <w:tcW w:w="60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37</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28</w:t>
            </w:r>
          </w:p>
        </w:tc>
      </w:tr>
      <w:tr>
        <w:trPr>
          <w:trHeight w:val="27"/>
        </w:trPr>
        <w:tc>
          <w:tcPr>
            <w:tcW w:w="20" w:type="dxa"/>
            <w:vAlign w:val="bottom"/>
          </w:tcPr>
          <w:p>
            <w:pPr>
              <w:spacing w:after="0"/>
              <w:rPr>
                <w:sz w:val="2"/>
                <w:szCs w:val="2"/>
                <w:color w:val="auto"/>
              </w:rPr>
            </w:pPr>
          </w:p>
        </w:tc>
        <w:tc>
          <w:tcPr>
            <w:tcW w:w="60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Efficiency and Demand Side Management</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CPUC established incentive mechanisms that are based on the effectiveness of energy efficiency and demand side management programs. In December 2009, the CPUC awarded $0.3 million and $2.1 million to SDG&amp;E and SoCalGas, respectively, for their performance during the 2006 – 2008 program period. In February 2010, the Sempra Utilities filed a petition with the CPUC to correct errors in the computation of these awards. In December 2010, the CPUC additionally awarded $5.1 million and $9.9 million to SDG&amp;E and SoCalGas, respectively, as the final true-up incentive awards for the 2006 – 2008 program period, which amounts incorporate the Sempra Utilities’ petition to correct computational errors.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2011, the CPUC awarded $13.7 million to SDG&amp;E and $2.0 million to SoCalGas for their 2009 program year results.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CPUC has not yet established a schedule for reviewing and approving incentive awards for the 2010 – 2012 program period. The CPUC is also considering modifications to the incentive mechanism that would apply to future program periods (2013 and beyond), but has not established a schedule for a decision.</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Procurement</w:t>
      </w:r>
    </w:p>
    <w:p>
      <w:pPr>
        <w:spacing w:after="0" w:line="2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Sempra Utilities procure natural gas on behalf of their core natural gas customers. The CPUC has established incentive mechanisms to allow the Sempra Utilities the opportunity to share in the savings and/or costs from buying natural gas for their core customers at prices below or above monthly market-based benchmarks. In 2008, the SDG&amp;E and SoCalGas core natural gas supply portfolios were combined, and SoCalGas now procures natural gas for SDG&amp;E’s core natural gas customers’ requirements. All SDG&amp;E assets associated with its core natural gas supply portfolio were transferred or assigned to SoCalGas. Accordingly, SDG&amp;E’s incentive mechanism for natural gas procurement awards or penalties ended as of the effective date of the combination of the core natural gas supply portfolios, and SoCalGas’ gas cost incentive mechanism (GCIM) is applied on the combined portfolio basis going forward.</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September 2011, the CPUC approved SoCalGas’ application for its GCIM award of $6 million for natural gas procured for its core customers during the 12-month period ending March 31, 2010.</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June 2011, SoCalGas applied to the CPUC for approval of a GCIM award of $6.2 million for natural gas procured for its core customers during the 12-month period ending March 31, 2011. SoCalGas expects a CPUC decision in the first half of 2012.</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January 2010, the CPUC approved a GCIM award of $12 million for SoCalGas’ procurement activities during the 12-month period ending March 31, 2009.</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Unbundled Natural Gas Storage and System Operator Hub Services</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CPUC has established a revenue sharing mechanism which provides for the sharing between ratepayers and SoCalGas (shareholders) of the net revenues generated by SoCalGas’ unbundled natural gas storage and system operator hub services. Annual net revenues (revenues less allocated service costs) are shared on a graduated basis, as follows:</w:t>
      </w:r>
    </w:p>
    <w:p>
      <w:pPr>
        <w:spacing w:after="0" w:line="181" w:lineRule="exact"/>
        <w:rPr>
          <w:sz w:val="20"/>
          <w:szCs w:val="20"/>
          <w:color w:val="auto"/>
        </w:rPr>
      </w:pPr>
    </w:p>
    <w:p>
      <w:pPr>
        <w:ind w:left="340" w:hanging="188"/>
        <w:spacing w:after="0"/>
        <w:tabs>
          <w:tab w:leader="none" w:pos="3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first $15 million of net revenue to be shared 90 percent ratepayers/10 percent shareholders;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next $15 million of net revenue to be shared 75 percent ratepayers/25 percent shareholders;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all additional net revenues to be shared evenly between ratepayers and shareholders;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maximum total annual shareholder-allocated portion of the net revenues cannot exceed $20 million.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Operational Incentives</w:t>
      </w:r>
    </w:p>
    <w:p>
      <w:pPr>
        <w:sectPr>
          <w:pgSz w:w="11900" w:h="16838" w:orient="portrait"/>
          <w:cols w:equalWidth="0" w:num="1">
            <w:col w:w="11420"/>
          </w:cols>
          <w:pgMar w:left="240" w:top="125" w:right="239" w:bottom="92" w:gutter="0" w:footer="0" w:header="0"/>
        </w:sectPr>
      </w:pPr>
    </w:p>
    <w:bookmarkStart w:id="258" w:name="page259"/>
    <w:bookmarkEnd w:id="258"/>
    <w:p>
      <w:pPr>
        <w:ind w:right="60"/>
        <w:spacing w:after="0" w:line="308" w:lineRule="auto"/>
        <w:rPr>
          <w:sz w:val="20"/>
          <w:szCs w:val="20"/>
          <w:color w:val="auto"/>
        </w:rPr>
      </w:pPr>
      <w:r>
        <w:rPr>
          <w:rFonts w:ascii="Arial" w:cs="Arial" w:eastAsia="Arial" w:hAnsi="Arial"/>
          <w:sz w:val="17"/>
          <w:szCs w:val="17"/>
          <w:color w:val="auto"/>
        </w:rPr>
        <w:t>The CPUC may establish operational incentives and associated performance benchmarks as part of a general rate case or cost of service proceeding. Through the end of 2011, the Sempra Utilities had operational incentives that applied to their performance in the area of employee safety.</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CAPITAL</w:t>
      </w:r>
    </w:p>
    <w:p>
      <w:pPr>
        <w:spacing w:after="0" w:line="23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cost of capital proceeding determines a utility’s authorized capital structure and authorized rate of return on rate base (ROR), which is a weighted average of the authorized returns on debt, preferred stock, and common equity (return on equity or ROE). The authorized rate of return is the rate that the Sempra Utilities may earn on their electric and natural gas distribution, natural gas transmission and electric generation assets. In addition, a cost of capital proceeding also addresses market-based benchmarks to be monitored to determine whether an adjustment to the established authorized rate of return is required during the interim years between proceedings through the approved adjustment mechanism.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SDG&amp;E’s authorized ROE is 11.10 percent and its authorized ROR is 8.40 percent. SDG&amp;E’s current authorized capital structure is</w:t>
      </w:r>
    </w:p>
    <w:p>
      <w:pPr>
        <w:spacing w:after="0" w:line="225" w:lineRule="exact"/>
        <w:rPr>
          <w:sz w:val="20"/>
          <w:szCs w:val="20"/>
          <w:color w:val="auto"/>
        </w:rPr>
      </w:pPr>
    </w:p>
    <w:p>
      <w:pPr>
        <w:ind w:left="340" w:hanging="188"/>
        <w:spacing w:after="0"/>
        <w:tabs>
          <w:tab w:leader="none" w:pos="3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49.0 percent common equity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5.75 percent preferred equity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45.25 percent long-term debt</w:t>
      </w:r>
    </w:p>
    <w:p>
      <w:pPr>
        <w:spacing w:after="0" w:line="25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Unless the benchmark interest rates, as described below, change from current levels, the authorized ROE and ROR will remain in effect until SDG&amp;E’s next cost of capital proceeding is completed. SDG&amp;E’s next cost of capital application is scheduled to be filed in April 2012 for a 2013 test year, consistent with the schedule for cost of capital applications for each of Edison and Pacific Gas and Electric Company (PG&amp;E).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SoCalGas’ authorized ROE is 10.82 percent and its authorized ROR is 8.68 percent. These rates continue to be effective until market interest rate changes are large enough to trigger an automatic adjustment or until either the CPUC orders a periodic review or SoCalGas files a cost of capital application. In its 2012 GRC application, SoCalGas advised the CPUC that it plans to file a cost of capital application in April 2012 for a 2013 test year, at the same time as the other California IOUs. SoCalGas’ current authorized capital structure is</w:t>
      </w:r>
    </w:p>
    <w:p>
      <w:pPr>
        <w:spacing w:after="0" w:line="187" w:lineRule="exact"/>
        <w:rPr>
          <w:sz w:val="20"/>
          <w:szCs w:val="20"/>
          <w:color w:val="auto"/>
        </w:rPr>
      </w:pPr>
    </w:p>
    <w:p>
      <w:pPr>
        <w:ind w:left="340" w:hanging="188"/>
        <w:spacing w:after="0"/>
        <w:tabs>
          <w:tab w:leader="none" w:pos="3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48.0 percent common equity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6.39 percent preferred equity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45.61 percent long-term debt</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establishing the authorized ROR, a cost of capital proceeding also addresses market-based benchmarks to be monitored to determine whether an adjustment to the established authorized rate of return is required during the interim years between cost of capital proceedings. SDG&amp;E’s cost of capital benchmark is based on the 12-month average monthly A-rated utility bond yield as published by Moody’s for the 12-month period October through September of each fiscal year. If this 12-month average falls outside of the range of 5.02 percent to 7.02 percent, SDG&amp;E’s authorized rate of return would be adjusted, upward or downward, by one-half of the difference between the 12-month average and 6.02 percent (SDG&amp;E’s benchmark interest rate), effective January 1 following the year in which the benchmark range was exceeded. In the event of such an event occurring, the benchmark interest rate would be reset to the interest rate in effect at the time it was determined that the benchmark range had been exceeded.</w:t>
      </w:r>
    </w:p>
    <w:p>
      <w:pPr>
        <w:spacing w:after="0" w:line="178"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SoCalGas’ cost of capital trigger mechanism (the Market Indexed Capital Adjustment Mechanism or MICAM) identifies two conditions for determining whether a change in the authorized rate of return is required. Both conditions are based on the 30-year Treasury bond yields – one being the most recent trailing 12-month rolling average yield and the second being the corresponding 12-month forward forecast yield as published by Global Insight. If both conditions fall outside a range of 3.88 percent (MICAM floor) to 6.88 percent (MICAM ceiling) in a given month, SoCalGas’ authorized ROE would be adjusted, upward or downward, by one-half of the difference between the trailing 12-month rolling average yield and 5.38 percent (SoCalGas’ MICAM benchmark interest rate), effective January 1 following the year in which both conditions were exceeded. Also, SoCalGas’ authorized recovery rate for the cost of debt and preferred stock would be adjusted to their actual weighted average cost. Therefore, SoCalGas’ authorized ROR would adjust, upward or downward, as a result of all three cost adjustments. In the event of such an event occurring, the benchmark interest rate would be reset to the interest rate in effect at the time it was determined that the benchmark range had been exceeded.</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December 31, 2011, neither SDG&amp;E’s nor SoCalGas’ benchmark range has been exceeded. As of January 31, 2012, the historical rolling average yield for the 30-year Treasury bonds of 3.79 percent fell below the MICAM floor of 3.88 percent. In addition, the Global Insight 12-month forward forecasted yield of 3.48 percent published in early February 2012 is also below the MICAM floor. Therefore, SoCalGas’ MICAM mechanism calls for an adjustment of its ROE and authorized recovery for the cost of debt and preferred stock to their actual weighted average cost to be effective on January 1, 2013. However, as SoCalGas has advised the CPUC of its plan to file a cost of capital application in April 2012 along with the other California IOUs, SoCalGas expects that the decision from this cost of capital application will supersede the rates that would result from the MICAM trigger. As there haven’t been any objections raised to SoCalGas’ proposal to file a cost of capital application, management believes that the CPUC will accept SoCalGas’ application. Absent a SoCalGas cost of capital application and proceeding, SoCalGas’ ROE would be reduced to 10.02 percent effective January 1, 2013, a reduction of 80 basis points from its current authorized ROE, and its authorized ROR would be reduced to 8.05 percent, a reduction of 63 basis points from its current authorized ROR.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METERING INFRASTRUCTURE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SDG&amp;E’s project to install advanced meters with integrated two-way communications functionality, including electric remote disconnect and home area network capability, was substantially completed by the end of 2011.</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ectPr>
          <w:pgSz w:w="11900" w:h="16838" w:orient="portrait"/>
          <w:cols w:equalWidth="0" w:num="1">
            <w:col w:w="11400"/>
          </w:cols>
          <w:pgMar w:left="240" w:top="126" w:right="259" w:bottom="0" w:gutter="0" w:footer="0" w:header="0"/>
        </w:sectPr>
      </w:pPr>
    </w:p>
    <w:bookmarkStart w:id="259" w:name="page260"/>
    <w:bookmarkEnd w:id="259"/>
    <w:p>
      <w:pPr>
        <w:ind w:right="340"/>
        <w:spacing w:after="0" w:line="279" w:lineRule="auto"/>
        <w:rPr>
          <w:sz w:val="20"/>
          <w:szCs w:val="20"/>
          <w:color w:val="auto"/>
        </w:rPr>
      </w:pPr>
      <w:r>
        <w:rPr>
          <w:rFonts w:ascii="Arial" w:cs="Arial" w:eastAsia="Arial" w:hAnsi="Arial"/>
          <w:sz w:val="17"/>
          <w:szCs w:val="17"/>
          <w:color w:val="auto"/>
        </w:rPr>
        <w:t>In April 2010, the CPUC issued a decision approving SoCalGas’ application to upgrade approximately six million natural gas meters with an advanced metering infrastructure (AMI), subject to certain safeguards to better ensure its cost effectiveness for ratepayers. The approved cost of the project is $1.05 billion (including approximately $900 million in capital investment), with SoCalGas being subject to risk/reward sharing for costs above or below this amount. Installation of the meters is expected to begin in early 2013 and continue through mid 2017.</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November 2011, the Division of Ratepayer Advocates (DRA) and The Utility Reform Network (TURN) filed a joint petition requesting that the CPUC reconsider its prior approval of SoCalGas’ AMI project and stay AMI deployment while the CPUC considers the request. The CPUC has taken no action in response to the DRA/TURN request, and SoCalGas is continuing its deployment of AMI pursuant to the April 2010 CPUC decision.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REQUEST FOR AUTHORITY TO INVEST IN WIND FARM</w:t>
      </w:r>
    </w:p>
    <w:p>
      <w:pPr>
        <w:spacing w:after="0" w:line="2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July 2011, the CPUC approved a settlement agreement regarding SDG&amp;E’s request to make a tax equity investment in the holding company of a wind farm project. In December 2011, the Federal Energy Regulatory Commission (FERC) approved SDG&amp;E’s involvement in the project and the associated power purchase agreement. These approvals allow SDG&amp;E to make an investment after the wind farm project has met all of the conditions precedent set forth in the definitive documents and upon the initiation of commercial operation of the project. The approved investment, which would be included in the utility’s rate base, is the lesser of $250 million or 64.99 percent of the project’s costs. SDG&amp;E would also make an incremental investment, to be excluded from the utility’s rate base, of no less than 10 percent of the project’s costs. SDG&amp;E expects the project to be in commercial operation in late 2012.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WILDFIRES COST RECOVERY FOR RESTORATION OF COMPANY FACILITIES</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2010, the CPUC issued a decision approving a settlement agreement between SDG&amp;E and the DRA, authorizing SDG&amp;E to recover $43 million of capital costs incurred to replace and repair company facilities under CPUC jurisdiction damaged by the October 2007 wildfires. This decision was in response to an application that SDG&amp;E filed with the CPUC in March 2009 seeking to recover $49.8 million of incremental costs ($43 million of capital costs and $6.8 million of operation and maintenance costs).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SDG&amp;E also incurred $30.1 million of incremental costs for the replacement and repair of company facilities under FERC jurisdiction, which are currently being recovered in SDG&amp;E’s electric transmission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discuss recovery of 2007 wildfire litigation costs in Note 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INCREMENTAL INSURANCE PREMIUM COST RECOVERY</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2010, the CPUC approved SDG&amp;E’s request for a $29 million revenue requirement for the recovery of the incremental increase in its general liability and wildfire liability insurance premium costs for the 2009/2010 policy period. In its decision approving this cost recovery, the CPUC also authorized SDG&amp;E to request recovery of any incremental insurance premiums for future policy periods through December 31, 2011, with a $5 million deductible applied to each policy renewal period. This approval was in response to a request filed by SDG&amp;E with the CPUC in August 2009 seeking authorization to recover higher liability insurance premiums (amounts in excess of those authorized to be recovered in the 2008 GRC), which SDG&amp;E began incurring commencing July 1, 2009, and any losses realized due to higher deductibles associated with the new policies. SDG&amp;E made the filing under the CPUC’s rules allowing utilities to seek recovery of significant cost increases incurred between GRC filings resulting from unforeseen circumstances. The CPUC’s rules allow a utility to seek recovery of incurred costs that meet certain criteria, subject to a $5 million deductible per event.</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2011, the CPUC approved SDG&amp;E’s request for an incremental revenue requirement of $63 million for the 2010/2011 policy period. SDG&amp;E recorded the revenue resulting from this decision in the fourth quarter of 2011. In addition, SDG&amp;E’s fourth quarter 2011 earnings include revenue to recover $28 million of incremental insurance premiums incurred in the six month period of July through December 2011 for which a final decision from the CPUC is pending. We expect a CPUC decision on this request in the second quarter of 2012.</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WILDFIRE CLAIMS COST RECOVERY</w:t>
      </w:r>
    </w:p>
    <w:p>
      <w:pPr>
        <w:spacing w:after="0" w:line="2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SDG&amp;E and SoCalGas filed an application, along with other related filings, with the CPUC in August 2009 proposing a new mechanism for the future recovery of all wildfire-related expenses for claims, litigation expenses and insurance premiums that are in excess of amounts authorized by the CPUC for recovery in rates. This application was made jointly with Edison and PG&amp;E. In July 2010, the CPUC approved SDG&amp;E’s and SoCalGas’ requests for separate regulatory memorandum accounts to record the subject expenses while the application is pending before the CPUC. Several parties protested the original application and, in response, the four utilities jointly submitted an amended application in August 2010. A February 2011 ruling directing the utilities to show cause why the application should not be dismissed was stayed to permit continued settlement discussions between the four utilities and the CPUC and with the other parties to the proceeding. In June 2011, the CPUC issued a ruling scheduling evidentiary hearings in October with a decision in 2012. In September 2011, the CPUC delayed hearings to January 2012. In November 2011, Edison and PG&amp;E requested to withdraw from the joint utility application due, in part, to the delays in the proceeding. In January 2012, the CPUC granted their requests to withdraw and held evidentiary hearings for SDG&amp;E and SoCalGas, both of which are still moving forward with the application. We expect a CPUC decision in the second half of 2012.</w:t>
      </w:r>
    </w:p>
    <w:p>
      <w:pPr>
        <w:spacing w:after="0" w:line="16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SDG&amp;E intends to request recovery for costs incurred associated with the 2007 wildfires that are in excess of amounts recovered from its insurance coverage and other responsible third parties in a future application. If a cost recovery mechanism covering the 2007 wildfire costs is approved by the CPUC as a result of these proceedings, SDG&amp;E intends to utilize the methodology authorized. Otherwise, SDG&amp;E will file an application for cost recovery utilizing other cost recovery application processes available through the CPUC.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PIPELINE OPERATIONS SAFETY ASSESSMENTS</w:t>
      </w:r>
    </w:p>
    <w:p>
      <w:pPr>
        <w:spacing w:after="0" w:line="23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 a result of recent natural gas pipeline explosions in the U.S., including the September 2010 rupture in San Bruno, California of a natural gas pipeline owned and operated by PG&amp;E (the San Bruno incident), various regulatory agencies, including the CPUC, are evaluating natural gas pipeline safety regulations, practices and procedures.</w:t>
      </w:r>
    </w:p>
    <w:p>
      <w:pPr>
        <w:sectPr>
          <w:pgSz w:w="11900" w:h="16838" w:orient="portrait"/>
          <w:cols w:equalWidth="0" w:num="1">
            <w:col w:w="11420"/>
          </w:cols>
          <w:pgMar w:left="240" w:top="125" w:right="239" w:bottom="0" w:gutter="0" w:footer="0" w:header="0"/>
        </w:sectPr>
      </w:pPr>
    </w:p>
    <w:bookmarkStart w:id="260" w:name="page261"/>
    <w:bookmarkEnd w:id="260"/>
    <w:p>
      <w:pPr>
        <w:ind w:right="80"/>
        <w:spacing w:after="0" w:line="257" w:lineRule="auto"/>
        <w:rPr>
          <w:sz w:val="20"/>
          <w:szCs w:val="20"/>
          <w:color w:val="auto"/>
        </w:rPr>
      </w:pPr>
      <w:r>
        <w:rPr>
          <w:rFonts w:ascii="Arial" w:cs="Arial" w:eastAsia="Arial" w:hAnsi="Arial"/>
          <w:sz w:val="18"/>
          <w:szCs w:val="18"/>
          <w:color w:val="auto"/>
        </w:rPr>
        <w:t>In February 2011, the CPUC opened a forward-looking rulemaking proceeding to examine what changes should be made to existing pipeline safety regulations for California natural gas pipelines. The Sempra Utilities are parties to this proceeding. The CPUC also appointed an independent review panel to make recommendations for possible actions by the CPUC in light of the San Bruno incident. The panel issued its report in June 2011 providing a number of conclusions regarding the San Bruno incident specifically, as well as general recommendations for pipeline operations and their oversight by regulatory agencies going forward.</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2011, the CPUC directed SoCalGas, SDG&amp;E, PG&amp;E and Southwest Gas to file comprehensive implementation plans to test or replace all natural gas transmission pipelines that have not been pressure tested. The Sempra Utilities filed their Pipeline Safety Enhancement Plan (PSEP) with the CPUC in August 2011. The proposed safety measures, investments and estimated costs are not included in the Sempra Utilities’ 2012 GRC requests discussed above. The comprehensive plan covers all of the utilities’ approximately 4,000 miles of transmission lines (3,750 miles for SoCalGas and 250 miles for SDG&amp;E) and would be implemented in two phases:</w:t>
      </w:r>
    </w:p>
    <w:p>
      <w:pPr>
        <w:spacing w:after="0" w:line="188" w:lineRule="exact"/>
        <w:rPr>
          <w:sz w:val="20"/>
          <w:szCs w:val="20"/>
          <w:color w:val="auto"/>
        </w:rPr>
      </w:pPr>
    </w:p>
    <w:p>
      <w:pPr>
        <w:ind w:left="340" w:hanging="188"/>
        <w:spacing w:after="0"/>
        <w:tabs>
          <w:tab w:leader="none" w:pos="34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Phase 1 focuses on populated areas of SoCalGas’ and SDG&amp;E’s service territories and would be implemented over a 10-year period, from 2012 to 2022.</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Phase 2 covers unpopulated areas of SoCalGas’ and SDG&amp;E’s service territories and will be filed with the CPUC at a later date.</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total cost estimate for Phase 1, over the 10-year period of 2012 to 2022, is $3.1 billion ($2.5 billion for SoCalGas and $600 million for SDG&amp;E). In their August 2011 filing, the utilities requested the CPUC to authorize funding for the recovery of costs through 2015 of approximately $1.5 billion for SoCalGas, of which $1.2 billion would be capital investment, and $240 million for SDG&amp;E, of which $230 million would be capital investment. After 2015, the utilities proposed to include the costs of the PSEP in their next General Rate Case (for their authorized revenue requirements in 2016). The utilities also proposed that the cost of the program be recovered through a surcharge, rather than by incorporating it into rates. The surcharge would increase over time, as more project work is completed.</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December 2011, the assigned Commissioner to the rulemaking proceeding for the pipeline safety regulations ruled that SDG&amp;E’s and SoCalGas’ Triennial Cost Allocation Proceeding (TCAP) would be the most logical proceeding to conduct the reasonableness and ratemaking review of the companies’ PSEP. In the TCAP, SDG&amp;E and SoCalGas will, among other things, seek to: (1) establish and revise gas rates to reflect updated customer class allocations of each company’s respective base margin costs authorized in the most recent GRC; (2) update demand forecasts; and (3) support continuation of balancing account treatment for noncore transportation revenue requirements. In February 2012, the assigned Commissioner to the TCAP issued a scoping memo for the companies’ TCAP, including their PSEP. This scoping memo sets evidentiary hearings for the first phase of the TCAP, which addresses the scope and reasonableness of the PSEP, in the third quarter of 2012, with briefs scheduled to be filed early in the fourth quarter of 2012.</w:t>
      </w:r>
    </w:p>
    <w:p>
      <w:pPr>
        <w:spacing w:after="0" w:line="16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January 17, 2012, the CPUC Consumer Protection and Safety Division (CPSD) issued a Technical Report of the Sempra Utilities’ PSEP. The report, along with testimony and evidentiary hearings, will be used to evaluate the PSEP in the regulatory process (once a schedule is established). Generally, the report found that the PSEP approach to pipeline replacement and pressure testing and other proposed enhancements is reasonable.</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January 2011, the National Transportation Safety Board (NTSB) issued seven safety recommendations in connection with its investigation into the cause of the San Bruno incident. According to the NTSB, these safety recommendations “were issued to address record-keeping problems that could create conditions in which a pipeline is operated at a higher pressure than the pipe was built to withstand.” In response to a request from the CPUC, each of the Sempra Utilities reviewed its pipeline facilities located or operating in populated or high consequence areas, as defined by the NTSB, to identify those segments that have not had the maximum allowable operating pressure (MAOP) established through prior hydrostatic testing. Federal and state regulations allow natural gas pipelines installed prior to July 1, 1970 to establish MAOPs through prior operating history rather than through a strength test, but strength tests are required on natural gas pipelines installed subsequent to June 30, 1970 as an element in establishing MAOPs.</w:t>
      </w:r>
    </w:p>
    <w:p>
      <w:pPr>
        <w:spacing w:after="0" w:line="17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response to the CPUC’s request, the Sempra Utilities conducted a detailed review of 1,622 miles of pipelines (1,416 miles for SoCalGas and 206 miles for SDG&amp;E) installed in the subject class locations, and on April 15, 2011, the Sempra Utilities submitted a report to the CPUC on the results of their review and the actions they are taking in response to the NTSB recommendations.</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Sempra Utilities’ records review process did not reveal any significant concerns with the currently established MAOP for their pipelines, and the Sempra Utilities intend to continue to operate their pipelines in a safe and prudent manner.</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PIPELINE SAFETY LEGISLATION</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2011, the California legislature enacted five separate legislative bills (SB44, SB216, SB705, SB879 and AB56) that address natural gas pipeline safety. Each bill addresses a different aspect of natural gas pipeline safety and imposes requirements on the CPUC and the natural gas pipeline operator. These include such things as the development of a safety plan; installation of automatic shut-off and remote controlled gas valves; emergency response; reporting; ratemaking; and increasing the maximum penalty for gas pipeline safety violations. Much of the legislation is addressed by the utility safety plans being reviewed by the CPUC, and the Sempra Utilities do not expect that the legislation will have a material impact on their results of operations, financial condition or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QUALITY AND GREENHOUSE GAS REGULATION</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California Legislature enacted Assembly Bill 32 (AB 32) and California Senate Bill 1368 in 2006. These laws mandate, among other things, reductions in greenhouse gas (GHG) emissions and the payment of GHG administration fees annually. The California Air Resources Board (CARB), the agency responsible for establishing the compliance rules and regulations for the regulation of GHG under AB 32, has adopted a number of regulations pursuant to AB 32, including CARB’s GHG administration fees regulation and its GHG emissions trading regulation.</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20, 2011, the CARB finalized details of the cap and trade regulation authorized by AB 32. CARB intends to implement its cap and trade program in 2013. Certain legal challenges have been raised regarding the implementation of cap and trade (Associations of Irritated Residents, et al. v. California Air Resources Board). In September 2011, the California Supreme Court declined to immediately halt implementation of the CARB’s cap and trade program. The Supreme Court’s decision was limited only to a stay application before the California Court of Appeals, and was not a ruling on the merits of the legal challenges against cap and trade, which is still subject to appeal. No injunction has been issued by any court delaying adoption of the cap and trade program and it is currently proceeding.</w:t>
      </w:r>
    </w:p>
    <w:p>
      <w:pPr>
        <w:sectPr>
          <w:pgSz w:w="11900" w:h="16838" w:orient="portrait"/>
          <w:cols w:equalWidth="0" w:num="1">
            <w:col w:w="11420"/>
          </w:cols>
          <w:pgMar w:left="240" w:top="341" w:right="239" w:bottom="0" w:gutter="0" w:footer="0" w:header="0"/>
        </w:sectPr>
      </w:pPr>
    </w:p>
    <w:bookmarkStart w:id="261" w:name="page262"/>
    <w:bookmarkEnd w:id="261"/>
    <w:p>
      <w:pPr>
        <w:ind w:right="100"/>
        <w:spacing w:after="0" w:line="279" w:lineRule="auto"/>
        <w:rPr>
          <w:sz w:val="20"/>
          <w:szCs w:val="20"/>
          <w:color w:val="auto"/>
        </w:rPr>
      </w:pPr>
      <w:r>
        <w:rPr>
          <w:rFonts w:ascii="Arial" w:cs="Arial" w:eastAsia="Arial" w:hAnsi="Arial"/>
          <w:sz w:val="17"/>
          <w:szCs w:val="17"/>
          <w:color w:val="auto"/>
        </w:rPr>
        <w:t>These legislative and regulatory mandates could affect costs and growth at the Sempra Utilities and at Sempra Generation’s power plants. Any cost impact at the Sempra Utilities is expected to be recoverable through rates. As discussed in Note 15 under “Environmental Issues,” compliance with this and similar legislation could adversely affect Sempra Generation. However, such legislation could also have a positive impact on Sempra Generation because of an increasing preference for natural gas and renewables for electric generation, as opposed to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637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NOTE 15. COMMITMENTS AND CONTINGENCIES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coverages and could materially adversely affect our business, cash flows, results of operations, and financial condition. Unless otherwise indicated, we are unable to estimate reasonably possible losses in excess of any amounts accrued.</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2011, Sempra Energy’s accrued liabilities for material legal proceedings, on a consolidated basis, were $625 million. At December 31, 2011, accrued liabilities for material legal proceedings for SDG&amp;E and SoCalGas were $596 million and $18 million, respectively. At December 31, 2011, liabilities of $596 million at Sempra Energy and SDG&amp;E were related to wildfire litigation discussed below.</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approximately 1,141 homes destroyed.</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4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public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17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The trial court has scheduled a Witch fire and Guejito fire trial to begin in March 2013.</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December 2010, SDG&amp;E and Cox reached an agreement settling SDG&amp;E’s claims against Cox and Cox’s insurers in the wildfire litigation (Cox Settlement). Among other things, the settlement agreement provided that SDG&amp;E receive approximately $444 million for wildfire related expenditures, and SDG&amp;E will defend and indemnify Cox against all compensatory damage claims and related costs arising out of the wildfires.</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December 31, 2010, the $300 million Settlement Receivable Related to Wildfire Litigation on the Consolidated Balance Sheets of Sempra Energy and SDG&amp;E represented cash to be received in accordance with the terms of the Cox Settlement in several payments through March 2011 and which was received. As of December 31, 2011, there was no wildfire-related restricted cash on the Consolidated Balance Sheets of Sempra Energy and SDG&amp;E as all amounts received from Cox had been applied to wildfire related expenditures.</w:t>
      </w:r>
    </w:p>
    <w:p>
      <w:pPr>
        <w:spacing w:after="0" w:line="18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6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2,750 of these plaintiffs. Approximately 650 of the approximately 1,650 remaining individual and business plaintiffs have submitted settlement demands and damage estimates totaling approximately $750 million and government entity claims totaling approximately $80 million. SDG&amp;E expects to receive additional settlement demands and damage estimates as settlement negotiations continue. SDG&amp;E has established reserves for the wildfire litigation as we discuss below.</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SDG&amp;E’s settled claims and defense costs have exceeded its $1.1 billion of liability insurance coverage and the $444 million it received from Cox. It expects that its wildfire reserves and amounts paid to resolve wildfire claims will continue to increase as it obtains additional information; it is presently unable to reasonably estimate the amount or timing of recoveries from other potentially responsible parties.</w:t>
      </w:r>
    </w:p>
    <w:p>
      <w:pPr>
        <w:sectPr>
          <w:pgSz w:w="11900" w:h="16838" w:orient="portrait"/>
          <w:cols w:equalWidth="0" w:num="1">
            <w:col w:w="11420"/>
          </w:cols>
          <w:pgMar w:left="240" w:top="125" w:right="239" w:bottom="0" w:gutter="0" w:footer="0" w:header="0"/>
        </w:sectPr>
      </w:pPr>
    </w:p>
    <w:bookmarkStart w:id="262" w:name="page263"/>
    <w:bookmarkEnd w:id="262"/>
    <w:p>
      <w:pPr>
        <w:ind w:right="80"/>
        <w:spacing w:after="0" w:line="297" w:lineRule="auto"/>
        <w:rPr>
          <w:sz w:val="20"/>
          <w:szCs w:val="20"/>
          <w:color w:val="auto"/>
        </w:rPr>
      </w:pPr>
      <w:r>
        <w:rPr>
          <w:rFonts w:ascii="Arial" w:cs="Arial" w:eastAsia="Arial" w:hAnsi="Arial"/>
          <w:sz w:val="16"/>
          <w:szCs w:val="16"/>
          <w:color w:val="auto"/>
        </w:rPr>
        <w:t>SDG&amp;E has concluded, however, that it is probable that it will be permitted to recover from its utility customers substantially all reasonably incurred costs of resolving wildfire claims in excess of its liability insurance coverage and any amounts recovered from other potentially responsible parties. Accordingly, although such recovery will require future regulatory actions, at December 31, 2011 and December 31, 2010, SDG&amp;E recorded a regulatory asset of $594 million and $364 million, respectively, which represents the amount substantially equal to the aggregate amount it has paid or reserved for payment for the resolution of wildfire claims and related costs in excess of its liability insurance coverage and amounts received from Cox. SDG&amp;E will increase the regulatory asset as additional amounts are paid or reserves are recorded and reduce it by any amounts recovered from other potentially responsible parties.</w:t>
      </w:r>
    </w:p>
    <w:p>
      <w:pPr>
        <w:spacing w:after="0" w:line="16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a consequence of the expected recovery of wildfire costs from utility customers, Sempra Energy and SDG&amp;E expect no significant earnings impact from the resolution of the remaining wildfire claims. However, SDG&amp;E’s cash flow may be materially adversely affected due to the timing differences between the resolution of claims and the recoveries from other potentially responsible parties and utility customers,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financial position, cash flows and results of operations.</w:t>
      </w:r>
    </w:p>
    <w:p>
      <w:pPr>
        <w:spacing w:after="0" w:line="15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2010 and 2011, as liabilities for wildfire litigation have become reasonably estimable in the form of settlement demands, damage estimates, and other damage information, SDG&amp;E has recorded related reserves as a liability. The impact of this liability at December 31, 2011 is offset by the recognition of a regulatory asset, as discussed above, for reserves in excess of the insurance coverage and the Cox Settlement. The impact of the reserves on SDG&amp;E’s and Sempra Energy’s after-tax earnings was $13 million and $20 million for the years ended December 31, 2011 and 2010, respectively. There was no effect on SDG&amp;E’s or Sempra Energy’s 2009 earnings from the recording of the reserves. At December 31, 2011, wildfire litigation reserves were $596 million ($586 million in current and $10 million in long-term).</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0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SDG&amp;E commenced construction on the Sunrise Powerlink in the fall of 2010. The Sunrise Powerlink is a new 117-mile, 500-kV electric transmission line that is being built between the Imperial Valley and the San Diego region, along a route that generally runs south of the Anza-Borrego Desert State Park. The current project plan provides for the transmission line to be completed and in-service in the second half of 2012.</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Sunrise Powerlink project was originally approved by the CPUC in December 2008, including approval of the environmental impact review conducted jointly with the Bureau of Land Management (BLM). The CPUC has subsequently denied or dismissed all requests for rehearing of its approval of the project.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2011, the California Supreme Court denied a petition filed jointly by the Utility Consumers’ Action Network (UCAN) and the Center for Biological Diversity/Sierra Club (CBD). The petition challenged the CPUC’s decision with regard to implementation of the California Environmental Quality Act (CEQA). In addition, in August 2010, the California Court of Appeal denied a petition previously filed by UCAN with the Court of Appeal challenging the CPUC decision on other legal grounds.</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January 2009, the BLM issued its decision approving the portions of the project, route and environmental review within its jurisdiction. The Interior Board of Land Appeals (IBLA) subsequently denied or dismissed all administrative appeals that were filed challenging the BLM’s approval of the project.</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CPUC and BLM jointly approved the final Project Modification Report for Sunrise Powerlink in September 2010, accepting all of the proposed modifications to the approved route and finding that no additional environmental review was required. In December 2010, the IBLA dismissed an appeal challenging the BLM’s approval of the Project Modification Report. In March 2011, opponents of the Sunrise Powerlink filed a petition for writ of review or mandamus with the California Supreme Court challenging the CPUC’s acceptance of the Project Modification Report. The California Supreme Court denied the petition in April 2011.</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February 2010, parties opposed to the project filed a lawsuit in Federal District Court in San Diego seeking declaratory and injunctive relief and alleging that the BLM failed to properly address the environmental impacts of the approved Sunrise Powerlink route and the related potential development of renewable resources in east San Diego County and Imperial County. In June 2011, the court granted the defendants’ motion for summary judgment on the grounds that the plaintiffs were not challenging final government agency actions. The plaintiffs have appealed to the U.S. Court of Appeals for the Ninth Circuit.</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July 2010, the United States Forest Service (USFS) issued its decision approving the portions of the project, route and environmental review within its jurisdiction. The USFS has subsequently denied all administrative appeals challenging its approval of the project.</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The lawsuit asks the court for injunctive relief preventing the USFS and the BLM from approving any ongoing or future construction activities. In October 2011, the opponents appealed the court’s denial of their motion for a preliminary injunction.</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CEQA. The complaint seeks to have the certification set aside and requests an injunction be issued.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September 2011 Power Outage</w:t>
      </w:r>
    </w:p>
    <w:p>
      <w:pPr>
        <w:spacing w:after="0" w:line="2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September 2011, a power outage lasting approximately 12 hours affected millions of people from Mexico to southern Orange County, California. Several agencies, including the FERC and North American Electric Reliability Corp., are participating in a joint investigation to determine the cause of the power failure. Within several days of the outage, several SDG&amp;E customers filed a class action lawsuit in Federal District Court against Arizona Public Service Company, Pinnacle West, and SDG&amp;E alleging that the companies failed to prevent the outage. The lawsuit seeks recovery of unspecified amounts of damages, including punitive damages. In addition, more than 6,500 customers’ claims, primarily related to food spoilage, have been submitted directly to SDG&amp;E.</w:t>
      </w:r>
    </w:p>
    <w:p>
      <w:pPr>
        <w:sectPr>
          <w:pgSz w:w="11900" w:h="16838" w:orient="portrait"/>
          <w:cols w:equalWidth="0" w:num="1">
            <w:col w:w="11420"/>
          </w:cols>
          <w:pgMar w:left="240" w:top="125" w:right="239" w:bottom="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Meters Patent Infringement Lawsuit</w:t>
      </w:r>
    </w:p>
    <w:p>
      <w:pPr>
        <w:sectPr>
          <w:pgSz w:w="11900" w:h="16838" w:orient="portrait"/>
          <w:cols w:equalWidth="0" w:num="1">
            <w:col w:w="11420"/>
          </w:cols>
          <w:pgMar w:left="240" w:top="125" w:right="239" w:bottom="0" w:gutter="0" w:footer="0" w:header="0"/>
          <w:type w:val="continuous"/>
        </w:sectPr>
      </w:pPr>
    </w:p>
    <w:bookmarkStart w:id="263" w:name="page264"/>
    <w:bookmarkEnd w:id="263"/>
    <w:p>
      <w:pPr>
        <w:spacing w:after="0" w:line="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SoCalGas, along with Monsanto Co., Solutia, Inc., Pharmacia Corp., and Pfizer, Inc., are defendants in two Los Angeles County Superior Court lawsuits served in May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Sempra LNG has been engaged in a long-running land dispute relating to property adjacent to its Energía Costa Azul liquefied natural gas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June 2010, a Mexican federal appeals court revoked a district court order, issued at the behest of the claimant, directing Mexican regulatory authorities to provisionally suspend authorizations for the operation of the LNG terminal. In February 2011, based on a complaint by the claimant, the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Sempra LNG expects additional Mexican court proceedings and governmental actions regarding the claimant’s assertions as to whether the terminal’s permits should be modified or revoked in any manner.</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August 2007, the U.S. Court of Appeals for the Ninth Circuit issued a decision reversing and remanding certain FERC orders declining to provide refunds regarding short-term bilateral sales up to one month in the Pacific Northwest for the December 2000 to June 2001 time period.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in the Pacific Northwest, but potential claims may exist regarding sales between Sempra Commodities and other buyers in the Pacific Northwest.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we have also indemnified Noble Americas Gas &amp; Power Corp. and its affiliates for all losses incurred by such parties resulting from these proceedings as related to Sempra Commodities.</w:t>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Sempra Energy and several subsidiaries, along with three oil and natural gas companies, the City of Beverly Hills, and the Beverly Hills Unified School District, are defendants in toxic tort lawsuits filed beginning in 2003 in Los Angeles County Superior Court by approximately 1,000 plaintiffs. These lawsuits claim that various emissions resulted in cancer or fear of cancer. In November 2006, the court granted the defendants’ summary judgment motions based on lack of medical causation for the 12 initial plaintiffs scheduled to go to trial first. The court also granted summary judgment excluding punitive damages. The court has stayed the lawsuits as to the remaining plaintiffs pending the appeal of the rulings. A mediation occurred in June 2010, after which the plaintiffs’ counsel agreed to recommend a settlement of the lawsuits as to Sempra Energy and its subsidiaries for an amount that is not significant and has been recorded. Any such settlement will require approval by each of the plaintiffs. If approval is obtained, finalization of the settlement is expected to occur within six months.</w:t>
      </w:r>
    </w:p>
    <w:p>
      <w:pPr>
        <w:spacing w:after="0" w:line="19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types of cases.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Resolved Matters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discuss certain commitments remaining from an energy crisis matter resolved prior to 2010 below under “Other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2010 litigation settlements relating to California energy crisis matters.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Energy Crisis Litigation Settlement</w:t>
      </w:r>
    </w:p>
    <w:p>
      <w:pPr>
        <w:spacing w:after="0" w:line="20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2010, Sempra Energy, RBS Sempra Commodities and Sempra Generation reached a comprehensive settlement with the State of California to resolve substantially all of their remaining litigation arising out of the 2000 – 2001 California energy crisis for a total payment of $410 million. The matters resolved</w:t>
      </w:r>
    </w:p>
    <w:p>
      <w:pPr>
        <w:sectPr>
          <w:pgSz w:w="11900" w:h="16867" w:orient="portrait"/>
          <w:cols w:equalWidth="0" w:num="1">
            <w:col w:w="11420"/>
          </w:cols>
          <w:pgMar w:left="240" w:top="342" w:right="239" w:bottom="0" w:gutter="0" w:footer="0" w:header="0"/>
        </w:sectPr>
      </w:pPr>
    </w:p>
    <w:bookmarkStart w:id="264" w:name="page265"/>
    <w:bookmarkEnd w:id="264"/>
    <w:p>
      <w:pPr>
        <w:ind w:right="200"/>
        <w:spacing w:after="0" w:line="264" w:lineRule="auto"/>
        <w:rPr>
          <w:sz w:val="20"/>
          <w:szCs w:val="20"/>
          <w:color w:val="auto"/>
        </w:rPr>
      </w:pPr>
      <w:r>
        <w:rPr>
          <w:rFonts w:ascii="Arial" w:cs="Arial" w:eastAsia="Arial" w:hAnsi="Arial"/>
          <w:sz w:val="18"/>
          <w:szCs w:val="18"/>
          <w:color w:val="auto"/>
        </w:rPr>
        <w:t>include the settlement of multiple actions brought by the DWR and other parties with respect to the validity, pricing and operation of Sempra Generation’s contract with the DWR and the settlement of the FERC refund and manipulation proceedings against RBS Sempra Commodities. The FERC approved both settlements in December 2010.</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payment of $410 million was funded largely from previously recorded reserves and receivables at RBS Sempra Commodities. Sempra Energy also recorded an additional pretax charge of $159 million in the first quarter of 2010 to provide for the remainder of the settlement, including $139 million at Sempra Generation and $20 million at Sempra Commodities. The amount at Sempra Commodities was reduced by $11 million pretax in the fourth quarter of 2010 to reflect a receipt in January 2011 from an unrelated party that had a joint liability for the claim. In January 2011, Sempra Generation paid $130 million to the DWR under the terms of the settlement agreement.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SoCalGas has the responsibility for procuring natural gas for both SDG&amp;E’s and SoCalGas’ core customers in a combined portfolio. SoCalGas buys natural gas under short-term and long-term contracts for this portfolio. Purchases are from various producing regions in the southwestern U.S., U.S. Rockies, and Canada and are primarily based on published monthly bid-week indices.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SoCalGas transports natural gas primarily under long-term firm interstate pipeline capacity agreements that provide for annual reservation charges, which are recovered in rates. SoCalGas has commitments with interstate pipeline companies for firm pipeline capacity under contracts that expire at various dates through 2027.</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Sempra Global’s businesses have various natural gas purchase agreements to fuel natural gas-fired power plants and capacity agreements for natural gas storage and transportation.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2011, the future minimum payments under existing natural gas contracts and natural gas storage and transportation contracts were: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ind w:right="481"/>
              <w:spacing w:after="0"/>
              <w:rPr>
                <w:sz w:val="20"/>
                <w:szCs w:val="20"/>
                <w:color w:val="auto"/>
              </w:rPr>
            </w:pPr>
            <w:r>
              <w:rPr>
                <w:rFonts w:ascii="Arial" w:cs="Arial" w:eastAsia="Arial" w:hAnsi="Arial"/>
                <w:sz w:val="14"/>
                <w:szCs w:val="14"/>
                <w:color w:val="auto"/>
              </w:rPr>
              <w:t>Storage and</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auto"/>
            </w:tcBorders>
            <w:vMerge w:val="continue"/>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21"/>
              <w:spacing w:after="0" w:line="157" w:lineRule="exact"/>
              <w:rPr>
                <w:sz w:val="20"/>
                <w:szCs w:val="20"/>
                <w:color w:val="auto"/>
              </w:rPr>
            </w:pPr>
            <w:r>
              <w:rPr>
                <w:rFonts w:ascii="Arial" w:cs="Arial" w:eastAsia="Arial" w:hAnsi="Arial"/>
                <w:sz w:val="14"/>
                <w:szCs w:val="14"/>
                <w:color w:val="auto"/>
              </w:rPr>
              <w:t>Transportation</w:t>
            </w: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20"/>
              <w:spacing w:after="0" w:line="157" w:lineRule="exact"/>
              <w:rPr>
                <w:sz w:val="20"/>
                <w:szCs w:val="20"/>
                <w:color w:val="auto"/>
              </w:rPr>
            </w:pPr>
            <w:r>
              <w:rPr>
                <w:rFonts w:ascii="Arial" w:cs="Arial" w:eastAsia="Arial" w:hAnsi="Arial"/>
                <w:sz w:val="14"/>
                <w:szCs w:val="14"/>
                <w:color w:val="auto"/>
              </w:rPr>
              <w:t>Natural Gas(1)</w:t>
            </w: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80"/>
              <w:spacing w:after="0" w:line="157" w:lineRule="exact"/>
              <w:rPr>
                <w:sz w:val="20"/>
                <w:szCs w:val="20"/>
                <w:color w:val="auto"/>
              </w:rPr>
            </w:pPr>
            <w:r>
              <w:rPr>
                <w:rFonts w:ascii="Arial" w:cs="Arial" w:eastAsia="Arial" w:hAnsi="Arial"/>
                <w:sz w:val="14"/>
                <w:szCs w:val="14"/>
                <w:color w:val="auto"/>
              </w:rPr>
              <w:t>Total(1)</w:t>
            </w:r>
          </w:p>
        </w:tc>
        <w:tc>
          <w:tcPr>
            <w:tcW w:w="0" w:type="dxa"/>
            <w:vAlign w:val="bottom"/>
          </w:tcPr>
          <w:p>
            <w:pPr>
              <w:spacing w:after="0"/>
              <w:rPr>
                <w:sz w:val="1"/>
                <w:szCs w:val="1"/>
                <w:color w:val="auto"/>
              </w:rPr>
            </w:pPr>
          </w:p>
        </w:tc>
      </w:tr>
      <w:tr>
        <w:trPr>
          <w:trHeight w:val="164"/>
        </w:trPr>
        <w:tc>
          <w:tcPr>
            <w:tcW w:w="3660" w:type="dxa"/>
            <w:vAlign w:val="bottom"/>
          </w:tcPr>
          <w:p>
            <w:pPr>
              <w:spacing w:after="0" w:line="164" w:lineRule="exact"/>
              <w:rPr>
                <w:sz w:val="20"/>
                <w:szCs w:val="20"/>
                <w:color w:val="auto"/>
              </w:rPr>
            </w:pPr>
            <w:r>
              <w:rPr>
                <w:rFonts w:ascii="Arial" w:cs="Arial" w:eastAsia="Arial" w:hAnsi="Arial"/>
                <w:sz w:val="16"/>
                <w:szCs w:val="16"/>
                <w:color w:val="auto"/>
              </w:rPr>
              <w:t>2012</w:t>
            </w:r>
          </w:p>
        </w:tc>
        <w:tc>
          <w:tcPr>
            <w:tcW w:w="2180" w:type="dxa"/>
            <w:vAlign w:val="bottom"/>
            <w:gridSpan w:val="2"/>
          </w:tcPr>
          <w:p>
            <w:pPr>
              <w:jc w:val="right"/>
              <w:ind w:right="144"/>
              <w:spacing w:after="0" w:line="164" w:lineRule="exact"/>
              <w:rPr>
                <w:sz w:val="20"/>
                <w:szCs w:val="20"/>
                <w:color w:val="auto"/>
              </w:rPr>
            </w:pPr>
            <w:r>
              <w:rPr>
                <w:rFonts w:ascii="Arial" w:cs="Arial" w:eastAsia="Arial" w:hAnsi="Arial"/>
                <w:sz w:val="16"/>
                <w:szCs w:val="16"/>
                <w:color w:val="auto"/>
              </w:rPr>
              <w:t>$</w:t>
            </w:r>
          </w:p>
        </w:tc>
        <w:tc>
          <w:tcPr>
            <w:tcW w:w="1620" w:type="dxa"/>
            <w:vAlign w:val="bottom"/>
          </w:tcPr>
          <w:p>
            <w:pPr>
              <w:jc w:val="right"/>
              <w:spacing w:after="0" w:line="164" w:lineRule="exact"/>
              <w:rPr>
                <w:sz w:val="20"/>
                <w:szCs w:val="20"/>
                <w:color w:val="auto"/>
              </w:rPr>
            </w:pPr>
            <w:r>
              <w:rPr>
                <w:rFonts w:ascii="Arial" w:cs="Arial" w:eastAsia="Arial" w:hAnsi="Arial"/>
                <w:sz w:val="16"/>
                <w:szCs w:val="16"/>
                <w:color w:val="auto"/>
              </w:rPr>
              <w:t>143</w:t>
            </w:r>
          </w:p>
        </w:tc>
        <w:tc>
          <w:tcPr>
            <w:tcW w:w="320" w:type="dxa"/>
            <w:vAlign w:val="bottom"/>
          </w:tcPr>
          <w:p>
            <w:pPr>
              <w:jc w:val="right"/>
              <w:ind w:right="139"/>
              <w:spacing w:after="0" w:line="164"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line="164" w:lineRule="exact"/>
              <w:rPr>
                <w:sz w:val="20"/>
                <w:szCs w:val="20"/>
                <w:color w:val="auto"/>
              </w:rPr>
            </w:pPr>
            <w:r>
              <w:rPr>
                <w:rFonts w:ascii="Arial" w:cs="Arial" w:eastAsia="Arial" w:hAnsi="Arial"/>
                <w:sz w:val="16"/>
                <w:szCs w:val="16"/>
                <w:color w:val="auto"/>
              </w:rPr>
              <w:t>415</w:t>
            </w:r>
          </w:p>
        </w:tc>
        <w:tc>
          <w:tcPr>
            <w:tcW w:w="440" w:type="dxa"/>
            <w:vAlign w:val="bottom"/>
          </w:tcPr>
          <w:p>
            <w:pPr>
              <w:jc w:val="right"/>
              <w:ind w:right="259"/>
              <w:spacing w:after="0" w:line="164" w:lineRule="exact"/>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line="164" w:lineRule="exact"/>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6"/>
                <w:szCs w:val="16"/>
                <w:color w:val="auto"/>
              </w:rPr>
              <w:t>2013</w:t>
            </w: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106</w:t>
            </w:r>
          </w:p>
        </w:tc>
        <w:tc>
          <w:tcPr>
            <w:tcW w:w="32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Arial" w:cs="Arial" w:eastAsia="Arial" w:hAnsi="Arial"/>
                <w:sz w:val="16"/>
                <w:szCs w:val="16"/>
                <w:color w:val="auto"/>
              </w:rPr>
              <w:t>148</w:t>
            </w:r>
          </w:p>
        </w:tc>
        <w:tc>
          <w:tcPr>
            <w:tcW w:w="440" w:type="dxa"/>
            <w:vAlign w:val="bottom"/>
          </w:tcPr>
          <w:p>
            <w:pPr>
              <w:spacing w:after="0"/>
              <w:rPr>
                <w:sz w:val="15"/>
                <w:szCs w:val="15"/>
                <w:color w:val="auto"/>
              </w:rPr>
            </w:pPr>
          </w:p>
        </w:tc>
        <w:tc>
          <w:tcPr>
            <w:tcW w:w="1560" w:type="dxa"/>
            <w:vAlign w:val="bottom"/>
          </w:tcPr>
          <w:p>
            <w:pPr>
              <w:jc w:val="right"/>
              <w:spacing w:after="0" w:line="176" w:lineRule="exact"/>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6"/>
                <w:szCs w:val="16"/>
                <w:color w:val="auto"/>
              </w:rPr>
              <w:t>2014</w:t>
            </w: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32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Arial" w:cs="Arial" w:eastAsia="Arial" w:hAnsi="Arial"/>
                <w:sz w:val="16"/>
                <w:szCs w:val="16"/>
                <w:color w:val="auto"/>
              </w:rPr>
              <w:t>103</w:t>
            </w:r>
          </w:p>
        </w:tc>
        <w:tc>
          <w:tcPr>
            <w:tcW w:w="440" w:type="dxa"/>
            <w:vAlign w:val="bottom"/>
          </w:tcPr>
          <w:p>
            <w:pPr>
              <w:spacing w:after="0"/>
              <w:rPr>
                <w:sz w:val="15"/>
                <w:szCs w:val="15"/>
                <w:color w:val="auto"/>
              </w:rPr>
            </w:pPr>
          </w:p>
        </w:tc>
        <w:tc>
          <w:tcPr>
            <w:tcW w:w="1560" w:type="dxa"/>
            <w:vAlign w:val="bottom"/>
          </w:tcPr>
          <w:p>
            <w:pPr>
              <w:jc w:val="right"/>
              <w:spacing w:after="0" w:line="176" w:lineRule="exact"/>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6"/>
                <w:szCs w:val="16"/>
                <w:color w:val="auto"/>
              </w:rPr>
              <w:t>2015</w:t>
            </w: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c>
          <w:tcPr>
            <w:tcW w:w="32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440" w:type="dxa"/>
            <w:vAlign w:val="bottom"/>
          </w:tcPr>
          <w:p>
            <w:pPr>
              <w:spacing w:after="0"/>
              <w:rPr>
                <w:sz w:val="15"/>
                <w:szCs w:val="15"/>
                <w:color w:val="auto"/>
              </w:rPr>
            </w:pPr>
          </w:p>
        </w:tc>
        <w:tc>
          <w:tcPr>
            <w:tcW w:w="156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6"/>
                <w:szCs w:val="16"/>
                <w:color w:val="auto"/>
              </w:rPr>
              <w:t>2016</w:t>
            </w: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32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440" w:type="dxa"/>
            <w:vAlign w:val="bottom"/>
          </w:tcPr>
          <w:p>
            <w:pPr>
              <w:spacing w:after="0"/>
              <w:rPr>
                <w:sz w:val="15"/>
                <w:szCs w:val="15"/>
                <w:color w:val="auto"/>
              </w:rPr>
            </w:pPr>
          </w:p>
        </w:tc>
        <w:tc>
          <w:tcPr>
            <w:tcW w:w="156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4"/>
        </w:trPr>
        <w:tc>
          <w:tcPr>
            <w:tcW w:w="3660" w:type="dxa"/>
            <w:vAlign w:val="bottom"/>
          </w:tcPr>
          <w:p>
            <w:pPr>
              <w:spacing w:after="0"/>
              <w:rPr>
                <w:sz w:val="20"/>
                <w:szCs w:val="20"/>
                <w:color w:val="auto"/>
              </w:rPr>
            </w:pPr>
            <w:r>
              <w:rPr>
                <w:rFonts w:ascii="Arial" w:cs="Arial" w:eastAsia="Arial" w:hAnsi="Arial"/>
                <w:sz w:val="16"/>
                <w:szCs w:val="16"/>
                <w:color w:val="auto"/>
              </w:rPr>
              <w:t>Thereafter</w:t>
            </w:r>
          </w:p>
        </w:tc>
        <w:tc>
          <w:tcPr>
            <w:tcW w:w="1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20"/>
                <w:szCs w:val="20"/>
                <w:color w:val="auto"/>
              </w:rPr>
            </w:pPr>
            <w:r>
              <w:rPr>
                <w:rFonts w:ascii="Arial" w:cs="Arial" w:eastAsia="Arial" w:hAnsi="Arial"/>
                <w:sz w:val="16"/>
                <w:szCs w:val="16"/>
                <w:color w:val="auto"/>
              </w:rPr>
              <w:t>Total minimum payments</w:t>
            </w:r>
          </w:p>
        </w:tc>
        <w:tc>
          <w:tcPr>
            <w:tcW w:w="188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690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677</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60" w:hanging="613"/>
        <w:spacing w:after="0"/>
        <w:tabs>
          <w:tab w:leader="none" w:pos="1060" w:val="left"/>
        </w:tabs>
        <w:numPr>
          <w:ilvl w:val="0"/>
          <w:numId w:val="37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amounts related to LNG purchase agreements at Sempra LNG discussed below.</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7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Transportation</w:t>
            </w: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Natural Gas</w:t>
            </w: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color w:val="auto"/>
              </w:rPr>
              <w:t>Total</w:t>
            </w:r>
          </w:p>
        </w:tc>
      </w:tr>
      <w:tr>
        <w:trPr>
          <w:trHeight w:val="164"/>
        </w:trPr>
        <w:tc>
          <w:tcPr>
            <w:tcW w:w="3500" w:type="dxa"/>
            <w:vAlign w:val="bottom"/>
          </w:tcPr>
          <w:p>
            <w:pPr>
              <w:spacing w:after="0" w:line="164" w:lineRule="exact"/>
              <w:rPr>
                <w:sz w:val="20"/>
                <w:szCs w:val="20"/>
                <w:color w:val="auto"/>
              </w:rPr>
            </w:pPr>
            <w:r>
              <w:rPr>
                <w:rFonts w:ascii="Arial" w:cs="Arial" w:eastAsia="Arial" w:hAnsi="Arial"/>
                <w:sz w:val="16"/>
                <w:szCs w:val="16"/>
                <w:color w:val="auto"/>
              </w:rPr>
              <w:t>2012</w:t>
            </w:r>
          </w:p>
        </w:tc>
        <w:tc>
          <w:tcPr>
            <w:tcW w:w="3320" w:type="dxa"/>
            <w:vAlign w:val="bottom"/>
            <w:gridSpan w:val="2"/>
          </w:tcPr>
          <w:p>
            <w:pPr>
              <w:jc w:val="right"/>
              <w:ind w:right="1466"/>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110</w:t>
            </w:r>
          </w:p>
        </w:tc>
        <w:tc>
          <w:tcPr>
            <w:tcW w:w="1600" w:type="dxa"/>
            <w:vAlign w:val="bottom"/>
          </w:tcPr>
          <w:p>
            <w:pPr>
              <w:jc w:val="right"/>
              <w:ind w:right="1402"/>
              <w:spacing w:after="0" w:line="164"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4" w:lineRule="exact"/>
              <w:rPr>
                <w:sz w:val="20"/>
                <w:szCs w:val="20"/>
                <w:color w:val="auto"/>
              </w:rPr>
            </w:pPr>
            <w:r>
              <w:rPr>
                <w:rFonts w:ascii="Arial" w:cs="Arial" w:eastAsia="Arial" w:hAnsi="Arial"/>
                <w:sz w:val="16"/>
                <w:szCs w:val="16"/>
                <w:color w:val="auto"/>
              </w:rPr>
              <w:t>290</w:t>
            </w:r>
          </w:p>
        </w:tc>
        <w:tc>
          <w:tcPr>
            <w:tcW w:w="520" w:type="dxa"/>
            <w:vAlign w:val="bottom"/>
          </w:tcPr>
          <w:p>
            <w:pPr>
              <w:jc w:val="right"/>
              <w:ind w:right="319"/>
              <w:spacing w:after="0" w:line="164" w:lineRule="exact"/>
              <w:rPr>
                <w:sz w:val="20"/>
                <w:szCs w:val="20"/>
                <w:color w:val="auto"/>
              </w:rPr>
            </w:pPr>
            <w:r>
              <w:rPr>
                <w:rFonts w:ascii="Arial" w:cs="Arial" w:eastAsia="Arial" w:hAnsi="Arial"/>
                <w:sz w:val="16"/>
                <w:szCs w:val="16"/>
                <w:color w:val="auto"/>
              </w:rPr>
              <w:t>$</w:t>
            </w:r>
          </w:p>
        </w:tc>
        <w:tc>
          <w:tcPr>
            <w:tcW w:w="1600" w:type="dxa"/>
            <w:vAlign w:val="bottom"/>
          </w:tcPr>
          <w:p>
            <w:pPr>
              <w:jc w:val="right"/>
              <w:spacing w:after="0" w:line="164" w:lineRule="exact"/>
              <w:rPr>
                <w:sz w:val="20"/>
                <w:szCs w:val="20"/>
                <w:color w:val="auto"/>
              </w:rPr>
            </w:pPr>
            <w:r>
              <w:rPr>
                <w:rFonts w:ascii="Arial" w:cs="Arial" w:eastAsia="Arial" w:hAnsi="Arial"/>
                <w:sz w:val="16"/>
                <w:szCs w:val="16"/>
                <w:color w:val="auto"/>
              </w:rPr>
              <w:t>400</w:t>
            </w: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color w:val="auto"/>
              </w:rPr>
              <w:t>2013</w:t>
            </w:r>
          </w:p>
        </w:tc>
        <w:tc>
          <w:tcPr>
            <w:tcW w:w="1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16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52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color w:val="auto"/>
              </w:rPr>
              <w:t>2014</w:t>
            </w:r>
          </w:p>
        </w:tc>
        <w:tc>
          <w:tcPr>
            <w:tcW w:w="1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16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57</w:t>
            </w: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color w:val="auto"/>
              </w:rPr>
              <w:t>2015</w:t>
            </w:r>
          </w:p>
        </w:tc>
        <w:tc>
          <w:tcPr>
            <w:tcW w:w="1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16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color w:val="auto"/>
              </w:rPr>
              <w:t>2016</w:t>
            </w:r>
          </w:p>
        </w:tc>
        <w:tc>
          <w:tcPr>
            <w:tcW w:w="1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16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r>
      <w:tr>
        <w:trPr>
          <w:trHeight w:val="194"/>
        </w:trPr>
        <w:tc>
          <w:tcPr>
            <w:tcW w:w="3500" w:type="dxa"/>
            <w:vAlign w:val="bottom"/>
          </w:tcPr>
          <w:p>
            <w:pPr>
              <w:spacing w:after="0"/>
              <w:rPr>
                <w:sz w:val="20"/>
                <w:szCs w:val="20"/>
                <w:color w:val="auto"/>
              </w:rPr>
            </w:pPr>
            <w:r>
              <w:rPr>
                <w:rFonts w:ascii="Arial" w:cs="Arial" w:eastAsia="Arial" w:hAnsi="Arial"/>
                <w:sz w:val="16"/>
                <w:szCs w:val="16"/>
                <w:color w:val="auto"/>
              </w:rPr>
              <w:t>Thereafter</w:t>
            </w:r>
          </w:p>
        </w:tc>
        <w:tc>
          <w:tcPr>
            <w:tcW w:w="17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183"/>
        </w:trPr>
        <w:tc>
          <w:tcPr>
            <w:tcW w:w="350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minimum payments</w:t>
            </w:r>
          </w:p>
        </w:tc>
        <w:tc>
          <w:tcPr>
            <w:tcW w:w="1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46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468</w:t>
            </w:r>
          </w:p>
        </w:tc>
        <w:tc>
          <w:tcPr>
            <w:tcW w:w="1600" w:type="dxa"/>
            <w:vAlign w:val="bottom"/>
            <w:tcBorders>
              <w:bottom w:val="single" w:sz="8" w:color="auto"/>
            </w:tcBorders>
          </w:tcPr>
          <w:p>
            <w:pPr>
              <w:jc w:val="right"/>
              <w:ind w:right="1402"/>
              <w:spacing w:after="0" w:line="17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315</w:t>
            </w:r>
          </w:p>
        </w:tc>
        <w:tc>
          <w:tcPr>
            <w:tcW w:w="52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783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payments under natural gas contracts were: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9"/>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spacing w:after="0"/>
              <w:rPr>
                <w:sz w:val="14"/>
                <w:szCs w:val="14"/>
                <w:color w:val="auto"/>
              </w:rPr>
            </w:pPr>
          </w:p>
        </w:tc>
        <w:tc>
          <w:tcPr>
            <w:tcW w:w="1220" w:type="dxa"/>
            <w:vAlign w:val="bottom"/>
          </w:tcPr>
          <w:p>
            <w:pPr>
              <w:jc w:val="right"/>
              <w:ind w:right="642"/>
              <w:spacing w:after="0"/>
              <w:rPr>
                <w:sz w:val="20"/>
                <w:szCs w:val="20"/>
                <w:color w:val="auto"/>
              </w:rPr>
            </w:pPr>
            <w:r>
              <w:rPr>
                <w:rFonts w:ascii="Arial" w:cs="Arial" w:eastAsia="Arial" w:hAnsi="Arial"/>
                <w:sz w:val="14"/>
                <w:szCs w:val="14"/>
                <w:color w:val="auto"/>
              </w:rPr>
              <w:t>2011</w:t>
            </w:r>
          </w:p>
        </w:tc>
        <w:tc>
          <w:tcPr>
            <w:tcW w:w="520" w:type="dxa"/>
            <w:vAlign w:val="bottom"/>
          </w:tcPr>
          <w:p>
            <w:pPr>
              <w:spacing w:after="0"/>
              <w:rPr>
                <w:sz w:val="14"/>
                <w:szCs w:val="14"/>
                <w:color w:val="auto"/>
              </w:rPr>
            </w:pPr>
          </w:p>
        </w:tc>
        <w:tc>
          <w:tcPr>
            <w:tcW w:w="1380" w:type="dxa"/>
            <w:vAlign w:val="bottom"/>
          </w:tcPr>
          <w:p>
            <w:pPr>
              <w:jc w:val="right"/>
              <w:ind w:right="782"/>
              <w:spacing w:after="0"/>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1280" w:type="dxa"/>
            <w:vAlign w:val="bottom"/>
          </w:tcPr>
          <w:p>
            <w:pPr>
              <w:jc w:val="right"/>
              <w:ind w:right="682"/>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10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Sempra Energy Consolidated</w:t>
            </w:r>
          </w:p>
        </w:tc>
        <w:tc>
          <w:tcPr>
            <w:tcW w:w="520" w:type="dxa"/>
            <w:vAlign w:val="bottom"/>
            <w:tcBorders>
              <w:top w:val="single" w:sz="8" w:color="auto"/>
            </w:tcBorders>
          </w:tcPr>
          <w:p>
            <w:pPr>
              <w:jc w:val="right"/>
              <w:ind w:right="119"/>
              <w:spacing w:after="0" w:line="164" w:lineRule="exact"/>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1,991</w:t>
            </w:r>
          </w:p>
        </w:tc>
        <w:tc>
          <w:tcPr>
            <w:tcW w:w="520" w:type="dxa"/>
            <w:vAlign w:val="bottom"/>
            <w:tcBorders>
              <w:top w:val="single" w:sz="8" w:color="auto"/>
            </w:tcBorders>
          </w:tcPr>
          <w:p>
            <w:pPr>
              <w:jc w:val="right"/>
              <w:ind w:right="103"/>
              <w:spacing w:after="0" w:line="164" w:lineRule="exact"/>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2"/>
              <w:spacing w:after="0" w:line="164" w:lineRule="exact"/>
              <w:rPr>
                <w:sz w:val="20"/>
                <w:szCs w:val="20"/>
                <w:color w:val="auto"/>
              </w:rPr>
            </w:pPr>
            <w:r>
              <w:rPr>
                <w:rFonts w:ascii="Arial" w:cs="Arial" w:eastAsia="Arial" w:hAnsi="Arial"/>
                <w:sz w:val="16"/>
                <w:szCs w:val="16"/>
                <w:color w:val="auto"/>
              </w:rPr>
              <w:t>2,097</w:t>
            </w:r>
          </w:p>
        </w:tc>
        <w:tc>
          <w:tcPr>
            <w:tcW w:w="380" w:type="dxa"/>
            <w:vAlign w:val="bottom"/>
            <w:tcBorders>
              <w:top w:val="single" w:sz="8" w:color="auto"/>
            </w:tcBorders>
          </w:tcPr>
          <w:p>
            <w:pPr>
              <w:jc w:val="right"/>
              <w:ind w:right="119"/>
              <w:spacing w:after="0" w:line="164"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1,754</w:t>
            </w:r>
          </w:p>
        </w:tc>
      </w:tr>
      <w:tr>
        <w:trPr>
          <w:trHeight w:val="194"/>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1,936</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Sempra LNG has various purchase agreements with major international companies for the supply of LNG to its Energía Costa Azul and Cameron terminals.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agreements range from short-term to multi-year periods and are priced using a predetermined formula based on natural gas market indices.</w:t>
      </w:r>
    </w:p>
    <w:p>
      <w:pPr>
        <w:spacing w:after="0" w:line="22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Although these contracts specify a number of cargoes to be delivered, under their terms, customers may divert certain cargoes, which would reduce amounts paid under the contracts by Sempra LNG. As of December 31, 2011, if all cargoes under the contracts were to be delivered, future payments under these contracts would be</w:t>
      </w:r>
    </w:p>
    <w:p>
      <w:pPr>
        <w:spacing w:after="0" w:line="181" w:lineRule="exact"/>
        <w:rPr>
          <w:sz w:val="20"/>
          <w:szCs w:val="20"/>
          <w:color w:val="auto"/>
        </w:rPr>
      </w:pPr>
    </w:p>
    <w:p>
      <w:pPr>
        <w:ind w:left="340" w:hanging="188"/>
        <w:spacing w:after="0"/>
        <w:tabs>
          <w:tab w:leader="none" w:pos="3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$517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$625 million in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$689 million in 2014</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$733 million in 2015</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$774 million in 2016</w:t>
      </w:r>
    </w:p>
    <w:p>
      <w:pPr>
        <w:sectPr>
          <w:pgSz w:w="11900" w:h="16838" w:orient="portrait"/>
          <w:cols w:equalWidth="0" w:num="1">
            <w:col w:w="11420"/>
          </w:cols>
          <w:pgMar w:left="240" w:top="125" w:right="239" w:bottom="0" w:gutter="0" w:footer="0" w:header="0"/>
        </w:sectPr>
      </w:pPr>
    </w:p>
    <w:bookmarkStart w:id="265" w:name="page266"/>
    <w:bookmarkEnd w:id="265"/>
    <w:p>
      <w:pPr>
        <w:ind w:left="160"/>
        <w:spacing w:after="0"/>
        <w:rPr>
          <w:sz w:val="20"/>
          <w:szCs w:val="20"/>
          <w:color w:val="auto"/>
        </w:rPr>
      </w:pPr>
      <w:r>
        <w:rPr>
          <w:rFonts w:ascii="Arial" w:cs="Arial" w:eastAsia="Arial" w:hAnsi="Arial"/>
          <w:sz w:val="18"/>
          <w:szCs w:val="18"/>
          <w:color w:val="auto"/>
        </w:rPr>
        <w:t>§ $12.1 billion in 2017 – 2029</w:t>
      </w:r>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amounts above are based on forward prices of the index applicable to each contract from 2012 to 2021 and an estimated one percent escalation per year beyond 2021. The LNG commitment amounts above are based on Sempra LNG’s commitment to accept the maximum possible delivery of cargoes under the agreements. Actual LNG purchases in 2011 have been significantly lower than the maximum amount possible.</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2012, SDG&amp;E expects to receive 9 percent of its customer power requirements from DWR allocations. The remaining requirements are expected to be met as follows:</w:t>
      </w:r>
    </w:p>
    <w:p>
      <w:pPr>
        <w:spacing w:after="0" w:line="170" w:lineRule="exact"/>
        <w:rPr>
          <w:sz w:val="20"/>
          <w:szCs w:val="20"/>
          <w:color w:val="auto"/>
        </w:rPr>
      </w:pPr>
    </w:p>
    <w:p>
      <w:pPr>
        <w:ind w:left="340" w:hanging="188"/>
        <w:spacing w:after="0"/>
        <w:tabs>
          <w:tab w:leader="none" w:pos="3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SONGS: 18 percent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Long-term contracts: 20 percent (of which 9 percent is provided by renewable energy contracts expiring on various dates through 2037)</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Other SDG&amp;E-owned generation (including Palomar, Miramar I and II, Desert Star Energy Center and Cuyamaca Peak Energy Plant) and tolling contracts (including OMEC): 40 percent</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Spot market purchases: 13 percent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long-term contracts expire on various dates through 2037.</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Chilquinta Energía and Luz del Sur also have purchased-power contracts, with various dates extending through 2025, which cover most of the consumption needs of the companies’ customers. These commitments are included under Sempra Energy Consolidated in the table below.</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the estimated future minimum payments under long-term purchased-power contracts (not including the DWR allocations for SDG&amp;E)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tcPr>
          <w:p>
            <w:pPr>
              <w:jc w:val="center"/>
              <w:ind w:right="342"/>
              <w:spacing w:after="0"/>
              <w:rPr>
                <w:sz w:val="20"/>
                <w:szCs w:val="20"/>
                <w:color w:val="auto"/>
              </w:rPr>
            </w:pPr>
            <w:r>
              <w:rPr>
                <w:rFonts w:ascii="Arial" w:cs="Arial" w:eastAsia="Arial" w:hAnsi="Arial"/>
                <w:sz w:val="14"/>
                <w:szCs w:val="14"/>
                <w:color w:val="auto"/>
              </w:rPr>
              <w:t>Sempra</w:t>
            </w:r>
          </w:p>
        </w:tc>
        <w:tc>
          <w:tcPr>
            <w:tcW w:w="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center"/>
              <w:ind w:right="342"/>
              <w:spacing w:after="0"/>
              <w:rPr>
                <w:sz w:val="20"/>
                <w:szCs w:val="20"/>
                <w:color w:val="auto"/>
              </w:rPr>
            </w:pPr>
            <w:r>
              <w:rPr>
                <w:rFonts w:ascii="Arial" w:cs="Arial" w:eastAsia="Arial" w:hAnsi="Arial"/>
                <w:sz w:val="14"/>
                <w:szCs w:val="14"/>
                <w:color w:val="auto"/>
              </w:rPr>
              <w:t>Energy</w:t>
            </w:r>
          </w:p>
        </w:tc>
        <w:tc>
          <w:tcPr>
            <w:tcW w:w="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180" w:type="dxa"/>
            <w:vAlign w:val="bottom"/>
            <w:tcBorders>
              <w:bottom w:val="single" w:sz="8" w:color="auto"/>
            </w:tcBorders>
            <w:vMerge w:val="continue"/>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322"/>
              <w:spacing w:after="0" w:line="157" w:lineRule="exact"/>
              <w:rPr>
                <w:sz w:val="20"/>
                <w:szCs w:val="20"/>
                <w:color w:val="auto"/>
              </w:rPr>
            </w:pPr>
            <w:r>
              <w:rPr>
                <w:rFonts w:ascii="Arial" w:cs="Arial" w:eastAsia="Arial" w:hAnsi="Arial"/>
                <w:sz w:val="14"/>
                <w:szCs w:val="14"/>
                <w:color w:val="auto"/>
              </w:rPr>
              <w:t>Consolidated</w:t>
            </w:r>
          </w:p>
        </w:tc>
        <w:tc>
          <w:tcPr>
            <w:tcW w:w="6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000"/>
              <w:spacing w:after="0" w:line="157" w:lineRule="exact"/>
              <w:rPr>
                <w:sz w:val="20"/>
                <w:szCs w:val="20"/>
                <w:color w:val="auto"/>
              </w:rPr>
            </w:pPr>
            <w:r>
              <w:rPr>
                <w:rFonts w:ascii="Arial" w:cs="Arial" w:eastAsia="Arial" w:hAnsi="Arial"/>
                <w:sz w:val="14"/>
                <w:szCs w:val="14"/>
                <w:color w:val="auto"/>
              </w:rPr>
              <w:t>SDG&amp;E</w:t>
            </w:r>
          </w:p>
        </w:tc>
        <w:tc>
          <w:tcPr>
            <w:tcW w:w="0" w:type="dxa"/>
            <w:vAlign w:val="bottom"/>
          </w:tcPr>
          <w:p>
            <w:pPr>
              <w:spacing w:after="0"/>
              <w:rPr>
                <w:sz w:val="1"/>
                <w:szCs w:val="1"/>
                <w:color w:val="auto"/>
              </w:rPr>
            </w:pPr>
          </w:p>
        </w:tc>
      </w:tr>
      <w:tr>
        <w:trPr>
          <w:trHeight w:val="191"/>
        </w:trPr>
        <w:tc>
          <w:tcPr>
            <w:tcW w:w="4180" w:type="dxa"/>
            <w:vAlign w:val="bottom"/>
          </w:tcPr>
          <w:p>
            <w:pPr>
              <w:spacing w:after="0"/>
              <w:rPr>
                <w:sz w:val="20"/>
                <w:szCs w:val="20"/>
                <w:color w:val="auto"/>
              </w:rPr>
            </w:pPr>
            <w:r>
              <w:rPr>
                <w:rFonts w:ascii="Arial" w:cs="Arial" w:eastAsia="Arial" w:hAnsi="Arial"/>
                <w:sz w:val="16"/>
                <w:szCs w:val="16"/>
                <w:color w:val="auto"/>
              </w:rPr>
              <w:t>2012</w:t>
            </w:r>
          </w:p>
        </w:tc>
        <w:tc>
          <w:tcPr>
            <w:tcW w:w="26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1,049</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Arial" w:cs="Arial" w:eastAsia="Arial" w:hAnsi="Arial"/>
                <w:sz w:val="16"/>
                <w:szCs w:val="16"/>
                <w:color w:val="auto"/>
              </w:rPr>
              <w:t>2013</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1,120</w:t>
            </w:r>
          </w:p>
        </w:tc>
        <w:tc>
          <w:tcPr>
            <w:tcW w:w="6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6"/>
                <w:szCs w:val="16"/>
                <w:color w:val="auto"/>
              </w:rPr>
              <w:t>2014</w:t>
            </w:r>
          </w:p>
        </w:tc>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1,110</w:t>
            </w:r>
          </w:p>
        </w:tc>
        <w:tc>
          <w:tcPr>
            <w:tcW w:w="6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6"/>
                <w:szCs w:val="16"/>
                <w:color w:val="auto"/>
              </w:rPr>
              <w:t>2015</w:t>
            </w:r>
          </w:p>
        </w:tc>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1,164</w:t>
            </w:r>
          </w:p>
        </w:tc>
        <w:tc>
          <w:tcPr>
            <w:tcW w:w="6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20"/>
                <w:szCs w:val="20"/>
                <w:color w:val="auto"/>
              </w:rPr>
            </w:pPr>
            <w:r>
              <w:rPr>
                <w:rFonts w:ascii="Arial" w:cs="Arial" w:eastAsia="Arial" w:hAnsi="Arial"/>
                <w:sz w:val="16"/>
                <w:szCs w:val="16"/>
                <w:color w:val="auto"/>
              </w:rPr>
              <w:t>2016</w:t>
            </w:r>
          </w:p>
        </w:tc>
        <w:tc>
          <w:tcPr>
            <w:tcW w:w="2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1,199</w:t>
            </w:r>
          </w:p>
        </w:tc>
        <w:tc>
          <w:tcPr>
            <w:tcW w:w="6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94"/>
        </w:trPr>
        <w:tc>
          <w:tcPr>
            <w:tcW w:w="4180" w:type="dxa"/>
            <w:vAlign w:val="bottom"/>
          </w:tcPr>
          <w:p>
            <w:pPr>
              <w:spacing w:after="0"/>
              <w:rPr>
                <w:sz w:val="20"/>
                <w:szCs w:val="20"/>
                <w:color w:val="auto"/>
              </w:rPr>
            </w:pPr>
            <w:r>
              <w:rPr>
                <w:rFonts w:ascii="Arial" w:cs="Arial" w:eastAsia="Arial" w:hAnsi="Arial"/>
                <w:sz w:val="16"/>
                <w:szCs w:val="16"/>
                <w:color w:val="auto"/>
              </w:rPr>
              <w:t>Thereafter</w:t>
            </w:r>
          </w:p>
        </w:tc>
        <w:tc>
          <w:tcPr>
            <w:tcW w:w="2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9,555</w:t>
            </w:r>
          </w:p>
        </w:tc>
        <w:tc>
          <w:tcPr>
            <w:tcW w:w="6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Arial" w:cs="Arial" w:eastAsia="Arial" w:hAnsi="Arial"/>
                <w:sz w:val="16"/>
                <w:szCs w:val="16"/>
                <w:color w:val="auto"/>
              </w:rPr>
              <w:t>Total minimum payments(1)</w:t>
            </w:r>
          </w:p>
        </w:tc>
        <w:tc>
          <w:tcPr>
            <w:tcW w:w="2180" w:type="dxa"/>
            <w:vAlign w:val="bottom"/>
          </w:tcPr>
          <w:p>
            <w:pPr>
              <w:spacing w:after="0"/>
              <w:rPr>
                <w:sz w:val="16"/>
                <w:szCs w:val="16"/>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15,197</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3,308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80" w:hanging="872"/>
        <w:spacing w:after="0"/>
        <w:tabs>
          <w:tab w:leader="none" w:pos="880" w:val="left"/>
        </w:tabs>
        <w:numPr>
          <w:ilvl w:val="0"/>
          <w:numId w:val="37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purchase agreements accounted for as capital leases and amounts related to Otay Mesa VIE, as it is consolidated by Sempra Energy and SDG&amp;E.</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Payments on these contracts represent capacity charges and minimum energy purchases. SDG&amp;E is required to pay additional amounts for actual purchases of energy that exceed the minimum energy commitments. Excluding DWR-allocated contracts, total payments under purchased-power contracts were: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color w:val="auto"/>
              </w:rPr>
              <w:t>Years ended December 31,</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9"/>
        </w:trPr>
        <w:tc>
          <w:tcPr>
            <w:tcW w:w="60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spacing w:after="0"/>
              <w:rPr>
                <w:sz w:val="14"/>
                <w:szCs w:val="14"/>
                <w:color w:val="auto"/>
              </w:rPr>
            </w:pPr>
          </w:p>
        </w:tc>
        <w:tc>
          <w:tcPr>
            <w:tcW w:w="1260" w:type="dxa"/>
            <w:vAlign w:val="bottom"/>
          </w:tcPr>
          <w:p>
            <w:pPr>
              <w:jc w:val="right"/>
              <w:ind w:right="661"/>
              <w:spacing w:after="0"/>
              <w:rPr>
                <w:sz w:val="20"/>
                <w:szCs w:val="20"/>
                <w:color w:val="auto"/>
              </w:rPr>
            </w:pPr>
            <w:r>
              <w:rPr>
                <w:rFonts w:ascii="Arial" w:cs="Arial" w:eastAsia="Arial" w:hAnsi="Arial"/>
                <w:sz w:val="14"/>
                <w:szCs w:val="14"/>
                <w:color w:val="auto"/>
              </w:rPr>
              <w:t>2011</w:t>
            </w:r>
          </w:p>
        </w:tc>
        <w:tc>
          <w:tcPr>
            <w:tcW w:w="520" w:type="dxa"/>
            <w:vAlign w:val="bottom"/>
          </w:tcPr>
          <w:p>
            <w:pPr>
              <w:spacing w:after="0"/>
              <w:rPr>
                <w:sz w:val="14"/>
                <w:szCs w:val="14"/>
                <w:color w:val="auto"/>
              </w:rPr>
            </w:pPr>
          </w:p>
        </w:tc>
        <w:tc>
          <w:tcPr>
            <w:tcW w:w="1380" w:type="dxa"/>
            <w:vAlign w:val="bottom"/>
          </w:tcPr>
          <w:p>
            <w:pPr>
              <w:jc w:val="right"/>
              <w:ind w:right="781"/>
              <w:spacing w:after="0"/>
              <w:rPr>
                <w:sz w:val="20"/>
                <w:szCs w:val="20"/>
                <w:color w:val="auto"/>
              </w:rPr>
            </w:pPr>
            <w:r>
              <w:rPr>
                <w:rFonts w:ascii="Arial" w:cs="Arial" w:eastAsia="Arial" w:hAnsi="Arial"/>
                <w:sz w:val="14"/>
                <w:szCs w:val="14"/>
                <w:color w:val="auto"/>
              </w:rPr>
              <w:t>2010</w:t>
            </w:r>
          </w:p>
        </w:tc>
        <w:tc>
          <w:tcPr>
            <w:tcW w:w="400" w:type="dxa"/>
            <w:vAlign w:val="bottom"/>
          </w:tcPr>
          <w:p>
            <w:pPr>
              <w:spacing w:after="0"/>
              <w:rPr>
                <w:sz w:val="14"/>
                <w:szCs w:val="14"/>
                <w:color w:val="auto"/>
              </w:rPr>
            </w:pPr>
          </w:p>
        </w:tc>
        <w:tc>
          <w:tcPr>
            <w:tcW w:w="1300" w:type="dxa"/>
            <w:vAlign w:val="bottom"/>
          </w:tcPr>
          <w:p>
            <w:pPr>
              <w:jc w:val="right"/>
              <w:ind w:right="68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0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Sempra Energy Consolidated</w:t>
            </w:r>
          </w:p>
        </w:tc>
        <w:tc>
          <w:tcPr>
            <w:tcW w:w="520" w:type="dxa"/>
            <w:vAlign w:val="bottom"/>
            <w:tcBorders>
              <w:top w:val="single" w:sz="8" w:color="auto"/>
            </w:tcBorders>
          </w:tcPr>
          <w:p>
            <w:pPr>
              <w:jc w:val="right"/>
              <w:ind w:right="119"/>
              <w:spacing w:after="0" w:line="164"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918</w:t>
            </w:r>
          </w:p>
        </w:tc>
        <w:tc>
          <w:tcPr>
            <w:tcW w:w="520" w:type="dxa"/>
            <w:vAlign w:val="bottom"/>
            <w:tcBorders>
              <w:top w:val="single" w:sz="8" w:color="auto"/>
            </w:tcBorders>
          </w:tcPr>
          <w:p>
            <w:pPr>
              <w:jc w:val="right"/>
              <w:ind w:right="123"/>
              <w:spacing w:after="0" w:line="164" w:lineRule="exact"/>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1"/>
              <w:spacing w:after="0" w:line="164" w:lineRule="exact"/>
              <w:rPr>
                <w:sz w:val="20"/>
                <w:szCs w:val="20"/>
                <w:color w:val="auto"/>
              </w:rPr>
            </w:pPr>
            <w:r>
              <w:rPr>
                <w:rFonts w:ascii="Arial" w:cs="Arial" w:eastAsia="Arial" w:hAnsi="Arial"/>
                <w:sz w:val="16"/>
                <w:szCs w:val="16"/>
                <w:color w:val="auto"/>
              </w:rPr>
              <w:t>314</w:t>
            </w:r>
          </w:p>
        </w:tc>
        <w:tc>
          <w:tcPr>
            <w:tcW w:w="400" w:type="dxa"/>
            <w:vAlign w:val="bottom"/>
            <w:tcBorders>
              <w:top w:val="single" w:sz="8" w:color="auto"/>
            </w:tcBorders>
          </w:tcPr>
          <w:p>
            <w:pPr>
              <w:jc w:val="right"/>
              <w:ind w:right="119"/>
              <w:spacing w:after="0" w:line="164"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413</w:t>
            </w:r>
          </w:p>
        </w:tc>
      </w:tr>
      <w:tr>
        <w:trPr>
          <w:trHeight w:val="176"/>
        </w:trPr>
        <w:tc>
          <w:tcPr>
            <w:tcW w:w="6040" w:type="dxa"/>
            <w:vAlign w:val="bottom"/>
            <w:gridSpan w:val="2"/>
          </w:tcPr>
          <w:p>
            <w:pPr>
              <w:spacing w:after="0" w:line="176" w:lineRule="exact"/>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572</w:t>
            </w:r>
          </w:p>
        </w:tc>
        <w:tc>
          <w:tcPr>
            <w:tcW w:w="520" w:type="dxa"/>
            <w:vAlign w:val="bottom"/>
          </w:tcPr>
          <w:p>
            <w:pPr>
              <w:spacing w:after="0"/>
              <w:rPr>
                <w:sz w:val="15"/>
                <w:szCs w:val="15"/>
                <w:color w:val="auto"/>
              </w:rPr>
            </w:pPr>
          </w:p>
        </w:tc>
        <w:tc>
          <w:tcPr>
            <w:tcW w:w="1380" w:type="dxa"/>
            <w:vAlign w:val="bottom"/>
          </w:tcPr>
          <w:p>
            <w:pPr>
              <w:jc w:val="right"/>
              <w:ind w:right="81"/>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SDG&amp;E</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314</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Sempra Energy, SDG&amp;E and SoCalGas have operating leases on real and personal property expiring at various dates from 2012 through 2054. Certain leases on office facilities contain escalation clauses requiring annual increases in rent ranging from two percent to six percent at both Sempra Energy and SDG&amp;E and three percent to five percent at SoCalGas. The rentals payable under these leases may increase by a fixed amount each year or by a percentage of a base year, and most leases contain extension options that we could exercise.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Sempra Utilities have an operating lease agreement for future acquisitions of fleet vehicles with RBS Asset Finance, Inc. with an aggregate maximum lease limit of $125 million, $66 million of which has been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all operating leases totaled: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9"/>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spacing w:after="0"/>
              <w:rPr>
                <w:sz w:val="14"/>
                <w:szCs w:val="14"/>
                <w:color w:val="auto"/>
              </w:rPr>
            </w:pPr>
          </w:p>
        </w:tc>
        <w:tc>
          <w:tcPr>
            <w:tcW w:w="1220" w:type="dxa"/>
            <w:vAlign w:val="bottom"/>
          </w:tcPr>
          <w:p>
            <w:pPr>
              <w:jc w:val="right"/>
              <w:ind w:right="641"/>
              <w:spacing w:after="0"/>
              <w:rPr>
                <w:sz w:val="20"/>
                <w:szCs w:val="20"/>
                <w:color w:val="auto"/>
              </w:rPr>
            </w:pPr>
            <w:r>
              <w:rPr>
                <w:rFonts w:ascii="Arial" w:cs="Arial" w:eastAsia="Arial" w:hAnsi="Arial"/>
                <w:sz w:val="14"/>
                <w:szCs w:val="14"/>
                <w:color w:val="auto"/>
              </w:rPr>
              <w:t>2011</w:t>
            </w:r>
          </w:p>
        </w:tc>
        <w:tc>
          <w:tcPr>
            <w:tcW w:w="520" w:type="dxa"/>
            <w:vAlign w:val="bottom"/>
          </w:tcPr>
          <w:p>
            <w:pPr>
              <w:spacing w:after="0"/>
              <w:rPr>
                <w:sz w:val="14"/>
                <w:szCs w:val="14"/>
                <w:color w:val="auto"/>
              </w:rPr>
            </w:pPr>
          </w:p>
        </w:tc>
        <w:tc>
          <w:tcPr>
            <w:tcW w:w="1380" w:type="dxa"/>
            <w:vAlign w:val="bottom"/>
          </w:tcPr>
          <w:p>
            <w:pPr>
              <w:jc w:val="right"/>
              <w:ind w:right="781"/>
              <w:spacing w:after="0"/>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1280" w:type="dxa"/>
            <w:vAlign w:val="bottom"/>
          </w:tcPr>
          <w:p>
            <w:pPr>
              <w:jc w:val="right"/>
              <w:ind w:right="68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10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Sempra Energy Consolidated</w:t>
            </w:r>
          </w:p>
        </w:tc>
        <w:tc>
          <w:tcPr>
            <w:tcW w:w="520" w:type="dxa"/>
            <w:vAlign w:val="bottom"/>
            <w:tcBorders>
              <w:top w:val="single" w:sz="8" w:color="auto"/>
            </w:tcBorders>
          </w:tcPr>
          <w:p>
            <w:pPr>
              <w:jc w:val="right"/>
              <w:ind w:right="119"/>
              <w:spacing w:after="0" w:line="164" w:lineRule="exact"/>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77</w:t>
            </w:r>
          </w:p>
        </w:tc>
        <w:tc>
          <w:tcPr>
            <w:tcW w:w="520" w:type="dxa"/>
            <w:vAlign w:val="bottom"/>
            <w:tcBorders>
              <w:top w:val="single" w:sz="8" w:color="auto"/>
            </w:tcBorders>
          </w:tcPr>
          <w:p>
            <w:pPr>
              <w:jc w:val="right"/>
              <w:ind w:right="103"/>
              <w:spacing w:after="0" w:line="164" w:lineRule="exact"/>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1"/>
              <w:spacing w:after="0" w:line="164" w:lineRule="exact"/>
              <w:rPr>
                <w:sz w:val="20"/>
                <w:szCs w:val="20"/>
                <w:color w:val="auto"/>
              </w:rPr>
            </w:pPr>
            <w:r>
              <w:rPr>
                <w:rFonts w:ascii="Arial" w:cs="Arial" w:eastAsia="Arial" w:hAnsi="Arial"/>
                <w:sz w:val="16"/>
                <w:szCs w:val="16"/>
                <w:color w:val="auto"/>
              </w:rPr>
              <w:t>85</w:t>
            </w:r>
          </w:p>
        </w:tc>
        <w:tc>
          <w:tcPr>
            <w:tcW w:w="380" w:type="dxa"/>
            <w:vAlign w:val="bottom"/>
            <w:tcBorders>
              <w:top w:val="single" w:sz="8" w:color="auto"/>
            </w:tcBorders>
          </w:tcPr>
          <w:p>
            <w:pPr>
              <w:jc w:val="right"/>
              <w:ind w:right="119"/>
              <w:spacing w:after="0" w:line="164"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101</w:t>
            </w:r>
          </w:p>
        </w:tc>
      </w:tr>
      <w:tr>
        <w:trPr>
          <w:trHeight w:val="176"/>
        </w:trPr>
        <w:tc>
          <w:tcPr>
            <w:tcW w:w="612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52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520" w:type="dxa"/>
            <w:vAlign w:val="bottom"/>
          </w:tcPr>
          <w:p>
            <w:pPr>
              <w:spacing w:after="0"/>
              <w:rPr>
                <w:sz w:val="15"/>
                <w:szCs w:val="15"/>
                <w:color w:val="auto"/>
              </w:rPr>
            </w:pPr>
          </w:p>
        </w:tc>
        <w:tc>
          <w:tcPr>
            <w:tcW w:w="1380" w:type="dxa"/>
            <w:vAlign w:val="bottom"/>
          </w:tcPr>
          <w:p>
            <w:pPr>
              <w:jc w:val="right"/>
              <w:ind w:right="81"/>
              <w:spacing w:after="0" w:line="176" w:lineRule="exact"/>
              <w:rPr>
                <w:sz w:val="20"/>
                <w:szCs w:val="20"/>
                <w:color w:val="auto"/>
              </w:rPr>
            </w:pPr>
            <w:r>
              <w:rPr>
                <w:rFonts w:ascii="Arial" w:cs="Arial" w:eastAsia="Arial" w:hAnsi="Arial"/>
                <w:sz w:val="16"/>
                <w:szCs w:val="16"/>
                <w:color w:val="auto"/>
              </w:rPr>
              <w:t>20</w:t>
            </w:r>
          </w:p>
        </w:tc>
        <w:tc>
          <w:tcPr>
            <w:tcW w:w="3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94"/>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40</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the minimum rental commitments payable in future years under all noncancelable operating leases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center"/>
              <w:ind w:right="222"/>
              <w:spacing w:after="0"/>
              <w:rPr>
                <w:sz w:val="20"/>
                <w:szCs w:val="20"/>
                <w:color w:val="auto"/>
              </w:rPr>
            </w:pPr>
            <w:r>
              <w:rPr>
                <w:rFonts w:ascii="Arial" w:cs="Arial" w:eastAsia="Arial" w:hAnsi="Arial"/>
                <w:sz w:val="14"/>
                <w:szCs w:val="14"/>
                <w:color w:val="auto"/>
              </w:rPr>
              <w:t>Sempra</w:t>
            </w: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center"/>
              <w:ind w:right="222"/>
              <w:spacing w:after="0"/>
              <w:rPr>
                <w:sz w:val="20"/>
                <w:szCs w:val="20"/>
                <w:color w:val="auto"/>
              </w:rPr>
            </w:pPr>
            <w:r>
              <w:rPr>
                <w:rFonts w:ascii="Arial" w:cs="Arial" w:eastAsia="Arial" w:hAnsi="Arial"/>
                <w:sz w:val="14"/>
                <w:szCs w:val="14"/>
                <w:color w:val="auto"/>
              </w:rPr>
              <w:t>Energy</w:t>
            </w: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4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42"/>
              <w:spacing w:after="0" w:line="157"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40"/>
              <w:spacing w:after="0" w:line="157" w:lineRule="exact"/>
              <w:rPr>
                <w:sz w:val="20"/>
                <w:szCs w:val="20"/>
                <w:color w:val="auto"/>
              </w:rPr>
            </w:pPr>
            <w:r>
              <w:rPr>
                <w:rFonts w:ascii="Arial" w:cs="Arial" w:eastAsia="Arial" w:hAnsi="Arial"/>
                <w:sz w:val="14"/>
                <w:szCs w:val="14"/>
                <w:color w:val="auto"/>
              </w:rPr>
              <w:t>SDG&amp;E</w:t>
            </w: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00"/>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64"/>
        </w:trPr>
        <w:tc>
          <w:tcPr>
            <w:tcW w:w="3340" w:type="dxa"/>
            <w:vAlign w:val="bottom"/>
          </w:tcPr>
          <w:p>
            <w:pPr>
              <w:spacing w:after="0" w:line="164" w:lineRule="exact"/>
              <w:rPr>
                <w:sz w:val="20"/>
                <w:szCs w:val="20"/>
                <w:color w:val="auto"/>
              </w:rPr>
            </w:pPr>
            <w:r>
              <w:rPr>
                <w:rFonts w:ascii="Arial" w:cs="Arial" w:eastAsia="Arial" w:hAnsi="Arial"/>
                <w:sz w:val="16"/>
                <w:szCs w:val="16"/>
                <w:color w:val="auto"/>
              </w:rPr>
              <w:t>2012</w:t>
            </w:r>
          </w:p>
        </w:tc>
        <w:tc>
          <w:tcPr>
            <w:tcW w:w="2440" w:type="dxa"/>
            <w:vAlign w:val="bottom"/>
            <w:gridSpan w:val="2"/>
          </w:tcPr>
          <w:p>
            <w:pPr>
              <w:jc w:val="right"/>
              <w:ind w:right="240"/>
              <w:spacing w:after="0" w:line="164" w:lineRule="exact"/>
              <w:rPr>
                <w:sz w:val="20"/>
                <w:szCs w:val="20"/>
                <w:color w:val="auto"/>
              </w:rPr>
            </w:pPr>
            <w:r>
              <w:rPr>
                <w:rFonts w:ascii="Arial" w:cs="Arial" w:eastAsia="Arial" w:hAnsi="Arial"/>
                <w:sz w:val="16"/>
                <w:szCs w:val="16"/>
                <w:color w:val="auto"/>
              </w:rPr>
              <w:t>$</w:t>
            </w:r>
          </w:p>
        </w:tc>
        <w:tc>
          <w:tcPr>
            <w:tcW w:w="1640" w:type="dxa"/>
            <w:vAlign w:val="bottom"/>
          </w:tcPr>
          <w:p>
            <w:pPr>
              <w:jc w:val="right"/>
              <w:spacing w:after="0" w:line="164" w:lineRule="exact"/>
              <w:rPr>
                <w:sz w:val="20"/>
                <w:szCs w:val="20"/>
                <w:color w:val="auto"/>
              </w:rPr>
            </w:pPr>
            <w:r>
              <w:rPr>
                <w:rFonts w:ascii="Arial" w:cs="Arial" w:eastAsia="Arial" w:hAnsi="Arial"/>
                <w:sz w:val="16"/>
                <w:szCs w:val="16"/>
                <w:color w:val="auto"/>
              </w:rPr>
              <w:t>73</w:t>
            </w:r>
          </w:p>
        </w:tc>
        <w:tc>
          <w:tcPr>
            <w:tcW w:w="440" w:type="dxa"/>
            <w:vAlign w:val="bottom"/>
          </w:tcPr>
          <w:p>
            <w:pPr>
              <w:jc w:val="right"/>
              <w:ind w:right="259"/>
              <w:spacing w:after="0" w:line="164" w:lineRule="exact"/>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line="164" w:lineRule="exact"/>
              <w:rPr>
                <w:sz w:val="20"/>
                <w:szCs w:val="20"/>
                <w:color w:val="auto"/>
              </w:rPr>
            </w:pPr>
            <w:r>
              <w:rPr>
                <w:rFonts w:ascii="Arial" w:cs="Arial" w:eastAsia="Arial" w:hAnsi="Arial"/>
                <w:sz w:val="16"/>
                <w:szCs w:val="16"/>
                <w:color w:val="auto"/>
              </w:rPr>
              <w:t>19</w:t>
            </w:r>
          </w:p>
        </w:tc>
        <w:tc>
          <w:tcPr>
            <w:tcW w:w="40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620" w:type="dxa"/>
            <w:vAlign w:val="bottom"/>
          </w:tcPr>
          <w:p>
            <w:pPr>
              <w:jc w:val="right"/>
              <w:spacing w:after="0" w:line="164"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3340" w:type="dxa"/>
            <w:vAlign w:val="bottom"/>
          </w:tcPr>
          <w:p>
            <w:pPr>
              <w:spacing w:after="0" w:line="176" w:lineRule="exact"/>
              <w:rPr>
                <w:sz w:val="20"/>
                <w:szCs w:val="20"/>
                <w:color w:val="auto"/>
              </w:rPr>
            </w:pPr>
            <w:r>
              <w:rPr>
                <w:rFonts w:ascii="Arial" w:cs="Arial" w:eastAsia="Arial" w:hAnsi="Arial"/>
                <w:sz w:val="16"/>
                <w:szCs w:val="16"/>
                <w:color w:val="auto"/>
              </w:rPr>
              <w:t>2013</w:t>
            </w:r>
          </w:p>
        </w:tc>
        <w:tc>
          <w:tcPr>
            <w:tcW w:w="2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Arial" w:cs="Arial" w:eastAsia="Arial" w:hAnsi="Arial"/>
                <w:sz w:val="16"/>
                <w:szCs w:val="16"/>
                <w:color w:val="auto"/>
              </w:rPr>
              <w:t>72</w:t>
            </w:r>
          </w:p>
        </w:tc>
        <w:tc>
          <w:tcPr>
            <w:tcW w:w="440" w:type="dxa"/>
            <w:vAlign w:val="bottom"/>
          </w:tcPr>
          <w:p>
            <w:pPr>
              <w:spacing w:after="0"/>
              <w:rPr>
                <w:sz w:val="15"/>
                <w:szCs w:val="15"/>
                <w:color w:val="auto"/>
              </w:rPr>
            </w:pPr>
          </w:p>
        </w:tc>
        <w:tc>
          <w:tcPr>
            <w:tcW w:w="154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4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3340" w:type="dxa"/>
            <w:vAlign w:val="bottom"/>
          </w:tcPr>
          <w:p>
            <w:pPr>
              <w:spacing w:after="0" w:line="176" w:lineRule="exact"/>
              <w:rPr>
                <w:sz w:val="20"/>
                <w:szCs w:val="20"/>
                <w:color w:val="auto"/>
              </w:rPr>
            </w:pPr>
            <w:r>
              <w:rPr>
                <w:rFonts w:ascii="Arial" w:cs="Arial" w:eastAsia="Arial" w:hAnsi="Arial"/>
                <w:sz w:val="16"/>
                <w:szCs w:val="16"/>
                <w:color w:val="auto"/>
              </w:rPr>
              <w:t>2014</w:t>
            </w:r>
          </w:p>
        </w:tc>
        <w:tc>
          <w:tcPr>
            <w:tcW w:w="2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c>
          <w:tcPr>
            <w:tcW w:w="440" w:type="dxa"/>
            <w:vAlign w:val="bottom"/>
          </w:tcPr>
          <w:p>
            <w:pPr>
              <w:spacing w:after="0"/>
              <w:rPr>
                <w:sz w:val="15"/>
                <w:szCs w:val="15"/>
                <w:color w:val="auto"/>
              </w:rPr>
            </w:pPr>
          </w:p>
        </w:tc>
        <w:tc>
          <w:tcPr>
            <w:tcW w:w="154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4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3340" w:type="dxa"/>
            <w:vAlign w:val="bottom"/>
          </w:tcPr>
          <w:p>
            <w:pPr>
              <w:spacing w:after="0" w:line="176" w:lineRule="exact"/>
              <w:rPr>
                <w:sz w:val="20"/>
                <w:szCs w:val="20"/>
                <w:color w:val="auto"/>
              </w:rPr>
            </w:pPr>
            <w:r>
              <w:rPr>
                <w:rFonts w:ascii="Arial" w:cs="Arial" w:eastAsia="Arial" w:hAnsi="Arial"/>
                <w:sz w:val="16"/>
                <w:szCs w:val="16"/>
                <w:color w:val="auto"/>
              </w:rPr>
              <w:t>2015</w:t>
            </w:r>
          </w:p>
        </w:tc>
        <w:tc>
          <w:tcPr>
            <w:tcW w:w="2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Arial" w:cs="Arial" w:eastAsia="Arial" w:hAnsi="Arial"/>
                <w:sz w:val="16"/>
                <w:szCs w:val="16"/>
                <w:color w:val="auto"/>
              </w:rPr>
              <w:t>65</w:t>
            </w:r>
          </w:p>
        </w:tc>
        <w:tc>
          <w:tcPr>
            <w:tcW w:w="440" w:type="dxa"/>
            <w:vAlign w:val="bottom"/>
          </w:tcPr>
          <w:p>
            <w:pPr>
              <w:spacing w:after="0"/>
              <w:rPr>
                <w:sz w:val="15"/>
                <w:szCs w:val="15"/>
                <w:color w:val="auto"/>
              </w:rPr>
            </w:pPr>
          </w:p>
        </w:tc>
        <w:tc>
          <w:tcPr>
            <w:tcW w:w="15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4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3340" w:type="dxa"/>
            <w:vAlign w:val="bottom"/>
          </w:tcPr>
          <w:p>
            <w:pPr>
              <w:spacing w:after="0" w:line="176" w:lineRule="exact"/>
              <w:rPr>
                <w:sz w:val="20"/>
                <w:szCs w:val="20"/>
                <w:color w:val="auto"/>
              </w:rPr>
            </w:pPr>
            <w:r>
              <w:rPr>
                <w:rFonts w:ascii="Arial" w:cs="Arial" w:eastAsia="Arial" w:hAnsi="Arial"/>
                <w:sz w:val="16"/>
                <w:szCs w:val="16"/>
                <w:color w:val="auto"/>
              </w:rPr>
              <w:t>2016</w:t>
            </w:r>
          </w:p>
        </w:tc>
        <w:tc>
          <w:tcPr>
            <w:tcW w:w="2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c>
          <w:tcPr>
            <w:tcW w:w="440" w:type="dxa"/>
            <w:vAlign w:val="bottom"/>
          </w:tcPr>
          <w:p>
            <w:pPr>
              <w:spacing w:after="0"/>
              <w:rPr>
                <w:sz w:val="15"/>
                <w:szCs w:val="15"/>
                <w:color w:val="auto"/>
              </w:rPr>
            </w:pPr>
          </w:p>
        </w:tc>
        <w:tc>
          <w:tcPr>
            <w:tcW w:w="15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4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4"/>
        </w:trPr>
        <w:tc>
          <w:tcPr>
            <w:tcW w:w="3340" w:type="dxa"/>
            <w:vAlign w:val="bottom"/>
          </w:tcPr>
          <w:p>
            <w:pPr>
              <w:spacing w:after="0"/>
              <w:rPr>
                <w:sz w:val="20"/>
                <w:szCs w:val="20"/>
                <w:color w:val="auto"/>
              </w:rPr>
            </w:pPr>
            <w:r>
              <w:rPr>
                <w:rFonts w:ascii="Arial" w:cs="Arial" w:eastAsia="Arial" w:hAnsi="Arial"/>
                <w:sz w:val="16"/>
                <w:szCs w:val="16"/>
                <w:color w:val="auto"/>
              </w:rPr>
              <w:t>Thereafter</w:t>
            </w:r>
          </w:p>
        </w:tc>
        <w:tc>
          <w:tcPr>
            <w:tcW w:w="2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266" w:name="page267"/>
    <w:bookmarkEnd w:id="266"/>
    <w:p>
      <w:pPr>
        <w:spacing w:after="0"/>
        <w:tabs>
          <w:tab w:leader="none" w:pos="5440" w:val="left"/>
          <w:tab w:leader="none" w:pos="7100" w:val="left"/>
          <w:tab w:leader="none" w:pos="9080" w:val="left"/>
          <w:tab w:leader="none" w:pos="11080" w:val="left"/>
        </w:tabs>
        <w:rPr>
          <w:sz w:val="20"/>
          <w:szCs w:val="20"/>
          <w:color w:val="auto"/>
        </w:rPr>
      </w:pPr>
      <w:r>
        <w:rPr>
          <w:rFonts w:ascii="Arial" w:cs="Arial" w:eastAsia="Arial" w:hAnsi="Arial"/>
          <w:sz w:val="16"/>
          <w:szCs w:val="16"/>
          <w:color w:val="auto"/>
        </w:rPr>
        <w:t>Total future rental commitments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876 $</w:t>
      </w:r>
      <w:r>
        <w:rPr>
          <w:sz w:val="20"/>
          <w:szCs w:val="20"/>
          <w:color w:val="auto"/>
        </w:rPr>
        <w:tab/>
      </w:r>
      <w:r>
        <w:rPr>
          <w:rFonts w:ascii="Arial" w:cs="Arial" w:eastAsia="Arial" w:hAnsi="Arial"/>
          <w:sz w:val="16"/>
          <w:szCs w:val="16"/>
          <w:color w:val="auto"/>
        </w:rPr>
        <w:t>135 $</w:t>
      </w:r>
      <w:r>
        <w:rPr>
          <w:sz w:val="20"/>
          <w:szCs w:val="20"/>
          <w:color w:val="auto"/>
        </w:rPr>
        <w:tab/>
      </w:r>
      <w:r>
        <w:rPr>
          <w:rFonts w:ascii="Arial" w:cs="Arial" w:eastAsia="Arial" w:hAnsi="Arial"/>
          <w:sz w:val="16"/>
          <w:szCs w:val="16"/>
          <w:color w:val="auto"/>
        </w:rPr>
        <w:t>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Leases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Utility Fleet Vehicles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Sempra Utilities entered into agreements with U.S. Bancorp Equipment Finance in 2009 and with RBS Asset Finance, Inc. in 2010 to refinance existing fleet vehicles. These are capital leases, and as of December 31, 2011, the related capital lease obligations were $24 million at Sempra Energy, including $13 million at SDG&amp;E and $11 million at SoCalGas. As of December 31, 2010, the related capital lease obligations were $39 million at Sempra Energy, including $20 million at SDG&amp;E and $19 million at SoCalGas.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the future minimum lease payments and present value of the net minimum lease payments under these capital leases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right="202"/>
              <w:spacing w:after="0"/>
              <w:rPr>
                <w:sz w:val="20"/>
                <w:szCs w:val="20"/>
                <w:color w:val="auto"/>
              </w:rPr>
            </w:pPr>
            <w:r>
              <w:rPr>
                <w:rFonts w:ascii="Arial" w:cs="Arial" w:eastAsia="Arial" w:hAnsi="Arial"/>
                <w:sz w:val="14"/>
                <w:szCs w:val="14"/>
                <w:color w:val="auto"/>
              </w:rPr>
              <w:t>Sempra</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9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4"/>
                <w:szCs w:val="14"/>
                <w:color w:val="auto"/>
              </w:rPr>
            </w:pPr>
          </w:p>
        </w:tc>
        <w:tc>
          <w:tcPr>
            <w:tcW w:w="1500" w:type="dxa"/>
            <w:vAlign w:val="bottom"/>
          </w:tcPr>
          <w:p>
            <w:pPr>
              <w:jc w:val="center"/>
              <w:ind w:right="202"/>
              <w:spacing w:after="0"/>
              <w:rPr>
                <w:sz w:val="20"/>
                <w:szCs w:val="20"/>
                <w:color w:val="auto"/>
              </w:rPr>
            </w:pPr>
            <w:r>
              <w:rPr>
                <w:rFonts w:ascii="Arial" w:cs="Arial" w:eastAsia="Arial" w:hAnsi="Arial"/>
                <w:sz w:val="14"/>
                <w:szCs w:val="14"/>
                <w:color w:val="auto"/>
              </w:rPr>
              <w:t>Energy</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9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82"/>
              <w:spacing w:after="0" w:line="157" w:lineRule="exact"/>
              <w:rPr>
                <w:sz w:val="20"/>
                <w:szCs w:val="20"/>
                <w:color w:val="auto"/>
              </w:rPr>
            </w:pPr>
            <w:r>
              <w:rPr>
                <w:rFonts w:ascii="Arial" w:cs="Arial" w:eastAsia="Arial" w:hAnsi="Arial"/>
                <w:sz w:val="14"/>
                <w:szCs w:val="14"/>
                <w:color w:val="auto"/>
              </w:rPr>
              <w:t>Consolidated</w:t>
            </w: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0"/>
              <w:spacing w:after="0" w:line="157" w:lineRule="exact"/>
              <w:rPr>
                <w:sz w:val="20"/>
                <w:szCs w:val="20"/>
                <w:color w:val="auto"/>
              </w:rPr>
            </w:pPr>
            <w:r>
              <w:rPr>
                <w:rFonts w:ascii="Arial" w:cs="Arial" w:eastAsia="Arial" w:hAnsi="Arial"/>
                <w:sz w:val="14"/>
                <w:szCs w:val="14"/>
                <w:color w:val="auto"/>
              </w:rPr>
              <w:t>SDG&amp;E</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20"/>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64"/>
        </w:trPr>
        <w:tc>
          <w:tcPr>
            <w:tcW w:w="5980" w:type="dxa"/>
            <w:vAlign w:val="bottom"/>
          </w:tcPr>
          <w:p>
            <w:pPr>
              <w:spacing w:after="0" w:line="164" w:lineRule="exact"/>
              <w:rPr>
                <w:sz w:val="20"/>
                <w:szCs w:val="20"/>
                <w:color w:val="auto"/>
              </w:rPr>
            </w:pPr>
            <w:r>
              <w:rPr>
                <w:rFonts w:ascii="Arial" w:cs="Arial" w:eastAsia="Arial" w:hAnsi="Arial"/>
                <w:sz w:val="16"/>
                <w:szCs w:val="16"/>
                <w:color w:val="auto"/>
              </w:rPr>
              <w:t>2012</w:t>
            </w:r>
          </w:p>
        </w:tc>
        <w:tc>
          <w:tcPr>
            <w:tcW w:w="280" w:type="dxa"/>
            <w:vAlign w:val="bottom"/>
          </w:tcPr>
          <w:p>
            <w:pPr>
              <w:jc w:val="right"/>
              <w:ind w:right="124"/>
              <w:spacing w:after="0" w:line="164" w:lineRule="exact"/>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line="164" w:lineRule="exact"/>
              <w:rPr>
                <w:sz w:val="20"/>
                <w:szCs w:val="20"/>
                <w:color w:val="auto"/>
              </w:rPr>
            </w:pPr>
            <w:r>
              <w:rPr>
                <w:rFonts w:ascii="Arial" w:cs="Arial" w:eastAsia="Arial" w:hAnsi="Arial"/>
                <w:sz w:val="16"/>
                <w:szCs w:val="16"/>
                <w:color w:val="auto"/>
              </w:rPr>
              <w:t>13</w:t>
            </w:r>
          </w:p>
        </w:tc>
        <w:tc>
          <w:tcPr>
            <w:tcW w:w="380" w:type="dxa"/>
            <w:vAlign w:val="bottom"/>
          </w:tcPr>
          <w:p>
            <w:pPr>
              <w:jc w:val="right"/>
              <w:ind w:right="199"/>
              <w:spacing w:after="0" w:line="164"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360" w:type="dxa"/>
            <w:vAlign w:val="bottom"/>
          </w:tcPr>
          <w:p>
            <w:pPr>
              <w:jc w:val="right"/>
              <w:ind w:right="159"/>
              <w:spacing w:after="0" w:line="164"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64"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6"/>
        </w:trPr>
        <w:tc>
          <w:tcPr>
            <w:tcW w:w="5980" w:type="dxa"/>
            <w:vAlign w:val="bottom"/>
          </w:tcPr>
          <w:p>
            <w:pPr>
              <w:spacing w:after="0" w:line="176" w:lineRule="exact"/>
              <w:rPr>
                <w:sz w:val="20"/>
                <w:szCs w:val="20"/>
                <w:color w:val="auto"/>
              </w:rPr>
            </w:pPr>
            <w:r>
              <w:rPr>
                <w:rFonts w:ascii="Arial" w:cs="Arial" w:eastAsia="Arial" w:hAnsi="Arial"/>
                <w:sz w:val="16"/>
                <w:szCs w:val="16"/>
                <w:color w:val="auto"/>
              </w:rPr>
              <w:t>2013</w:t>
            </w:r>
          </w:p>
        </w:tc>
        <w:tc>
          <w:tcPr>
            <w:tcW w:w="28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38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20"/>
                <w:szCs w:val="20"/>
                <w:color w:val="auto"/>
              </w:rPr>
            </w:pPr>
            <w:r>
              <w:rPr>
                <w:rFonts w:ascii="Arial" w:cs="Arial" w:eastAsia="Arial" w:hAnsi="Arial"/>
                <w:sz w:val="16"/>
                <w:szCs w:val="16"/>
                <w:color w:val="auto"/>
              </w:rPr>
              <w:t>2014</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4"/>
        </w:trPr>
        <w:tc>
          <w:tcPr>
            <w:tcW w:w="5980" w:type="dxa"/>
            <w:vAlign w:val="bottom"/>
          </w:tcPr>
          <w:p>
            <w:pPr>
              <w:spacing w:after="0" w:line="164" w:lineRule="exact"/>
              <w:rPr>
                <w:sz w:val="20"/>
                <w:szCs w:val="20"/>
                <w:color w:val="auto"/>
              </w:rPr>
            </w:pPr>
            <w:r>
              <w:rPr>
                <w:rFonts w:ascii="Arial" w:cs="Arial" w:eastAsia="Arial" w:hAnsi="Arial"/>
                <w:sz w:val="16"/>
                <w:szCs w:val="16"/>
                <w:color w:val="auto"/>
              </w:rPr>
              <w:t>Total minimum lease payments</w:t>
            </w:r>
          </w:p>
        </w:tc>
        <w:tc>
          <w:tcPr>
            <w:tcW w:w="280" w:type="dxa"/>
            <w:vAlign w:val="bottom"/>
          </w:tcPr>
          <w:p>
            <w:pPr>
              <w:spacing w:after="0"/>
              <w:rPr>
                <w:sz w:val="14"/>
                <w:szCs w:val="14"/>
                <w:color w:val="auto"/>
              </w:rPr>
            </w:pPr>
          </w:p>
        </w:tc>
        <w:tc>
          <w:tcPr>
            <w:tcW w:w="1500" w:type="dxa"/>
            <w:vAlign w:val="bottom"/>
          </w:tcPr>
          <w:p>
            <w:pPr>
              <w:jc w:val="right"/>
              <w:spacing w:after="0" w:line="164" w:lineRule="exact"/>
              <w:rPr>
                <w:sz w:val="20"/>
                <w:szCs w:val="20"/>
                <w:color w:val="auto"/>
              </w:rPr>
            </w:pPr>
            <w:r>
              <w:rPr>
                <w:rFonts w:ascii="Arial" w:cs="Arial" w:eastAsia="Arial" w:hAnsi="Arial"/>
                <w:sz w:val="16"/>
                <w:szCs w:val="16"/>
                <w:color w:val="auto"/>
              </w:rPr>
              <w:t>24</w:t>
            </w:r>
          </w:p>
        </w:tc>
        <w:tc>
          <w:tcPr>
            <w:tcW w:w="380" w:type="dxa"/>
            <w:vAlign w:val="bottom"/>
          </w:tcPr>
          <w:p>
            <w:pPr>
              <w:spacing w:after="0"/>
              <w:rPr>
                <w:sz w:val="14"/>
                <w:szCs w:val="14"/>
                <w:color w:val="auto"/>
              </w:rPr>
            </w:pPr>
          </w:p>
        </w:tc>
        <w:tc>
          <w:tcPr>
            <w:tcW w:w="1420" w:type="dxa"/>
            <w:vAlign w:val="bottom"/>
          </w:tcPr>
          <w:p>
            <w:pPr>
              <w:jc w:val="right"/>
              <w:spacing w:after="0" w:line="164" w:lineRule="exact"/>
              <w:rPr>
                <w:sz w:val="20"/>
                <w:szCs w:val="20"/>
                <w:color w:val="auto"/>
              </w:rPr>
            </w:pPr>
            <w:r>
              <w:rPr>
                <w:rFonts w:ascii="Arial" w:cs="Arial" w:eastAsia="Arial" w:hAnsi="Arial"/>
                <w:sz w:val="16"/>
                <w:szCs w:val="16"/>
                <w:color w:val="auto"/>
              </w:rPr>
              <w:t>13</w:t>
            </w:r>
          </w:p>
        </w:tc>
        <w:tc>
          <w:tcPr>
            <w:tcW w:w="360" w:type="dxa"/>
            <w:vAlign w:val="bottom"/>
          </w:tcPr>
          <w:p>
            <w:pPr>
              <w:spacing w:after="0"/>
              <w:rPr>
                <w:sz w:val="14"/>
                <w:szCs w:val="14"/>
                <w:color w:val="auto"/>
              </w:rPr>
            </w:pPr>
          </w:p>
        </w:tc>
        <w:tc>
          <w:tcPr>
            <w:tcW w:w="1500" w:type="dxa"/>
            <w:vAlign w:val="bottom"/>
          </w:tcPr>
          <w:p>
            <w:pPr>
              <w:jc w:val="right"/>
              <w:spacing w:after="0" w:line="164"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20"/>
                <w:szCs w:val="20"/>
                <w:color w:val="auto"/>
              </w:rPr>
            </w:pPr>
            <w:r>
              <w:rPr>
                <w:rFonts w:ascii="Arial" w:cs="Arial" w:eastAsia="Arial" w:hAnsi="Arial"/>
                <w:sz w:val="16"/>
                <w:szCs w:val="16"/>
                <w:color w:val="auto"/>
              </w:rPr>
              <w:t>Less: interest</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Present value of net minimum lease payments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2011 annual amortization charge for the utility fleet vehicles was $15 million at Sempra Energy, including $7 million at SDG&amp;E and $8 million at SoCalGas. The 2010 annual amortization charge for the utility fleet vehicles was $17 million at Sempra Energy, including $6 million at SDG&amp;E and $11 million at SoCalGas. The 2009 annual amortization charge for the utility fleet vehicles was $3 million at Sempra Energy, including $1 million at SDG&amp;E and $2 million at SoCalGas.</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Power Purchase Agreements</w:t>
      </w:r>
    </w:p>
    <w:p>
      <w:pPr>
        <w:spacing w:after="0" w:line="20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SDG&amp;E has two power purchase agreements with peaker plant facilities that went into commercial operation in June 2010 and are accounted for as capital leases. As of December 31, 2011, capital lease obligations for these leases, each with a 25-year term, were valued at $180 million.</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2011, the future minimum lease payments and present value of the net minimum lease payments under these capital leases for both Sempra Energy Consolidated and SDG&amp;E were as follows: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Borders>
              <w:top w:val="single" w:sz="8" w:color="auto"/>
            </w:tcBorders>
          </w:tcPr>
          <w:p>
            <w:pPr>
              <w:ind w:left="820"/>
              <w:spacing w:after="0" w:line="171" w:lineRule="exact"/>
              <w:rPr>
                <w:sz w:val="20"/>
                <w:szCs w:val="20"/>
                <w:color w:val="auto"/>
              </w:rPr>
            </w:pPr>
            <w:r>
              <w:rPr>
                <w:rFonts w:ascii="Arial" w:cs="Arial" w:eastAsia="Arial" w:hAnsi="Arial"/>
                <w:sz w:val="16"/>
                <w:szCs w:val="16"/>
                <w:color w:val="auto"/>
              </w:rPr>
              <w:t>2012</w:t>
            </w:r>
          </w:p>
        </w:tc>
        <w:tc>
          <w:tcPr>
            <w:tcW w:w="3400" w:type="dxa"/>
            <w:vAlign w:val="bottom"/>
            <w:tcBorders>
              <w:top w:val="single" w:sz="8" w:color="auto"/>
            </w:tcBorders>
            <w:gridSpan w:val="2"/>
          </w:tcPr>
          <w:p>
            <w:pPr>
              <w:jc w:val="right"/>
              <w:ind w:right="724"/>
              <w:spacing w:after="0" w:line="171"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color w:val="auto"/>
              </w:rPr>
              <w:t>24</w:t>
            </w:r>
          </w:p>
        </w:tc>
      </w:tr>
      <w:tr>
        <w:trPr>
          <w:trHeight w:val="176"/>
        </w:trPr>
        <w:tc>
          <w:tcPr>
            <w:tcW w:w="6840" w:type="dxa"/>
            <w:vAlign w:val="bottom"/>
          </w:tcPr>
          <w:p>
            <w:pPr>
              <w:ind w:left="820"/>
              <w:spacing w:after="0" w:line="176" w:lineRule="exact"/>
              <w:rPr>
                <w:sz w:val="20"/>
                <w:szCs w:val="20"/>
                <w:color w:val="auto"/>
              </w:rPr>
            </w:pPr>
            <w:r>
              <w:rPr>
                <w:rFonts w:ascii="Arial" w:cs="Arial" w:eastAsia="Arial" w:hAnsi="Arial"/>
                <w:sz w:val="16"/>
                <w:szCs w:val="16"/>
                <w:color w:val="auto"/>
              </w:rPr>
              <w:t>2013</w:t>
            </w: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76"/>
        </w:trPr>
        <w:tc>
          <w:tcPr>
            <w:tcW w:w="6840" w:type="dxa"/>
            <w:vAlign w:val="bottom"/>
          </w:tcPr>
          <w:p>
            <w:pPr>
              <w:ind w:left="820"/>
              <w:spacing w:after="0" w:line="176" w:lineRule="exact"/>
              <w:rPr>
                <w:sz w:val="20"/>
                <w:szCs w:val="20"/>
                <w:color w:val="auto"/>
              </w:rPr>
            </w:pPr>
            <w:r>
              <w:rPr>
                <w:rFonts w:ascii="Arial" w:cs="Arial" w:eastAsia="Arial" w:hAnsi="Arial"/>
                <w:sz w:val="16"/>
                <w:szCs w:val="16"/>
                <w:color w:val="auto"/>
              </w:rPr>
              <w:t>2014</w:t>
            </w: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76"/>
        </w:trPr>
        <w:tc>
          <w:tcPr>
            <w:tcW w:w="6840" w:type="dxa"/>
            <w:vAlign w:val="bottom"/>
          </w:tcPr>
          <w:p>
            <w:pPr>
              <w:ind w:left="820"/>
              <w:spacing w:after="0" w:line="176" w:lineRule="exact"/>
              <w:rPr>
                <w:sz w:val="20"/>
                <w:szCs w:val="20"/>
                <w:color w:val="auto"/>
              </w:rPr>
            </w:pPr>
            <w:r>
              <w:rPr>
                <w:rFonts w:ascii="Arial" w:cs="Arial" w:eastAsia="Arial" w:hAnsi="Arial"/>
                <w:sz w:val="16"/>
                <w:szCs w:val="16"/>
                <w:color w:val="auto"/>
              </w:rPr>
              <w:t>2015</w:t>
            </w: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76"/>
        </w:trPr>
        <w:tc>
          <w:tcPr>
            <w:tcW w:w="6840" w:type="dxa"/>
            <w:vAlign w:val="bottom"/>
          </w:tcPr>
          <w:p>
            <w:pPr>
              <w:ind w:left="820"/>
              <w:spacing w:after="0" w:line="176" w:lineRule="exact"/>
              <w:rPr>
                <w:sz w:val="20"/>
                <w:szCs w:val="20"/>
                <w:color w:val="auto"/>
              </w:rPr>
            </w:pPr>
            <w:r>
              <w:rPr>
                <w:rFonts w:ascii="Arial" w:cs="Arial" w:eastAsia="Arial" w:hAnsi="Arial"/>
                <w:sz w:val="16"/>
                <w:szCs w:val="16"/>
                <w:color w:val="auto"/>
              </w:rPr>
              <w:t>2016</w:t>
            </w: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94"/>
        </w:trPr>
        <w:tc>
          <w:tcPr>
            <w:tcW w:w="6840" w:type="dxa"/>
            <w:vAlign w:val="bottom"/>
          </w:tcPr>
          <w:p>
            <w:pPr>
              <w:ind w:left="820"/>
              <w:spacing w:after="0"/>
              <w:rPr>
                <w:sz w:val="20"/>
                <w:szCs w:val="20"/>
                <w:color w:val="auto"/>
              </w:rPr>
            </w:pPr>
            <w:r>
              <w:rPr>
                <w:rFonts w:ascii="Arial" w:cs="Arial" w:eastAsia="Arial" w:hAnsi="Arial"/>
                <w:sz w:val="16"/>
                <w:szCs w:val="16"/>
                <w:color w:val="auto"/>
              </w:rPr>
              <w:t>Thereafter</w:t>
            </w:r>
          </w:p>
        </w:tc>
        <w:tc>
          <w:tcPr>
            <w:tcW w:w="25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164"/>
        </w:trPr>
        <w:tc>
          <w:tcPr>
            <w:tcW w:w="6840" w:type="dxa"/>
            <w:vAlign w:val="bottom"/>
          </w:tcPr>
          <w:p>
            <w:pPr>
              <w:ind w:left="820"/>
              <w:spacing w:after="0" w:line="164" w:lineRule="exact"/>
              <w:rPr>
                <w:sz w:val="20"/>
                <w:szCs w:val="20"/>
                <w:color w:val="auto"/>
              </w:rPr>
            </w:pPr>
            <w:r>
              <w:rPr>
                <w:rFonts w:ascii="Arial" w:cs="Arial" w:eastAsia="Arial" w:hAnsi="Arial"/>
                <w:sz w:val="16"/>
                <w:szCs w:val="16"/>
                <w:color w:val="auto"/>
              </w:rPr>
              <w:t>Total minimum lease payments(1)</w:t>
            </w: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right"/>
              <w:spacing w:after="0" w:line="164" w:lineRule="exact"/>
              <w:rPr>
                <w:sz w:val="20"/>
                <w:szCs w:val="20"/>
                <w:color w:val="auto"/>
              </w:rPr>
            </w:pPr>
            <w:r>
              <w:rPr>
                <w:rFonts w:ascii="Arial" w:cs="Arial" w:eastAsia="Arial" w:hAnsi="Arial"/>
                <w:sz w:val="16"/>
                <w:szCs w:val="16"/>
                <w:color w:val="auto"/>
              </w:rPr>
              <w:t>562</w:t>
            </w:r>
          </w:p>
        </w:tc>
      </w:tr>
      <w:tr>
        <w:trPr>
          <w:trHeight w:val="176"/>
        </w:trPr>
        <w:tc>
          <w:tcPr>
            <w:tcW w:w="6840" w:type="dxa"/>
            <w:vAlign w:val="bottom"/>
          </w:tcPr>
          <w:p>
            <w:pPr>
              <w:ind w:left="820"/>
              <w:spacing w:after="0" w:line="176" w:lineRule="exact"/>
              <w:rPr>
                <w:sz w:val="20"/>
                <w:szCs w:val="20"/>
                <w:color w:val="auto"/>
              </w:rPr>
            </w:pPr>
            <w:r>
              <w:rPr>
                <w:rFonts w:ascii="Arial" w:cs="Arial" w:eastAsia="Arial" w:hAnsi="Arial"/>
                <w:sz w:val="16"/>
                <w:szCs w:val="16"/>
                <w:color w:val="auto"/>
              </w:rPr>
              <w:t>Less: estimated executory costs</w:t>
            </w: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(93)</w:t>
            </w:r>
          </w:p>
        </w:tc>
      </w:tr>
      <w:tr>
        <w:trPr>
          <w:trHeight w:val="194"/>
        </w:trPr>
        <w:tc>
          <w:tcPr>
            <w:tcW w:w="6840" w:type="dxa"/>
            <w:vAlign w:val="bottom"/>
          </w:tcPr>
          <w:p>
            <w:pPr>
              <w:ind w:left="820"/>
              <w:spacing w:after="0"/>
              <w:rPr>
                <w:sz w:val="20"/>
                <w:szCs w:val="20"/>
                <w:color w:val="auto"/>
              </w:rPr>
            </w:pPr>
            <w:r>
              <w:rPr>
                <w:rFonts w:ascii="Arial" w:cs="Arial" w:eastAsia="Arial" w:hAnsi="Arial"/>
                <w:sz w:val="16"/>
                <w:szCs w:val="16"/>
                <w:color w:val="auto"/>
              </w:rPr>
              <w:t>Less: interest(2)</w:t>
            </w:r>
          </w:p>
        </w:tc>
        <w:tc>
          <w:tcPr>
            <w:tcW w:w="25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195"/>
        </w:trPr>
        <w:tc>
          <w:tcPr>
            <w:tcW w:w="6840" w:type="dxa"/>
            <w:vAlign w:val="bottom"/>
          </w:tcPr>
          <w:p>
            <w:pPr>
              <w:ind w:left="820"/>
              <w:spacing w:after="0"/>
              <w:rPr>
                <w:sz w:val="20"/>
                <w:szCs w:val="20"/>
                <w:color w:val="auto"/>
              </w:rPr>
            </w:pPr>
            <w:r>
              <w:rPr>
                <w:rFonts w:ascii="Arial" w:cs="Arial" w:eastAsia="Arial" w:hAnsi="Arial"/>
                <w:sz w:val="16"/>
                <w:szCs w:val="16"/>
                <w:color w:val="auto"/>
              </w:rPr>
              <w:t>Present value of net minimum lease payments(3)</w:t>
            </w:r>
          </w:p>
        </w:tc>
        <w:tc>
          <w:tcPr>
            <w:tcW w:w="2520" w:type="dxa"/>
            <w:vAlign w:val="bottom"/>
          </w:tcPr>
          <w:p>
            <w:pPr>
              <w:spacing w:after="0"/>
              <w:rPr>
                <w:sz w:val="16"/>
                <w:szCs w:val="16"/>
                <w:color w:val="auto"/>
              </w:rPr>
            </w:pP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right="120" w:hanging="812"/>
        <w:spacing w:after="0" w:line="251" w:lineRule="auto"/>
        <w:tabs>
          <w:tab w:leader="none" w:pos="820" w:val="left"/>
        </w:tabs>
        <w:numPr>
          <w:ilvl w:val="0"/>
          <w:numId w:val="375"/>
        </w:numPr>
        <w:rPr>
          <w:rFonts w:ascii="Arial" w:cs="Arial" w:eastAsia="Arial" w:hAnsi="Arial"/>
          <w:sz w:val="14"/>
          <w:szCs w:val="14"/>
          <w:i w:val="1"/>
          <w:iCs w:val="1"/>
          <w:color w:val="auto"/>
        </w:rPr>
      </w:pPr>
      <w:r>
        <w:rPr>
          <w:rFonts w:ascii="Arial" w:cs="Arial" w:eastAsia="Arial" w:hAnsi="Arial"/>
          <w:sz w:val="14"/>
          <w:szCs w:val="14"/>
          <w:i w:val="1"/>
          <w:iCs w:val="1"/>
          <w:color w:val="auto"/>
        </w:rPr>
        <w:t>This amount will be recorded over the lives of the leases as Cost of Electric Fuel and Purchased Power on Sempra Energy’s and SDG&amp;E’s Consolidated Statements of Operations. This expense will receive ratemaking treatment consistent with purchased-power costs.</w:t>
      </w:r>
    </w:p>
    <w:p>
      <w:pPr>
        <w:ind w:left="820" w:hanging="812"/>
        <w:spacing w:after="0"/>
        <w:tabs>
          <w:tab w:leader="none" w:pos="820" w:val="left"/>
        </w:tabs>
        <w:numPr>
          <w:ilvl w:val="0"/>
          <w:numId w:val="375"/>
        </w:numPr>
        <w:rPr>
          <w:rFonts w:ascii="Arial" w:cs="Arial" w:eastAsia="Arial" w:hAnsi="Arial"/>
          <w:sz w:val="14"/>
          <w:szCs w:val="14"/>
          <w:i w:val="1"/>
          <w:iCs w:val="1"/>
          <w:color w:val="auto"/>
        </w:rPr>
      </w:pPr>
      <w:r>
        <w:rPr>
          <w:rFonts w:ascii="Arial" w:cs="Arial" w:eastAsia="Arial" w:hAnsi="Arial"/>
          <w:sz w:val="14"/>
          <w:szCs w:val="14"/>
          <w:i w:val="1"/>
          <w:iCs w:val="1"/>
          <w:color w:val="auto"/>
        </w:rPr>
        <w:t>Amount necessary to reduce net minimum lease payments to present value at the inception of the leases.</w:t>
      </w:r>
    </w:p>
    <w:p>
      <w:pPr>
        <w:spacing w:after="0" w:line="1" w:lineRule="exact"/>
        <w:rPr>
          <w:rFonts w:ascii="Arial" w:cs="Arial" w:eastAsia="Arial" w:hAnsi="Arial"/>
          <w:sz w:val="14"/>
          <w:szCs w:val="14"/>
          <w:i w:val="1"/>
          <w:iCs w:val="1"/>
          <w:color w:val="auto"/>
        </w:rPr>
      </w:pPr>
    </w:p>
    <w:p>
      <w:pPr>
        <w:ind w:left="820" w:right="340" w:hanging="812"/>
        <w:spacing w:after="0" w:line="258" w:lineRule="auto"/>
        <w:tabs>
          <w:tab w:leader="none" w:pos="820" w:val="left"/>
        </w:tabs>
        <w:numPr>
          <w:ilvl w:val="0"/>
          <w:numId w:val="37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 million in Current Portion of Long-Term Debt and $178 million in Long-Term Debt on Sempra Energy’s and SDG&amp;E’s Consolidated Balance Sheets at December 31, 2011.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annual amortization charge for the power purchase agreements was $2 million for 2011 and $1 million for 2010.</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pacing w:after="0" w:line="2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Sempra Energy has various capital projects in progress in the United States, Mexico and South America. The following is a summary of contractual commitments and contingencies related to the construction projects.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SDG&amp;E has commitments to make future payments of $408 million for construction projects that include</w:t>
      </w:r>
    </w:p>
    <w:p>
      <w:pPr>
        <w:spacing w:after="0" w:line="225" w:lineRule="exact"/>
        <w:rPr>
          <w:sz w:val="20"/>
          <w:szCs w:val="20"/>
          <w:color w:val="auto"/>
        </w:rPr>
      </w:pPr>
    </w:p>
    <w:p>
      <w:pPr>
        <w:ind w:left="340" w:hanging="188"/>
        <w:spacing w:after="0"/>
        <w:tabs>
          <w:tab w:leader="none" w:pos="3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$147 million for the engineering, material procurement and construction costs associated with the Sunrise Powerlink project;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$205 million related to nuclear fuel fabrication and other construction projects at SONGS.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SDG&amp;E expects future payments under these contractual commitments to be $229 million in 2012, $39 million in 2013, $16 million in 2014, $14 million in 2015, $27 million in 2016 and $83 million thereafter.</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ectPr>
          <w:pgSz w:w="11900" w:h="16838" w:orient="portrait"/>
          <w:cols w:equalWidth="0" w:num="1">
            <w:col w:w="11420"/>
          </w:cols>
          <w:pgMar w:left="240" w:top="128" w:right="239" w:bottom="0" w:gutter="0" w:footer="0" w:header="0"/>
        </w:sectPr>
      </w:pPr>
    </w:p>
    <w:bookmarkStart w:id="267" w:name="page268"/>
    <w:bookmarkEnd w:id="267"/>
    <w:p>
      <w:pPr>
        <w:ind w:right="100"/>
        <w:spacing w:after="0" w:line="259" w:lineRule="auto"/>
        <w:rPr>
          <w:sz w:val="20"/>
          <w:szCs w:val="20"/>
          <w:color w:val="auto"/>
        </w:rPr>
      </w:pPr>
      <w:r>
        <w:rPr>
          <w:rFonts w:ascii="Arial" w:cs="Arial" w:eastAsia="Arial" w:hAnsi="Arial"/>
          <w:sz w:val="18"/>
          <w:szCs w:val="18"/>
          <w:color w:val="auto"/>
        </w:rPr>
        <w:t>At December 31, 2011, SoCalGas has commitments to make future payments of $378 million for construction and infrastructure improvements for natural gas transmission and distribution operations, pipeline integrity and the Advanced Metering Infrastructure Program. The future payments under these contractual commitments are expected to be $60 million in 2012, $72 million in 2013, $65 million in 2014, $65 million in 2015, $6 million in 2016 and $110 million thereafter.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Generation</w:t>
      </w:r>
    </w:p>
    <w:p>
      <w:pPr>
        <w:spacing w:after="0" w:line="2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December 31, 2011, Sempra Generation has commitments to make future payments of $836 million for the construction of Mesquite Solar 1 and Copper Mountain 2 Solar facilities. The future payments under these contractual commitments are expected to be $610 million in 2012 and $226 million in 2013.</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Pipelines &amp; Storage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2011, Sempra Pipelines &amp; Storage has commitments to make future payments of $177 million for construction projects that include</w:t>
      </w:r>
    </w:p>
    <w:p>
      <w:pPr>
        <w:spacing w:after="0" w:line="237" w:lineRule="exact"/>
        <w:rPr>
          <w:sz w:val="20"/>
          <w:szCs w:val="20"/>
          <w:color w:val="auto"/>
        </w:rPr>
      </w:pPr>
    </w:p>
    <w:p>
      <w:pPr>
        <w:ind w:left="340" w:hanging="188"/>
        <w:spacing w:after="0"/>
        <w:tabs>
          <w:tab w:leader="none" w:pos="3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$129 million for the construction of the Santa Teresa hydroelectric power plant at Luz del Sur;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$34 million for the construction of natural gas storage facilities at Bay Gas and Mississippi Hub.</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Sempra Pipelines &amp; Storage expects future payments under these contractual commitments to be $96 million in 2012, $73 million in 2013 and $8 million in 2014.</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Sempra Energy’s guarantees related to RBS Sempra Commodities, Fowler Ridge 2 and Cedar Creek 2 are discussed in Note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SDG&amp;E and SoCalGas did not have any outstanding guarantees.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 OF ENERGY NUCLEAR FUEL DISPOSAL</w:t>
      </w:r>
    </w:p>
    <w:p>
      <w:pPr>
        <w:spacing w:after="0" w:line="2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Nuclear Waste Policy Act of 1982 made the DOE responsible for the disposal of spent nuclear fuel. However, it is uncertain when the DOE will begin accepting spent nuclear fuel from SONGS. This delay will lead to increased costs for spent fuel storage. This cost will be recovered through SONGS revenue unless SDG&amp;E is able to recover the increased cost from the federal government.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consideration for the settlement discussed above in “Legal Proceedings – Resolved Matters – Energy Crisis Litigation Settlement” included an agreement that, for a period of 18 years beginning in 2011, Sempra LNG would sell to the Sempra Utilities, subject to annual CPUC approval, up to 500 million cubic feet (MMcf) per day of regasified LNG from Sempra LNG’s Energía Costa Azul facility that is not delivered or sold in Mexico at the California border index minus $0.02 per MMBtu.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discuss reserves at Sempra Energy and SDG&amp;E for wildfire litigation above in “Legal Proceedings – SDG&amp;E – 2007 Wildfire Litigation.”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ISSUES</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operations are subject to federal, state and local environmental laws. We also are subject to regulations related to hazardous wastes, air and water quality, land use, solid waste disposal and the protection of wildlife. These laws and regulations require that we investigate and correct the effects of the release or disposal of materials at sites associated with our past and our present operations. These sites include those at which we have been identified as a Potentially Responsible Party (PRP) under the federal Superfund laws and similar state laws.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we are required to obtain numerous governmental permits, licenses and other approvals to construct facilities and operate our businesses. The related costs of environmental monitoring, pollution control equipment, cleanup costs, and emissions fees are significant. Increasing national and international concerns regarding global warming and mercury, carbon dioxide, nitrogen oxide and sulfur dioxide emissions could result in requirements for additional pollution control equipment or significant emissions fees or taxes that could adversely affect Sempra Generation. The Sempra Utilities’ costs to operate their facilities in compliance with these laws and regulations generally have been recovered in customer rates.</w:t>
      </w:r>
    </w:p>
    <w:p>
      <w:pPr>
        <w:spacing w:after="0" w:line="1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generally capitalize the significant costs we incur to mitigate or prevent future environmental contamination or extend the life, increase the capacity, or improve the safety or efficiency of property used in current operations. The following table shows (in millions) our capital expenditures in order to comply with environmental laws and regulations: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color w:val="auto"/>
              </w:rPr>
              <w:t>Years ended December 31,</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2009</w:t>
            </w:r>
          </w:p>
        </w:tc>
      </w:tr>
      <w:tr>
        <w:trPr>
          <w:trHeight w:val="164"/>
        </w:trPr>
        <w:tc>
          <w:tcPr>
            <w:tcW w:w="20" w:type="dxa"/>
            <w:vAlign w:val="bottom"/>
          </w:tcPr>
          <w:p>
            <w:pPr>
              <w:spacing w:after="0"/>
              <w:rPr>
                <w:sz w:val="14"/>
                <w:szCs w:val="14"/>
                <w:color w:val="auto"/>
              </w:rPr>
            </w:pPr>
          </w:p>
        </w:tc>
        <w:tc>
          <w:tcPr>
            <w:tcW w:w="6100" w:type="dxa"/>
            <w:vAlign w:val="bottom"/>
          </w:tcPr>
          <w:p>
            <w:pPr>
              <w:spacing w:after="0" w:line="164" w:lineRule="exact"/>
              <w:rPr>
                <w:sz w:val="20"/>
                <w:szCs w:val="20"/>
                <w:color w:val="auto"/>
              </w:rPr>
            </w:pPr>
            <w:r>
              <w:rPr>
                <w:rFonts w:ascii="Arial" w:cs="Arial" w:eastAsia="Arial" w:hAnsi="Arial"/>
                <w:sz w:val="16"/>
                <w:szCs w:val="16"/>
                <w:color w:val="auto"/>
              </w:rPr>
              <w:t>Sempra Energy Consolidated(1)</w:t>
            </w:r>
          </w:p>
        </w:tc>
        <w:tc>
          <w:tcPr>
            <w:tcW w:w="1260" w:type="dxa"/>
            <w:vAlign w:val="bottom"/>
          </w:tcPr>
          <w:p>
            <w:pPr>
              <w:jc w:val="right"/>
              <w:ind w:right="803"/>
              <w:spacing w:after="0" w:line="164"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4" w:lineRule="exact"/>
              <w:rPr>
                <w:sz w:val="20"/>
                <w:szCs w:val="20"/>
                <w:color w:val="auto"/>
              </w:rPr>
            </w:pPr>
            <w:r>
              <w:rPr>
                <w:rFonts w:ascii="Arial" w:cs="Arial" w:eastAsia="Arial" w:hAnsi="Arial"/>
                <w:sz w:val="16"/>
                <w:szCs w:val="16"/>
                <w:color w:val="auto"/>
              </w:rPr>
              <w:t>21</w:t>
            </w:r>
          </w:p>
        </w:tc>
        <w:tc>
          <w:tcPr>
            <w:tcW w:w="540" w:type="dxa"/>
            <w:vAlign w:val="bottom"/>
          </w:tcPr>
          <w:p>
            <w:pPr>
              <w:jc w:val="right"/>
              <w:ind w:right="83"/>
              <w:spacing w:after="0" w:line="164"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01"/>
              <w:spacing w:after="0" w:line="164" w:lineRule="exact"/>
              <w:rPr>
                <w:sz w:val="20"/>
                <w:szCs w:val="20"/>
                <w:color w:val="auto"/>
              </w:rPr>
            </w:pPr>
            <w:r>
              <w:rPr>
                <w:rFonts w:ascii="Arial" w:cs="Arial" w:eastAsia="Arial" w:hAnsi="Arial"/>
                <w:sz w:val="16"/>
                <w:szCs w:val="16"/>
                <w:color w:val="auto"/>
              </w:rPr>
              <w:t>21</w:t>
            </w:r>
          </w:p>
        </w:tc>
        <w:tc>
          <w:tcPr>
            <w:tcW w:w="400" w:type="dxa"/>
            <w:vAlign w:val="bottom"/>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4" w:lineRule="exact"/>
              <w:rPr>
                <w:sz w:val="20"/>
                <w:szCs w:val="20"/>
                <w:color w:val="auto"/>
              </w:rPr>
            </w:pPr>
            <w:r>
              <w:rPr>
                <w:rFonts w:ascii="Arial" w:cs="Arial" w:eastAsia="Arial" w:hAnsi="Arial"/>
                <w:sz w:val="16"/>
                <w:szCs w:val="16"/>
                <w:color w:val="auto"/>
              </w:rPr>
              <w:t>43</w:t>
            </w:r>
          </w:p>
        </w:tc>
      </w:tr>
      <w:tr>
        <w:trPr>
          <w:trHeight w:val="176"/>
        </w:trPr>
        <w:tc>
          <w:tcPr>
            <w:tcW w:w="612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26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540" w:type="dxa"/>
            <w:vAlign w:val="bottom"/>
          </w:tcPr>
          <w:p>
            <w:pPr>
              <w:spacing w:after="0"/>
              <w:rPr>
                <w:sz w:val="15"/>
                <w:szCs w:val="15"/>
                <w:color w:val="auto"/>
              </w:rPr>
            </w:pPr>
          </w:p>
        </w:tc>
        <w:tc>
          <w:tcPr>
            <w:tcW w:w="13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10</w:t>
            </w:r>
          </w:p>
        </w:tc>
        <w:tc>
          <w:tcPr>
            <w:tcW w:w="40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94"/>
        </w:trPr>
        <w:tc>
          <w:tcPr>
            <w:tcW w:w="612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1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bl>
    <w:p>
      <w:pPr>
        <w:ind w:left="780" w:hanging="772"/>
        <w:spacing w:after="0"/>
        <w:tabs>
          <w:tab w:leader="none" w:pos="780" w:val="left"/>
        </w:tabs>
        <w:numPr>
          <w:ilvl w:val="0"/>
          <w:numId w:val="378"/>
        </w:numPr>
        <w:rPr>
          <w:rFonts w:ascii="Arial" w:cs="Arial" w:eastAsia="Arial" w:hAnsi="Arial"/>
          <w:sz w:val="14"/>
          <w:szCs w:val="14"/>
          <w:i w:val="1"/>
          <w:iCs w:val="1"/>
          <w:color w:val="auto"/>
        </w:rPr>
      </w:pPr>
      <w:r>
        <w:rPr>
          <w:rFonts w:ascii="Arial" w:cs="Arial" w:eastAsia="Arial" w:hAnsi="Arial"/>
          <w:sz w:val="14"/>
          <w:szCs w:val="14"/>
          <w:i w:val="1"/>
          <w:iCs w:val="1"/>
          <w:color w:val="auto"/>
        </w:rPr>
        <w:t>In cases of non-wholly owned affiliates, includes only our share.</w:t>
      </w:r>
    </w:p>
    <w:p>
      <w:pPr>
        <w:spacing w:after="0" w:line="2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Decreases in 2010 compared to 2009 were primarily due to a decrease in environmental-related spending on SoCalGas’ natural gas transmission projects, completion of SDG&amp;E’s Miramar II facility and the deconsolidation of a VIE at SDG&amp;E. We have not identified any significant environmental issues outside the United States. From 2009 through 2013, SDG&amp;E expects to incur costs of approximately $286 million for environmental mitigation measures associated with the Sunrise Powerlink construction project.</w:t>
      </w:r>
    </w:p>
    <w:p>
      <w:pPr>
        <w:sectPr>
          <w:pgSz w:w="11900" w:h="16838" w:orient="portrait"/>
          <w:cols w:equalWidth="0" w:num="1">
            <w:col w:w="11420"/>
          </w:cols>
          <w:pgMar w:left="240" w:top="125" w:right="239" w:bottom="0" w:gutter="0" w:footer="0" w:header="0"/>
        </w:sectPr>
      </w:pPr>
    </w:p>
    <w:bookmarkStart w:id="268" w:name="page269"/>
    <w:bookmarkEnd w:id="268"/>
    <w:p>
      <w:pPr>
        <w:ind w:right="220"/>
        <w:spacing w:after="0" w:line="277" w:lineRule="auto"/>
        <w:rPr>
          <w:sz w:val="20"/>
          <w:szCs w:val="20"/>
          <w:color w:val="auto"/>
        </w:rPr>
      </w:pPr>
      <w:r>
        <w:rPr>
          <w:rFonts w:ascii="Arial" w:cs="Arial" w:eastAsia="Arial" w:hAnsi="Arial"/>
          <w:sz w:val="18"/>
          <w:szCs w:val="18"/>
          <w:color w:val="auto"/>
        </w:rPr>
        <w:t>At the Sempra Utilities, costs that relate to current operations or an existing condition caused by past operations are generally recorded as a regulatory asset due to the probability that these costs will be recovered in rates.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environmental issues currently facing us or resolved during the last three years include (1) investigation and remediation of the Sempra Utilities’ manufactured-gas sites, (2) cleanup of third-party waste-disposal sites used by the Sempra Utilities at sites for which we have been identified as a PRP and (3) mitigation of damage to the marine environment caused by the cooling-water discharge from SONGS. The requirements for enhanced fish protection and restoration of 150 acres of coastal wetlands for the SONGS mitigation are in process and a 150-acre artificial reef was completed in 2008. The table below shows the status at December 31, 2011, of the Sempra Utilities’ manufactured-gas sites and the third-party waste-disposal sites for which we have been identified as a PRP: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180" w:type="dxa"/>
            <w:vAlign w:val="bottom"/>
          </w:tcPr>
          <w:p>
            <w:pPr>
              <w:jc w:val="center"/>
              <w:ind w:left="6705"/>
              <w:spacing w:after="0"/>
              <w:rPr>
                <w:sz w:val="20"/>
                <w:szCs w:val="20"/>
                <w:color w:val="auto"/>
              </w:rPr>
            </w:pPr>
            <w:r>
              <w:rPr>
                <w:rFonts w:ascii="Arial" w:cs="Arial" w:eastAsia="Arial" w:hAnsi="Arial"/>
                <w:sz w:val="14"/>
                <w:szCs w:val="14"/>
                <w:color w:val="auto"/>
              </w:rPr>
              <w:t># Sites</w:t>
            </w:r>
          </w:p>
        </w:tc>
        <w:tc>
          <w:tcPr>
            <w:tcW w:w="1060" w:type="dxa"/>
            <w:vAlign w:val="bottom"/>
          </w:tcPr>
          <w:p>
            <w:pPr>
              <w:spacing w:after="0"/>
              <w:rPr>
                <w:sz w:val="14"/>
                <w:szCs w:val="14"/>
                <w:color w:val="auto"/>
              </w:rPr>
            </w:pPr>
          </w:p>
        </w:tc>
        <w:tc>
          <w:tcPr>
            <w:tcW w:w="2160" w:type="dxa"/>
            <w:vAlign w:val="bottom"/>
          </w:tcPr>
          <w:p>
            <w:pPr>
              <w:jc w:val="right"/>
              <w:ind w:right="1002"/>
              <w:spacing w:after="0"/>
              <w:rPr>
                <w:sz w:val="20"/>
                <w:szCs w:val="20"/>
                <w:color w:val="auto"/>
              </w:rPr>
            </w:pPr>
            <w:r>
              <w:rPr>
                <w:rFonts w:ascii="Arial" w:cs="Arial" w:eastAsia="Arial" w:hAnsi="Arial"/>
                <w:sz w:val="14"/>
                <w:szCs w:val="14"/>
                <w:color w:val="auto"/>
              </w:rPr>
              <w:t># Sites</w:t>
            </w:r>
          </w:p>
        </w:tc>
      </w:tr>
      <w:tr>
        <w:trPr>
          <w:trHeight w:val="168"/>
        </w:trPr>
        <w:tc>
          <w:tcPr>
            <w:tcW w:w="20" w:type="dxa"/>
            <w:vAlign w:val="bottom"/>
          </w:tcPr>
          <w:p>
            <w:pPr>
              <w:spacing w:after="0"/>
              <w:rPr>
                <w:sz w:val="14"/>
                <w:szCs w:val="14"/>
                <w:color w:val="auto"/>
              </w:rPr>
            </w:pPr>
          </w:p>
        </w:tc>
        <w:tc>
          <w:tcPr>
            <w:tcW w:w="8180" w:type="dxa"/>
            <w:vAlign w:val="bottom"/>
            <w:tcBorders>
              <w:bottom w:val="single" w:sz="8" w:color="auto"/>
            </w:tcBorders>
          </w:tcPr>
          <w:p>
            <w:pPr>
              <w:jc w:val="center"/>
              <w:ind w:left="6685"/>
              <w:spacing w:after="0"/>
              <w:rPr>
                <w:sz w:val="20"/>
                <w:szCs w:val="20"/>
                <w:color w:val="auto"/>
              </w:rPr>
            </w:pPr>
            <w:r>
              <w:rPr>
                <w:rFonts w:ascii="Arial" w:cs="Arial" w:eastAsia="Arial" w:hAnsi="Arial"/>
                <w:sz w:val="14"/>
                <w:szCs w:val="14"/>
                <w:color w:val="auto"/>
              </w:rPr>
              <w:t>Completed</w:t>
            </w:r>
          </w:p>
        </w:tc>
        <w:tc>
          <w:tcPr>
            <w:tcW w:w="10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color w:val="auto"/>
              </w:rPr>
              <w:t>In Process</w:t>
            </w:r>
          </w:p>
        </w:tc>
      </w:tr>
      <w:tr>
        <w:trPr>
          <w:trHeight w:val="164"/>
        </w:trPr>
        <w:tc>
          <w:tcPr>
            <w:tcW w:w="20" w:type="dxa"/>
            <w:vAlign w:val="bottom"/>
          </w:tcPr>
          <w:p>
            <w:pPr>
              <w:spacing w:after="0"/>
              <w:rPr>
                <w:sz w:val="14"/>
                <w:szCs w:val="14"/>
                <w:color w:val="auto"/>
              </w:rPr>
            </w:pPr>
          </w:p>
        </w:tc>
        <w:tc>
          <w:tcPr>
            <w:tcW w:w="81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0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6"/>
        </w:trPr>
        <w:tc>
          <w:tcPr>
            <w:tcW w:w="8200" w:type="dxa"/>
            <w:vAlign w:val="bottom"/>
            <w:gridSpan w:val="2"/>
          </w:tcPr>
          <w:p>
            <w:pPr>
              <w:spacing w:after="0" w:line="176" w:lineRule="exact"/>
              <w:rPr>
                <w:sz w:val="20"/>
                <w:szCs w:val="20"/>
                <w:color w:val="auto"/>
              </w:rPr>
            </w:pPr>
            <w:r>
              <w:rPr>
                <w:rFonts w:ascii="Arial" w:cs="Arial" w:eastAsia="Arial" w:hAnsi="Arial"/>
                <w:sz w:val="16"/>
                <w:szCs w:val="16"/>
                <w:color w:val="auto"/>
              </w:rPr>
              <w:t>Manufactured-gas sites</w:t>
            </w:r>
          </w:p>
        </w:tc>
        <w:tc>
          <w:tcPr>
            <w:tcW w:w="10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3</w:t>
            </w:r>
          </w:p>
        </w:tc>
        <w:tc>
          <w:tcPr>
            <w:tcW w:w="2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Third-party waste-disposal sites</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64"/>
        </w:trPr>
        <w:tc>
          <w:tcPr>
            <w:tcW w:w="8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0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6"/>
        </w:trPr>
        <w:tc>
          <w:tcPr>
            <w:tcW w:w="8200" w:type="dxa"/>
            <w:vAlign w:val="bottom"/>
            <w:gridSpan w:val="2"/>
          </w:tcPr>
          <w:p>
            <w:pPr>
              <w:spacing w:after="0" w:line="176" w:lineRule="exact"/>
              <w:rPr>
                <w:sz w:val="20"/>
                <w:szCs w:val="20"/>
                <w:color w:val="auto"/>
              </w:rPr>
            </w:pPr>
            <w:r>
              <w:rPr>
                <w:rFonts w:ascii="Arial" w:cs="Arial" w:eastAsia="Arial" w:hAnsi="Arial"/>
                <w:sz w:val="16"/>
                <w:szCs w:val="16"/>
                <w:color w:val="auto"/>
              </w:rPr>
              <w:t>Manufactured-gas sites</w:t>
            </w:r>
          </w:p>
        </w:tc>
        <w:tc>
          <w:tcPr>
            <w:tcW w:w="106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38</w:t>
            </w:r>
          </w:p>
        </w:tc>
        <w:tc>
          <w:tcPr>
            <w:tcW w:w="216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94"/>
        </w:trPr>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Third-party waste-disposal sites</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bl>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record environmental liabilities at undiscounted amounts when our liability is probable and the costs can be reasonably estimated. In many cases, however, investigations are not yet at a stage where we can determine whether we are liable or, if the liability is probable, to reasonably estimate the amount or range of amounts of the costs. Estimates of our liability are further subject to uncertainties such as the nature and extent of site contamination, evolving cleanup standards and imprecise engineering evaluations. We review our accruals periodically and, as investigations and cleanup proceed, we make adjustments as necessary. The following table shows (in millions) our accrued liabilities for environmental matters at December 31,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center"/>
              <w:ind w:left="84"/>
              <w:spacing w:after="0"/>
              <w:rPr>
                <w:sz w:val="20"/>
                <w:szCs w:val="20"/>
                <w:color w:val="auto"/>
              </w:rPr>
            </w:pPr>
            <w:r>
              <w:rPr>
                <w:rFonts w:ascii="Arial" w:cs="Arial" w:eastAsia="Arial" w:hAnsi="Arial"/>
                <w:sz w:val="14"/>
                <w:szCs w:val="14"/>
                <w:color w:val="auto"/>
              </w:rPr>
              <w:t>Waste</w:t>
            </w:r>
          </w:p>
        </w:tc>
        <w:tc>
          <w:tcPr>
            <w:tcW w:w="480" w:type="dxa"/>
            <w:vAlign w:val="bottom"/>
          </w:tcPr>
          <w:p>
            <w:pPr>
              <w:spacing w:after="0"/>
              <w:rPr>
                <w:sz w:val="14"/>
                <w:szCs w:val="14"/>
                <w:color w:val="auto"/>
              </w:rPr>
            </w:pPr>
          </w:p>
        </w:tc>
        <w:tc>
          <w:tcPr>
            <w:tcW w:w="1140" w:type="dxa"/>
            <w:vAlign w:val="bottom"/>
          </w:tcPr>
          <w:p>
            <w:pPr>
              <w:jc w:val="center"/>
              <w:ind w:left="84"/>
              <w:spacing w:after="0"/>
              <w:rPr>
                <w:sz w:val="20"/>
                <w:szCs w:val="20"/>
                <w:color w:val="auto"/>
              </w:rPr>
            </w:pPr>
            <w:r>
              <w:rPr>
                <w:rFonts w:ascii="Arial" w:cs="Arial" w:eastAsia="Arial" w:hAnsi="Arial"/>
                <w:sz w:val="14"/>
                <w:szCs w:val="14"/>
                <w:color w:val="auto"/>
              </w:rPr>
              <w:t>Former Fossil-</w:t>
            </w:r>
          </w:p>
        </w:tc>
        <w:tc>
          <w:tcPr>
            <w:tcW w:w="480" w:type="dxa"/>
            <w:vAlign w:val="bottom"/>
          </w:tcPr>
          <w:p>
            <w:pPr>
              <w:spacing w:after="0"/>
              <w:rPr>
                <w:sz w:val="14"/>
                <w:szCs w:val="14"/>
                <w:color w:val="auto"/>
              </w:rPr>
            </w:pPr>
          </w:p>
        </w:tc>
        <w:tc>
          <w:tcPr>
            <w:tcW w:w="1120" w:type="dxa"/>
            <w:vAlign w:val="bottom"/>
          </w:tcPr>
          <w:p>
            <w:pPr>
              <w:jc w:val="center"/>
              <w:ind w:left="124"/>
              <w:spacing w:after="0"/>
              <w:rPr>
                <w:sz w:val="20"/>
                <w:szCs w:val="20"/>
                <w:color w:val="auto"/>
              </w:rPr>
            </w:pPr>
            <w:r>
              <w:rPr>
                <w:rFonts w:ascii="Arial" w:cs="Arial" w:eastAsia="Arial" w:hAnsi="Arial"/>
                <w:sz w:val="14"/>
                <w:szCs w:val="14"/>
                <w:color w:val="auto"/>
              </w:rPr>
              <w:t>Other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4"/>
                <w:szCs w:val="14"/>
                <w:color w:val="auto"/>
              </w:rPr>
              <w:t>Manufactured-</w:t>
            </w:r>
          </w:p>
        </w:tc>
        <w:tc>
          <w:tcPr>
            <w:tcW w:w="1260" w:type="dxa"/>
            <w:vAlign w:val="bottom"/>
          </w:tcPr>
          <w:p>
            <w:pPr>
              <w:jc w:val="center"/>
              <w:ind w:left="84"/>
              <w:spacing w:after="0"/>
              <w:rPr>
                <w:sz w:val="20"/>
                <w:szCs w:val="20"/>
                <w:color w:val="auto"/>
              </w:rPr>
            </w:pPr>
            <w:r>
              <w:rPr>
                <w:rFonts w:ascii="Arial" w:cs="Arial" w:eastAsia="Arial" w:hAnsi="Arial"/>
                <w:sz w:val="14"/>
                <w:szCs w:val="14"/>
                <w:color w:val="auto"/>
              </w:rPr>
              <w:t>Disposal</w:t>
            </w:r>
          </w:p>
        </w:tc>
        <w:tc>
          <w:tcPr>
            <w:tcW w:w="480" w:type="dxa"/>
            <w:vAlign w:val="bottom"/>
          </w:tcPr>
          <w:p>
            <w:pPr>
              <w:spacing w:after="0"/>
              <w:rPr>
                <w:sz w:val="17"/>
                <w:szCs w:val="17"/>
                <w:color w:val="auto"/>
              </w:rPr>
            </w:pPr>
          </w:p>
        </w:tc>
        <w:tc>
          <w:tcPr>
            <w:tcW w:w="1140" w:type="dxa"/>
            <w:vAlign w:val="bottom"/>
          </w:tcPr>
          <w:p>
            <w:pPr>
              <w:jc w:val="center"/>
              <w:ind w:left="84"/>
              <w:spacing w:after="0"/>
              <w:rPr>
                <w:sz w:val="20"/>
                <w:szCs w:val="20"/>
                <w:color w:val="auto"/>
              </w:rPr>
            </w:pPr>
            <w:r>
              <w:rPr>
                <w:rFonts w:ascii="Arial" w:cs="Arial" w:eastAsia="Arial" w:hAnsi="Arial"/>
                <w:sz w:val="14"/>
                <w:szCs w:val="14"/>
                <w:color w:val="auto"/>
              </w:rPr>
              <w:t>Fueled Power</w:t>
            </w:r>
          </w:p>
        </w:tc>
        <w:tc>
          <w:tcPr>
            <w:tcW w:w="480" w:type="dxa"/>
            <w:vAlign w:val="bottom"/>
          </w:tcPr>
          <w:p>
            <w:pPr>
              <w:spacing w:after="0"/>
              <w:rPr>
                <w:sz w:val="17"/>
                <w:szCs w:val="17"/>
                <w:color w:val="auto"/>
              </w:rPr>
            </w:pPr>
          </w:p>
        </w:tc>
        <w:tc>
          <w:tcPr>
            <w:tcW w:w="1120" w:type="dxa"/>
            <w:vAlign w:val="bottom"/>
          </w:tcPr>
          <w:p>
            <w:pPr>
              <w:jc w:val="center"/>
              <w:ind w:left="104"/>
              <w:spacing w:after="0"/>
              <w:rPr>
                <w:sz w:val="20"/>
                <w:szCs w:val="20"/>
                <w:color w:val="auto"/>
              </w:rPr>
            </w:pPr>
            <w:r>
              <w:rPr>
                <w:rFonts w:ascii="Arial" w:cs="Arial" w:eastAsia="Arial" w:hAnsi="Arial"/>
                <w:sz w:val="14"/>
                <w:szCs w:val="14"/>
                <w:color w:val="auto"/>
              </w:rPr>
              <w:t>Hazardous</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Gas Sites</w:t>
            </w: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Sites (PRP)(1)</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color w:val="auto"/>
              </w:rPr>
              <w:t>Plants</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color w:val="auto"/>
              </w:rPr>
              <w:t>Waste Sites</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w w:val="96"/>
              </w:rPr>
              <w:t>Total</w:t>
            </w:r>
          </w:p>
        </w:tc>
      </w:tr>
      <w:tr>
        <w:trPr>
          <w:trHeight w:val="164"/>
        </w:trPr>
        <w:tc>
          <w:tcPr>
            <w:tcW w:w="20" w:type="dxa"/>
            <w:vAlign w:val="bottom"/>
          </w:tcPr>
          <w:p>
            <w:pPr>
              <w:spacing w:after="0"/>
              <w:rPr>
                <w:sz w:val="14"/>
                <w:szCs w:val="14"/>
                <w:color w:val="auto"/>
              </w:rPr>
            </w:pPr>
          </w:p>
        </w:tc>
        <w:tc>
          <w:tcPr>
            <w:tcW w:w="2520" w:type="dxa"/>
            <w:vAlign w:val="bottom"/>
          </w:tcPr>
          <w:p>
            <w:pPr>
              <w:spacing w:after="0" w:line="164" w:lineRule="exact"/>
              <w:rPr>
                <w:sz w:val="20"/>
                <w:szCs w:val="20"/>
                <w:color w:val="auto"/>
              </w:rPr>
            </w:pPr>
            <w:r>
              <w:rPr>
                <w:rFonts w:ascii="Arial" w:cs="Arial" w:eastAsia="Arial" w:hAnsi="Arial"/>
                <w:sz w:val="16"/>
                <w:szCs w:val="16"/>
                <w:color w:val="auto"/>
              </w:rPr>
              <w:t>SDG&amp;E(2)</w:t>
            </w:r>
          </w:p>
        </w:tc>
        <w:tc>
          <w:tcPr>
            <w:tcW w:w="1980" w:type="dxa"/>
            <w:vAlign w:val="bottom"/>
            <w:gridSpan w:val="2"/>
          </w:tcPr>
          <w:p>
            <w:pPr>
              <w:jc w:val="right"/>
              <w:ind w:right="987"/>
              <w:spacing w:after="0" w:line="164"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159"/>
              <w:spacing w:after="0" w:line="164" w:lineRule="exact"/>
              <w:rPr>
                <w:sz w:val="20"/>
                <w:szCs w:val="20"/>
                <w:color w:val="auto"/>
              </w:rPr>
            </w:pPr>
            <w:r>
              <w:rPr>
                <w:rFonts w:ascii="Arial" w:cs="Arial" w:eastAsia="Arial" w:hAnsi="Arial"/>
                <w:sz w:val="16"/>
                <w:szCs w:val="16"/>
                <w:color w:val="auto"/>
              </w:rPr>
              <w:t>0.1</w:t>
            </w:r>
          </w:p>
        </w:tc>
        <w:tc>
          <w:tcPr>
            <w:tcW w:w="1260" w:type="dxa"/>
            <w:vAlign w:val="bottom"/>
          </w:tcPr>
          <w:p>
            <w:pPr>
              <w:ind w:left="220"/>
              <w:spacing w:after="0" w:line="164"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84"/>
              <w:spacing w:after="0" w:line="164"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159"/>
              <w:spacing w:after="0" w:line="164" w:lineRule="exact"/>
              <w:rPr>
                <w:sz w:val="20"/>
                <w:szCs w:val="20"/>
                <w:color w:val="auto"/>
              </w:rPr>
            </w:pPr>
            <w:r>
              <w:rPr>
                <w:rFonts w:ascii="Arial" w:cs="Arial" w:eastAsia="Arial" w:hAnsi="Arial"/>
                <w:sz w:val="16"/>
                <w:szCs w:val="16"/>
                <w:color w:val="auto"/>
                <w:w w:val="98"/>
              </w:rPr>
              <w:t>1.0</w:t>
            </w:r>
          </w:p>
        </w:tc>
        <w:tc>
          <w:tcPr>
            <w:tcW w:w="1120" w:type="dxa"/>
            <w:vAlign w:val="bottom"/>
          </w:tcPr>
          <w:p>
            <w:pPr>
              <w:jc w:val="right"/>
              <w:ind w:right="724"/>
              <w:spacing w:after="0" w:line="164"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0.5</w:t>
            </w: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4" w:lineRule="exact"/>
              <w:rPr>
                <w:sz w:val="20"/>
                <w:szCs w:val="20"/>
                <w:color w:val="auto"/>
              </w:rPr>
            </w:pPr>
            <w:r>
              <w:rPr>
                <w:rFonts w:ascii="Arial" w:cs="Arial" w:eastAsia="Arial" w:hAnsi="Arial"/>
                <w:sz w:val="16"/>
                <w:szCs w:val="16"/>
                <w:color w:val="auto"/>
              </w:rPr>
              <w:t>1.6</w:t>
            </w:r>
          </w:p>
        </w:tc>
      </w:tr>
      <w:tr>
        <w:trPr>
          <w:trHeight w:val="176"/>
        </w:trPr>
        <w:tc>
          <w:tcPr>
            <w:tcW w:w="2540" w:type="dxa"/>
            <w:vAlign w:val="bottom"/>
            <w:gridSpan w:val="2"/>
          </w:tcPr>
          <w:p>
            <w:pPr>
              <w:spacing w:after="0" w:line="176" w:lineRule="exact"/>
              <w:rPr>
                <w:sz w:val="20"/>
                <w:szCs w:val="20"/>
                <w:color w:val="auto"/>
              </w:rPr>
            </w:pPr>
            <w:r>
              <w:rPr>
                <w:rFonts w:ascii="Arial" w:cs="Arial" w:eastAsia="Arial" w:hAnsi="Arial"/>
                <w:sz w:val="16"/>
                <w:szCs w:val="16"/>
                <w:color w:val="auto"/>
              </w:rPr>
              <w:t>SoCalGas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21.3</w:t>
            </w:r>
          </w:p>
        </w:tc>
        <w:tc>
          <w:tcPr>
            <w:tcW w:w="1260" w:type="dxa"/>
            <w:vAlign w:val="bottom"/>
          </w:tcPr>
          <w:p>
            <w:pPr>
              <w:spacing w:after="0"/>
              <w:rPr>
                <w:sz w:val="15"/>
                <w:szCs w:val="15"/>
                <w:color w:val="auto"/>
              </w:rPr>
            </w:pP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0.5</w:t>
            </w:r>
          </w:p>
        </w:tc>
        <w:tc>
          <w:tcPr>
            <w:tcW w:w="1140" w:type="dxa"/>
            <w:vAlign w:val="bottom"/>
          </w:tcPr>
          <w:p>
            <w:pPr>
              <w:spacing w:after="0"/>
              <w:rPr>
                <w:sz w:val="15"/>
                <w:szCs w:val="15"/>
                <w:color w:val="auto"/>
              </w:rPr>
            </w:pPr>
          </w:p>
        </w:tc>
        <w:tc>
          <w:tcPr>
            <w:tcW w:w="48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spacing w:after="0"/>
              <w:rPr>
                <w:sz w:val="15"/>
                <w:szCs w:val="15"/>
                <w:color w:val="auto"/>
              </w:rPr>
            </w:pPr>
          </w:p>
        </w:tc>
        <w:tc>
          <w:tcPr>
            <w:tcW w:w="5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1.6</w:t>
            </w:r>
          </w:p>
        </w:tc>
        <w:tc>
          <w:tcPr>
            <w:tcW w:w="3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23.4</w:t>
            </w:r>
          </w:p>
        </w:tc>
      </w:tr>
      <w:tr>
        <w:trPr>
          <w:trHeight w:val="194"/>
        </w:trPr>
        <w:tc>
          <w:tcPr>
            <w:tcW w:w="2540" w:type="dxa"/>
            <w:vAlign w:val="bottom"/>
            <w:gridSpan w:val="2"/>
          </w:tcPr>
          <w:p>
            <w:pPr>
              <w:spacing w:after="0"/>
              <w:rPr>
                <w:sz w:val="20"/>
                <w:szCs w:val="20"/>
                <w:color w:val="auto"/>
              </w:rPr>
            </w:pPr>
            <w:r>
              <w:rPr>
                <w:rFonts w:ascii="Arial" w:cs="Arial" w:eastAsia="Arial" w:hAnsi="Arial"/>
                <w:sz w:val="16"/>
                <w:szCs w:val="16"/>
                <w:color w:val="auto"/>
              </w:rPr>
              <w:t>Other</w:t>
            </w:r>
          </w:p>
        </w:tc>
        <w:tc>
          <w:tcPr>
            <w:tcW w:w="8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w:t>
            </w:r>
          </w:p>
        </w:tc>
        <w:tc>
          <w:tcPr>
            <w:tcW w:w="1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195"/>
        </w:trPr>
        <w:tc>
          <w:tcPr>
            <w:tcW w:w="20" w:type="dxa"/>
            <w:vAlign w:val="bottom"/>
          </w:tcPr>
          <w:p>
            <w:pPr>
              <w:spacing w:after="0"/>
              <w:rPr>
                <w:sz w:val="16"/>
                <w:szCs w:val="16"/>
                <w:color w:val="auto"/>
              </w:rPr>
            </w:pPr>
          </w:p>
        </w:tc>
        <w:tc>
          <w:tcPr>
            <w:tcW w:w="2520" w:type="dxa"/>
            <w:vAlign w:val="bottom"/>
          </w:tcPr>
          <w:p>
            <w:pPr>
              <w:ind w:left="160"/>
              <w:spacing w:after="0"/>
              <w:rPr>
                <w:sz w:val="20"/>
                <w:szCs w:val="20"/>
                <w:color w:val="auto"/>
              </w:rPr>
            </w:pPr>
            <w:r>
              <w:rPr>
                <w:rFonts w:ascii="Arial" w:cs="Arial" w:eastAsia="Arial" w:hAnsi="Arial"/>
                <w:sz w:val="16"/>
                <w:szCs w:val="16"/>
                <w:color w:val="auto"/>
              </w:rPr>
              <w:t>Total Sempra Energy</w:t>
            </w:r>
          </w:p>
        </w:tc>
        <w:tc>
          <w:tcPr>
            <w:tcW w:w="840" w:type="dxa"/>
            <w:vAlign w:val="bottom"/>
          </w:tcPr>
          <w:p>
            <w:pPr>
              <w:spacing w:after="0"/>
              <w:rPr>
                <w:sz w:val="16"/>
                <w:szCs w:val="16"/>
                <w:color w:val="auto"/>
              </w:rPr>
            </w:pPr>
          </w:p>
        </w:tc>
        <w:tc>
          <w:tcPr>
            <w:tcW w:w="1140" w:type="dxa"/>
            <w:vAlign w:val="bottom"/>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59"/>
              <w:spacing w:after="0"/>
              <w:rPr>
                <w:sz w:val="20"/>
                <w:szCs w:val="20"/>
                <w:color w:val="auto"/>
              </w:rPr>
            </w:pPr>
            <w:r>
              <w:rPr>
                <w:rFonts w:ascii="Arial" w:cs="Arial" w:eastAsia="Arial" w:hAnsi="Arial"/>
                <w:sz w:val="16"/>
                <w:szCs w:val="16"/>
                <w:color w:val="auto"/>
              </w:rPr>
              <w:t>24.1</w:t>
            </w:r>
          </w:p>
        </w:tc>
        <w:tc>
          <w:tcPr>
            <w:tcW w:w="12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1140" w:type="dxa"/>
            <w:vAlign w:val="bottom"/>
          </w:tcPr>
          <w:p>
            <w:pPr>
              <w:jc w:val="right"/>
              <w:ind w:right="684"/>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w w:val="98"/>
              </w:rPr>
              <w:t>1.0</w:t>
            </w:r>
          </w:p>
        </w:tc>
        <w:tc>
          <w:tcPr>
            <w:tcW w:w="1120" w:type="dxa"/>
            <w:vAlign w:val="bottom"/>
          </w:tcPr>
          <w:p>
            <w:pPr>
              <w:jc w:val="right"/>
              <w:ind w:right="724"/>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379"/>
        </w:numPr>
        <w:rPr>
          <w:rFonts w:ascii="Arial" w:cs="Arial" w:eastAsia="Arial" w:hAnsi="Arial"/>
          <w:sz w:val="14"/>
          <w:szCs w:val="14"/>
          <w:i w:val="1"/>
          <w:iCs w:val="1"/>
          <w:color w:val="auto"/>
        </w:rPr>
      </w:pPr>
      <w:r>
        <w:rPr>
          <w:rFonts w:ascii="Arial" w:cs="Arial" w:eastAsia="Arial" w:hAnsi="Arial"/>
          <w:sz w:val="14"/>
          <w:szCs w:val="14"/>
          <w:i w:val="1"/>
          <w:iCs w:val="1"/>
          <w:color w:val="auto"/>
        </w:rPr>
        <w:t>Sites for which we have been identified as a Potentially Responsible Party.</w:t>
      </w:r>
    </w:p>
    <w:p>
      <w:pPr>
        <w:spacing w:after="0" w:line="13" w:lineRule="exact"/>
        <w:rPr>
          <w:rFonts w:ascii="Arial" w:cs="Arial" w:eastAsia="Arial" w:hAnsi="Arial"/>
          <w:sz w:val="14"/>
          <w:szCs w:val="14"/>
          <w:i w:val="1"/>
          <w:iCs w:val="1"/>
          <w:color w:val="auto"/>
        </w:rPr>
      </w:pPr>
    </w:p>
    <w:p>
      <w:pPr>
        <w:ind w:left="500" w:hanging="492"/>
        <w:spacing w:after="0"/>
        <w:tabs>
          <w:tab w:leader="none" w:pos="500" w:val="left"/>
        </w:tabs>
        <w:numPr>
          <w:ilvl w:val="0"/>
          <w:numId w:val="379"/>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SDG&amp;E’s liability for SONGS marine mitigation.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to pay the majority of these accruals over the next three years. In connection with the issuance of operating permits, SDG&amp;E and the other owners of SONGS previously reached an agreement with the California Coastal Commission to mitigate the damage to the marine environment caused by the cooling-water discharge from SONGS. At December 31, 2011, SDG&amp;E’s share of the estimated mitigation costs remaining to be spent through 2050 is $17 million, which is recoverable in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discuss renewable energy requirements and greenhouse gas regulation in Note 14.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$9.6 million.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credit policies and systems to manage our overall credit risk. These policies include an evaluation of potential counterparties’ financial condition and an assignment of credit limits. These credit limits are established based on risk and return considerations under terms customarily available in the industry. We grant credit to utility customers and counterparties, substantially all of whom are located in our service territory, which covers most of Southern California and a portion of central California for SoCalGas, and all of San Diego County and an adjacent portion of Orange County for SDG&amp;E. We also grant credit to utility customers and counterparties of Sempra Pipelines &amp; Storage’s companies providing natural gas or electric services in Mexico, Chile, Peru and southwest Alabama.</w:t>
      </w:r>
    </w:p>
    <w:p>
      <w:pPr>
        <w:spacing w:after="0" w:line="19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When they become operational, projects owned or partially owned by Sempra LNG, Sempra Pipelines &amp; Storage and Sempra Generation place significant reliance on the ability of their suppliers and customers to perform on long-term agreements and on our ability to enforce contract terms in the event of nonperformance. We consider many factors, including the negotiation of supplier and customer agreements, when we evaluate and approve development projects.</w:t>
      </w:r>
    </w:p>
    <w:p>
      <w:pPr>
        <w:sectPr>
          <w:pgSz w:w="11900" w:h="16838" w:orient="portrait"/>
          <w:cols w:equalWidth="0" w:num="1">
            <w:col w:w="11420"/>
          </w:cols>
          <w:pgMar w:left="240" w:top="342" w:right="239" w:bottom="0" w:gutter="0" w:footer="0" w:header="0"/>
        </w:sectPr>
      </w:pPr>
    </w:p>
    <w:bookmarkStart w:id="269" w:name="page270"/>
    <w:bookmarkEnd w:id="269"/>
    <w:p>
      <w:pPr>
        <w:ind w:right="80"/>
        <w:spacing w:after="0" w:line="259" w:lineRule="auto"/>
        <w:rPr>
          <w:sz w:val="20"/>
          <w:szCs w:val="20"/>
          <w:color w:val="auto"/>
        </w:rPr>
      </w:pPr>
      <w:r>
        <w:rPr>
          <w:rFonts w:ascii="Arial" w:cs="Arial" w:eastAsia="Arial" w:hAnsi="Arial"/>
          <w:sz w:val="18"/>
          <w:szCs w:val="18"/>
          <w:color w:val="auto"/>
        </w:rPr>
        <w:t>At December 31, 2011, RBS Sempra Commodities no longer requires significant working capital support, although RBS is obligated to provide RBS Sempra Commodities with all credit support. However, we have provided back-up guarantees for a portion of RBS Sempra Commodities’ remaining trading obligations. A few of these back-up guarantees may continue for a prolonged period of time. We provide additional information regarding these back-up guarantees and other guarantees in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637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NOTE 16. SEGMENT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have five separately managed reportable segments, as follows:</w:t>
      </w:r>
    </w:p>
    <w:p>
      <w:pPr>
        <w:spacing w:after="0" w:line="225" w:lineRule="exact"/>
        <w:rPr>
          <w:sz w:val="20"/>
          <w:szCs w:val="20"/>
          <w:color w:val="auto"/>
        </w:rPr>
      </w:pPr>
    </w:p>
    <w:p>
      <w:pPr>
        <w:ind w:left="660" w:hanging="229"/>
        <w:spacing w:after="0"/>
        <w:tabs>
          <w:tab w:leader="none" w:pos="660" w:val="left"/>
        </w:tabs>
        <w:numPr>
          <w:ilvl w:val="0"/>
          <w:numId w:val="38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11" w:lineRule="exact"/>
        <w:rPr>
          <w:rFonts w:ascii="Arial" w:cs="Arial" w:eastAsia="Arial" w:hAnsi="Arial"/>
          <w:sz w:val="18"/>
          <w:szCs w:val="18"/>
          <w:i w:val="1"/>
          <w:iCs w:val="1"/>
          <w:color w:val="auto"/>
        </w:rPr>
      </w:pPr>
    </w:p>
    <w:p>
      <w:pPr>
        <w:ind w:left="660" w:hanging="229"/>
        <w:spacing w:after="0"/>
        <w:tabs>
          <w:tab w:leader="none" w:pos="660" w:val="left"/>
        </w:tabs>
        <w:numPr>
          <w:ilvl w:val="0"/>
          <w:numId w:val="38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11" w:lineRule="exact"/>
        <w:rPr>
          <w:rFonts w:ascii="Arial" w:cs="Arial" w:eastAsia="Arial" w:hAnsi="Arial"/>
          <w:sz w:val="18"/>
          <w:szCs w:val="18"/>
          <w:i w:val="1"/>
          <w:iCs w:val="1"/>
          <w:color w:val="auto"/>
        </w:rPr>
      </w:pPr>
    </w:p>
    <w:p>
      <w:pPr>
        <w:jc w:val="both"/>
        <w:ind w:left="660" w:hanging="229"/>
        <w:spacing w:after="0" w:line="312" w:lineRule="auto"/>
        <w:tabs>
          <w:tab w:leader="none" w:pos="660" w:val="left"/>
        </w:tabs>
        <w:numPr>
          <w:ilvl w:val="0"/>
          <w:numId w:val="38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Generation </w:t>
      </w:r>
      <w:r>
        <w:rPr>
          <w:rFonts w:ascii="Arial" w:cs="Arial" w:eastAsia="Arial" w:hAnsi="Arial"/>
          <w:sz w:val="16"/>
          <w:szCs w:val="16"/>
          <w:color w:val="auto"/>
        </w:rPr>
        <w:t>develops, owns and operates, or holds interests in, electric power plants and energy projects in Arizona, California, Colorado,</w:t>
      </w:r>
      <w:r>
        <w:rPr>
          <w:rFonts w:ascii="Arial" w:cs="Arial" w:eastAsia="Arial" w:hAnsi="Arial"/>
          <w:sz w:val="16"/>
          <w:szCs w:val="16"/>
          <w:i w:val="1"/>
          <w:iCs w:val="1"/>
          <w:color w:val="auto"/>
        </w:rPr>
        <w:t xml:space="preserve"> </w:t>
      </w:r>
      <w:r>
        <w:rPr>
          <w:rFonts w:ascii="Arial" w:cs="Arial" w:eastAsia="Arial" w:hAnsi="Arial"/>
          <w:sz w:val="16"/>
          <w:szCs w:val="16"/>
          <w:color w:val="auto"/>
        </w:rPr>
        <w:t>Hawaii, Indiana, Kansas, Nevada, Pennsylvania and Mexico to serve wholesale electricity markets in the United States and Mexico. Sempra Generation also includes the operating results of Sempra Rockies Marketing, which holds firm service capacity on the Rockies Express Pipeline.</w:t>
      </w:r>
    </w:p>
    <w:p>
      <w:pPr>
        <w:spacing w:after="0" w:line="173" w:lineRule="exact"/>
        <w:rPr>
          <w:rFonts w:ascii="Arial" w:cs="Arial" w:eastAsia="Arial" w:hAnsi="Arial"/>
          <w:sz w:val="16"/>
          <w:szCs w:val="16"/>
          <w:i w:val="1"/>
          <w:iCs w:val="1"/>
          <w:color w:val="auto"/>
        </w:rPr>
      </w:pPr>
    </w:p>
    <w:p>
      <w:pPr>
        <w:jc w:val="both"/>
        <w:ind w:left="660" w:hanging="229"/>
        <w:spacing w:after="0" w:line="259" w:lineRule="auto"/>
        <w:tabs>
          <w:tab w:leader="none" w:pos="660" w:val="left"/>
        </w:tabs>
        <w:numPr>
          <w:ilvl w:val="0"/>
          <w:numId w:val="38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Pipelines &amp; Storage </w:t>
      </w:r>
      <w:r>
        <w:rPr>
          <w:rFonts w:ascii="Arial" w:cs="Arial" w:eastAsia="Arial" w:hAnsi="Arial"/>
          <w:sz w:val="18"/>
          <w:szCs w:val="18"/>
          <w:color w:val="auto"/>
        </w:rPr>
        <w:t>develops, owns and operates, or holds interests in, natural gas and propane pipelines and natural gas storage facilities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Mexico, and companies that provide natural gas or electricity services in Argentina, Chile, Mexico and Peru. We are currently pursuing the sale of our interests in the Argentine utilities, which we discuss further in Note 4 above. Sempra Pipelines &amp; Storage also operates a natural gas distribution utility in Alabama.</w:t>
      </w:r>
    </w:p>
    <w:p>
      <w:pPr>
        <w:spacing w:after="0" w:line="173"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In April 2011, Sempra Pipelines &amp; Storage increased its interests in Chile and Peru, as we discuss in Note 3.</w:t>
      </w:r>
    </w:p>
    <w:p>
      <w:pPr>
        <w:spacing w:after="0" w:line="198" w:lineRule="exact"/>
        <w:rPr>
          <w:rFonts w:ascii="Arial" w:cs="Arial" w:eastAsia="Arial" w:hAnsi="Arial"/>
          <w:sz w:val="18"/>
          <w:szCs w:val="18"/>
          <w:i w:val="1"/>
          <w:iCs w:val="1"/>
          <w:color w:val="auto"/>
        </w:rPr>
      </w:pPr>
    </w:p>
    <w:p>
      <w:pPr>
        <w:ind w:left="660" w:hanging="229"/>
        <w:spacing w:after="0" w:line="277" w:lineRule="auto"/>
        <w:tabs>
          <w:tab w:leader="none" w:pos="660" w:val="left"/>
        </w:tabs>
        <w:numPr>
          <w:ilvl w:val="0"/>
          <w:numId w:val="38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LNG </w:t>
      </w:r>
      <w:r>
        <w:rPr>
          <w:rFonts w:ascii="Arial" w:cs="Arial" w:eastAsia="Arial" w:hAnsi="Arial"/>
          <w:sz w:val="18"/>
          <w:szCs w:val="18"/>
          <w:color w:val="auto"/>
        </w:rPr>
        <w:t>develops, owns and operates terminals in the U.S. and Mexico for the import and export of LNG, and has supply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to purchase and sell LNG and natural gas.</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all of our segments in Note 1.</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Sempra Generation’s sales to the DWR, under a 10-year contract that expired September 30, 2011, comprised 6 percent of our revenues in 2011, 8 percent in 2010 and 9 percent in 2009.</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 4.</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activity in the partnership no longer meets the quantitative thresholds that require Sempra Commodities to be reported as a reportable segment under applicable GAAP, and we do not consider the remaining wind-down activities of the partnership to be of continuing significance. As a result, effective January 1, 2011, we are reporting the former Sempra Commodities segment in “All other” in the following tables and have restated prior year information to be consistent with this treatment.</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tables show selected information by segment from our Consolidated Statements of Operations and Consolidated Balance Sheets. We provide information about our equity method investments by segment in Note 4. Amounts labeled as “All other” in the following tables consist primarily of parent organizations and the former commodities-marketing businesses.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4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48"/>
              <w:spacing w:after="0" w:line="159" w:lineRule="exact"/>
              <w:rPr>
                <w:sz w:val="20"/>
                <w:szCs w:val="20"/>
                <w:color w:val="auto"/>
              </w:rPr>
            </w:pPr>
            <w:r>
              <w:rPr>
                <w:rFonts w:ascii="Arial" w:cs="Arial" w:eastAsia="Arial" w:hAnsi="Arial"/>
                <w:sz w:val="14"/>
                <w:szCs w:val="14"/>
                <w:color w:val="auto"/>
              </w:rPr>
              <w:t>Years ended December 31,</w:t>
            </w: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83"/>
        </w:trPr>
        <w:tc>
          <w:tcPr>
            <w:tcW w:w="43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2011</w:t>
            </w: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2009</w:t>
            </w:r>
          </w:p>
        </w:tc>
        <w:tc>
          <w:tcPr>
            <w:tcW w:w="880" w:type="dxa"/>
            <w:vAlign w:val="bottom"/>
            <w:tcBorders>
              <w:bottom w:val="single" w:sz="8" w:color="auto"/>
            </w:tcBorders>
          </w:tcPr>
          <w:p>
            <w:pPr>
              <w:spacing w:after="0"/>
              <w:rPr>
                <w:sz w:val="15"/>
                <w:szCs w:val="15"/>
                <w:color w:val="auto"/>
              </w:rPr>
            </w:pPr>
          </w:p>
        </w:tc>
      </w:tr>
      <w:tr>
        <w:trPr>
          <w:trHeight w:val="167"/>
        </w:trPr>
        <w:tc>
          <w:tcPr>
            <w:tcW w:w="4360" w:type="dxa"/>
            <w:vAlign w:val="bottom"/>
          </w:tcPr>
          <w:p>
            <w:pPr>
              <w:spacing w:after="0"/>
              <w:rPr>
                <w:sz w:val="20"/>
                <w:szCs w:val="20"/>
                <w:color w:val="auto"/>
              </w:rPr>
            </w:pPr>
            <w:r>
              <w:rPr>
                <w:rFonts w:ascii="Arial" w:cs="Arial" w:eastAsia="Arial" w:hAnsi="Arial"/>
                <w:sz w:val="14"/>
                <w:szCs w:val="14"/>
                <w:color w:val="auto"/>
              </w:rPr>
              <w:t>REVENUES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3,373</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34 %</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3,049</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34 %</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2,916</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36 %</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3,816</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3,822</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42</w:t>
            </w: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3,355</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41</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Generation</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886</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1,172</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13</w:t>
            </w: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1,179</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15</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Pipelines &amp; Storage</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1,443</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350</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4</w:t>
            </w: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465</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6</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LNG</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714</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711</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8</w:t>
            </w: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278</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3</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Adjustments and eliminations</w:t>
            </w:r>
          </w:p>
        </w:tc>
        <w:tc>
          <w:tcPr>
            <w:tcW w:w="52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164"/>
        </w:trPr>
        <w:tc>
          <w:tcPr>
            <w:tcW w:w="4360" w:type="dxa"/>
            <w:vAlign w:val="bottom"/>
          </w:tcPr>
          <w:p>
            <w:pPr>
              <w:ind w:left="80"/>
              <w:spacing w:after="0" w:line="137" w:lineRule="exact"/>
              <w:rPr>
                <w:sz w:val="20"/>
                <w:szCs w:val="20"/>
                <w:color w:val="auto"/>
              </w:rPr>
            </w:pPr>
            <w:r>
              <w:rPr>
                <w:rFonts w:ascii="Arial" w:cs="Arial" w:eastAsia="Arial" w:hAnsi="Arial"/>
                <w:sz w:val="14"/>
                <w:szCs w:val="14"/>
                <w:color w:val="auto"/>
              </w:rPr>
              <w:t>Intersegment revenues(1)</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(195)</w:t>
            </w:r>
          </w:p>
        </w:tc>
        <w:tc>
          <w:tcPr>
            <w:tcW w:w="780" w:type="dxa"/>
            <w:vAlign w:val="bottom"/>
            <w:tcBorders>
              <w:bottom w:val="single" w:sz="8" w:color="auto"/>
            </w:tcBorders>
          </w:tcPr>
          <w:p>
            <w:pPr>
              <w:jc w:val="right"/>
              <w:ind w:right="268"/>
              <w:spacing w:after="0" w:line="137" w:lineRule="exact"/>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(96)</w:t>
            </w:r>
          </w:p>
        </w:tc>
        <w:tc>
          <w:tcPr>
            <w:tcW w:w="800" w:type="dxa"/>
            <w:vAlign w:val="bottom"/>
            <w:tcBorders>
              <w:bottom w:val="single" w:sz="8" w:color="auto"/>
            </w:tcBorders>
          </w:tcPr>
          <w:p>
            <w:pPr>
              <w:jc w:val="right"/>
              <w:ind w:right="268"/>
              <w:spacing w:after="0" w:line="137" w:lineRule="exact"/>
              <w:rPr>
                <w:sz w:val="20"/>
                <w:szCs w:val="20"/>
                <w:color w:val="auto"/>
              </w:rPr>
            </w:pPr>
            <w:r>
              <w:rPr>
                <w:rFonts w:ascii="Arial" w:cs="Arial" w:eastAsia="Arial" w:hAnsi="Arial"/>
                <w:sz w:val="14"/>
                <w:szCs w:val="14"/>
                <w:color w:val="auto"/>
              </w:rPr>
              <w:t>(1)</w:t>
            </w: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(87)</w:t>
            </w:r>
          </w:p>
        </w:tc>
        <w:tc>
          <w:tcPr>
            <w:tcW w:w="880" w:type="dxa"/>
            <w:vAlign w:val="bottom"/>
            <w:tcBorders>
              <w:bottom w:val="single" w:sz="8" w:color="auto"/>
            </w:tcBorders>
          </w:tcPr>
          <w:p>
            <w:pPr>
              <w:jc w:val="right"/>
              <w:ind w:right="328"/>
              <w:spacing w:after="0" w:line="137" w:lineRule="exact"/>
              <w:rPr>
                <w:sz w:val="20"/>
                <w:szCs w:val="20"/>
                <w:color w:val="auto"/>
              </w:rPr>
            </w:pPr>
            <w:r>
              <w:rPr>
                <w:rFonts w:ascii="Arial" w:cs="Arial" w:eastAsia="Arial" w:hAnsi="Arial"/>
                <w:sz w:val="14"/>
                <w:szCs w:val="14"/>
                <w:color w:val="auto"/>
              </w:rPr>
              <w:t>(1)</w:t>
            </w:r>
          </w:p>
        </w:tc>
      </w:tr>
      <w:tr>
        <w:trPr>
          <w:trHeight w:val="169"/>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10,036</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9,003</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100 %</w:t>
            </w: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8,106</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r>
      <w:tr>
        <w:trPr>
          <w:trHeight w:val="167"/>
        </w:trPr>
        <w:tc>
          <w:tcPr>
            <w:tcW w:w="4360" w:type="dxa"/>
            <w:vAlign w:val="bottom"/>
          </w:tcPr>
          <w:p>
            <w:pPr>
              <w:spacing w:after="0"/>
              <w:rPr>
                <w:sz w:val="20"/>
                <w:szCs w:val="20"/>
                <w:color w:val="auto"/>
              </w:rPr>
            </w:pPr>
            <w:r>
              <w:rPr>
                <w:rFonts w:ascii="Arial" w:cs="Arial" w:eastAsia="Arial" w:hAnsi="Arial"/>
                <w:sz w:val="14"/>
                <w:szCs w:val="14"/>
                <w:color w:val="auto"/>
              </w:rPr>
              <w:t>INTEREST EXPENSE</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142</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136</w:t>
            </w:r>
          </w:p>
        </w:tc>
        <w:tc>
          <w:tcPr>
            <w:tcW w:w="800" w:type="dxa"/>
            <w:vAlign w:val="bottom"/>
          </w:tcPr>
          <w:p>
            <w:pPr>
              <w:spacing w:after="0"/>
              <w:rPr>
                <w:sz w:val="14"/>
                <w:szCs w:val="14"/>
                <w:color w:val="auto"/>
              </w:rPr>
            </w:pP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104</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69</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66</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68</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Generation</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Pipelines &amp; Storage</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77</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36</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34</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LNG</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42</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48</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24</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233</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244</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229</w:t>
            </w:r>
          </w:p>
        </w:tc>
        <w:tc>
          <w:tcPr>
            <w:tcW w:w="880" w:type="dxa"/>
            <w:vAlign w:val="bottom"/>
          </w:tcPr>
          <w:p>
            <w:pPr>
              <w:spacing w:after="0"/>
              <w:rPr>
                <w:sz w:val="14"/>
                <w:szCs w:val="14"/>
                <w:color w:val="auto"/>
              </w:rPr>
            </w:pPr>
          </w:p>
        </w:tc>
      </w:tr>
      <w:tr>
        <w:trPr>
          <w:trHeight w:val="164"/>
        </w:trPr>
        <w:tc>
          <w:tcPr>
            <w:tcW w:w="4360" w:type="dxa"/>
            <w:vAlign w:val="bottom"/>
          </w:tcPr>
          <w:p>
            <w:pPr>
              <w:ind w:left="80"/>
              <w:spacing w:after="0" w:line="137" w:lineRule="exact"/>
              <w:rPr>
                <w:sz w:val="20"/>
                <w:szCs w:val="20"/>
                <w:color w:val="auto"/>
              </w:rPr>
            </w:pPr>
            <w:r>
              <w:rPr>
                <w:rFonts w:ascii="Arial" w:cs="Arial" w:eastAsia="Arial" w:hAnsi="Arial"/>
                <w:sz w:val="14"/>
                <w:szCs w:val="14"/>
                <w:color w:val="auto"/>
              </w:rPr>
              <w:t>Intercompany eliminations(2)</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(111)</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(107)</w:t>
            </w: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(104)</w:t>
            </w:r>
          </w:p>
        </w:tc>
        <w:tc>
          <w:tcPr>
            <w:tcW w:w="880" w:type="dxa"/>
            <w:vAlign w:val="bottom"/>
            <w:tcBorders>
              <w:bottom w:val="single" w:sz="8" w:color="auto"/>
            </w:tcBorders>
          </w:tcPr>
          <w:p>
            <w:pPr>
              <w:spacing w:after="0"/>
              <w:rPr>
                <w:sz w:val="14"/>
                <w:szCs w:val="14"/>
                <w:color w:val="auto"/>
              </w:rPr>
            </w:pPr>
          </w:p>
        </w:tc>
      </w:tr>
      <w:tr>
        <w:trPr>
          <w:trHeight w:val="169"/>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465</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436</w:t>
            </w: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367</w:t>
            </w:r>
          </w:p>
        </w:tc>
        <w:tc>
          <w:tcPr>
            <w:tcW w:w="880" w:type="dxa"/>
            <w:vAlign w:val="bottom"/>
            <w:tcBorders>
              <w:bottom w:val="single" w:sz="8" w:color="auto"/>
            </w:tcBorders>
          </w:tcPr>
          <w:p>
            <w:pPr>
              <w:spacing w:after="0"/>
              <w:rPr>
                <w:sz w:val="14"/>
                <w:szCs w:val="14"/>
                <w:color w:val="auto"/>
              </w:rPr>
            </w:pPr>
          </w:p>
        </w:tc>
      </w:tr>
      <w:tr>
        <w:trPr>
          <w:trHeight w:val="167"/>
        </w:trPr>
        <w:tc>
          <w:tcPr>
            <w:tcW w:w="4360" w:type="dxa"/>
            <w:vAlign w:val="bottom"/>
          </w:tcPr>
          <w:p>
            <w:pPr>
              <w:spacing w:after="0"/>
              <w:rPr>
                <w:sz w:val="20"/>
                <w:szCs w:val="20"/>
                <w:color w:val="auto"/>
              </w:rPr>
            </w:pPr>
            <w:r>
              <w:rPr>
                <w:rFonts w:ascii="Arial" w:cs="Arial" w:eastAsia="Arial" w:hAnsi="Arial"/>
                <w:sz w:val="14"/>
                <w:szCs w:val="14"/>
                <w:color w:val="auto"/>
              </w:rPr>
              <w:t>INTEREST INCOME</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Generation</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8</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16</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Pipelines &amp; Storage</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31</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15</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17</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LNG</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52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r>
      <w:tr>
        <w:trPr>
          <w:trHeight w:val="164"/>
        </w:trPr>
        <w:tc>
          <w:tcPr>
            <w:tcW w:w="4360" w:type="dxa"/>
            <w:vAlign w:val="bottom"/>
          </w:tcPr>
          <w:p>
            <w:pPr>
              <w:ind w:left="80"/>
              <w:spacing w:after="0" w:line="137" w:lineRule="exact"/>
              <w:rPr>
                <w:sz w:val="20"/>
                <w:szCs w:val="20"/>
                <w:color w:val="auto"/>
              </w:rPr>
            </w:pPr>
            <w:r>
              <w:rPr>
                <w:rFonts w:ascii="Arial" w:cs="Arial" w:eastAsia="Arial" w:hAnsi="Arial"/>
                <w:sz w:val="14"/>
                <w:szCs w:val="14"/>
                <w:color w:val="auto"/>
              </w:rPr>
              <w:t>Intercompany eliminations(2)</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(18)</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(18)</w:t>
            </w: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(12)</w:t>
            </w:r>
          </w:p>
        </w:tc>
        <w:tc>
          <w:tcPr>
            <w:tcW w:w="880" w:type="dxa"/>
            <w:vAlign w:val="bottom"/>
            <w:tcBorders>
              <w:bottom w:val="single" w:sz="8" w:color="auto"/>
            </w:tcBorders>
          </w:tcPr>
          <w:p>
            <w:pPr>
              <w:spacing w:after="0"/>
              <w:rPr>
                <w:sz w:val="14"/>
                <w:szCs w:val="14"/>
                <w:color w:val="auto"/>
              </w:rPr>
            </w:pPr>
          </w:p>
        </w:tc>
      </w:tr>
      <w:tr>
        <w:trPr>
          <w:trHeight w:val="169"/>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w:t>
            </w: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w:t>
            </w:r>
          </w:p>
        </w:tc>
        <w:tc>
          <w:tcPr>
            <w:tcW w:w="880" w:type="dxa"/>
            <w:vAlign w:val="bottom"/>
            <w:tcBorders>
              <w:bottom w:val="single" w:sz="8" w:color="auto"/>
            </w:tcBorders>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ectPr>
          <w:pgSz w:w="11900" w:h="16838" w:orient="portrait"/>
          <w:cols w:equalWidth="0" w:num="1">
            <w:col w:w="11420"/>
          </w:cols>
          <w:pgMar w:left="240" w:top="125" w:right="239" w:bottom="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422</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43 %</w:t>
            </w:r>
          </w:p>
        </w:tc>
        <w:tc>
          <w:tcPr>
            <w:tcW w:w="6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381</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44 %</w:t>
            </w:r>
          </w:p>
        </w:tc>
        <w:tc>
          <w:tcPr>
            <w:tcW w:w="7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329</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42 %</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6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331</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34</w:t>
            </w:r>
          </w:p>
        </w:tc>
        <w:tc>
          <w:tcPr>
            <w:tcW w:w="6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309</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36</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293</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38</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Generation</w:t>
            </w:r>
          </w:p>
        </w:tc>
        <w:tc>
          <w:tcPr>
            <w:tcW w:w="6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70</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7</w:t>
            </w:r>
          </w:p>
        </w:tc>
        <w:tc>
          <w:tcPr>
            <w:tcW w:w="6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65</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7</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58</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8</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Pipelines &amp; Storage</w:t>
            </w:r>
          </w:p>
        </w:tc>
        <w:tc>
          <w:tcPr>
            <w:tcW w:w="6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92</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10</w:t>
            </w:r>
          </w:p>
        </w:tc>
        <w:tc>
          <w:tcPr>
            <w:tcW w:w="6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44</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5</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45</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6</w:t>
            </w: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LNG</w:t>
            </w:r>
          </w:p>
        </w:tc>
        <w:tc>
          <w:tcPr>
            <w:tcW w:w="6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51</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5</w:t>
            </w:r>
          </w:p>
        </w:tc>
        <w:tc>
          <w:tcPr>
            <w:tcW w:w="6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51</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6</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35</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4</w:t>
            </w:r>
          </w:p>
        </w:tc>
      </w:tr>
      <w:tr>
        <w:trPr>
          <w:trHeight w:val="164"/>
        </w:trPr>
        <w:tc>
          <w:tcPr>
            <w:tcW w:w="4360" w:type="dxa"/>
            <w:vAlign w:val="bottom"/>
          </w:tcPr>
          <w:p>
            <w:pPr>
              <w:ind w:left="80"/>
              <w:spacing w:after="0" w:line="137" w:lineRule="exact"/>
              <w:rPr>
                <w:sz w:val="20"/>
                <w:szCs w:val="20"/>
                <w:color w:val="auto"/>
              </w:rPr>
            </w:pPr>
            <w:r>
              <w:rPr>
                <w:rFonts w:ascii="Arial" w:cs="Arial" w:eastAsia="Arial" w:hAnsi="Arial"/>
                <w:sz w:val="14"/>
                <w:szCs w:val="14"/>
                <w:color w:val="auto"/>
              </w:rPr>
              <w:t>All other</w:t>
            </w: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rPr>
              <w:t>12</w:t>
            </w:r>
          </w:p>
        </w:tc>
        <w:tc>
          <w:tcPr>
            <w:tcW w:w="800" w:type="dxa"/>
            <w:vAlign w:val="bottom"/>
            <w:tcBorders>
              <w:bottom w:val="single" w:sz="8" w:color="auto"/>
            </w:tcBorders>
          </w:tcPr>
          <w:p>
            <w:pPr>
              <w:jc w:val="right"/>
              <w:ind w:right="308"/>
              <w:spacing w:after="0" w:line="137" w:lineRule="exact"/>
              <w:rPr>
                <w:sz w:val="20"/>
                <w:szCs w:val="20"/>
                <w:color w:val="auto"/>
              </w:rPr>
            </w:pPr>
            <w:r>
              <w:rPr>
                <w:rFonts w:ascii="Arial" w:cs="Arial" w:eastAsia="Arial" w:hAnsi="Arial"/>
                <w:sz w:val="14"/>
                <w:szCs w:val="14"/>
                <w:color w:val="auto"/>
              </w:rPr>
              <w:t>1</w:t>
            </w: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rPr>
              <w:t>17</w:t>
            </w:r>
          </w:p>
        </w:tc>
        <w:tc>
          <w:tcPr>
            <w:tcW w:w="820" w:type="dxa"/>
            <w:vAlign w:val="bottom"/>
            <w:tcBorders>
              <w:bottom w:val="single" w:sz="8" w:color="auto"/>
            </w:tcBorders>
          </w:tcPr>
          <w:p>
            <w:pPr>
              <w:jc w:val="right"/>
              <w:ind w:right="308"/>
              <w:spacing w:after="0" w:line="137" w:lineRule="exact"/>
              <w:rPr>
                <w:sz w:val="20"/>
                <w:szCs w:val="20"/>
                <w:color w:val="auto"/>
              </w:rPr>
            </w:pPr>
            <w:r>
              <w:rPr>
                <w:rFonts w:ascii="Arial" w:cs="Arial" w:eastAsia="Arial" w:hAnsi="Arial"/>
                <w:sz w:val="14"/>
                <w:szCs w:val="14"/>
                <w:color w:val="auto"/>
              </w:rPr>
              <w:t>2</w:t>
            </w: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rPr>
              <w:t>15</w:t>
            </w:r>
          </w:p>
        </w:tc>
        <w:tc>
          <w:tcPr>
            <w:tcW w:w="880" w:type="dxa"/>
            <w:vAlign w:val="bottom"/>
            <w:tcBorders>
              <w:bottom w:val="single" w:sz="8" w:color="auto"/>
            </w:tcBorders>
          </w:tcPr>
          <w:p>
            <w:pPr>
              <w:jc w:val="right"/>
              <w:ind w:right="368"/>
              <w:spacing w:after="0" w:line="137" w:lineRule="exact"/>
              <w:rPr>
                <w:sz w:val="20"/>
                <w:szCs w:val="20"/>
                <w:color w:val="auto"/>
              </w:rPr>
            </w:pPr>
            <w:r>
              <w:rPr>
                <w:rFonts w:ascii="Arial" w:cs="Arial" w:eastAsia="Arial" w:hAnsi="Arial"/>
                <w:sz w:val="14"/>
                <w:szCs w:val="14"/>
                <w:color w:val="auto"/>
              </w:rPr>
              <w:t>2</w:t>
            </w:r>
          </w:p>
        </w:tc>
      </w:tr>
      <w:tr>
        <w:trPr>
          <w:trHeight w:val="169"/>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978</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100 %</w:t>
            </w: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867</w:t>
            </w: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100 %</w:t>
            </w: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775</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r>
      <w:tr>
        <w:trPr>
          <w:trHeight w:val="167"/>
        </w:trPr>
        <w:tc>
          <w:tcPr>
            <w:tcW w:w="43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237</w:t>
            </w:r>
          </w:p>
        </w:tc>
        <w:tc>
          <w:tcPr>
            <w:tcW w:w="8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173</w:t>
            </w:r>
          </w:p>
        </w:tc>
        <w:tc>
          <w:tcPr>
            <w:tcW w:w="820" w:type="dxa"/>
            <w:vAlign w:val="bottom"/>
          </w:tcPr>
          <w:p>
            <w:pPr>
              <w:spacing w:after="0"/>
              <w:rPr>
                <w:sz w:val="14"/>
                <w:szCs w:val="14"/>
                <w:color w:val="auto"/>
              </w:rPr>
            </w:pPr>
          </w:p>
        </w:tc>
        <w:tc>
          <w:tcPr>
            <w:tcW w:w="7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177</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6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143</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176</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144</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Generation</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108</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Pipelines &amp; Storage</w:t>
            </w:r>
          </w:p>
        </w:tc>
        <w:tc>
          <w:tcPr>
            <w:tcW w:w="6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70</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26</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880" w:type="dxa"/>
            <w:vAlign w:val="bottom"/>
          </w:tcPr>
          <w:p>
            <w:pPr>
              <w:spacing w:after="0"/>
              <w:rPr>
                <w:sz w:val="14"/>
                <w:szCs w:val="14"/>
                <w:color w:val="auto"/>
              </w:rPr>
            </w:pPr>
          </w:p>
        </w:tc>
      </w:tr>
      <w:tr>
        <w:trPr>
          <w:trHeight w:val="162"/>
        </w:trPr>
        <w:tc>
          <w:tcPr>
            <w:tcW w:w="4360" w:type="dxa"/>
            <w:vAlign w:val="bottom"/>
          </w:tcPr>
          <w:p>
            <w:pPr>
              <w:ind w:left="80"/>
              <w:spacing w:after="0"/>
              <w:rPr>
                <w:sz w:val="20"/>
                <w:szCs w:val="20"/>
                <w:color w:val="auto"/>
              </w:rPr>
            </w:pPr>
            <w:r>
              <w:rPr>
                <w:rFonts w:ascii="Arial" w:cs="Arial" w:eastAsia="Arial" w:hAnsi="Arial"/>
                <w:sz w:val="14"/>
                <w:szCs w:val="14"/>
                <w:color w:val="auto"/>
              </w:rPr>
              <w:t>Sempra LNG</w:t>
            </w:r>
          </w:p>
        </w:tc>
        <w:tc>
          <w:tcPr>
            <w:tcW w:w="6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42</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880" w:type="dxa"/>
            <w:vAlign w:val="bottom"/>
          </w:tcPr>
          <w:p>
            <w:pPr>
              <w:spacing w:after="0"/>
              <w:rPr>
                <w:sz w:val="14"/>
                <w:szCs w:val="14"/>
                <w:color w:val="auto"/>
              </w:rPr>
            </w:pPr>
          </w:p>
        </w:tc>
      </w:tr>
      <w:tr>
        <w:trPr>
          <w:trHeight w:val="164"/>
        </w:trPr>
        <w:tc>
          <w:tcPr>
            <w:tcW w:w="4360" w:type="dxa"/>
            <w:vAlign w:val="bottom"/>
          </w:tcPr>
          <w:p>
            <w:pPr>
              <w:ind w:left="80"/>
              <w:spacing w:after="0" w:line="137" w:lineRule="exact"/>
              <w:rPr>
                <w:sz w:val="20"/>
                <w:szCs w:val="20"/>
                <w:color w:val="auto"/>
              </w:rPr>
            </w:pPr>
            <w:r>
              <w:rPr>
                <w:rFonts w:ascii="Arial" w:cs="Arial" w:eastAsia="Arial" w:hAnsi="Arial"/>
                <w:sz w:val="14"/>
                <w:szCs w:val="14"/>
                <w:color w:val="auto"/>
              </w:rPr>
              <w:t>All other</w:t>
            </w: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(123)</w:t>
            </w: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(291)</w:t>
            </w:r>
          </w:p>
        </w:tc>
        <w:tc>
          <w:tcPr>
            <w:tcW w:w="8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rPr>
              <w:t>28</w:t>
            </w:r>
          </w:p>
        </w:tc>
        <w:tc>
          <w:tcPr>
            <w:tcW w:w="880" w:type="dxa"/>
            <w:vAlign w:val="bottom"/>
            <w:tcBorders>
              <w:bottom w:val="single" w:sz="8" w:color="auto"/>
            </w:tcBorders>
          </w:tcPr>
          <w:p>
            <w:pPr>
              <w:spacing w:after="0"/>
              <w:rPr>
                <w:sz w:val="14"/>
                <w:szCs w:val="14"/>
                <w:color w:val="auto"/>
              </w:rPr>
            </w:pPr>
          </w:p>
        </w:tc>
      </w:tr>
      <w:tr>
        <w:trPr>
          <w:trHeight w:val="169"/>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366</w:t>
            </w: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102</w:t>
            </w:r>
          </w:p>
        </w:tc>
        <w:tc>
          <w:tcPr>
            <w:tcW w:w="8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422</w:t>
            </w:r>
          </w:p>
        </w:tc>
        <w:tc>
          <w:tcPr>
            <w:tcW w:w="88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4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7"/>
          </w:tcPr>
          <w:p>
            <w:pPr>
              <w:jc w:val="right"/>
              <w:ind w:right="28"/>
              <w:spacing w:after="0" w:line="159" w:lineRule="exact"/>
              <w:rPr>
                <w:sz w:val="20"/>
                <w:szCs w:val="20"/>
                <w:color w:val="auto"/>
              </w:rPr>
            </w:pPr>
            <w:r>
              <w:rPr>
                <w:rFonts w:ascii="Arial" w:cs="Arial" w:eastAsia="Arial" w:hAnsi="Arial"/>
                <w:sz w:val="14"/>
                <w:szCs w:val="14"/>
                <w:color w:val="auto"/>
              </w:rPr>
              <w:t>At December 31 or for the years ended December 31,</w:t>
            </w:r>
          </w:p>
        </w:tc>
        <w:tc>
          <w:tcPr>
            <w:tcW w:w="7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83"/>
        </w:trPr>
        <w:tc>
          <w:tcPr>
            <w:tcW w:w="47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2010</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2009</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67"/>
        </w:trPr>
        <w:tc>
          <w:tcPr>
            <w:tcW w:w="4700" w:type="dxa"/>
            <w:vAlign w:val="bottom"/>
          </w:tcPr>
          <w:p>
            <w:pPr>
              <w:spacing w:after="0"/>
              <w:rPr>
                <w:sz w:val="20"/>
                <w:szCs w:val="20"/>
                <w:color w:val="auto"/>
              </w:rPr>
            </w:pPr>
            <w:r>
              <w:rPr>
                <w:rFonts w:ascii="Arial" w:cs="Arial" w:eastAsia="Arial" w:hAnsi="Arial"/>
                <w:sz w:val="14"/>
                <w:szCs w:val="14"/>
                <w:color w:val="auto"/>
              </w:rPr>
              <w:t>EARNINGS (LOSSES)</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SDG&amp;E(3)</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431</w:t>
            </w:r>
          </w:p>
        </w:tc>
        <w:tc>
          <w:tcPr>
            <w:tcW w:w="680" w:type="dxa"/>
            <w:vAlign w:val="bottom"/>
          </w:tcPr>
          <w:p>
            <w:pPr>
              <w:jc w:val="right"/>
              <w:spacing w:after="0"/>
              <w:rPr>
                <w:sz w:val="20"/>
                <w:szCs w:val="20"/>
                <w:color w:val="auto"/>
              </w:rPr>
            </w:pPr>
            <w:r>
              <w:rPr>
                <w:rFonts w:ascii="Arial" w:cs="Arial" w:eastAsia="Arial" w:hAnsi="Arial"/>
                <w:sz w:val="14"/>
                <w:szCs w:val="14"/>
                <w:color w:val="auto"/>
              </w:rPr>
              <w:t>32 %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369</w:t>
            </w:r>
          </w:p>
        </w:tc>
        <w:tc>
          <w:tcPr>
            <w:tcW w:w="620" w:type="dxa"/>
            <w:vAlign w:val="bottom"/>
          </w:tcPr>
          <w:p>
            <w:pPr>
              <w:jc w:val="right"/>
              <w:spacing w:after="0"/>
              <w:rPr>
                <w:sz w:val="20"/>
                <w:szCs w:val="20"/>
                <w:color w:val="auto"/>
              </w:rPr>
            </w:pPr>
            <w:r>
              <w:rPr>
                <w:rFonts w:ascii="Arial" w:cs="Arial" w:eastAsia="Arial" w:hAnsi="Arial"/>
                <w:sz w:val="14"/>
                <w:szCs w:val="14"/>
                <w:color w:val="auto"/>
              </w:rPr>
              <w:t>50 %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344</w:t>
            </w:r>
          </w:p>
        </w:tc>
        <w:tc>
          <w:tcPr>
            <w:tcW w:w="620" w:type="dxa"/>
            <w:vAlign w:val="bottom"/>
          </w:tcPr>
          <w:p>
            <w:pPr>
              <w:jc w:val="right"/>
              <w:spacing w:after="0"/>
              <w:rPr>
                <w:sz w:val="20"/>
                <w:szCs w:val="20"/>
                <w:color w:val="auto"/>
              </w:rPr>
            </w:pPr>
            <w:r>
              <w:rPr>
                <w:rFonts w:ascii="Arial" w:cs="Arial" w:eastAsia="Arial" w:hAnsi="Arial"/>
                <w:sz w:val="14"/>
                <w:szCs w:val="14"/>
                <w:color w:val="auto"/>
              </w:rPr>
              <w:t>31 %</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SoCalGas(3)</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287</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286</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273</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Generation</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137</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103</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169</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Pipelines &amp; Storage</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527</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159</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101</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LNG</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99</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68</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4"/>
        </w:trPr>
        <w:tc>
          <w:tcPr>
            <w:tcW w:w="4700" w:type="dxa"/>
            <w:vAlign w:val="bottom"/>
          </w:tcPr>
          <w:p>
            <w:pPr>
              <w:ind w:left="120"/>
              <w:spacing w:after="0" w:line="137" w:lineRule="exact"/>
              <w:rPr>
                <w:sz w:val="20"/>
                <w:szCs w:val="20"/>
                <w:color w:val="auto"/>
              </w:rPr>
            </w:pPr>
            <w:r>
              <w:rPr>
                <w:rFonts w:ascii="Arial" w:cs="Arial" w:eastAsia="Arial" w:hAnsi="Arial"/>
                <w:sz w:val="14"/>
                <w:szCs w:val="14"/>
                <w:color w:val="auto"/>
              </w:rPr>
              <w:t>All other</w:t>
            </w: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(124)</w:t>
            </w:r>
          </w:p>
        </w:tc>
        <w:tc>
          <w:tcPr>
            <w:tcW w:w="6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(9)</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(246)</w:t>
            </w:r>
          </w:p>
        </w:tc>
        <w:tc>
          <w:tcPr>
            <w:tcW w:w="62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(33)</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216</w:t>
            </w:r>
          </w:p>
        </w:tc>
        <w:tc>
          <w:tcPr>
            <w:tcW w:w="6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19</w:t>
            </w:r>
          </w:p>
        </w:tc>
        <w:tc>
          <w:tcPr>
            <w:tcW w:w="140" w:type="dxa"/>
            <w:vAlign w:val="bottom"/>
            <w:tcBorders>
              <w:bottom w:val="single" w:sz="8" w:color="auto"/>
            </w:tcBorders>
          </w:tcPr>
          <w:p>
            <w:pPr>
              <w:spacing w:after="0"/>
              <w:rPr>
                <w:sz w:val="14"/>
                <w:szCs w:val="14"/>
                <w:color w:val="auto"/>
              </w:rPr>
            </w:pPr>
          </w:p>
        </w:tc>
      </w:tr>
      <w:tr>
        <w:trPr>
          <w:trHeight w:val="169"/>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1,357</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9"/>
              </w:rPr>
              <w:t>%</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739</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1,119</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167"/>
        </w:trPr>
        <w:tc>
          <w:tcPr>
            <w:tcW w:w="4700" w:type="dxa"/>
            <w:vAlign w:val="bottom"/>
          </w:tcPr>
          <w:p>
            <w:pPr>
              <w:spacing w:after="0"/>
              <w:rPr>
                <w:sz w:val="20"/>
                <w:szCs w:val="20"/>
                <w:color w:val="auto"/>
              </w:rPr>
            </w:pPr>
            <w:r>
              <w:rPr>
                <w:rFonts w:ascii="Arial" w:cs="Arial" w:eastAsia="Arial" w:hAnsi="Arial"/>
                <w:sz w:val="14"/>
                <w:szCs w:val="14"/>
                <w:color w:val="auto"/>
              </w:rPr>
              <w:t>ASSETS</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SDG&amp;E</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13,555</w:t>
            </w:r>
          </w:p>
        </w:tc>
        <w:tc>
          <w:tcPr>
            <w:tcW w:w="680" w:type="dxa"/>
            <w:vAlign w:val="bottom"/>
          </w:tcPr>
          <w:p>
            <w:pPr>
              <w:jc w:val="right"/>
              <w:spacing w:after="0"/>
              <w:rPr>
                <w:sz w:val="20"/>
                <w:szCs w:val="20"/>
                <w:color w:val="auto"/>
              </w:rPr>
            </w:pPr>
            <w:r>
              <w:rPr>
                <w:rFonts w:ascii="Arial" w:cs="Arial" w:eastAsia="Arial" w:hAnsi="Arial"/>
                <w:sz w:val="14"/>
                <w:szCs w:val="14"/>
                <w:color w:val="auto"/>
              </w:rPr>
              <w:t>41 %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12,077</w:t>
            </w:r>
          </w:p>
        </w:tc>
        <w:tc>
          <w:tcPr>
            <w:tcW w:w="620" w:type="dxa"/>
            <w:vAlign w:val="bottom"/>
          </w:tcPr>
          <w:p>
            <w:pPr>
              <w:jc w:val="right"/>
              <w:spacing w:after="0"/>
              <w:rPr>
                <w:sz w:val="20"/>
                <w:szCs w:val="20"/>
                <w:color w:val="auto"/>
              </w:rPr>
            </w:pPr>
            <w:r>
              <w:rPr>
                <w:rFonts w:ascii="Arial" w:cs="Arial" w:eastAsia="Arial" w:hAnsi="Arial"/>
                <w:sz w:val="14"/>
                <w:szCs w:val="14"/>
                <w:color w:val="auto"/>
              </w:rPr>
              <w:t>40 %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10,229</w:t>
            </w:r>
          </w:p>
        </w:tc>
        <w:tc>
          <w:tcPr>
            <w:tcW w:w="620" w:type="dxa"/>
            <w:vAlign w:val="bottom"/>
          </w:tcPr>
          <w:p>
            <w:pPr>
              <w:jc w:val="right"/>
              <w:spacing w:after="0"/>
              <w:rPr>
                <w:sz w:val="20"/>
                <w:szCs w:val="20"/>
                <w:color w:val="auto"/>
              </w:rPr>
            </w:pPr>
            <w:r>
              <w:rPr>
                <w:rFonts w:ascii="Arial" w:cs="Arial" w:eastAsia="Arial" w:hAnsi="Arial"/>
                <w:sz w:val="14"/>
                <w:szCs w:val="14"/>
                <w:color w:val="auto"/>
              </w:rPr>
              <w:t>36 %</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SoCalGas</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8,475</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7,986</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7,287</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Generation</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2,285</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2,401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2,049</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Pipelines &amp; Storage</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7,146</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5,175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4,485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LNG</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2,411</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2,379</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2,277</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553</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1,691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2,775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4"/>
        </w:trPr>
        <w:tc>
          <w:tcPr>
            <w:tcW w:w="4700" w:type="dxa"/>
            <w:vAlign w:val="bottom"/>
          </w:tcPr>
          <w:p>
            <w:pPr>
              <w:ind w:left="120"/>
              <w:spacing w:after="0" w:line="137" w:lineRule="exact"/>
              <w:rPr>
                <w:sz w:val="20"/>
                <w:szCs w:val="20"/>
                <w:color w:val="auto"/>
              </w:rPr>
            </w:pPr>
            <w:r>
              <w:rPr>
                <w:rFonts w:ascii="Arial" w:cs="Arial" w:eastAsia="Arial" w:hAnsi="Arial"/>
                <w:sz w:val="14"/>
                <w:szCs w:val="14"/>
                <w:color w:val="auto"/>
              </w:rPr>
              <w:t>Intersegment receivables</w:t>
            </w: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(1,069)</w:t>
            </w:r>
          </w:p>
        </w:tc>
        <w:tc>
          <w:tcPr>
            <w:tcW w:w="6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(1,426)</w:t>
            </w:r>
          </w:p>
        </w:tc>
        <w:tc>
          <w:tcPr>
            <w:tcW w:w="62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rPr>
              <w:t>(590)</w:t>
            </w:r>
          </w:p>
        </w:tc>
        <w:tc>
          <w:tcPr>
            <w:tcW w:w="62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4"/>
                <w:szCs w:val="14"/>
                <w:color w:val="auto"/>
              </w:rPr>
            </w:pPr>
          </w:p>
        </w:tc>
      </w:tr>
      <w:tr>
        <w:trPr>
          <w:trHeight w:val="169"/>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33,356</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9"/>
              </w:rPr>
              <w:t>%</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30,283</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28,512</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167"/>
        </w:trPr>
        <w:tc>
          <w:tcPr>
            <w:tcW w:w="4700" w:type="dxa"/>
            <w:vAlign w:val="bottom"/>
          </w:tcPr>
          <w:p>
            <w:pPr>
              <w:spacing w:after="0"/>
              <w:rPr>
                <w:sz w:val="20"/>
                <w:szCs w:val="20"/>
                <w:color w:val="auto"/>
              </w:rPr>
            </w:pPr>
            <w:r>
              <w:rPr>
                <w:rFonts w:ascii="Arial" w:cs="Arial" w:eastAsia="Arial" w:hAnsi="Arial"/>
                <w:sz w:val="14"/>
                <w:szCs w:val="14"/>
                <w:color w:val="auto"/>
              </w:rPr>
              <w:t>EXPENDITURES FOR PROPERTY, PLANT &amp; EQUIPMENT</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SDG&amp;E</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1,831</w:t>
            </w:r>
          </w:p>
        </w:tc>
        <w:tc>
          <w:tcPr>
            <w:tcW w:w="680" w:type="dxa"/>
            <w:vAlign w:val="bottom"/>
          </w:tcPr>
          <w:p>
            <w:pPr>
              <w:jc w:val="right"/>
              <w:spacing w:after="0"/>
              <w:rPr>
                <w:sz w:val="20"/>
                <w:szCs w:val="20"/>
                <w:color w:val="auto"/>
              </w:rPr>
            </w:pPr>
            <w:r>
              <w:rPr>
                <w:rFonts w:ascii="Arial" w:cs="Arial" w:eastAsia="Arial" w:hAnsi="Arial"/>
                <w:sz w:val="14"/>
                <w:szCs w:val="14"/>
                <w:color w:val="auto"/>
              </w:rPr>
              <w:t>64 %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1,210</w:t>
            </w:r>
          </w:p>
        </w:tc>
        <w:tc>
          <w:tcPr>
            <w:tcW w:w="620" w:type="dxa"/>
            <w:vAlign w:val="bottom"/>
          </w:tcPr>
          <w:p>
            <w:pPr>
              <w:jc w:val="right"/>
              <w:spacing w:after="0"/>
              <w:rPr>
                <w:sz w:val="20"/>
                <w:szCs w:val="20"/>
                <w:color w:val="auto"/>
              </w:rPr>
            </w:pPr>
            <w:r>
              <w:rPr>
                <w:rFonts w:ascii="Arial" w:cs="Arial" w:eastAsia="Arial" w:hAnsi="Arial"/>
                <w:sz w:val="14"/>
                <w:szCs w:val="14"/>
                <w:color w:val="auto"/>
              </w:rPr>
              <w:t>59 %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955</w:t>
            </w:r>
          </w:p>
        </w:tc>
        <w:tc>
          <w:tcPr>
            <w:tcW w:w="620" w:type="dxa"/>
            <w:vAlign w:val="bottom"/>
          </w:tcPr>
          <w:p>
            <w:pPr>
              <w:jc w:val="right"/>
              <w:spacing w:after="0"/>
              <w:rPr>
                <w:sz w:val="20"/>
                <w:szCs w:val="20"/>
                <w:color w:val="auto"/>
              </w:rPr>
            </w:pPr>
            <w:r>
              <w:rPr>
                <w:rFonts w:ascii="Arial" w:cs="Arial" w:eastAsia="Arial" w:hAnsi="Arial"/>
                <w:sz w:val="14"/>
                <w:szCs w:val="14"/>
                <w:color w:val="auto"/>
              </w:rPr>
              <w:t>50 %</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SoCalGas</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683</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503</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480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Generation</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267</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135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38</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Pipelines &amp; Storage</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252</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192</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Sempra LNG</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18</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235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4"/>
        </w:trPr>
        <w:tc>
          <w:tcPr>
            <w:tcW w:w="4700" w:type="dxa"/>
            <w:vAlign w:val="bottom"/>
          </w:tcPr>
          <w:p>
            <w:pPr>
              <w:ind w:left="120"/>
              <w:spacing w:after="0" w:line="137" w:lineRule="exact"/>
              <w:rPr>
                <w:sz w:val="20"/>
                <w:szCs w:val="20"/>
                <w:color w:val="auto"/>
              </w:rPr>
            </w:pPr>
            <w:r>
              <w:rPr>
                <w:rFonts w:ascii="Arial" w:cs="Arial" w:eastAsia="Arial" w:hAnsi="Arial"/>
                <w:sz w:val="14"/>
                <w:szCs w:val="14"/>
                <w:color w:val="auto"/>
              </w:rPr>
              <w:t>Intercompany eliminations(4)</w:t>
            </w: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(205)</w:t>
            </w:r>
          </w:p>
        </w:tc>
        <w:tc>
          <w:tcPr>
            <w:tcW w:w="6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8"/>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r>
      <w:tr>
        <w:trPr>
          <w:trHeight w:val="169"/>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2,844</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9"/>
              </w:rPr>
              <w:t>%</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2,062</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1,912</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167"/>
        </w:trPr>
        <w:tc>
          <w:tcPr>
            <w:tcW w:w="4700" w:type="dxa"/>
            <w:vAlign w:val="bottom"/>
          </w:tcPr>
          <w:p>
            <w:pPr>
              <w:spacing w:after="0"/>
              <w:rPr>
                <w:sz w:val="20"/>
                <w:szCs w:val="20"/>
                <w:color w:val="auto"/>
              </w:rPr>
            </w:pPr>
            <w:r>
              <w:rPr>
                <w:rFonts w:ascii="Arial" w:cs="Arial" w:eastAsia="Arial" w:hAnsi="Arial"/>
                <w:sz w:val="14"/>
                <w:szCs w:val="14"/>
                <w:color w:val="auto"/>
              </w:rPr>
              <w:t>GEOGRAPHIC INFORMATION</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Long-lived assets:</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21,505</w:t>
            </w:r>
          </w:p>
        </w:tc>
        <w:tc>
          <w:tcPr>
            <w:tcW w:w="680" w:type="dxa"/>
            <w:vAlign w:val="bottom"/>
          </w:tcPr>
          <w:p>
            <w:pPr>
              <w:jc w:val="right"/>
              <w:spacing w:after="0"/>
              <w:rPr>
                <w:sz w:val="20"/>
                <w:szCs w:val="20"/>
                <w:color w:val="auto"/>
              </w:rPr>
            </w:pPr>
            <w:r>
              <w:rPr>
                <w:rFonts w:ascii="Arial" w:cs="Arial" w:eastAsia="Arial" w:hAnsi="Arial"/>
                <w:sz w:val="14"/>
                <w:szCs w:val="14"/>
                <w:color w:val="auto"/>
              </w:rPr>
              <w:t>85 %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19,905</w:t>
            </w:r>
          </w:p>
        </w:tc>
        <w:tc>
          <w:tcPr>
            <w:tcW w:w="620" w:type="dxa"/>
            <w:vAlign w:val="bottom"/>
          </w:tcPr>
          <w:p>
            <w:pPr>
              <w:jc w:val="right"/>
              <w:spacing w:after="0"/>
              <w:rPr>
                <w:sz w:val="20"/>
                <w:szCs w:val="20"/>
                <w:color w:val="auto"/>
              </w:rPr>
            </w:pPr>
            <w:r>
              <w:rPr>
                <w:rFonts w:ascii="Arial" w:cs="Arial" w:eastAsia="Arial" w:hAnsi="Arial"/>
                <w:sz w:val="14"/>
                <w:szCs w:val="14"/>
                <w:color w:val="auto"/>
              </w:rPr>
              <w:t>87 %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19,870</w:t>
            </w:r>
          </w:p>
        </w:tc>
        <w:tc>
          <w:tcPr>
            <w:tcW w:w="620" w:type="dxa"/>
            <w:vAlign w:val="bottom"/>
          </w:tcPr>
          <w:p>
            <w:pPr>
              <w:jc w:val="right"/>
              <w:spacing w:after="0"/>
              <w:rPr>
                <w:sz w:val="20"/>
                <w:szCs w:val="20"/>
                <w:color w:val="auto"/>
              </w:rPr>
            </w:pPr>
            <w:r>
              <w:rPr>
                <w:rFonts w:ascii="Arial" w:cs="Arial" w:eastAsia="Arial" w:hAnsi="Arial"/>
                <w:sz w:val="14"/>
                <w:szCs w:val="14"/>
                <w:color w:val="auto"/>
              </w:rPr>
              <w:t>88 %</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Mexico</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2,196</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2,217</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1,954</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4"/>
        </w:trPr>
        <w:tc>
          <w:tcPr>
            <w:tcW w:w="4700" w:type="dxa"/>
            <w:vAlign w:val="bottom"/>
          </w:tcPr>
          <w:p>
            <w:pPr>
              <w:ind w:left="120"/>
              <w:spacing w:after="0" w:line="137" w:lineRule="exact"/>
              <w:rPr>
                <w:sz w:val="20"/>
                <w:szCs w:val="20"/>
                <w:color w:val="auto"/>
              </w:rPr>
            </w:pPr>
            <w:r>
              <w:rPr>
                <w:rFonts w:ascii="Arial" w:cs="Arial" w:eastAsia="Arial" w:hAnsi="Arial"/>
                <w:sz w:val="14"/>
                <w:szCs w:val="14"/>
                <w:color w:val="auto"/>
              </w:rPr>
              <w:t>South America</w:t>
            </w: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1,542</w:t>
            </w:r>
          </w:p>
        </w:tc>
        <w:tc>
          <w:tcPr>
            <w:tcW w:w="6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8"/>
              <w:spacing w:after="0" w:line="137" w:lineRule="exact"/>
              <w:rPr>
                <w:sz w:val="20"/>
                <w:szCs w:val="20"/>
                <w:color w:val="auto"/>
              </w:rPr>
            </w:pPr>
            <w:r>
              <w:rPr>
                <w:rFonts w:ascii="Arial" w:cs="Arial" w:eastAsia="Arial" w:hAnsi="Arial"/>
                <w:sz w:val="14"/>
                <w:szCs w:val="14"/>
                <w:color w:val="auto"/>
              </w:rPr>
              <w:t>705</w:t>
            </w:r>
          </w:p>
        </w:tc>
        <w:tc>
          <w:tcPr>
            <w:tcW w:w="6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780</w:t>
            </w:r>
          </w:p>
        </w:tc>
        <w:tc>
          <w:tcPr>
            <w:tcW w:w="6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spacing w:after="0"/>
              <w:rPr>
                <w:sz w:val="14"/>
                <w:szCs w:val="14"/>
                <w:color w:val="auto"/>
              </w:rPr>
            </w:pPr>
          </w:p>
        </w:tc>
      </w:tr>
      <w:tr>
        <w:trPr>
          <w:trHeight w:val="169"/>
        </w:trPr>
        <w:tc>
          <w:tcPr>
            <w:tcW w:w="4700" w:type="dxa"/>
            <w:vAlign w:val="bottom"/>
          </w:tcPr>
          <w:p>
            <w:pPr>
              <w:ind w:left="240"/>
              <w:spacing w:after="0" w:line="142" w:lineRule="exact"/>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25,243</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100 %</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22,827</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100 %</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22,604</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100 %</w:t>
            </w:r>
          </w:p>
        </w:tc>
        <w:tc>
          <w:tcPr>
            <w:tcW w:w="140" w:type="dxa"/>
            <w:vAlign w:val="bottom"/>
            <w:tcBorders>
              <w:bottom w:val="single" w:sz="8" w:color="auto"/>
            </w:tcBorders>
          </w:tcPr>
          <w:p>
            <w:pPr>
              <w:spacing w:after="0"/>
              <w:rPr>
                <w:sz w:val="14"/>
                <w:szCs w:val="14"/>
                <w:color w:val="auto"/>
              </w:rPr>
            </w:pPr>
          </w:p>
        </w:tc>
      </w:tr>
      <w:tr>
        <w:trPr>
          <w:trHeight w:val="329"/>
        </w:trPr>
        <w:tc>
          <w:tcPr>
            <w:tcW w:w="4700" w:type="dxa"/>
            <w:vAlign w:val="bottom"/>
          </w:tcPr>
          <w:p>
            <w:pPr>
              <w:spacing w:after="0"/>
              <w:rPr>
                <w:sz w:val="20"/>
                <w:szCs w:val="20"/>
                <w:color w:val="auto"/>
              </w:rPr>
            </w:pPr>
            <w:r>
              <w:rPr>
                <w:rFonts w:ascii="Arial" w:cs="Arial" w:eastAsia="Arial" w:hAnsi="Arial"/>
                <w:sz w:val="14"/>
                <w:szCs w:val="14"/>
                <w:color w:val="auto"/>
              </w:rPr>
              <w:t>Revenues:</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8,135</w:t>
            </w:r>
          </w:p>
        </w:tc>
        <w:tc>
          <w:tcPr>
            <w:tcW w:w="680" w:type="dxa"/>
            <w:vAlign w:val="bottom"/>
          </w:tcPr>
          <w:p>
            <w:pPr>
              <w:jc w:val="right"/>
              <w:spacing w:after="0"/>
              <w:rPr>
                <w:sz w:val="20"/>
                <w:szCs w:val="20"/>
                <w:color w:val="auto"/>
              </w:rPr>
            </w:pPr>
            <w:r>
              <w:rPr>
                <w:rFonts w:ascii="Arial" w:cs="Arial" w:eastAsia="Arial" w:hAnsi="Arial"/>
                <w:sz w:val="14"/>
                <w:szCs w:val="14"/>
                <w:color w:val="auto"/>
              </w:rPr>
              <w:t>81 %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8,118</w:t>
            </w:r>
          </w:p>
        </w:tc>
        <w:tc>
          <w:tcPr>
            <w:tcW w:w="620" w:type="dxa"/>
            <w:vAlign w:val="bottom"/>
          </w:tcPr>
          <w:p>
            <w:pPr>
              <w:jc w:val="right"/>
              <w:spacing w:after="0"/>
              <w:rPr>
                <w:sz w:val="20"/>
                <w:szCs w:val="20"/>
                <w:color w:val="auto"/>
              </w:rPr>
            </w:pPr>
            <w:r>
              <w:rPr>
                <w:rFonts w:ascii="Arial" w:cs="Arial" w:eastAsia="Arial" w:hAnsi="Arial"/>
                <w:sz w:val="14"/>
                <w:szCs w:val="14"/>
                <w:color w:val="auto"/>
              </w:rPr>
              <w:t>90 %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7,476</w:t>
            </w:r>
          </w:p>
        </w:tc>
        <w:tc>
          <w:tcPr>
            <w:tcW w:w="620" w:type="dxa"/>
            <w:vAlign w:val="bottom"/>
          </w:tcPr>
          <w:p>
            <w:pPr>
              <w:jc w:val="right"/>
              <w:spacing w:after="0"/>
              <w:rPr>
                <w:sz w:val="20"/>
                <w:szCs w:val="20"/>
                <w:color w:val="auto"/>
              </w:rPr>
            </w:pPr>
            <w:r>
              <w:rPr>
                <w:rFonts w:ascii="Arial" w:cs="Arial" w:eastAsia="Arial" w:hAnsi="Arial"/>
                <w:sz w:val="14"/>
                <w:szCs w:val="14"/>
                <w:color w:val="auto"/>
              </w:rPr>
              <w:t>92 %</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South America</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1,080</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4700" w:type="dxa"/>
            <w:vAlign w:val="bottom"/>
          </w:tcPr>
          <w:p>
            <w:pPr>
              <w:ind w:left="120"/>
              <w:spacing w:after="0"/>
              <w:rPr>
                <w:sz w:val="20"/>
                <w:szCs w:val="20"/>
                <w:color w:val="auto"/>
              </w:rPr>
            </w:pPr>
            <w:r>
              <w:rPr>
                <w:rFonts w:ascii="Arial" w:cs="Arial" w:eastAsia="Arial" w:hAnsi="Arial"/>
                <w:sz w:val="14"/>
                <w:szCs w:val="14"/>
                <w:color w:val="auto"/>
              </w:rPr>
              <w:t>Mexico</w:t>
            </w:r>
          </w:p>
        </w:tc>
        <w:tc>
          <w:tcPr>
            <w:tcW w:w="5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821</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884</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629</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r>
      <w:tr>
        <w:trPr>
          <w:trHeight w:val="164"/>
        </w:trPr>
        <w:tc>
          <w:tcPr>
            <w:tcW w:w="470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10,036</w:t>
            </w:r>
          </w:p>
        </w:tc>
        <w:tc>
          <w:tcPr>
            <w:tcW w:w="6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w w:val="79"/>
              </w:rPr>
              <w:t>%</w:t>
            </w:r>
          </w:p>
        </w:tc>
        <w:tc>
          <w:tcPr>
            <w:tcW w:w="4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9,003</w:t>
            </w:r>
          </w:p>
        </w:tc>
        <w:tc>
          <w:tcPr>
            <w:tcW w:w="62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w w:val="96"/>
              </w:rPr>
              <w:t>%</w:t>
            </w:r>
          </w:p>
        </w:tc>
        <w:tc>
          <w:tcPr>
            <w:tcW w:w="600" w:type="dxa"/>
            <w:vAlign w:val="bottom"/>
            <w:tcBorders>
              <w:bottom w:val="single" w:sz="8" w:color="auto"/>
            </w:tcBorders>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8,106</w:t>
            </w:r>
          </w:p>
        </w:tc>
        <w:tc>
          <w:tcPr>
            <w:tcW w:w="6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96"/>
              </w:rPr>
              <w:t>%</w:t>
            </w:r>
          </w:p>
        </w:tc>
      </w:tr>
    </w:tbl>
    <w:p>
      <w:pPr>
        <w:ind w:left="540" w:hanging="532"/>
        <w:spacing w:after="0"/>
        <w:tabs>
          <w:tab w:leader="none" w:pos="540" w:val="left"/>
        </w:tabs>
        <w:numPr>
          <w:ilvl w:val="0"/>
          <w:numId w:val="381"/>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5" w:lineRule="exact"/>
        <w:rPr>
          <w:rFonts w:ascii="Arial" w:cs="Arial" w:eastAsia="Arial" w:hAnsi="Arial"/>
          <w:sz w:val="14"/>
          <w:szCs w:val="14"/>
          <w:i w:val="1"/>
          <w:iCs w:val="1"/>
          <w:color w:val="auto"/>
        </w:rPr>
      </w:pPr>
    </w:p>
    <w:p>
      <w:pPr>
        <w:ind w:left="540" w:right="80"/>
        <w:spacing w:after="0" w:line="241" w:lineRule="auto"/>
        <w:rPr>
          <w:rFonts w:ascii="Arial" w:cs="Arial" w:eastAsia="Arial" w:hAnsi="Arial"/>
          <w:sz w:val="14"/>
          <w:szCs w:val="14"/>
          <w:i w:val="1"/>
          <w:iCs w:val="1"/>
          <w:color w:val="auto"/>
        </w:rPr>
      </w:pPr>
      <w:r>
        <w:rPr>
          <w:rFonts w:ascii="Arial" w:cs="Arial" w:eastAsia="Arial" w:hAnsi="Arial"/>
          <w:sz w:val="14"/>
          <w:szCs w:val="14"/>
          <w:i w:val="1"/>
          <w:iCs w:val="1"/>
          <w:color w:val="auto"/>
        </w:rPr>
        <w:t>$6 million, $53 million and $47 million for 2011, $6 million, $44 million and $46 million for 2010, and $7 million, $43 million and $37 million for 2009 for SDG&amp;E, SoCalGas and Sempra Pipelines &amp; Storage, respectively. Revenues in 2011 also included $88 million and $1 million of intersegment revenues at Sempra LNG and Sempra Generation, respectively.</w:t>
      </w:r>
    </w:p>
    <w:p>
      <w:pPr>
        <w:spacing w:after="0" w:line="1" w:lineRule="exact"/>
        <w:rPr>
          <w:rFonts w:ascii="Arial" w:cs="Arial" w:eastAsia="Arial" w:hAnsi="Arial"/>
          <w:sz w:val="14"/>
          <w:szCs w:val="14"/>
          <w:i w:val="1"/>
          <w:iCs w:val="1"/>
          <w:color w:val="auto"/>
        </w:rPr>
      </w:pPr>
    </w:p>
    <w:p>
      <w:pPr>
        <w:ind w:left="540" w:hanging="532"/>
        <w:spacing w:after="0"/>
        <w:tabs>
          <w:tab w:leader="none" w:pos="540" w:val="left"/>
        </w:tabs>
        <w:numPr>
          <w:ilvl w:val="0"/>
          <w:numId w:val="381"/>
        </w:numPr>
        <w:rPr>
          <w:rFonts w:ascii="Arial" w:cs="Arial" w:eastAsia="Arial" w:hAnsi="Arial"/>
          <w:sz w:val="14"/>
          <w:szCs w:val="14"/>
          <w:i w:val="1"/>
          <w:iCs w:val="1"/>
          <w:color w:val="auto"/>
        </w:rPr>
      </w:pPr>
      <w:r>
        <w:rPr>
          <w:rFonts w:ascii="Arial" w:cs="Arial" w:eastAsia="Arial" w:hAnsi="Arial"/>
          <w:sz w:val="14"/>
          <w:szCs w:val="14"/>
          <w:i w:val="1"/>
          <w:iCs w:val="1"/>
          <w:color w:val="auto"/>
        </w:rPr>
        <w:t>Prior year amounts have been revised to present amounts after eliminations between Parent and corporate entities.</w:t>
      </w:r>
    </w:p>
    <w:p>
      <w:pPr>
        <w:spacing w:after="0" w:line="1" w:lineRule="exact"/>
        <w:rPr>
          <w:rFonts w:ascii="Arial" w:cs="Arial" w:eastAsia="Arial" w:hAnsi="Arial"/>
          <w:sz w:val="14"/>
          <w:szCs w:val="14"/>
          <w:i w:val="1"/>
          <w:iCs w:val="1"/>
          <w:color w:val="auto"/>
        </w:rPr>
      </w:pPr>
    </w:p>
    <w:p>
      <w:pPr>
        <w:ind w:left="540" w:hanging="532"/>
        <w:spacing w:after="0"/>
        <w:tabs>
          <w:tab w:leader="none" w:pos="540" w:val="left"/>
        </w:tabs>
        <w:numPr>
          <w:ilvl w:val="0"/>
          <w:numId w:val="381"/>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1" w:lineRule="exact"/>
        <w:rPr>
          <w:rFonts w:ascii="Arial" w:cs="Arial" w:eastAsia="Arial" w:hAnsi="Arial"/>
          <w:sz w:val="14"/>
          <w:szCs w:val="14"/>
          <w:i w:val="1"/>
          <w:iCs w:val="1"/>
          <w:color w:val="auto"/>
        </w:rPr>
      </w:pPr>
    </w:p>
    <w:p>
      <w:pPr>
        <w:ind w:left="540" w:hanging="532"/>
        <w:spacing w:after="0"/>
        <w:tabs>
          <w:tab w:leader="none" w:pos="540" w:val="left"/>
        </w:tabs>
        <w:numPr>
          <w:ilvl w:val="0"/>
          <w:numId w:val="381"/>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elimination of intercompany sale of El Dorado power plant in 2011, as discussed in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6376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NOTE 17. QUARTERLY FINANCIAL DATA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for per share amounts)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960"/>
              <w:spacing w:after="0" w:line="159" w:lineRule="exact"/>
              <w:rPr>
                <w:sz w:val="20"/>
                <w:szCs w:val="20"/>
                <w:color w:val="auto"/>
              </w:rPr>
            </w:pPr>
            <w:r>
              <w:rPr>
                <w:rFonts w:ascii="Arial" w:cs="Arial" w:eastAsia="Arial" w:hAnsi="Arial"/>
                <w:sz w:val="14"/>
                <w:szCs w:val="14"/>
                <w:color w:val="auto"/>
              </w:rPr>
              <w:t>Quarters ended</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March 31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June 30</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September 30</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December 31</w:t>
            </w:r>
          </w:p>
        </w:tc>
      </w:tr>
      <w:tr>
        <w:trPr>
          <w:trHeight w:val="164"/>
        </w:trPr>
        <w:tc>
          <w:tcPr>
            <w:tcW w:w="20" w:type="dxa"/>
            <w:vAlign w:val="bottom"/>
          </w:tcPr>
          <w:p>
            <w:pPr>
              <w:spacing w:after="0"/>
              <w:rPr>
                <w:sz w:val="14"/>
                <w:szCs w:val="14"/>
                <w:color w:val="auto"/>
              </w:rPr>
            </w:pPr>
          </w:p>
        </w:tc>
        <w:tc>
          <w:tcPr>
            <w:tcW w:w="5340" w:type="dxa"/>
            <w:vAlign w:val="bottom"/>
          </w:tcPr>
          <w:p>
            <w:pPr>
              <w:spacing w:after="0" w:line="164" w:lineRule="exact"/>
              <w:rPr>
                <w:sz w:val="20"/>
                <w:szCs w:val="20"/>
                <w:color w:val="auto"/>
              </w:rPr>
            </w:pPr>
            <w:r>
              <w:rPr>
                <w:rFonts w:ascii="Arial" w:cs="Arial" w:eastAsia="Arial" w:hAnsi="Arial"/>
                <w:sz w:val="16"/>
                <w:szCs w:val="16"/>
                <w:b w:val="1"/>
                <w:bCs w:val="1"/>
                <w:color w:val="auto"/>
              </w:rPr>
              <w:t>2011</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5360" w:type="dxa"/>
            <w:vAlign w:val="bottom"/>
            <w:gridSpan w:val="2"/>
          </w:tcPr>
          <w:p>
            <w:pPr>
              <w:spacing w:after="0" w:line="176" w:lineRule="exact"/>
              <w:rPr>
                <w:sz w:val="20"/>
                <w:szCs w:val="20"/>
                <w:color w:val="auto"/>
              </w:rPr>
            </w:pPr>
            <w:r>
              <w:rPr>
                <w:rFonts w:ascii="Arial" w:cs="Arial" w:eastAsia="Arial" w:hAnsi="Arial"/>
                <w:sz w:val="16"/>
                <w:szCs w:val="16"/>
                <w:color w:val="auto"/>
              </w:rPr>
              <w:t>Revenues</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2,434</w:t>
            </w:r>
          </w:p>
        </w:tc>
        <w:tc>
          <w:tcPr>
            <w:tcW w:w="32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line="176" w:lineRule="exact"/>
              <w:rPr>
                <w:sz w:val="20"/>
                <w:szCs w:val="20"/>
                <w:color w:val="auto"/>
              </w:rPr>
            </w:pPr>
            <w:r>
              <w:rPr>
                <w:rFonts w:ascii="Arial" w:cs="Arial" w:eastAsia="Arial" w:hAnsi="Arial"/>
                <w:sz w:val="16"/>
                <w:szCs w:val="16"/>
                <w:color w:val="auto"/>
              </w:rPr>
              <w:t>2,422</w:t>
            </w: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2,576</w:t>
            </w: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2,604</w:t>
            </w:r>
          </w:p>
        </w:tc>
      </w:tr>
      <w:tr>
        <w:trPr>
          <w:trHeight w:val="195"/>
        </w:trPr>
        <w:tc>
          <w:tcPr>
            <w:tcW w:w="5360" w:type="dxa"/>
            <w:vAlign w:val="bottom"/>
            <w:gridSpan w:val="2"/>
          </w:tcPr>
          <w:p>
            <w:pPr>
              <w:spacing w:after="0"/>
              <w:rPr>
                <w:sz w:val="20"/>
                <w:szCs w:val="20"/>
                <w:color w:val="auto"/>
              </w:rPr>
            </w:pPr>
            <w:r>
              <w:rPr>
                <w:rFonts w:ascii="Arial" w:cs="Arial" w:eastAsia="Arial" w:hAnsi="Arial"/>
                <w:sz w:val="16"/>
                <w:szCs w:val="16"/>
                <w:color w:val="auto"/>
              </w:rPr>
              <w:t>Expenses and other income</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2,092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1,836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2,199</w:t>
            </w:r>
          </w:p>
        </w:tc>
      </w:tr>
      <w:tr>
        <w:trPr>
          <w:trHeight w:val="332"/>
        </w:trPr>
        <w:tc>
          <w:tcPr>
            <w:tcW w:w="53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502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195"/>
        </w:trPr>
        <w:tc>
          <w:tcPr>
            <w:tcW w:w="5360" w:type="dxa"/>
            <w:vAlign w:val="bottom"/>
            <w:gridSpan w:val="2"/>
          </w:tcPr>
          <w:p>
            <w:pPr>
              <w:spacing w:after="0"/>
              <w:rPr>
                <w:sz w:val="20"/>
                <w:szCs w:val="20"/>
                <w:color w:val="auto"/>
              </w:rPr>
            </w:pPr>
            <w:r>
              <w:rPr>
                <w:rFonts w:ascii="Arial" w:cs="Arial" w:eastAsia="Arial" w:hAnsi="Arial"/>
                <w:sz w:val="16"/>
                <w:szCs w:val="16"/>
                <w:color w:val="auto"/>
              </w:rPr>
              <w:t>Earnings attributable to Sempra Energy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511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332"/>
        </w:trPr>
        <w:tc>
          <w:tcPr>
            <w:tcW w:w="5360" w:type="dxa"/>
            <w:vAlign w:val="bottom"/>
            <w:gridSpan w:val="2"/>
          </w:tcPr>
          <w:p>
            <w:pPr>
              <w:spacing w:after="0"/>
              <w:rPr>
                <w:sz w:val="20"/>
                <w:szCs w:val="20"/>
                <w:color w:val="auto"/>
              </w:rPr>
            </w:pPr>
            <w:r>
              <w:rPr>
                <w:rFonts w:ascii="Arial" w:cs="Arial" w:eastAsia="Arial" w:hAnsi="Arial"/>
                <w:sz w:val="16"/>
                <w:szCs w:val="16"/>
                <w:color w:val="auto"/>
              </w:rPr>
              <w:t>Basic per-share amounts(1):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340" w:type="dxa"/>
            <w:vAlign w:val="bottom"/>
          </w:tcPr>
          <w:p>
            <w:pPr>
              <w:ind w:left="160"/>
              <w:spacing w:after="0" w:line="176" w:lineRule="exact"/>
              <w:rPr>
                <w:sz w:val="20"/>
                <w:szCs w:val="20"/>
                <w:color w:val="auto"/>
              </w:rPr>
            </w:pPr>
            <w:r>
              <w:rPr>
                <w:rFonts w:ascii="Arial" w:cs="Arial" w:eastAsia="Arial" w:hAnsi="Arial"/>
                <w:sz w:val="16"/>
                <w:szCs w:val="16"/>
                <w:color w:val="auto"/>
              </w:rPr>
              <w:t>Net income</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1.10</w:t>
            </w:r>
          </w:p>
        </w:tc>
        <w:tc>
          <w:tcPr>
            <w:tcW w:w="32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line="176" w:lineRule="exact"/>
              <w:rPr>
                <w:sz w:val="20"/>
                <w:szCs w:val="20"/>
                <w:color w:val="auto"/>
              </w:rPr>
            </w:pPr>
            <w:r>
              <w:rPr>
                <w:rFonts w:ascii="Arial" w:cs="Arial" w:eastAsia="Arial" w:hAnsi="Arial"/>
                <w:sz w:val="16"/>
                <w:szCs w:val="16"/>
                <w:color w:val="auto"/>
              </w:rPr>
              <w:t>2.10</w:t>
            </w: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1.36</w:t>
            </w: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1.31</w:t>
            </w: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Arial" w:cs="Arial" w:eastAsia="Arial" w:hAnsi="Arial"/>
                <w:sz w:val="16"/>
                <w:szCs w:val="16"/>
                <w:color w:val="auto"/>
              </w:rPr>
              <w:t>Earnings attributable to Sempra Energy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1.22</w:t>
            </w:r>
          </w:p>
        </w:tc>
      </w:tr>
    </w:tbl>
    <w:p>
      <w:pPr>
        <w:sectPr>
          <w:pgSz w:w="11900" w:h="16838" w:orient="portrait"/>
          <w:cols w:equalWidth="0" w:num="1">
            <w:col w:w="11420"/>
          </w:cols>
          <w:pgMar w:left="240" w:top="144" w:right="239" w:bottom="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6"/>
                <w:szCs w:val="16"/>
                <w:color w:val="auto"/>
              </w:rPr>
              <w:t>Weighted average common shares outstanding</w:t>
            </w:r>
          </w:p>
        </w:tc>
        <w:tc>
          <w:tcPr>
            <w:tcW w:w="146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240.1</w:t>
            </w:r>
          </w:p>
        </w:tc>
        <w:tc>
          <w:tcPr>
            <w:tcW w:w="60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239.4</w:t>
            </w:r>
          </w:p>
        </w:tc>
        <w:tc>
          <w:tcPr>
            <w:tcW w:w="6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239.5</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239.8</w:t>
            </w:r>
          </w:p>
        </w:tc>
      </w:tr>
      <w:tr>
        <w:trPr>
          <w:trHeight w:val="332"/>
        </w:trPr>
        <w:tc>
          <w:tcPr>
            <w:tcW w:w="4560" w:type="dxa"/>
            <w:vAlign w:val="bottom"/>
            <w:gridSpan w:val="2"/>
          </w:tcPr>
          <w:p>
            <w:pPr>
              <w:spacing w:after="0"/>
              <w:rPr>
                <w:sz w:val="20"/>
                <w:szCs w:val="20"/>
                <w:color w:val="auto"/>
              </w:rPr>
            </w:pPr>
            <w:r>
              <w:rPr>
                <w:rFonts w:ascii="Arial" w:cs="Arial" w:eastAsia="Arial" w:hAnsi="Arial"/>
                <w:sz w:val="16"/>
                <w:szCs w:val="16"/>
                <w:color w:val="auto"/>
              </w:rPr>
              <w:t>Diluted per-share amounts(1):</w:t>
            </w: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4540" w:type="dxa"/>
            <w:vAlign w:val="bottom"/>
          </w:tcPr>
          <w:p>
            <w:pPr>
              <w:ind w:left="160"/>
              <w:spacing w:after="0" w:line="176" w:lineRule="exact"/>
              <w:rPr>
                <w:sz w:val="20"/>
                <w:szCs w:val="20"/>
                <w:color w:val="auto"/>
              </w:rPr>
            </w:pPr>
            <w:r>
              <w:rPr>
                <w:rFonts w:ascii="Arial" w:cs="Arial" w:eastAsia="Arial" w:hAnsi="Arial"/>
                <w:sz w:val="16"/>
                <w:szCs w:val="16"/>
                <w:color w:val="auto"/>
              </w:rPr>
              <w:t>Net income</w:t>
            </w:r>
          </w:p>
        </w:tc>
        <w:tc>
          <w:tcPr>
            <w:tcW w:w="146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1.09</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2.09</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1.35</w:t>
            </w:r>
          </w:p>
        </w:tc>
        <w:tc>
          <w:tcPr>
            <w:tcW w:w="62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1.30</w:t>
            </w:r>
          </w:p>
        </w:tc>
      </w:tr>
      <w:tr>
        <w:trPr>
          <w:trHeight w:val="176"/>
        </w:trPr>
        <w:tc>
          <w:tcPr>
            <w:tcW w:w="20" w:type="dxa"/>
            <w:vAlign w:val="bottom"/>
          </w:tcPr>
          <w:p>
            <w:pPr>
              <w:spacing w:after="0"/>
              <w:rPr>
                <w:sz w:val="15"/>
                <w:szCs w:val="15"/>
                <w:color w:val="auto"/>
              </w:rPr>
            </w:pPr>
          </w:p>
        </w:tc>
        <w:tc>
          <w:tcPr>
            <w:tcW w:w="4540" w:type="dxa"/>
            <w:vAlign w:val="bottom"/>
          </w:tcPr>
          <w:p>
            <w:pPr>
              <w:ind w:left="160"/>
              <w:spacing w:after="0" w:line="176" w:lineRule="exact"/>
              <w:rPr>
                <w:sz w:val="20"/>
                <w:szCs w:val="20"/>
                <w:color w:val="auto"/>
              </w:rPr>
            </w:pPr>
            <w:r>
              <w:rPr>
                <w:rFonts w:ascii="Arial" w:cs="Arial" w:eastAsia="Arial" w:hAnsi="Arial"/>
                <w:sz w:val="16"/>
                <w:szCs w:val="16"/>
                <w:color w:val="auto"/>
              </w:rPr>
              <w:t>Earnings attributable to Sempra Energy</w:t>
            </w:r>
          </w:p>
        </w:tc>
        <w:tc>
          <w:tcPr>
            <w:tcW w:w="146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1.07</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2.12</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1.22</w:t>
            </w:r>
          </w:p>
        </w:tc>
        <w:tc>
          <w:tcPr>
            <w:tcW w:w="62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1.21</w:t>
            </w:r>
          </w:p>
        </w:tc>
      </w:tr>
      <w:tr>
        <w:trPr>
          <w:trHeight w:val="194"/>
        </w:trPr>
        <w:tc>
          <w:tcPr>
            <w:tcW w:w="20" w:type="dxa"/>
            <w:vAlign w:val="bottom"/>
          </w:tcPr>
          <w:p>
            <w:pPr>
              <w:spacing w:after="0"/>
              <w:rPr>
                <w:sz w:val="16"/>
                <w:szCs w:val="16"/>
                <w:color w:val="auto"/>
              </w:rPr>
            </w:pPr>
          </w:p>
        </w:tc>
        <w:tc>
          <w:tcPr>
            <w:tcW w:w="45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Weighted average common shares outstanding</w:t>
            </w:r>
          </w:p>
        </w:tc>
        <w:tc>
          <w:tcPr>
            <w:tcW w:w="1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241.9</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240.8</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241.9</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w:t>
            </w:r>
          </w:p>
        </w:tc>
      </w:tr>
      <w:tr>
        <w:trPr>
          <w:trHeight w:val="164"/>
        </w:trPr>
        <w:tc>
          <w:tcPr>
            <w:tcW w:w="20" w:type="dxa"/>
            <w:vAlign w:val="bottom"/>
          </w:tcPr>
          <w:p>
            <w:pPr>
              <w:spacing w:after="0"/>
              <w:rPr>
                <w:sz w:val="14"/>
                <w:szCs w:val="14"/>
                <w:color w:val="auto"/>
              </w:rPr>
            </w:pPr>
          </w:p>
        </w:tc>
        <w:tc>
          <w:tcPr>
            <w:tcW w:w="4540" w:type="dxa"/>
            <w:vAlign w:val="bottom"/>
          </w:tcPr>
          <w:p>
            <w:pPr>
              <w:spacing w:after="0" w:line="164" w:lineRule="exact"/>
              <w:rPr>
                <w:sz w:val="20"/>
                <w:szCs w:val="20"/>
                <w:color w:val="auto"/>
              </w:rPr>
            </w:pPr>
            <w:r>
              <w:rPr>
                <w:rFonts w:ascii="Arial" w:cs="Arial" w:eastAsia="Arial" w:hAnsi="Arial"/>
                <w:sz w:val="16"/>
                <w:szCs w:val="16"/>
                <w:b w:val="1"/>
                <w:bCs w:val="1"/>
                <w:color w:val="auto"/>
              </w:rPr>
              <w:t>2010</w:t>
            </w: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4560" w:type="dxa"/>
            <w:vAlign w:val="bottom"/>
            <w:gridSpan w:val="2"/>
          </w:tcPr>
          <w:p>
            <w:pPr>
              <w:spacing w:after="0" w:line="176" w:lineRule="exact"/>
              <w:rPr>
                <w:sz w:val="20"/>
                <w:szCs w:val="20"/>
                <w:color w:val="auto"/>
              </w:rPr>
            </w:pPr>
            <w:r>
              <w:rPr>
                <w:rFonts w:ascii="Arial" w:cs="Arial" w:eastAsia="Arial" w:hAnsi="Arial"/>
                <w:sz w:val="16"/>
                <w:szCs w:val="16"/>
                <w:color w:val="auto"/>
              </w:rPr>
              <w:t>Revenues</w:t>
            </w:r>
          </w:p>
        </w:tc>
        <w:tc>
          <w:tcPr>
            <w:tcW w:w="146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2,534</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2,008</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2,116</w:t>
            </w:r>
          </w:p>
        </w:tc>
        <w:tc>
          <w:tcPr>
            <w:tcW w:w="62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2,345</w:t>
            </w:r>
          </w:p>
        </w:tc>
      </w:tr>
      <w:tr>
        <w:trPr>
          <w:trHeight w:val="195"/>
        </w:trPr>
        <w:tc>
          <w:tcPr>
            <w:tcW w:w="4560" w:type="dxa"/>
            <w:vAlign w:val="bottom"/>
            <w:gridSpan w:val="2"/>
          </w:tcPr>
          <w:p>
            <w:pPr>
              <w:spacing w:after="0"/>
              <w:rPr>
                <w:sz w:val="20"/>
                <w:szCs w:val="20"/>
                <w:color w:val="auto"/>
              </w:rPr>
            </w:pPr>
            <w:r>
              <w:rPr>
                <w:rFonts w:ascii="Arial" w:cs="Arial" w:eastAsia="Arial" w:hAnsi="Arial"/>
                <w:sz w:val="16"/>
                <w:szCs w:val="16"/>
                <w:color w:val="auto"/>
              </w:rPr>
              <w:t>Expenses and other income</w:t>
            </w:r>
          </w:p>
        </w:tc>
        <w:tc>
          <w:tcPr>
            <w:tcW w:w="14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2,395</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1,771</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2,017</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2,034</w:t>
            </w:r>
          </w:p>
        </w:tc>
      </w:tr>
      <w:tr>
        <w:trPr>
          <w:trHeight w:val="332"/>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195"/>
        </w:trPr>
        <w:tc>
          <w:tcPr>
            <w:tcW w:w="4560" w:type="dxa"/>
            <w:vAlign w:val="bottom"/>
            <w:gridSpan w:val="2"/>
          </w:tcPr>
          <w:p>
            <w:pPr>
              <w:spacing w:after="0"/>
              <w:rPr>
                <w:sz w:val="20"/>
                <w:szCs w:val="20"/>
                <w:color w:val="auto"/>
              </w:rPr>
            </w:pPr>
            <w:r>
              <w:rPr>
                <w:rFonts w:ascii="Arial" w:cs="Arial" w:eastAsia="Arial" w:hAnsi="Arial"/>
                <w:sz w:val="16"/>
                <w:szCs w:val="16"/>
                <w:color w:val="auto"/>
              </w:rPr>
              <w:t>Earnings attributable to Sempra Energy</w:t>
            </w:r>
          </w:p>
        </w:tc>
        <w:tc>
          <w:tcPr>
            <w:tcW w:w="14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2"/>
        </w:trPr>
        <w:tc>
          <w:tcPr>
            <w:tcW w:w="4560" w:type="dxa"/>
            <w:vAlign w:val="bottom"/>
            <w:gridSpan w:val="2"/>
          </w:tcPr>
          <w:p>
            <w:pPr>
              <w:spacing w:after="0"/>
              <w:rPr>
                <w:sz w:val="20"/>
                <w:szCs w:val="20"/>
                <w:color w:val="auto"/>
              </w:rPr>
            </w:pPr>
            <w:r>
              <w:rPr>
                <w:rFonts w:ascii="Arial" w:cs="Arial" w:eastAsia="Arial" w:hAnsi="Arial"/>
                <w:sz w:val="16"/>
                <w:szCs w:val="16"/>
                <w:color w:val="auto"/>
              </w:rPr>
              <w:t>Basic per-share amounts(1):</w:t>
            </w: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4540" w:type="dxa"/>
            <w:vAlign w:val="bottom"/>
          </w:tcPr>
          <w:p>
            <w:pPr>
              <w:ind w:left="160"/>
              <w:spacing w:after="0" w:line="176" w:lineRule="exact"/>
              <w:rPr>
                <w:sz w:val="20"/>
                <w:szCs w:val="20"/>
                <w:color w:val="auto"/>
              </w:rPr>
            </w:pPr>
            <w:r>
              <w:rPr>
                <w:rFonts w:ascii="Arial" w:cs="Arial" w:eastAsia="Arial" w:hAnsi="Arial"/>
                <w:sz w:val="16"/>
                <w:szCs w:val="16"/>
                <w:color w:val="auto"/>
              </w:rPr>
              <w:t>Net income</w:t>
            </w:r>
          </w:p>
        </w:tc>
        <w:tc>
          <w:tcPr>
            <w:tcW w:w="146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0.41</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0.83</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0.52</w:t>
            </w:r>
          </w:p>
        </w:tc>
        <w:tc>
          <w:tcPr>
            <w:tcW w:w="62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1.26</w:t>
            </w:r>
          </w:p>
        </w:tc>
      </w:tr>
      <w:tr>
        <w:trPr>
          <w:trHeight w:val="176"/>
        </w:trPr>
        <w:tc>
          <w:tcPr>
            <w:tcW w:w="20" w:type="dxa"/>
            <w:vAlign w:val="bottom"/>
          </w:tcPr>
          <w:p>
            <w:pPr>
              <w:spacing w:after="0"/>
              <w:rPr>
                <w:sz w:val="15"/>
                <w:szCs w:val="15"/>
                <w:color w:val="auto"/>
              </w:rPr>
            </w:pPr>
          </w:p>
        </w:tc>
        <w:tc>
          <w:tcPr>
            <w:tcW w:w="4540" w:type="dxa"/>
            <w:vAlign w:val="bottom"/>
          </w:tcPr>
          <w:p>
            <w:pPr>
              <w:ind w:left="160"/>
              <w:spacing w:after="0" w:line="176" w:lineRule="exact"/>
              <w:rPr>
                <w:sz w:val="20"/>
                <w:szCs w:val="20"/>
                <w:color w:val="auto"/>
              </w:rPr>
            </w:pPr>
            <w:r>
              <w:rPr>
                <w:rFonts w:ascii="Arial" w:cs="Arial" w:eastAsia="Arial" w:hAnsi="Arial"/>
                <w:sz w:val="16"/>
                <w:szCs w:val="16"/>
                <w:color w:val="auto"/>
              </w:rPr>
              <w:t>Earnings attributable to Sempra Energy</w:t>
            </w:r>
          </w:p>
        </w:tc>
        <w:tc>
          <w:tcPr>
            <w:tcW w:w="146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0.43</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0.90</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0.53</w:t>
            </w:r>
          </w:p>
        </w:tc>
        <w:tc>
          <w:tcPr>
            <w:tcW w:w="62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1.17</w:t>
            </w:r>
          </w:p>
        </w:tc>
      </w:tr>
      <w:tr>
        <w:trPr>
          <w:trHeight w:val="19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6"/>
                <w:szCs w:val="16"/>
                <w:color w:val="auto"/>
              </w:rPr>
              <w:t>Weighted average common shares outstanding</w:t>
            </w:r>
          </w:p>
        </w:tc>
        <w:tc>
          <w:tcPr>
            <w:tcW w:w="146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246.1</w:t>
            </w:r>
          </w:p>
        </w:tc>
        <w:tc>
          <w:tcPr>
            <w:tcW w:w="60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246.8</w:t>
            </w:r>
          </w:p>
        </w:tc>
        <w:tc>
          <w:tcPr>
            <w:tcW w:w="6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246.7</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239.5</w:t>
            </w:r>
          </w:p>
        </w:tc>
      </w:tr>
      <w:tr>
        <w:trPr>
          <w:trHeight w:val="332"/>
        </w:trPr>
        <w:tc>
          <w:tcPr>
            <w:tcW w:w="4560" w:type="dxa"/>
            <w:vAlign w:val="bottom"/>
            <w:gridSpan w:val="2"/>
          </w:tcPr>
          <w:p>
            <w:pPr>
              <w:spacing w:after="0"/>
              <w:rPr>
                <w:sz w:val="20"/>
                <w:szCs w:val="20"/>
                <w:color w:val="auto"/>
              </w:rPr>
            </w:pPr>
            <w:r>
              <w:rPr>
                <w:rFonts w:ascii="Arial" w:cs="Arial" w:eastAsia="Arial" w:hAnsi="Arial"/>
                <w:sz w:val="16"/>
                <w:szCs w:val="16"/>
                <w:color w:val="auto"/>
              </w:rPr>
              <w:t>Diluted per-share amounts(1):</w:t>
            </w: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4540" w:type="dxa"/>
            <w:vAlign w:val="bottom"/>
          </w:tcPr>
          <w:p>
            <w:pPr>
              <w:ind w:left="160"/>
              <w:spacing w:after="0" w:line="176" w:lineRule="exact"/>
              <w:rPr>
                <w:sz w:val="20"/>
                <w:szCs w:val="20"/>
                <w:color w:val="auto"/>
              </w:rPr>
            </w:pPr>
            <w:r>
              <w:rPr>
                <w:rFonts w:ascii="Arial" w:cs="Arial" w:eastAsia="Arial" w:hAnsi="Arial"/>
                <w:sz w:val="16"/>
                <w:szCs w:val="16"/>
                <w:color w:val="auto"/>
              </w:rPr>
              <w:t>Net income</w:t>
            </w:r>
          </w:p>
        </w:tc>
        <w:tc>
          <w:tcPr>
            <w:tcW w:w="146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0.40</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0.82</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0.51</w:t>
            </w:r>
          </w:p>
        </w:tc>
        <w:tc>
          <w:tcPr>
            <w:tcW w:w="62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r>
      <w:tr>
        <w:trPr>
          <w:trHeight w:val="176"/>
        </w:trPr>
        <w:tc>
          <w:tcPr>
            <w:tcW w:w="20" w:type="dxa"/>
            <w:vAlign w:val="bottom"/>
          </w:tcPr>
          <w:p>
            <w:pPr>
              <w:spacing w:after="0"/>
              <w:rPr>
                <w:sz w:val="15"/>
                <w:szCs w:val="15"/>
                <w:color w:val="auto"/>
              </w:rPr>
            </w:pPr>
          </w:p>
        </w:tc>
        <w:tc>
          <w:tcPr>
            <w:tcW w:w="4540" w:type="dxa"/>
            <w:vAlign w:val="bottom"/>
          </w:tcPr>
          <w:p>
            <w:pPr>
              <w:ind w:left="160"/>
              <w:spacing w:after="0" w:line="176" w:lineRule="exact"/>
              <w:rPr>
                <w:sz w:val="20"/>
                <w:szCs w:val="20"/>
                <w:color w:val="auto"/>
              </w:rPr>
            </w:pPr>
            <w:r>
              <w:rPr>
                <w:rFonts w:ascii="Arial" w:cs="Arial" w:eastAsia="Arial" w:hAnsi="Arial"/>
                <w:sz w:val="16"/>
                <w:szCs w:val="16"/>
                <w:color w:val="auto"/>
              </w:rPr>
              <w:t>Earnings attributable to Sempra Energy</w:t>
            </w:r>
          </w:p>
        </w:tc>
        <w:tc>
          <w:tcPr>
            <w:tcW w:w="146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0.42</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0.89</w:t>
            </w:r>
          </w:p>
        </w:tc>
        <w:tc>
          <w:tcPr>
            <w:tcW w:w="60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0.53</w:t>
            </w:r>
          </w:p>
        </w:tc>
        <w:tc>
          <w:tcPr>
            <w:tcW w:w="62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1.15</w:t>
            </w:r>
          </w:p>
        </w:tc>
      </w:tr>
      <w:tr>
        <w:trPr>
          <w:trHeight w:val="195"/>
        </w:trPr>
        <w:tc>
          <w:tcPr>
            <w:tcW w:w="2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6"/>
                <w:szCs w:val="16"/>
                <w:color w:val="auto"/>
              </w:rPr>
              <w:t>Weighted average common shares outstanding</w:t>
            </w:r>
          </w:p>
        </w:tc>
        <w:tc>
          <w:tcPr>
            <w:tcW w:w="146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250.4</w:t>
            </w:r>
          </w:p>
        </w:tc>
        <w:tc>
          <w:tcPr>
            <w:tcW w:w="60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249.7</w:t>
            </w:r>
          </w:p>
        </w:tc>
        <w:tc>
          <w:tcPr>
            <w:tcW w:w="6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249.8</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hanging="532"/>
        <w:spacing w:after="0"/>
        <w:tabs>
          <w:tab w:leader="none" w:pos="540" w:val="left"/>
        </w:tabs>
        <w:numPr>
          <w:ilvl w:val="0"/>
          <w:numId w:val="382"/>
        </w:numPr>
        <w:rPr>
          <w:rFonts w:ascii="Arial" w:cs="Arial" w:eastAsia="Arial" w:hAnsi="Arial"/>
          <w:sz w:val="14"/>
          <w:szCs w:val="14"/>
          <w:i w:val="1"/>
          <w:iCs w:val="1"/>
          <w:color w:val="auto"/>
        </w:rPr>
      </w:pPr>
      <w:r>
        <w:rPr>
          <w:rFonts w:ascii="Arial" w:cs="Arial" w:eastAsia="Arial" w:hAnsi="Arial"/>
          <w:sz w:val="14"/>
          <w:szCs w:val="14"/>
          <w:i w:val="1"/>
          <w:iCs w:val="1"/>
          <w:color w:val="auto"/>
        </w:rPr>
        <w:t>Earnings per share are computed independently for each of the quarters and therefore may not sum to the total for the year.</w:t>
      </w:r>
    </w:p>
    <w:p>
      <w:pPr>
        <w:spacing w:after="0" w:line="200" w:lineRule="exact"/>
        <w:rPr>
          <w:sz w:val="20"/>
          <w:szCs w:val="20"/>
          <w:color w:val="auto"/>
        </w:rPr>
      </w:pP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second quarter of 2011, Expenses and Other Income, Net Income and Earnings Attributable to Sempra Energy were impacted by a $277 million gain (both before and after tax) resulting from the remeasurement of our equity method investments at Sempra Pipelines &amp; Storage related to its acquisition of additional interests in Chilquinta Energía and Luz del Sur on April 6, 2011, as we discuss in Note 3. Earnings Attributable to Sempra Energy were impacted by $11 million in the third quarter of 2011 and $24 million in the fourth quarter of 2011 from higher earnings from the acquisition of the additional interests in Chilquinta Energía and Luz del Sur.</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Revenues increased $324 million, $335 million and $350 million in the second, third and fourth quarters of 2011 compared to 2010, respectively, due to the consolidation of Chilquinta Energía and Luz del Sur beginning April 6, 2011.</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first quarter of 2010, Expenses and Other Income included $159 million in litigation expense related to the agreement in principle to settle certain energy crisis litigation. The litigation expense negatively impacted Net Income and Earnings Attributable to Sempra Energy by $96 million. Also in the first quarter of 2010, Earnings Attributable to Sempra Energy were negatively impacted by a $16 million write-down of deferred tax assets as a result of the change to U.S. tax law regarding the Medicare Part D subsidy.</w:t>
      </w:r>
    </w:p>
    <w:p>
      <w:pPr>
        <w:spacing w:after="0" w:line="18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the third quarter of 2010, Expenses and Other Income included a $305 million write-down of our investment in RBS Sempra Commodities. This write-down and a write-down of our investment in Argentina negatively impacted Net Income and Earnings Attributable to Sempra Energy by $139 million and $24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discuss quarterly fluctuations related to SDG&amp;E and SoCalGas below.</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940"/>
              <w:spacing w:after="0" w:line="159" w:lineRule="exact"/>
              <w:rPr>
                <w:sz w:val="20"/>
                <w:szCs w:val="20"/>
                <w:color w:val="auto"/>
              </w:rPr>
            </w:pPr>
            <w:r>
              <w:rPr>
                <w:rFonts w:ascii="Arial" w:cs="Arial" w:eastAsia="Arial" w:hAnsi="Arial"/>
                <w:sz w:val="14"/>
                <w:szCs w:val="14"/>
                <w:color w:val="auto"/>
              </w:rPr>
              <w:t>Quarters ended</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September 30</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December 31</w:t>
            </w:r>
          </w:p>
        </w:tc>
      </w:tr>
      <w:tr>
        <w:trPr>
          <w:trHeight w:val="164"/>
        </w:trPr>
        <w:tc>
          <w:tcPr>
            <w:tcW w:w="20" w:type="dxa"/>
            <w:vAlign w:val="bottom"/>
          </w:tcPr>
          <w:p>
            <w:pPr>
              <w:spacing w:after="0"/>
              <w:rPr>
                <w:sz w:val="14"/>
                <w:szCs w:val="14"/>
                <w:color w:val="auto"/>
              </w:rPr>
            </w:pPr>
          </w:p>
        </w:tc>
        <w:tc>
          <w:tcPr>
            <w:tcW w:w="5520" w:type="dxa"/>
            <w:vAlign w:val="bottom"/>
          </w:tcPr>
          <w:p>
            <w:pPr>
              <w:spacing w:after="0" w:line="164" w:lineRule="exact"/>
              <w:rPr>
                <w:sz w:val="20"/>
                <w:szCs w:val="20"/>
                <w:color w:val="auto"/>
              </w:rPr>
            </w:pPr>
            <w:r>
              <w:rPr>
                <w:rFonts w:ascii="Arial" w:cs="Arial" w:eastAsia="Arial" w:hAnsi="Arial"/>
                <w:sz w:val="16"/>
                <w:szCs w:val="16"/>
                <w:b w:val="1"/>
                <w:bCs w:val="1"/>
                <w:color w:val="auto"/>
              </w:rPr>
              <w:t>2011</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Operating revenues</w:t>
            </w:r>
          </w:p>
        </w:tc>
        <w:tc>
          <w:tcPr>
            <w:tcW w:w="1080" w:type="dxa"/>
            <w:vAlign w:val="bottom"/>
          </w:tcPr>
          <w:p>
            <w:pPr>
              <w:jc w:val="right"/>
              <w:ind w:right="760"/>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840</w:t>
            </w:r>
          </w:p>
        </w:tc>
        <w:tc>
          <w:tcPr>
            <w:tcW w:w="920" w:type="dxa"/>
            <w:vAlign w:val="bottom"/>
          </w:tcPr>
          <w:p>
            <w:pPr>
              <w:jc w:val="right"/>
              <w:ind w:right="660"/>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line="176" w:lineRule="exact"/>
              <w:rPr>
                <w:sz w:val="20"/>
                <w:szCs w:val="20"/>
                <w:color w:val="auto"/>
              </w:rPr>
            </w:pPr>
            <w:r>
              <w:rPr>
                <w:rFonts w:ascii="Arial" w:cs="Arial" w:eastAsia="Arial" w:hAnsi="Arial"/>
                <w:sz w:val="16"/>
                <w:szCs w:val="16"/>
                <w:color w:val="auto"/>
              </w:rPr>
              <w:t>697</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868</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968</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584</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658</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r>
      <w:tr>
        <w:trPr>
          <w:trHeight w:val="183"/>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Operating income</w:t>
            </w:r>
          </w:p>
        </w:tc>
        <w:tc>
          <w:tcPr>
            <w:tcW w:w="1080" w:type="dxa"/>
            <w:vAlign w:val="bottom"/>
            <w:tcBorders>
              <w:bottom w:val="single" w:sz="8" w:color="auto"/>
            </w:tcBorders>
          </w:tcPr>
          <w:p>
            <w:pPr>
              <w:jc w:val="right"/>
              <w:ind w:right="76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163</w:t>
            </w:r>
          </w:p>
        </w:tc>
        <w:tc>
          <w:tcPr>
            <w:tcW w:w="920" w:type="dxa"/>
            <w:vAlign w:val="bottom"/>
            <w:tcBorders>
              <w:bottom w:val="single" w:sz="8" w:color="auto"/>
            </w:tcBorders>
          </w:tcPr>
          <w:p>
            <w:pPr>
              <w:jc w:val="right"/>
              <w:ind w:right="660"/>
              <w:spacing w:after="0" w:line="176"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113</w:t>
            </w: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210</w:t>
            </w: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269</w:t>
            </w:r>
          </w:p>
        </w:tc>
      </w:tr>
      <w:tr>
        <w:trPr>
          <w:trHeight w:val="340"/>
        </w:trPr>
        <w:tc>
          <w:tcPr>
            <w:tcW w:w="55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92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(Earnings) losses attributable to noncontrolling interests</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91"/>
        </w:trPr>
        <w:tc>
          <w:tcPr>
            <w:tcW w:w="554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108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92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Dividends on preferred stock</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1080" w:type="dxa"/>
            <w:vAlign w:val="bottom"/>
          </w:tcPr>
          <w:p>
            <w:pPr>
              <w:jc w:val="right"/>
              <w:ind w:right="760"/>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89</w:t>
            </w:r>
          </w:p>
        </w:tc>
        <w:tc>
          <w:tcPr>
            <w:tcW w:w="920" w:type="dxa"/>
            <w:vAlign w:val="bottom"/>
          </w:tcPr>
          <w:p>
            <w:pPr>
              <w:jc w:val="right"/>
              <w:ind w:right="660"/>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71</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113</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158</w:t>
            </w:r>
          </w:p>
        </w:tc>
      </w:tr>
      <w:tr>
        <w:trPr>
          <w:trHeight w:val="164"/>
        </w:trPr>
        <w:tc>
          <w:tcPr>
            <w:tcW w:w="20" w:type="dxa"/>
            <w:vAlign w:val="bottom"/>
          </w:tcPr>
          <w:p>
            <w:pPr>
              <w:spacing w:after="0"/>
              <w:rPr>
                <w:sz w:val="14"/>
                <w:szCs w:val="14"/>
                <w:color w:val="auto"/>
              </w:rPr>
            </w:pPr>
          </w:p>
        </w:tc>
        <w:tc>
          <w:tcPr>
            <w:tcW w:w="55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2010</w:t>
            </w:r>
          </w:p>
        </w:tc>
        <w:tc>
          <w:tcPr>
            <w:tcW w:w="10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176"/>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Operating revenues</w:t>
            </w:r>
          </w:p>
        </w:tc>
        <w:tc>
          <w:tcPr>
            <w:tcW w:w="1080" w:type="dxa"/>
            <w:vAlign w:val="bottom"/>
          </w:tcPr>
          <w:p>
            <w:pPr>
              <w:jc w:val="right"/>
              <w:ind w:right="760"/>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742</w:t>
            </w:r>
          </w:p>
        </w:tc>
        <w:tc>
          <w:tcPr>
            <w:tcW w:w="920" w:type="dxa"/>
            <w:vAlign w:val="bottom"/>
          </w:tcPr>
          <w:p>
            <w:pPr>
              <w:jc w:val="right"/>
              <w:ind w:right="660"/>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line="176" w:lineRule="exact"/>
              <w:rPr>
                <w:sz w:val="20"/>
                <w:szCs w:val="20"/>
                <w:color w:val="auto"/>
              </w:rPr>
            </w:pPr>
            <w:r>
              <w:rPr>
                <w:rFonts w:ascii="Arial" w:cs="Arial" w:eastAsia="Arial" w:hAnsi="Arial"/>
                <w:sz w:val="16"/>
                <w:szCs w:val="16"/>
                <w:color w:val="auto"/>
              </w:rPr>
              <w:t>692</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811</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804</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604</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546</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613</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r>
      <w:tr>
        <w:trPr>
          <w:trHeight w:val="183"/>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Operating income</w:t>
            </w:r>
          </w:p>
        </w:tc>
        <w:tc>
          <w:tcPr>
            <w:tcW w:w="1080" w:type="dxa"/>
            <w:vAlign w:val="bottom"/>
            <w:tcBorders>
              <w:bottom w:val="single" w:sz="8" w:color="auto"/>
            </w:tcBorders>
          </w:tcPr>
          <w:p>
            <w:pPr>
              <w:jc w:val="right"/>
              <w:ind w:right="76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138</w:t>
            </w:r>
          </w:p>
        </w:tc>
        <w:tc>
          <w:tcPr>
            <w:tcW w:w="920" w:type="dxa"/>
            <w:vAlign w:val="bottom"/>
            <w:tcBorders>
              <w:bottom w:val="single" w:sz="8" w:color="auto"/>
            </w:tcBorders>
          </w:tcPr>
          <w:p>
            <w:pPr>
              <w:jc w:val="right"/>
              <w:ind w:right="660"/>
              <w:spacing w:after="0" w:line="176"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146</w:t>
            </w: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198</w:t>
            </w: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175</w:t>
            </w:r>
          </w:p>
        </w:tc>
      </w:tr>
      <w:tr>
        <w:trPr>
          <w:trHeight w:val="340"/>
        </w:trPr>
        <w:tc>
          <w:tcPr>
            <w:tcW w:w="55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92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(Earnings) losses attributable to noncontrolling interests</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191"/>
        </w:trPr>
        <w:tc>
          <w:tcPr>
            <w:tcW w:w="554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108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92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Dividends on preferred stock</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1080" w:type="dxa"/>
            <w:vAlign w:val="bottom"/>
          </w:tcPr>
          <w:p>
            <w:pPr>
              <w:jc w:val="right"/>
              <w:ind w:right="760"/>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83</w:t>
            </w:r>
          </w:p>
        </w:tc>
        <w:tc>
          <w:tcPr>
            <w:tcW w:w="920" w:type="dxa"/>
            <w:vAlign w:val="bottom"/>
          </w:tcPr>
          <w:p>
            <w:pPr>
              <w:jc w:val="right"/>
              <w:ind w:right="660"/>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75</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106</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r>
      <w:tr>
        <w:trPr>
          <w:trHeight w:val="27"/>
        </w:trPr>
        <w:tc>
          <w:tcPr>
            <w:tcW w:w="20" w:type="dxa"/>
            <w:vAlign w:val="bottom"/>
          </w:tcPr>
          <w:p>
            <w:pPr>
              <w:spacing w:after="0"/>
              <w:rPr>
                <w:sz w:val="2"/>
                <w:szCs w:val="2"/>
                <w:color w:val="auto"/>
              </w:rPr>
            </w:pPr>
          </w:p>
        </w:tc>
        <w:tc>
          <w:tcPr>
            <w:tcW w:w="5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391"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In the fourth quarter of 2011 compared to the same quarter in 2010, Operating Revenues, Net Income and Earnings for SDG&amp;E were favorably impacted by $57 million, $34 million and $34 million, respectively, related to higher revenues associated with incremental wildfire insurance premiums.</w:t>
      </w:r>
    </w:p>
    <w:p>
      <w:pPr>
        <w:spacing w:after="0" w:line="11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Net Income and Earnings for the second, third and fourth quarters of 2011 were favorably impacted by $7 million, $10 million and $13 million, respectively, related to higher allowance for equity funds used during construction, net of changes in interest expense.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jc w:val="center"/>
        <w:ind w:left="5540"/>
        <w:spacing w:after="0"/>
        <w:rPr>
          <w:sz w:val="20"/>
          <w:szCs w:val="20"/>
          <w:color w:val="auto"/>
        </w:rPr>
      </w:pPr>
      <w:r>
        <w:rPr>
          <w:rFonts w:ascii="Arial" w:cs="Arial" w:eastAsia="Arial" w:hAnsi="Arial"/>
          <w:sz w:val="14"/>
          <w:szCs w:val="14"/>
          <w:color w:val="auto"/>
        </w:rPr>
        <w:t>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-1905</wp:posOffset>
            </wp:positionV>
            <wp:extent cx="373888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738880" cy="17145"/>
                    </a:xfrm>
                    <a:prstGeom prst="rect">
                      <a:avLst/>
                    </a:prstGeom>
                    <a:noFill/>
                  </pic:spPr>
                </pic:pic>
              </a:graphicData>
            </a:graphic>
          </wp:anchor>
        </w:drawing>
      </w:r>
    </w:p>
    <w:p>
      <w:pPr>
        <w:spacing w:after="0" w:line="22" w:lineRule="exact"/>
        <w:rPr>
          <w:sz w:val="20"/>
          <w:szCs w:val="20"/>
          <w:color w:val="auto"/>
        </w:rPr>
      </w:pPr>
    </w:p>
    <w:p>
      <w:pPr>
        <w:ind w:left="5960"/>
        <w:spacing w:after="0"/>
        <w:tabs>
          <w:tab w:leader="none" w:pos="7440" w:val="left"/>
          <w:tab w:leader="none" w:pos="8720" w:val="left"/>
          <w:tab w:leader="none" w:pos="10220" w:val="left"/>
        </w:tabs>
        <w:rPr>
          <w:sz w:val="20"/>
          <w:szCs w:val="20"/>
          <w:color w:val="auto"/>
        </w:rPr>
      </w:pPr>
      <w:r>
        <w:rPr>
          <w:rFonts w:ascii="Arial" w:cs="Arial" w:eastAsia="Arial" w:hAnsi="Arial"/>
          <w:sz w:val="14"/>
          <w:szCs w:val="14"/>
          <w:color w:val="auto"/>
        </w:rPr>
        <w:t>March 31</w:t>
      </w:r>
      <w:r>
        <w:rPr>
          <w:sz w:val="20"/>
          <w:szCs w:val="20"/>
          <w:color w:val="auto"/>
        </w:rPr>
        <w:tab/>
      </w:r>
      <w:r>
        <w:rPr>
          <w:rFonts w:ascii="Arial" w:cs="Arial" w:eastAsia="Arial" w:hAnsi="Arial"/>
          <w:sz w:val="14"/>
          <w:szCs w:val="14"/>
          <w:color w:val="auto"/>
        </w:rPr>
        <w:t>June 30</w:t>
      </w:r>
      <w:r>
        <w:rPr>
          <w:sz w:val="20"/>
          <w:szCs w:val="20"/>
          <w:color w:val="auto"/>
        </w:rPr>
        <w:tab/>
      </w:r>
      <w:r>
        <w:rPr>
          <w:rFonts w:ascii="Arial" w:cs="Arial" w:eastAsia="Arial" w:hAnsi="Arial"/>
          <w:sz w:val="14"/>
          <w:szCs w:val="14"/>
          <w:color w:val="auto"/>
        </w:rPr>
        <w:t>September 30</w:t>
      </w:r>
      <w:r>
        <w:rPr>
          <w:sz w:val="20"/>
          <w:szCs w:val="20"/>
          <w:color w:val="auto"/>
        </w:rPr>
        <w:tab/>
      </w:r>
      <w:r>
        <w:rPr>
          <w:rFonts w:ascii="Arial" w:cs="Arial" w:eastAsia="Arial" w:hAnsi="Arial"/>
          <w:sz w:val="14"/>
          <w:szCs w:val="14"/>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8" w:right="239" w:bottom="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2011</w:t>
      </w:r>
    </w:p>
    <w:p>
      <w:pPr>
        <w:sectPr>
          <w:pgSz w:w="11900" w:h="16838" w:orient="portrait"/>
          <w:cols w:equalWidth="0" w:num="1">
            <w:col w:w="11420"/>
          </w:cols>
          <w:pgMar w:left="240" w:top="128" w:right="239" w:bottom="0" w:gutter="0" w:footer="0" w:header="0"/>
          <w:type w:val="continuous"/>
        </w:sectPr>
      </w:pPr>
    </w:p>
    <w:bookmarkStart w:id="272" w:name="page273"/>
    <w:bookmarkEnd w:id="272"/>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6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1,056</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1,040</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937</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773</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709</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r>
      <w:tr>
        <w:trPr>
          <w:trHeight w:val="183"/>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Operating income</w:t>
            </w:r>
          </w:p>
        </w:tc>
        <w:tc>
          <w:tcPr>
            <w:tcW w:w="620" w:type="dxa"/>
            <w:vAlign w:val="bottom"/>
            <w:tcBorders>
              <w:bottom w:val="single" w:sz="8" w:color="auto"/>
            </w:tcBorders>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119</w:t>
            </w:r>
          </w:p>
        </w:tc>
        <w:tc>
          <w:tcPr>
            <w:tcW w:w="640" w:type="dxa"/>
            <w:vAlign w:val="bottom"/>
            <w:tcBorders>
              <w:bottom w:val="single" w:sz="8" w:color="auto"/>
            </w:tcBorders>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103</w:t>
            </w:r>
          </w:p>
        </w:tc>
        <w:tc>
          <w:tcPr>
            <w:tcW w:w="620" w:type="dxa"/>
            <w:vAlign w:val="bottom"/>
            <w:tcBorders>
              <w:bottom w:val="single" w:sz="8" w:color="auto"/>
            </w:tcBorders>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135</w:t>
            </w:r>
          </w:p>
        </w:tc>
        <w:tc>
          <w:tcPr>
            <w:tcW w:w="58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129</w:t>
            </w:r>
          </w:p>
        </w:tc>
      </w:tr>
      <w:tr>
        <w:trPr>
          <w:trHeight w:val="340"/>
        </w:trPr>
        <w:tc>
          <w:tcPr>
            <w:tcW w:w="55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6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Dividends on preferred stock</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6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68</w:t>
            </w:r>
          </w:p>
        </w:tc>
        <w:tc>
          <w:tcPr>
            <w:tcW w:w="640" w:type="dxa"/>
            <w:vAlign w:val="bottom"/>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59</w:t>
            </w:r>
          </w:p>
        </w:tc>
        <w:tc>
          <w:tcPr>
            <w:tcW w:w="62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81</w:t>
            </w:r>
          </w:p>
        </w:tc>
        <w:tc>
          <w:tcPr>
            <w:tcW w:w="58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r>
      <w:tr>
        <w:trPr>
          <w:trHeight w:val="164"/>
        </w:trPr>
        <w:tc>
          <w:tcPr>
            <w:tcW w:w="20" w:type="dxa"/>
            <w:vAlign w:val="bottom"/>
          </w:tcPr>
          <w:p>
            <w:pPr>
              <w:spacing w:after="0"/>
              <w:rPr>
                <w:sz w:val="14"/>
                <w:szCs w:val="14"/>
                <w:color w:val="auto"/>
              </w:rPr>
            </w:pPr>
          </w:p>
        </w:tc>
        <w:tc>
          <w:tcPr>
            <w:tcW w:w="55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2010</w:t>
            </w:r>
          </w:p>
        </w:tc>
        <w:tc>
          <w:tcPr>
            <w:tcW w:w="6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176"/>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Operating revenues</w:t>
            </w:r>
          </w:p>
        </w:tc>
        <w:tc>
          <w:tcPr>
            <w:tcW w:w="6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1,182</w:t>
            </w:r>
          </w:p>
        </w:tc>
        <w:tc>
          <w:tcPr>
            <w:tcW w:w="640" w:type="dxa"/>
            <w:vAlign w:val="bottom"/>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834</w:t>
            </w:r>
          </w:p>
        </w:tc>
        <w:tc>
          <w:tcPr>
            <w:tcW w:w="62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776</w:t>
            </w:r>
          </w:p>
        </w:tc>
        <w:tc>
          <w:tcPr>
            <w:tcW w:w="58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1,030</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1,048</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716</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r>
      <w:tr>
        <w:trPr>
          <w:trHeight w:val="183"/>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Operating income</w:t>
            </w:r>
          </w:p>
        </w:tc>
        <w:tc>
          <w:tcPr>
            <w:tcW w:w="620" w:type="dxa"/>
            <w:vAlign w:val="bottom"/>
            <w:tcBorders>
              <w:bottom w:val="single" w:sz="8" w:color="auto"/>
            </w:tcBorders>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134</w:t>
            </w:r>
          </w:p>
        </w:tc>
        <w:tc>
          <w:tcPr>
            <w:tcW w:w="640" w:type="dxa"/>
            <w:vAlign w:val="bottom"/>
            <w:tcBorders>
              <w:bottom w:val="single" w:sz="8" w:color="auto"/>
            </w:tcBorders>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118</w:t>
            </w:r>
          </w:p>
        </w:tc>
        <w:tc>
          <w:tcPr>
            <w:tcW w:w="620" w:type="dxa"/>
            <w:vAlign w:val="bottom"/>
            <w:tcBorders>
              <w:bottom w:val="single" w:sz="8" w:color="auto"/>
            </w:tcBorders>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134</w:t>
            </w:r>
          </w:p>
        </w:tc>
        <w:tc>
          <w:tcPr>
            <w:tcW w:w="58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130</w:t>
            </w:r>
          </w:p>
        </w:tc>
      </w:tr>
      <w:tr>
        <w:trPr>
          <w:trHeight w:val="340"/>
        </w:trPr>
        <w:tc>
          <w:tcPr>
            <w:tcW w:w="55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6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94"/>
        </w:trPr>
        <w:tc>
          <w:tcPr>
            <w:tcW w:w="5540" w:type="dxa"/>
            <w:vAlign w:val="bottom"/>
            <w:gridSpan w:val="2"/>
          </w:tcPr>
          <w:p>
            <w:pPr>
              <w:spacing w:after="0"/>
              <w:rPr>
                <w:sz w:val="20"/>
                <w:szCs w:val="20"/>
                <w:color w:val="auto"/>
              </w:rPr>
            </w:pPr>
            <w:r>
              <w:rPr>
                <w:rFonts w:ascii="Arial" w:cs="Arial" w:eastAsia="Arial" w:hAnsi="Arial"/>
                <w:sz w:val="16"/>
                <w:szCs w:val="16"/>
                <w:color w:val="auto"/>
              </w:rPr>
              <w:t>Dividends on preferred stock</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76"/>
        </w:trPr>
        <w:tc>
          <w:tcPr>
            <w:tcW w:w="5540" w:type="dxa"/>
            <w:vAlign w:val="bottom"/>
            <w:gridSpan w:val="2"/>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6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65</w:t>
            </w:r>
          </w:p>
        </w:tc>
        <w:tc>
          <w:tcPr>
            <w:tcW w:w="640" w:type="dxa"/>
            <w:vAlign w:val="bottom"/>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69</w:t>
            </w:r>
          </w:p>
        </w:tc>
        <w:tc>
          <w:tcPr>
            <w:tcW w:w="62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78</w:t>
            </w:r>
          </w:p>
        </w:tc>
        <w:tc>
          <w:tcPr>
            <w:tcW w:w="58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r>
      <w:tr>
        <w:trPr>
          <w:trHeight w:val="27"/>
        </w:trPr>
        <w:tc>
          <w:tcPr>
            <w:tcW w:w="20" w:type="dxa"/>
            <w:vAlign w:val="bottom"/>
          </w:tcPr>
          <w:p>
            <w:pPr>
              <w:spacing w:after="0"/>
              <w:rPr>
                <w:sz w:val="2"/>
                <w:szCs w:val="2"/>
                <w:color w:val="auto"/>
              </w:rPr>
            </w:pPr>
          </w:p>
        </w:tc>
        <w:tc>
          <w:tcPr>
            <w:tcW w:w="5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2011, SoCalGas’ Operating Revenues decreased by $176 million due to lower natural gas prices compared to the first quarter of 2010.</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Compared to the first quarter of 2010, Operating Revenues and Operating Expenses were lower in the remaining quarters of 2010 due to lower natural gas prices and volumes.</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NOTE 18. SUBSEQUENT EVENT</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Effective January 1, 2012, in connection with several key executive appointments made in September 2011, management realigned some of the company’s major operating units to better fit its strategic direction and to enhance the management and integration of our assets. This realignment will result in a change in reportable segments in 2012, primarily to regroup the Sempra Global business units under two operating units, Sempra U.S. Gas &amp; Power and Sempra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283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2010 Tax Act</w:t>
            </w:r>
          </w:p>
        </w:tc>
        <w:tc>
          <w:tcPr>
            <w:tcW w:w="4000" w:type="dxa"/>
            <w:vAlign w:val="bottom"/>
          </w:tcPr>
          <w:p>
            <w:pPr>
              <w:ind w:left="360"/>
              <w:spacing w:after="0"/>
              <w:rPr>
                <w:sz w:val="20"/>
                <w:szCs w:val="20"/>
                <w:color w:val="auto"/>
              </w:rPr>
            </w:pPr>
            <w:r>
              <w:rPr>
                <w:rFonts w:ascii="Arial" w:cs="Arial" w:eastAsia="Arial" w:hAnsi="Arial"/>
                <w:sz w:val="14"/>
                <w:szCs w:val="14"/>
                <w:color w:val="auto"/>
              </w:rPr>
              <w:t>Tax Relief, Unemployment Insurance Reauthorization,</w:t>
            </w:r>
          </w:p>
        </w:tc>
        <w:tc>
          <w:tcPr>
            <w:tcW w:w="1840" w:type="dxa"/>
            <w:vAlign w:val="bottom"/>
          </w:tcPr>
          <w:p>
            <w:pPr>
              <w:ind w:left="200"/>
              <w:spacing w:after="0"/>
              <w:rPr>
                <w:sz w:val="20"/>
                <w:szCs w:val="20"/>
                <w:color w:val="auto"/>
              </w:rPr>
            </w:pPr>
            <w:r>
              <w:rPr>
                <w:rFonts w:ascii="Arial" w:cs="Arial" w:eastAsia="Arial" w:hAnsi="Arial"/>
                <w:sz w:val="14"/>
                <w:szCs w:val="14"/>
                <w:color w:val="auto"/>
              </w:rPr>
              <w:t>EPA</w:t>
            </w:r>
          </w:p>
        </w:tc>
        <w:tc>
          <w:tcPr>
            <w:tcW w:w="3800" w:type="dxa"/>
            <w:vAlign w:val="bottom"/>
          </w:tcPr>
          <w:p>
            <w:pPr>
              <w:ind w:left="280"/>
              <w:spacing w:after="0"/>
              <w:rPr>
                <w:sz w:val="20"/>
                <w:szCs w:val="20"/>
                <w:color w:val="auto"/>
              </w:rPr>
            </w:pPr>
            <w:r>
              <w:rPr>
                <w:rFonts w:ascii="Arial" w:cs="Arial" w:eastAsia="Arial" w:hAnsi="Arial"/>
                <w:sz w:val="14"/>
                <w:szCs w:val="14"/>
                <w:color w:val="auto"/>
              </w:rPr>
              <w:t>Environmental Protection Agency</w:t>
            </w:r>
          </w:p>
        </w:tc>
      </w:tr>
      <w:tr>
        <w:trPr>
          <w:trHeight w:val="162"/>
        </w:trPr>
        <w:tc>
          <w:tcPr>
            <w:tcW w:w="1700" w:type="dxa"/>
            <w:vAlign w:val="bottom"/>
          </w:tcPr>
          <w:p>
            <w:pPr>
              <w:spacing w:after="0"/>
              <w:rPr>
                <w:sz w:val="14"/>
                <w:szCs w:val="14"/>
                <w:color w:val="auto"/>
              </w:rPr>
            </w:pPr>
          </w:p>
        </w:tc>
        <w:tc>
          <w:tcPr>
            <w:tcW w:w="4000" w:type="dxa"/>
            <w:vAlign w:val="bottom"/>
          </w:tcPr>
          <w:p>
            <w:pPr>
              <w:ind w:left="360"/>
              <w:spacing w:after="0"/>
              <w:rPr>
                <w:sz w:val="20"/>
                <w:szCs w:val="20"/>
                <w:color w:val="auto"/>
              </w:rPr>
            </w:pPr>
            <w:r>
              <w:rPr>
                <w:rFonts w:ascii="Arial" w:cs="Arial" w:eastAsia="Arial" w:hAnsi="Arial"/>
                <w:sz w:val="14"/>
                <w:szCs w:val="14"/>
                <w:color w:val="auto"/>
              </w:rPr>
              <w:t>and Job Creation Act of 2010</w:t>
            </w: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AB 32</w:t>
            </w:r>
          </w:p>
        </w:tc>
        <w:tc>
          <w:tcPr>
            <w:tcW w:w="4000" w:type="dxa"/>
            <w:vAlign w:val="bottom"/>
          </w:tcPr>
          <w:p>
            <w:pPr>
              <w:ind w:left="360"/>
              <w:spacing w:after="0"/>
              <w:rPr>
                <w:sz w:val="20"/>
                <w:szCs w:val="20"/>
                <w:color w:val="auto"/>
              </w:rPr>
            </w:pPr>
            <w:r>
              <w:rPr>
                <w:rFonts w:ascii="Arial" w:cs="Arial" w:eastAsia="Arial" w:hAnsi="Arial"/>
                <w:sz w:val="14"/>
                <w:szCs w:val="14"/>
                <w:color w:val="auto"/>
              </w:rPr>
              <w:t>California Assembly Bill 32</w:t>
            </w:r>
          </w:p>
        </w:tc>
        <w:tc>
          <w:tcPr>
            <w:tcW w:w="1840" w:type="dxa"/>
            <w:vAlign w:val="bottom"/>
          </w:tcPr>
          <w:p>
            <w:pPr>
              <w:ind w:left="200"/>
              <w:spacing w:after="0"/>
              <w:rPr>
                <w:sz w:val="20"/>
                <w:szCs w:val="20"/>
                <w:color w:val="auto"/>
              </w:rPr>
            </w:pPr>
            <w:r>
              <w:rPr>
                <w:rFonts w:ascii="Arial" w:cs="Arial" w:eastAsia="Arial" w:hAnsi="Arial"/>
                <w:sz w:val="14"/>
                <w:szCs w:val="14"/>
                <w:color w:val="auto"/>
              </w:rPr>
              <w:t>EPS</w:t>
            </w:r>
          </w:p>
        </w:tc>
        <w:tc>
          <w:tcPr>
            <w:tcW w:w="3800" w:type="dxa"/>
            <w:vAlign w:val="bottom"/>
          </w:tcPr>
          <w:p>
            <w:pPr>
              <w:ind w:left="280"/>
              <w:spacing w:after="0"/>
              <w:rPr>
                <w:sz w:val="20"/>
                <w:szCs w:val="20"/>
                <w:color w:val="auto"/>
              </w:rPr>
            </w:pPr>
            <w:r>
              <w:rPr>
                <w:rFonts w:ascii="Arial" w:cs="Arial" w:eastAsia="Arial" w:hAnsi="Arial"/>
                <w:sz w:val="14"/>
                <w:szCs w:val="14"/>
                <w:color w:val="auto"/>
              </w:rPr>
              <w:t>Earnings per common share</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AFUDC</w:t>
            </w:r>
          </w:p>
        </w:tc>
        <w:tc>
          <w:tcPr>
            <w:tcW w:w="4000" w:type="dxa"/>
            <w:vAlign w:val="bottom"/>
          </w:tcPr>
          <w:p>
            <w:pPr>
              <w:ind w:left="360"/>
              <w:spacing w:after="0"/>
              <w:rPr>
                <w:sz w:val="20"/>
                <w:szCs w:val="20"/>
                <w:color w:val="auto"/>
              </w:rPr>
            </w:pPr>
            <w:r>
              <w:rPr>
                <w:rFonts w:ascii="Arial" w:cs="Arial" w:eastAsia="Arial" w:hAnsi="Arial"/>
                <w:sz w:val="14"/>
                <w:szCs w:val="14"/>
                <w:color w:val="auto"/>
              </w:rPr>
              <w:t>Allowance for funds used during construction</w:t>
            </w:r>
          </w:p>
        </w:tc>
        <w:tc>
          <w:tcPr>
            <w:tcW w:w="1840" w:type="dxa"/>
            <w:vAlign w:val="bottom"/>
          </w:tcPr>
          <w:p>
            <w:pPr>
              <w:ind w:left="200"/>
              <w:spacing w:after="0"/>
              <w:rPr>
                <w:sz w:val="20"/>
                <w:szCs w:val="20"/>
                <w:color w:val="auto"/>
              </w:rPr>
            </w:pPr>
            <w:r>
              <w:rPr>
                <w:rFonts w:ascii="Arial" w:cs="Arial" w:eastAsia="Arial" w:hAnsi="Arial"/>
                <w:sz w:val="14"/>
                <w:szCs w:val="14"/>
                <w:color w:val="auto"/>
              </w:rPr>
              <w:t>ERRP</w:t>
            </w:r>
          </w:p>
        </w:tc>
        <w:tc>
          <w:tcPr>
            <w:tcW w:w="3800" w:type="dxa"/>
            <w:vAlign w:val="bottom"/>
          </w:tcPr>
          <w:p>
            <w:pPr>
              <w:ind w:left="280"/>
              <w:spacing w:after="0"/>
              <w:rPr>
                <w:sz w:val="20"/>
                <w:szCs w:val="20"/>
                <w:color w:val="auto"/>
              </w:rPr>
            </w:pPr>
            <w:r>
              <w:rPr>
                <w:rFonts w:ascii="Arial" w:cs="Arial" w:eastAsia="Arial" w:hAnsi="Arial"/>
                <w:sz w:val="14"/>
                <w:szCs w:val="14"/>
                <w:color w:val="auto"/>
              </w:rPr>
              <w:t>Early Retiree Reinsurance Program</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AMI</w:t>
            </w:r>
          </w:p>
        </w:tc>
        <w:tc>
          <w:tcPr>
            <w:tcW w:w="4000" w:type="dxa"/>
            <w:vAlign w:val="bottom"/>
          </w:tcPr>
          <w:p>
            <w:pPr>
              <w:ind w:left="360"/>
              <w:spacing w:after="0"/>
              <w:rPr>
                <w:sz w:val="20"/>
                <w:szCs w:val="20"/>
                <w:color w:val="auto"/>
              </w:rPr>
            </w:pPr>
            <w:r>
              <w:rPr>
                <w:rFonts w:ascii="Arial" w:cs="Arial" w:eastAsia="Arial" w:hAnsi="Arial"/>
                <w:sz w:val="14"/>
                <w:szCs w:val="14"/>
                <w:color w:val="auto"/>
              </w:rPr>
              <w:t>Advanced Metering Infrastructure</w:t>
            </w:r>
          </w:p>
        </w:tc>
        <w:tc>
          <w:tcPr>
            <w:tcW w:w="1840" w:type="dxa"/>
            <w:vAlign w:val="bottom"/>
          </w:tcPr>
          <w:p>
            <w:pPr>
              <w:ind w:left="200"/>
              <w:spacing w:after="0"/>
              <w:rPr>
                <w:sz w:val="20"/>
                <w:szCs w:val="20"/>
                <w:color w:val="auto"/>
              </w:rPr>
            </w:pPr>
            <w:r>
              <w:rPr>
                <w:rFonts w:ascii="Arial" w:cs="Arial" w:eastAsia="Arial" w:hAnsi="Arial"/>
                <w:sz w:val="14"/>
                <w:szCs w:val="14"/>
                <w:color w:val="auto"/>
              </w:rPr>
              <w:t>ESOP</w:t>
            </w:r>
          </w:p>
        </w:tc>
        <w:tc>
          <w:tcPr>
            <w:tcW w:w="3800" w:type="dxa"/>
            <w:vAlign w:val="bottom"/>
          </w:tcPr>
          <w:p>
            <w:pPr>
              <w:ind w:left="280"/>
              <w:spacing w:after="0"/>
              <w:rPr>
                <w:sz w:val="20"/>
                <w:szCs w:val="20"/>
                <w:color w:val="auto"/>
              </w:rPr>
            </w:pPr>
            <w:r>
              <w:rPr>
                <w:rFonts w:ascii="Arial" w:cs="Arial" w:eastAsia="Arial" w:hAnsi="Arial"/>
                <w:sz w:val="14"/>
                <w:szCs w:val="14"/>
                <w:color w:val="auto"/>
              </w:rPr>
              <w:t>Employee stock ownership plan</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AOCI</w:t>
            </w:r>
          </w:p>
        </w:tc>
        <w:tc>
          <w:tcPr>
            <w:tcW w:w="4000" w:type="dxa"/>
            <w:vAlign w:val="bottom"/>
          </w:tcPr>
          <w:p>
            <w:pPr>
              <w:ind w:left="360"/>
              <w:spacing w:after="0"/>
              <w:rPr>
                <w:sz w:val="20"/>
                <w:szCs w:val="20"/>
                <w:color w:val="auto"/>
              </w:rPr>
            </w:pPr>
            <w:r>
              <w:rPr>
                <w:rFonts w:ascii="Arial" w:cs="Arial" w:eastAsia="Arial" w:hAnsi="Arial"/>
                <w:sz w:val="14"/>
                <w:szCs w:val="14"/>
                <w:color w:val="auto"/>
              </w:rPr>
              <w:t>Accumulated other comprehensive income (loss)</w:t>
            </w:r>
          </w:p>
        </w:tc>
        <w:tc>
          <w:tcPr>
            <w:tcW w:w="1840" w:type="dxa"/>
            <w:vAlign w:val="bottom"/>
          </w:tcPr>
          <w:p>
            <w:pPr>
              <w:ind w:left="200"/>
              <w:spacing w:after="0"/>
              <w:rPr>
                <w:sz w:val="20"/>
                <w:szCs w:val="20"/>
                <w:color w:val="auto"/>
              </w:rPr>
            </w:pPr>
            <w:r>
              <w:rPr>
                <w:rFonts w:ascii="Arial" w:cs="Arial" w:eastAsia="Arial" w:hAnsi="Arial"/>
                <w:sz w:val="14"/>
                <w:szCs w:val="14"/>
                <w:color w:val="auto"/>
              </w:rPr>
              <w:t>FERC</w:t>
            </w:r>
          </w:p>
        </w:tc>
        <w:tc>
          <w:tcPr>
            <w:tcW w:w="3800" w:type="dxa"/>
            <w:vAlign w:val="bottom"/>
          </w:tcPr>
          <w:p>
            <w:pPr>
              <w:ind w:left="280"/>
              <w:spacing w:after="0"/>
              <w:rPr>
                <w:sz w:val="20"/>
                <w:szCs w:val="20"/>
                <w:color w:val="auto"/>
              </w:rPr>
            </w:pPr>
            <w:r>
              <w:rPr>
                <w:rFonts w:ascii="Arial" w:cs="Arial" w:eastAsia="Arial" w:hAnsi="Arial"/>
                <w:sz w:val="14"/>
                <w:szCs w:val="14"/>
                <w:color w:val="auto"/>
              </w:rPr>
              <w:t>Federal Energy Regulatory Commission</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AROs</w:t>
            </w:r>
          </w:p>
        </w:tc>
        <w:tc>
          <w:tcPr>
            <w:tcW w:w="4000" w:type="dxa"/>
            <w:vAlign w:val="bottom"/>
          </w:tcPr>
          <w:p>
            <w:pPr>
              <w:ind w:left="360"/>
              <w:spacing w:after="0"/>
              <w:rPr>
                <w:sz w:val="20"/>
                <w:szCs w:val="20"/>
                <w:color w:val="auto"/>
              </w:rPr>
            </w:pPr>
            <w:r>
              <w:rPr>
                <w:rFonts w:ascii="Arial" w:cs="Arial" w:eastAsia="Arial" w:hAnsi="Arial"/>
                <w:sz w:val="14"/>
                <w:szCs w:val="14"/>
                <w:color w:val="auto"/>
              </w:rPr>
              <w:t>Asset retirement obligations</w:t>
            </w:r>
          </w:p>
        </w:tc>
        <w:tc>
          <w:tcPr>
            <w:tcW w:w="1840" w:type="dxa"/>
            <w:vAlign w:val="bottom"/>
          </w:tcPr>
          <w:p>
            <w:pPr>
              <w:ind w:left="200"/>
              <w:spacing w:after="0"/>
              <w:rPr>
                <w:sz w:val="20"/>
                <w:szCs w:val="20"/>
                <w:color w:val="auto"/>
              </w:rPr>
            </w:pPr>
            <w:r>
              <w:rPr>
                <w:rFonts w:ascii="Arial" w:cs="Arial" w:eastAsia="Arial" w:hAnsi="Arial"/>
                <w:sz w:val="14"/>
                <w:szCs w:val="14"/>
                <w:color w:val="auto"/>
              </w:rPr>
              <w:t>Fowler Ridge 2</w:t>
            </w:r>
          </w:p>
        </w:tc>
        <w:tc>
          <w:tcPr>
            <w:tcW w:w="3800" w:type="dxa"/>
            <w:vAlign w:val="bottom"/>
          </w:tcPr>
          <w:p>
            <w:pPr>
              <w:ind w:left="280"/>
              <w:spacing w:after="0"/>
              <w:rPr>
                <w:sz w:val="20"/>
                <w:szCs w:val="20"/>
                <w:color w:val="auto"/>
              </w:rPr>
            </w:pPr>
            <w:r>
              <w:rPr>
                <w:rFonts w:ascii="Arial" w:cs="Arial" w:eastAsia="Arial" w:hAnsi="Arial"/>
                <w:sz w:val="14"/>
                <w:szCs w:val="14"/>
                <w:color w:val="auto"/>
              </w:rPr>
              <w:t>Fowler Ridge 2 Wind Farm</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ASC</w:t>
            </w:r>
          </w:p>
        </w:tc>
        <w:tc>
          <w:tcPr>
            <w:tcW w:w="4000" w:type="dxa"/>
            <w:vAlign w:val="bottom"/>
          </w:tcPr>
          <w:p>
            <w:pPr>
              <w:ind w:left="360"/>
              <w:spacing w:after="0"/>
              <w:rPr>
                <w:sz w:val="20"/>
                <w:szCs w:val="20"/>
                <w:color w:val="auto"/>
              </w:rPr>
            </w:pPr>
            <w:r>
              <w:rPr>
                <w:rFonts w:ascii="Arial" w:cs="Arial" w:eastAsia="Arial" w:hAnsi="Arial"/>
                <w:sz w:val="14"/>
                <w:szCs w:val="14"/>
                <w:color w:val="auto"/>
              </w:rPr>
              <w:t>Accounting Standards Codification</w:t>
            </w:r>
          </w:p>
        </w:tc>
        <w:tc>
          <w:tcPr>
            <w:tcW w:w="1840" w:type="dxa"/>
            <w:vAlign w:val="bottom"/>
          </w:tcPr>
          <w:p>
            <w:pPr>
              <w:ind w:left="200"/>
              <w:spacing w:after="0"/>
              <w:rPr>
                <w:sz w:val="20"/>
                <w:szCs w:val="20"/>
                <w:color w:val="auto"/>
              </w:rPr>
            </w:pPr>
            <w:r>
              <w:rPr>
                <w:rFonts w:ascii="Arial" w:cs="Arial" w:eastAsia="Arial" w:hAnsi="Arial"/>
                <w:sz w:val="14"/>
                <w:szCs w:val="14"/>
                <w:color w:val="auto"/>
              </w:rPr>
              <w:t>GAAP</w:t>
            </w:r>
          </w:p>
        </w:tc>
        <w:tc>
          <w:tcPr>
            <w:tcW w:w="3800" w:type="dxa"/>
            <w:vAlign w:val="bottom"/>
          </w:tcPr>
          <w:p>
            <w:pPr>
              <w:ind w:left="280"/>
              <w:spacing w:after="0"/>
              <w:rPr>
                <w:sz w:val="20"/>
                <w:szCs w:val="20"/>
                <w:color w:val="auto"/>
              </w:rPr>
            </w:pPr>
            <w:r>
              <w:rPr>
                <w:rFonts w:ascii="Arial" w:cs="Arial" w:eastAsia="Arial" w:hAnsi="Arial"/>
                <w:sz w:val="14"/>
                <w:szCs w:val="14"/>
                <w:color w:val="auto"/>
              </w:rPr>
              <w:t>Accounting Principles Generally Accepted in the United</w:t>
            </w:r>
          </w:p>
        </w:tc>
      </w:tr>
      <w:tr>
        <w:trPr>
          <w:trHeight w:val="162"/>
        </w:trPr>
        <w:tc>
          <w:tcPr>
            <w:tcW w:w="1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0" w:type="dxa"/>
            <w:vAlign w:val="bottom"/>
          </w:tcPr>
          <w:p>
            <w:pPr>
              <w:ind w:left="280"/>
              <w:spacing w:after="0"/>
              <w:rPr>
                <w:sz w:val="20"/>
                <w:szCs w:val="20"/>
                <w:color w:val="auto"/>
              </w:rPr>
            </w:pPr>
            <w:r>
              <w:rPr>
                <w:rFonts w:ascii="Arial" w:cs="Arial" w:eastAsia="Arial" w:hAnsi="Arial"/>
                <w:sz w:val="14"/>
                <w:szCs w:val="14"/>
                <w:color w:val="auto"/>
              </w:rPr>
              <w:t>States of America</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ASU</w:t>
            </w:r>
          </w:p>
        </w:tc>
        <w:tc>
          <w:tcPr>
            <w:tcW w:w="4000" w:type="dxa"/>
            <w:vAlign w:val="bottom"/>
          </w:tcPr>
          <w:p>
            <w:pPr>
              <w:ind w:left="360"/>
              <w:spacing w:after="0"/>
              <w:rPr>
                <w:sz w:val="20"/>
                <w:szCs w:val="20"/>
                <w:color w:val="auto"/>
              </w:rPr>
            </w:pPr>
            <w:r>
              <w:rPr>
                <w:rFonts w:ascii="Arial" w:cs="Arial" w:eastAsia="Arial" w:hAnsi="Arial"/>
                <w:sz w:val="14"/>
                <w:szCs w:val="14"/>
                <w:color w:val="auto"/>
              </w:rPr>
              <w:t>Accounting Standards Update</w:t>
            </w:r>
          </w:p>
        </w:tc>
        <w:tc>
          <w:tcPr>
            <w:tcW w:w="1840" w:type="dxa"/>
            <w:vAlign w:val="bottom"/>
          </w:tcPr>
          <w:p>
            <w:pPr>
              <w:ind w:left="200"/>
              <w:spacing w:after="0"/>
              <w:rPr>
                <w:sz w:val="20"/>
                <w:szCs w:val="20"/>
                <w:color w:val="auto"/>
              </w:rPr>
            </w:pPr>
            <w:r>
              <w:rPr>
                <w:rFonts w:ascii="Arial" w:cs="Arial" w:eastAsia="Arial" w:hAnsi="Arial"/>
                <w:sz w:val="14"/>
                <w:szCs w:val="14"/>
                <w:color w:val="auto"/>
              </w:rPr>
              <w:t>Gazprom</w:t>
            </w:r>
          </w:p>
        </w:tc>
        <w:tc>
          <w:tcPr>
            <w:tcW w:w="3800" w:type="dxa"/>
            <w:vAlign w:val="bottom"/>
          </w:tcPr>
          <w:p>
            <w:pPr>
              <w:ind w:left="280"/>
              <w:spacing w:after="0"/>
              <w:rPr>
                <w:sz w:val="20"/>
                <w:szCs w:val="20"/>
                <w:color w:val="auto"/>
              </w:rPr>
            </w:pPr>
            <w:r>
              <w:rPr>
                <w:rFonts w:ascii="Arial" w:cs="Arial" w:eastAsia="Arial" w:hAnsi="Arial"/>
                <w:sz w:val="14"/>
                <w:szCs w:val="14"/>
                <w:color w:val="auto"/>
              </w:rPr>
              <w:t>Gazprom Marketing &amp; Trading Mexico</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Bay Gas</w:t>
            </w:r>
          </w:p>
        </w:tc>
        <w:tc>
          <w:tcPr>
            <w:tcW w:w="4000" w:type="dxa"/>
            <w:vAlign w:val="bottom"/>
          </w:tcPr>
          <w:p>
            <w:pPr>
              <w:ind w:left="360"/>
              <w:spacing w:after="0"/>
              <w:rPr>
                <w:sz w:val="20"/>
                <w:szCs w:val="20"/>
                <w:color w:val="auto"/>
              </w:rPr>
            </w:pPr>
            <w:r>
              <w:rPr>
                <w:rFonts w:ascii="Arial" w:cs="Arial" w:eastAsia="Arial" w:hAnsi="Arial"/>
                <w:sz w:val="14"/>
                <w:szCs w:val="14"/>
                <w:color w:val="auto"/>
              </w:rPr>
              <w:t>Bay Gas Storage, LLC</w:t>
            </w:r>
          </w:p>
        </w:tc>
        <w:tc>
          <w:tcPr>
            <w:tcW w:w="1840" w:type="dxa"/>
            <w:vAlign w:val="bottom"/>
          </w:tcPr>
          <w:p>
            <w:pPr>
              <w:ind w:left="200"/>
              <w:spacing w:after="0"/>
              <w:rPr>
                <w:sz w:val="20"/>
                <w:szCs w:val="20"/>
                <w:color w:val="auto"/>
              </w:rPr>
            </w:pPr>
            <w:r>
              <w:rPr>
                <w:rFonts w:ascii="Arial" w:cs="Arial" w:eastAsia="Arial" w:hAnsi="Arial"/>
                <w:sz w:val="14"/>
                <w:szCs w:val="14"/>
                <w:color w:val="auto"/>
              </w:rPr>
              <w:t>GCIM</w:t>
            </w:r>
          </w:p>
        </w:tc>
        <w:tc>
          <w:tcPr>
            <w:tcW w:w="3800" w:type="dxa"/>
            <w:vAlign w:val="bottom"/>
          </w:tcPr>
          <w:p>
            <w:pPr>
              <w:ind w:left="280"/>
              <w:spacing w:after="0"/>
              <w:rPr>
                <w:sz w:val="20"/>
                <w:szCs w:val="20"/>
                <w:color w:val="auto"/>
              </w:rPr>
            </w:pPr>
            <w:r>
              <w:rPr>
                <w:rFonts w:ascii="Arial" w:cs="Arial" w:eastAsia="Arial" w:hAnsi="Arial"/>
                <w:sz w:val="14"/>
                <w:szCs w:val="14"/>
                <w:color w:val="auto"/>
              </w:rPr>
              <w:t>Gas Cost Incentive Mechanism</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Bcf</w:t>
            </w:r>
          </w:p>
        </w:tc>
        <w:tc>
          <w:tcPr>
            <w:tcW w:w="4000" w:type="dxa"/>
            <w:vAlign w:val="bottom"/>
          </w:tcPr>
          <w:p>
            <w:pPr>
              <w:ind w:left="360"/>
              <w:spacing w:after="0"/>
              <w:rPr>
                <w:sz w:val="20"/>
                <w:szCs w:val="20"/>
                <w:color w:val="auto"/>
              </w:rPr>
            </w:pPr>
            <w:r>
              <w:rPr>
                <w:rFonts w:ascii="Arial" w:cs="Arial" w:eastAsia="Arial" w:hAnsi="Arial"/>
                <w:sz w:val="14"/>
                <w:szCs w:val="14"/>
                <w:color w:val="auto"/>
              </w:rPr>
              <w:t>Billion cubic feet</w:t>
            </w:r>
          </w:p>
        </w:tc>
        <w:tc>
          <w:tcPr>
            <w:tcW w:w="1840" w:type="dxa"/>
            <w:vAlign w:val="bottom"/>
          </w:tcPr>
          <w:p>
            <w:pPr>
              <w:ind w:left="200"/>
              <w:spacing w:after="0"/>
              <w:rPr>
                <w:sz w:val="20"/>
                <w:szCs w:val="20"/>
                <w:color w:val="auto"/>
              </w:rPr>
            </w:pPr>
            <w:r>
              <w:rPr>
                <w:rFonts w:ascii="Arial" w:cs="Arial" w:eastAsia="Arial" w:hAnsi="Arial"/>
                <w:sz w:val="14"/>
                <w:szCs w:val="14"/>
                <w:color w:val="auto"/>
              </w:rPr>
              <w:t>GHG</w:t>
            </w:r>
          </w:p>
        </w:tc>
        <w:tc>
          <w:tcPr>
            <w:tcW w:w="3800" w:type="dxa"/>
            <w:vAlign w:val="bottom"/>
          </w:tcPr>
          <w:p>
            <w:pPr>
              <w:ind w:left="280"/>
              <w:spacing w:after="0"/>
              <w:rPr>
                <w:sz w:val="20"/>
                <w:szCs w:val="20"/>
                <w:color w:val="auto"/>
              </w:rPr>
            </w:pPr>
            <w:r>
              <w:rPr>
                <w:rFonts w:ascii="Arial" w:cs="Arial" w:eastAsia="Arial" w:hAnsi="Arial"/>
                <w:sz w:val="14"/>
                <w:szCs w:val="14"/>
                <w:color w:val="auto"/>
              </w:rPr>
              <w:t>Greenhouse Gas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Black-Scholes Model</w:t>
            </w:r>
          </w:p>
        </w:tc>
        <w:tc>
          <w:tcPr>
            <w:tcW w:w="4000" w:type="dxa"/>
            <w:vAlign w:val="bottom"/>
          </w:tcPr>
          <w:p>
            <w:pPr>
              <w:ind w:left="360"/>
              <w:spacing w:after="0"/>
              <w:rPr>
                <w:sz w:val="20"/>
                <w:szCs w:val="20"/>
                <w:color w:val="auto"/>
              </w:rPr>
            </w:pPr>
            <w:r>
              <w:rPr>
                <w:rFonts w:ascii="Arial" w:cs="Arial" w:eastAsia="Arial" w:hAnsi="Arial"/>
                <w:sz w:val="14"/>
                <w:szCs w:val="14"/>
                <w:color w:val="auto"/>
              </w:rPr>
              <w:t>Black-Scholes option-pricing model</w:t>
            </w:r>
          </w:p>
        </w:tc>
        <w:tc>
          <w:tcPr>
            <w:tcW w:w="1840" w:type="dxa"/>
            <w:vAlign w:val="bottom"/>
          </w:tcPr>
          <w:p>
            <w:pPr>
              <w:ind w:left="200"/>
              <w:spacing w:after="0"/>
              <w:rPr>
                <w:sz w:val="20"/>
                <w:szCs w:val="20"/>
                <w:color w:val="auto"/>
              </w:rPr>
            </w:pPr>
            <w:r>
              <w:rPr>
                <w:rFonts w:ascii="Arial" w:cs="Arial" w:eastAsia="Arial" w:hAnsi="Arial"/>
                <w:sz w:val="14"/>
                <w:szCs w:val="14"/>
                <w:color w:val="auto"/>
              </w:rPr>
              <w:t>GRC</w:t>
            </w:r>
          </w:p>
        </w:tc>
        <w:tc>
          <w:tcPr>
            <w:tcW w:w="3800" w:type="dxa"/>
            <w:vAlign w:val="bottom"/>
          </w:tcPr>
          <w:p>
            <w:pPr>
              <w:ind w:left="280"/>
              <w:spacing w:after="0"/>
              <w:rPr>
                <w:sz w:val="20"/>
                <w:szCs w:val="20"/>
                <w:color w:val="auto"/>
              </w:rPr>
            </w:pPr>
            <w:r>
              <w:rPr>
                <w:rFonts w:ascii="Arial" w:cs="Arial" w:eastAsia="Arial" w:hAnsi="Arial"/>
                <w:sz w:val="14"/>
                <w:szCs w:val="14"/>
                <w:color w:val="auto"/>
              </w:rPr>
              <w:t>General Rate Case</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BLM</w:t>
            </w:r>
          </w:p>
        </w:tc>
        <w:tc>
          <w:tcPr>
            <w:tcW w:w="4000" w:type="dxa"/>
            <w:vAlign w:val="bottom"/>
          </w:tcPr>
          <w:p>
            <w:pPr>
              <w:ind w:left="360"/>
              <w:spacing w:after="0"/>
              <w:rPr>
                <w:sz w:val="20"/>
                <w:szCs w:val="20"/>
                <w:color w:val="auto"/>
              </w:rPr>
            </w:pPr>
            <w:r>
              <w:rPr>
                <w:rFonts w:ascii="Arial" w:cs="Arial" w:eastAsia="Arial" w:hAnsi="Arial"/>
                <w:sz w:val="14"/>
                <w:szCs w:val="14"/>
                <w:color w:val="auto"/>
              </w:rPr>
              <w:t>Bureau of Land Management</w:t>
            </w:r>
          </w:p>
        </w:tc>
        <w:tc>
          <w:tcPr>
            <w:tcW w:w="1840" w:type="dxa"/>
            <w:vAlign w:val="bottom"/>
          </w:tcPr>
          <w:p>
            <w:pPr>
              <w:ind w:left="200"/>
              <w:spacing w:after="0"/>
              <w:rPr>
                <w:sz w:val="20"/>
                <w:szCs w:val="20"/>
                <w:color w:val="auto"/>
              </w:rPr>
            </w:pPr>
            <w:r>
              <w:rPr>
                <w:rFonts w:ascii="Arial" w:cs="Arial" w:eastAsia="Arial" w:hAnsi="Arial"/>
                <w:sz w:val="14"/>
                <w:szCs w:val="14"/>
                <w:color w:val="auto"/>
              </w:rPr>
              <w:t>IBLA</w:t>
            </w:r>
          </w:p>
        </w:tc>
        <w:tc>
          <w:tcPr>
            <w:tcW w:w="3800" w:type="dxa"/>
            <w:vAlign w:val="bottom"/>
          </w:tcPr>
          <w:p>
            <w:pPr>
              <w:ind w:left="280"/>
              <w:spacing w:after="0"/>
              <w:rPr>
                <w:sz w:val="20"/>
                <w:szCs w:val="20"/>
                <w:color w:val="auto"/>
              </w:rPr>
            </w:pPr>
            <w:r>
              <w:rPr>
                <w:rFonts w:ascii="Arial" w:cs="Arial" w:eastAsia="Arial" w:hAnsi="Arial"/>
                <w:sz w:val="14"/>
                <w:szCs w:val="14"/>
                <w:color w:val="auto"/>
              </w:rPr>
              <w:t>Interior Board of Land Appeals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Cal Fire</w:t>
            </w:r>
          </w:p>
        </w:tc>
        <w:tc>
          <w:tcPr>
            <w:tcW w:w="4000" w:type="dxa"/>
            <w:vAlign w:val="bottom"/>
          </w:tcPr>
          <w:p>
            <w:pPr>
              <w:ind w:left="360"/>
              <w:spacing w:after="0"/>
              <w:rPr>
                <w:sz w:val="20"/>
                <w:szCs w:val="20"/>
                <w:color w:val="auto"/>
              </w:rPr>
            </w:pPr>
            <w:r>
              <w:rPr>
                <w:rFonts w:ascii="Arial" w:cs="Arial" w:eastAsia="Arial" w:hAnsi="Arial"/>
                <w:sz w:val="14"/>
                <w:szCs w:val="14"/>
                <w:color w:val="auto"/>
              </w:rPr>
              <w:t>California Department of Forestry and Fire Protection</w:t>
            </w:r>
          </w:p>
        </w:tc>
        <w:tc>
          <w:tcPr>
            <w:tcW w:w="1840" w:type="dxa"/>
            <w:vAlign w:val="bottom"/>
          </w:tcPr>
          <w:p>
            <w:pPr>
              <w:ind w:left="200"/>
              <w:spacing w:after="0"/>
              <w:rPr>
                <w:sz w:val="20"/>
                <w:szCs w:val="20"/>
                <w:color w:val="auto"/>
              </w:rPr>
            </w:pPr>
            <w:r>
              <w:rPr>
                <w:rFonts w:ascii="Arial" w:cs="Arial" w:eastAsia="Arial" w:hAnsi="Arial"/>
                <w:sz w:val="14"/>
                <w:szCs w:val="14"/>
                <w:color w:val="auto"/>
              </w:rPr>
              <w:t>ICSID</w:t>
            </w:r>
          </w:p>
        </w:tc>
        <w:tc>
          <w:tcPr>
            <w:tcW w:w="3800" w:type="dxa"/>
            <w:vAlign w:val="bottom"/>
          </w:tcPr>
          <w:p>
            <w:pPr>
              <w:ind w:left="280"/>
              <w:spacing w:after="0"/>
              <w:rPr>
                <w:sz w:val="20"/>
                <w:szCs w:val="20"/>
                <w:color w:val="auto"/>
              </w:rPr>
            </w:pPr>
            <w:r>
              <w:rPr>
                <w:rFonts w:ascii="Arial" w:cs="Arial" w:eastAsia="Arial" w:hAnsi="Arial"/>
                <w:sz w:val="14"/>
                <w:szCs w:val="14"/>
                <w:color w:val="auto"/>
              </w:rPr>
              <w:t>International Center for the Settlement of Investment</w:t>
            </w:r>
          </w:p>
        </w:tc>
      </w:tr>
      <w:tr>
        <w:trPr>
          <w:trHeight w:val="162"/>
        </w:trPr>
        <w:tc>
          <w:tcPr>
            <w:tcW w:w="1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0" w:type="dxa"/>
            <w:vAlign w:val="bottom"/>
          </w:tcPr>
          <w:p>
            <w:pPr>
              <w:ind w:left="280"/>
              <w:spacing w:after="0"/>
              <w:rPr>
                <w:sz w:val="20"/>
                <w:szCs w:val="20"/>
                <w:color w:val="auto"/>
              </w:rPr>
            </w:pPr>
            <w:r>
              <w:rPr>
                <w:rFonts w:ascii="Arial" w:cs="Arial" w:eastAsia="Arial" w:hAnsi="Arial"/>
                <w:sz w:val="14"/>
                <w:szCs w:val="14"/>
                <w:color w:val="auto"/>
              </w:rPr>
              <w:t>Disputes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CARB</w:t>
            </w:r>
          </w:p>
        </w:tc>
        <w:tc>
          <w:tcPr>
            <w:tcW w:w="4000" w:type="dxa"/>
            <w:vAlign w:val="bottom"/>
          </w:tcPr>
          <w:p>
            <w:pPr>
              <w:ind w:left="360"/>
              <w:spacing w:after="0"/>
              <w:rPr>
                <w:sz w:val="20"/>
                <w:szCs w:val="20"/>
                <w:color w:val="auto"/>
              </w:rPr>
            </w:pPr>
            <w:r>
              <w:rPr>
                <w:rFonts w:ascii="Arial" w:cs="Arial" w:eastAsia="Arial" w:hAnsi="Arial"/>
                <w:sz w:val="14"/>
                <w:szCs w:val="14"/>
                <w:color w:val="auto"/>
              </w:rPr>
              <w:t>California Air Resources Board</w:t>
            </w:r>
          </w:p>
        </w:tc>
        <w:tc>
          <w:tcPr>
            <w:tcW w:w="1840" w:type="dxa"/>
            <w:vAlign w:val="bottom"/>
          </w:tcPr>
          <w:p>
            <w:pPr>
              <w:ind w:left="200"/>
              <w:spacing w:after="0"/>
              <w:rPr>
                <w:sz w:val="20"/>
                <w:szCs w:val="20"/>
                <w:color w:val="auto"/>
              </w:rPr>
            </w:pPr>
            <w:r>
              <w:rPr>
                <w:rFonts w:ascii="Arial" w:cs="Arial" w:eastAsia="Arial" w:hAnsi="Arial"/>
                <w:sz w:val="14"/>
                <w:szCs w:val="14"/>
                <w:color w:val="auto"/>
              </w:rPr>
              <w:t>IFRS</w:t>
            </w:r>
          </w:p>
        </w:tc>
        <w:tc>
          <w:tcPr>
            <w:tcW w:w="3800" w:type="dxa"/>
            <w:vAlign w:val="bottom"/>
          </w:tcPr>
          <w:p>
            <w:pPr>
              <w:ind w:left="280"/>
              <w:spacing w:after="0"/>
              <w:rPr>
                <w:sz w:val="20"/>
                <w:szCs w:val="20"/>
                <w:color w:val="auto"/>
              </w:rPr>
            </w:pPr>
            <w:r>
              <w:rPr>
                <w:rFonts w:ascii="Arial" w:cs="Arial" w:eastAsia="Arial" w:hAnsi="Arial"/>
                <w:sz w:val="14"/>
                <w:szCs w:val="14"/>
                <w:color w:val="auto"/>
              </w:rPr>
              <w:t>International Financial Reporting Standards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CBD</w:t>
            </w:r>
          </w:p>
        </w:tc>
        <w:tc>
          <w:tcPr>
            <w:tcW w:w="4000" w:type="dxa"/>
            <w:vAlign w:val="bottom"/>
          </w:tcPr>
          <w:p>
            <w:pPr>
              <w:ind w:left="360"/>
              <w:spacing w:after="0"/>
              <w:rPr>
                <w:sz w:val="20"/>
                <w:szCs w:val="20"/>
                <w:color w:val="auto"/>
              </w:rPr>
            </w:pPr>
            <w:r>
              <w:rPr>
                <w:rFonts w:ascii="Arial" w:cs="Arial" w:eastAsia="Arial" w:hAnsi="Arial"/>
                <w:sz w:val="14"/>
                <w:szCs w:val="14"/>
                <w:color w:val="auto"/>
              </w:rPr>
              <w:t>Center for Biological Diversity/Sierra Club</w:t>
            </w:r>
          </w:p>
        </w:tc>
        <w:tc>
          <w:tcPr>
            <w:tcW w:w="1840" w:type="dxa"/>
            <w:vAlign w:val="bottom"/>
          </w:tcPr>
          <w:p>
            <w:pPr>
              <w:ind w:left="200"/>
              <w:spacing w:after="0"/>
              <w:rPr>
                <w:sz w:val="20"/>
                <w:szCs w:val="20"/>
                <w:color w:val="auto"/>
              </w:rPr>
            </w:pPr>
            <w:r>
              <w:rPr>
                <w:rFonts w:ascii="Arial" w:cs="Arial" w:eastAsia="Arial" w:hAnsi="Arial"/>
                <w:sz w:val="14"/>
                <w:szCs w:val="14"/>
                <w:color w:val="auto"/>
              </w:rPr>
              <w:t>IOUs</w:t>
            </w:r>
          </w:p>
        </w:tc>
        <w:tc>
          <w:tcPr>
            <w:tcW w:w="3800" w:type="dxa"/>
            <w:vAlign w:val="bottom"/>
          </w:tcPr>
          <w:p>
            <w:pPr>
              <w:ind w:left="280"/>
              <w:spacing w:after="0"/>
              <w:rPr>
                <w:sz w:val="20"/>
                <w:szCs w:val="20"/>
                <w:color w:val="auto"/>
              </w:rPr>
            </w:pPr>
            <w:r>
              <w:rPr>
                <w:rFonts w:ascii="Arial" w:cs="Arial" w:eastAsia="Arial" w:hAnsi="Arial"/>
                <w:sz w:val="14"/>
                <w:szCs w:val="14"/>
                <w:color w:val="auto"/>
              </w:rPr>
              <w:t>Investor-owned Utilities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CEC</w:t>
            </w:r>
          </w:p>
        </w:tc>
        <w:tc>
          <w:tcPr>
            <w:tcW w:w="4000" w:type="dxa"/>
            <w:vAlign w:val="bottom"/>
          </w:tcPr>
          <w:p>
            <w:pPr>
              <w:ind w:left="360"/>
              <w:spacing w:after="0"/>
              <w:rPr>
                <w:sz w:val="20"/>
                <w:szCs w:val="20"/>
                <w:color w:val="auto"/>
              </w:rPr>
            </w:pPr>
            <w:r>
              <w:rPr>
                <w:rFonts w:ascii="Arial" w:cs="Arial" w:eastAsia="Arial" w:hAnsi="Arial"/>
                <w:sz w:val="14"/>
                <w:szCs w:val="14"/>
                <w:color w:val="auto"/>
              </w:rPr>
              <w:t>California Energy Commission</w:t>
            </w:r>
          </w:p>
        </w:tc>
        <w:tc>
          <w:tcPr>
            <w:tcW w:w="1840" w:type="dxa"/>
            <w:vAlign w:val="bottom"/>
          </w:tcPr>
          <w:p>
            <w:pPr>
              <w:ind w:left="200"/>
              <w:spacing w:after="0"/>
              <w:rPr>
                <w:sz w:val="20"/>
                <w:szCs w:val="20"/>
                <w:color w:val="auto"/>
              </w:rPr>
            </w:pPr>
            <w:r>
              <w:rPr>
                <w:rFonts w:ascii="Arial" w:cs="Arial" w:eastAsia="Arial" w:hAnsi="Arial"/>
                <w:sz w:val="14"/>
                <w:szCs w:val="14"/>
                <w:color w:val="auto"/>
              </w:rPr>
              <w:t>ISFSI</w:t>
            </w:r>
          </w:p>
        </w:tc>
        <w:tc>
          <w:tcPr>
            <w:tcW w:w="3800" w:type="dxa"/>
            <w:vAlign w:val="bottom"/>
          </w:tcPr>
          <w:p>
            <w:pPr>
              <w:ind w:left="280"/>
              <w:spacing w:after="0"/>
              <w:rPr>
                <w:sz w:val="20"/>
                <w:szCs w:val="20"/>
                <w:color w:val="auto"/>
              </w:rPr>
            </w:pPr>
            <w:r>
              <w:rPr>
                <w:rFonts w:ascii="Arial" w:cs="Arial" w:eastAsia="Arial" w:hAnsi="Arial"/>
                <w:sz w:val="14"/>
                <w:szCs w:val="14"/>
                <w:color w:val="auto"/>
              </w:rPr>
              <w:t>Independent spent fuel storage installation</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Cedar Creek 2</w:t>
            </w:r>
          </w:p>
        </w:tc>
        <w:tc>
          <w:tcPr>
            <w:tcW w:w="4000" w:type="dxa"/>
            <w:vAlign w:val="bottom"/>
          </w:tcPr>
          <w:p>
            <w:pPr>
              <w:ind w:left="360"/>
              <w:spacing w:after="0"/>
              <w:rPr>
                <w:sz w:val="20"/>
                <w:szCs w:val="20"/>
                <w:color w:val="auto"/>
              </w:rPr>
            </w:pPr>
            <w:r>
              <w:rPr>
                <w:rFonts w:ascii="Arial" w:cs="Arial" w:eastAsia="Arial" w:hAnsi="Arial"/>
                <w:sz w:val="14"/>
                <w:szCs w:val="14"/>
                <w:color w:val="auto"/>
              </w:rPr>
              <w:t>Cedar Creek 2 Wind Farm</w:t>
            </w:r>
          </w:p>
        </w:tc>
        <w:tc>
          <w:tcPr>
            <w:tcW w:w="1840" w:type="dxa"/>
            <w:vAlign w:val="bottom"/>
          </w:tcPr>
          <w:p>
            <w:pPr>
              <w:ind w:left="200"/>
              <w:spacing w:after="0"/>
              <w:rPr>
                <w:sz w:val="20"/>
                <w:szCs w:val="20"/>
                <w:color w:val="auto"/>
              </w:rPr>
            </w:pPr>
            <w:r>
              <w:rPr>
                <w:rFonts w:ascii="Arial" w:cs="Arial" w:eastAsia="Arial" w:hAnsi="Arial"/>
                <w:sz w:val="14"/>
                <w:szCs w:val="14"/>
                <w:color w:val="auto"/>
              </w:rPr>
              <w:t>ISO</w:t>
            </w:r>
          </w:p>
        </w:tc>
        <w:tc>
          <w:tcPr>
            <w:tcW w:w="3800" w:type="dxa"/>
            <w:vAlign w:val="bottom"/>
          </w:tcPr>
          <w:p>
            <w:pPr>
              <w:ind w:left="280"/>
              <w:spacing w:after="0"/>
              <w:rPr>
                <w:sz w:val="20"/>
                <w:szCs w:val="20"/>
                <w:color w:val="auto"/>
              </w:rPr>
            </w:pPr>
            <w:r>
              <w:rPr>
                <w:rFonts w:ascii="Arial" w:cs="Arial" w:eastAsia="Arial" w:hAnsi="Arial"/>
                <w:sz w:val="14"/>
                <w:szCs w:val="14"/>
                <w:color w:val="auto"/>
              </w:rPr>
              <w:t>Independent System Operator</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CEQA</w:t>
            </w:r>
          </w:p>
        </w:tc>
        <w:tc>
          <w:tcPr>
            <w:tcW w:w="4000" w:type="dxa"/>
            <w:vAlign w:val="bottom"/>
          </w:tcPr>
          <w:p>
            <w:pPr>
              <w:ind w:left="360"/>
              <w:spacing w:after="0"/>
              <w:rPr>
                <w:sz w:val="20"/>
                <w:szCs w:val="20"/>
                <w:color w:val="auto"/>
              </w:rPr>
            </w:pPr>
            <w:r>
              <w:rPr>
                <w:rFonts w:ascii="Arial" w:cs="Arial" w:eastAsia="Arial" w:hAnsi="Arial"/>
                <w:sz w:val="14"/>
                <w:szCs w:val="14"/>
                <w:color w:val="auto"/>
              </w:rPr>
              <w:t>California Environmental Quality Act</w:t>
            </w:r>
          </w:p>
        </w:tc>
        <w:tc>
          <w:tcPr>
            <w:tcW w:w="1840" w:type="dxa"/>
            <w:vAlign w:val="bottom"/>
          </w:tcPr>
          <w:p>
            <w:pPr>
              <w:ind w:left="200"/>
              <w:spacing w:after="0"/>
              <w:rPr>
                <w:sz w:val="20"/>
                <w:szCs w:val="20"/>
                <w:color w:val="auto"/>
              </w:rPr>
            </w:pPr>
            <w:r>
              <w:rPr>
                <w:rFonts w:ascii="Arial" w:cs="Arial" w:eastAsia="Arial" w:hAnsi="Arial"/>
                <w:sz w:val="14"/>
                <w:szCs w:val="14"/>
                <w:color w:val="auto"/>
              </w:rPr>
              <w:t>JP Morgan</w:t>
            </w:r>
          </w:p>
        </w:tc>
        <w:tc>
          <w:tcPr>
            <w:tcW w:w="3800" w:type="dxa"/>
            <w:vAlign w:val="bottom"/>
          </w:tcPr>
          <w:p>
            <w:pPr>
              <w:ind w:left="280"/>
              <w:spacing w:after="0"/>
              <w:rPr>
                <w:sz w:val="20"/>
                <w:szCs w:val="20"/>
                <w:color w:val="auto"/>
              </w:rPr>
            </w:pPr>
            <w:r>
              <w:rPr>
                <w:rFonts w:ascii="Arial" w:cs="Arial" w:eastAsia="Arial" w:hAnsi="Arial"/>
                <w:sz w:val="14"/>
                <w:szCs w:val="14"/>
                <w:color w:val="auto"/>
              </w:rPr>
              <w:t>J.P. Morgan Chase &amp; Co.</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CFE</w:t>
            </w:r>
          </w:p>
        </w:tc>
        <w:tc>
          <w:tcPr>
            <w:tcW w:w="4000" w:type="dxa"/>
            <w:vAlign w:val="bottom"/>
          </w:tcPr>
          <w:p>
            <w:pPr>
              <w:ind w:left="360"/>
              <w:spacing w:after="0"/>
              <w:rPr>
                <w:sz w:val="20"/>
                <w:szCs w:val="20"/>
                <w:color w:val="auto"/>
              </w:rPr>
            </w:pPr>
            <w:r>
              <w:rPr>
                <w:rFonts w:ascii="Arial" w:cs="Arial" w:eastAsia="Arial" w:hAnsi="Arial"/>
                <w:sz w:val="14"/>
                <w:szCs w:val="14"/>
                <w:color w:val="auto"/>
              </w:rPr>
              <w:t>Comisión Federal de Electricidad (Federal Electricity</w:t>
            </w:r>
          </w:p>
        </w:tc>
        <w:tc>
          <w:tcPr>
            <w:tcW w:w="1840" w:type="dxa"/>
            <w:vAlign w:val="bottom"/>
          </w:tcPr>
          <w:p>
            <w:pPr>
              <w:ind w:left="200"/>
              <w:spacing w:after="0"/>
              <w:rPr>
                <w:sz w:val="20"/>
                <w:szCs w:val="20"/>
                <w:color w:val="auto"/>
              </w:rPr>
            </w:pPr>
            <w:r>
              <w:rPr>
                <w:rFonts w:ascii="Arial" w:cs="Arial" w:eastAsia="Arial" w:hAnsi="Arial"/>
                <w:sz w:val="14"/>
                <w:szCs w:val="14"/>
                <w:color w:val="auto"/>
              </w:rPr>
              <w:t>J.P. Morgan Ventures</w:t>
            </w:r>
          </w:p>
        </w:tc>
        <w:tc>
          <w:tcPr>
            <w:tcW w:w="3800" w:type="dxa"/>
            <w:vAlign w:val="bottom"/>
          </w:tcPr>
          <w:p>
            <w:pPr>
              <w:ind w:left="280"/>
              <w:spacing w:after="0"/>
              <w:rPr>
                <w:sz w:val="20"/>
                <w:szCs w:val="20"/>
                <w:color w:val="auto"/>
              </w:rPr>
            </w:pPr>
            <w:r>
              <w:rPr>
                <w:rFonts w:ascii="Arial" w:cs="Arial" w:eastAsia="Arial" w:hAnsi="Arial"/>
                <w:sz w:val="14"/>
                <w:szCs w:val="14"/>
                <w:color w:val="auto"/>
              </w:rPr>
              <w:t>J.P. Morgan Ventures Energy Corporation</w:t>
            </w:r>
          </w:p>
        </w:tc>
      </w:tr>
      <w:tr>
        <w:trPr>
          <w:trHeight w:val="162"/>
        </w:trPr>
        <w:tc>
          <w:tcPr>
            <w:tcW w:w="1700" w:type="dxa"/>
            <w:vAlign w:val="bottom"/>
          </w:tcPr>
          <w:p>
            <w:pPr>
              <w:spacing w:after="0"/>
              <w:rPr>
                <w:sz w:val="14"/>
                <w:szCs w:val="14"/>
                <w:color w:val="auto"/>
              </w:rPr>
            </w:pPr>
          </w:p>
        </w:tc>
        <w:tc>
          <w:tcPr>
            <w:tcW w:w="4000" w:type="dxa"/>
            <w:vAlign w:val="bottom"/>
          </w:tcPr>
          <w:p>
            <w:pPr>
              <w:ind w:left="360"/>
              <w:spacing w:after="0"/>
              <w:rPr>
                <w:sz w:val="20"/>
                <w:szCs w:val="20"/>
                <w:color w:val="auto"/>
              </w:rPr>
            </w:pPr>
            <w:r>
              <w:rPr>
                <w:rFonts w:ascii="Arial" w:cs="Arial" w:eastAsia="Arial" w:hAnsi="Arial"/>
                <w:sz w:val="14"/>
                <w:szCs w:val="14"/>
                <w:color w:val="auto"/>
              </w:rPr>
              <w:t>Commission)</w:t>
            </w: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CFTC</w:t>
            </w:r>
          </w:p>
        </w:tc>
        <w:tc>
          <w:tcPr>
            <w:tcW w:w="4000" w:type="dxa"/>
            <w:vAlign w:val="bottom"/>
          </w:tcPr>
          <w:p>
            <w:pPr>
              <w:ind w:left="360"/>
              <w:spacing w:after="0"/>
              <w:rPr>
                <w:sz w:val="20"/>
                <w:szCs w:val="20"/>
                <w:color w:val="auto"/>
              </w:rPr>
            </w:pPr>
            <w:r>
              <w:rPr>
                <w:rFonts w:ascii="Arial" w:cs="Arial" w:eastAsia="Arial" w:hAnsi="Arial"/>
                <w:sz w:val="14"/>
                <w:szCs w:val="14"/>
                <w:color w:val="auto"/>
              </w:rPr>
              <w:t>U.S. Commodity Futures Trading Commission</w:t>
            </w:r>
          </w:p>
        </w:tc>
        <w:tc>
          <w:tcPr>
            <w:tcW w:w="1840" w:type="dxa"/>
            <w:vAlign w:val="bottom"/>
          </w:tcPr>
          <w:p>
            <w:pPr>
              <w:ind w:left="200"/>
              <w:spacing w:after="0"/>
              <w:rPr>
                <w:sz w:val="20"/>
                <w:szCs w:val="20"/>
                <w:color w:val="auto"/>
              </w:rPr>
            </w:pPr>
            <w:r>
              <w:rPr>
                <w:rFonts w:ascii="Arial" w:cs="Arial" w:eastAsia="Arial" w:hAnsi="Arial"/>
                <w:sz w:val="14"/>
                <w:szCs w:val="14"/>
                <w:color w:val="auto"/>
              </w:rPr>
              <w:t>KMP</w:t>
            </w:r>
          </w:p>
        </w:tc>
        <w:tc>
          <w:tcPr>
            <w:tcW w:w="3800" w:type="dxa"/>
            <w:vAlign w:val="bottom"/>
          </w:tcPr>
          <w:p>
            <w:pPr>
              <w:ind w:left="280"/>
              <w:spacing w:after="0"/>
              <w:rPr>
                <w:sz w:val="20"/>
                <w:szCs w:val="20"/>
                <w:color w:val="auto"/>
              </w:rPr>
            </w:pPr>
            <w:r>
              <w:rPr>
                <w:rFonts w:ascii="Arial" w:cs="Arial" w:eastAsia="Arial" w:hAnsi="Arial"/>
                <w:sz w:val="14"/>
                <w:szCs w:val="14"/>
                <w:color w:val="auto"/>
              </w:rPr>
              <w:t>Kinder Morgan Energy Partners, L.P.</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Chilquinta Energía</w:t>
            </w:r>
          </w:p>
        </w:tc>
        <w:tc>
          <w:tcPr>
            <w:tcW w:w="4000" w:type="dxa"/>
            <w:vAlign w:val="bottom"/>
          </w:tcPr>
          <w:p>
            <w:pPr>
              <w:ind w:left="360"/>
              <w:spacing w:after="0"/>
              <w:rPr>
                <w:sz w:val="20"/>
                <w:szCs w:val="20"/>
                <w:color w:val="auto"/>
              </w:rPr>
            </w:pPr>
            <w:r>
              <w:rPr>
                <w:rFonts w:ascii="Arial" w:cs="Arial" w:eastAsia="Arial" w:hAnsi="Arial"/>
                <w:sz w:val="14"/>
                <w:szCs w:val="14"/>
                <w:color w:val="auto"/>
              </w:rPr>
              <w:t>Chilquinta Energía S.A.</w:t>
            </w:r>
          </w:p>
        </w:tc>
        <w:tc>
          <w:tcPr>
            <w:tcW w:w="1840" w:type="dxa"/>
            <w:vAlign w:val="bottom"/>
          </w:tcPr>
          <w:p>
            <w:pPr>
              <w:ind w:left="200"/>
              <w:spacing w:after="0"/>
              <w:rPr>
                <w:sz w:val="20"/>
                <w:szCs w:val="20"/>
                <w:color w:val="auto"/>
              </w:rPr>
            </w:pPr>
            <w:r>
              <w:rPr>
                <w:rFonts w:ascii="Arial" w:cs="Arial" w:eastAsia="Arial" w:hAnsi="Arial"/>
                <w:sz w:val="14"/>
                <w:szCs w:val="14"/>
                <w:color w:val="auto"/>
              </w:rPr>
              <w:t>kV</w:t>
            </w:r>
          </w:p>
        </w:tc>
        <w:tc>
          <w:tcPr>
            <w:tcW w:w="3800" w:type="dxa"/>
            <w:vAlign w:val="bottom"/>
          </w:tcPr>
          <w:p>
            <w:pPr>
              <w:ind w:left="280"/>
              <w:spacing w:after="0"/>
              <w:rPr>
                <w:sz w:val="20"/>
                <w:szCs w:val="20"/>
                <w:color w:val="auto"/>
              </w:rPr>
            </w:pPr>
            <w:r>
              <w:rPr>
                <w:rFonts w:ascii="Arial" w:cs="Arial" w:eastAsia="Arial" w:hAnsi="Arial"/>
                <w:sz w:val="14"/>
                <w:szCs w:val="14"/>
                <w:color w:val="auto"/>
              </w:rPr>
              <w:t>Kilovolt</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CMS 2</w:t>
            </w:r>
          </w:p>
        </w:tc>
        <w:tc>
          <w:tcPr>
            <w:tcW w:w="4000" w:type="dxa"/>
            <w:vAlign w:val="bottom"/>
          </w:tcPr>
          <w:p>
            <w:pPr>
              <w:ind w:left="360"/>
              <w:spacing w:after="0"/>
              <w:rPr>
                <w:sz w:val="20"/>
                <w:szCs w:val="20"/>
                <w:color w:val="auto"/>
              </w:rPr>
            </w:pPr>
            <w:r>
              <w:rPr>
                <w:rFonts w:ascii="Arial" w:cs="Arial" w:eastAsia="Arial" w:hAnsi="Arial"/>
                <w:sz w:val="14"/>
                <w:szCs w:val="14"/>
                <w:color w:val="auto"/>
              </w:rPr>
              <w:t>Copper Mountain Solar 2</w:t>
            </w:r>
          </w:p>
        </w:tc>
        <w:tc>
          <w:tcPr>
            <w:tcW w:w="1840" w:type="dxa"/>
            <w:vAlign w:val="bottom"/>
          </w:tcPr>
          <w:p>
            <w:pPr>
              <w:ind w:left="200"/>
              <w:spacing w:after="0"/>
              <w:rPr>
                <w:sz w:val="20"/>
                <w:szCs w:val="20"/>
                <w:color w:val="auto"/>
              </w:rPr>
            </w:pPr>
            <w:r>
              <w:rPr>
                <w:rFonts w:ascii="Arial" w:cs="Arial" w:eastAsia="Arial" w:hAnsi="Arial"/>
                <w:sz w:val="14"/>
                <w:szCs w:val="14"/>
                <w:color w:val="auto"/>
              </w:rPr>
              <w:t>Liberty</w:t>
            </w:r>
          </w:p>
        </w:tc>
        <w:tc>
          <w:tcPr>
            <w:tcW w:w="3800" w:type="dxa"/>
            <w:vAlign w:val="bottom"/>
          </w:tcPr>
          <w:p>
            <w:pPr>
              <w:ind w:left="280"/>
              <w:spacing w:after="0"/>
              <w:rPr>
                <w:sz w:val="20"/>
                <w:szCs w:val="20"/>
                <w:color w:val="auto"/>
              </w:rPr>
            </w:pPr>
            <w:r>
              <w:rPr>
                <w:rFonts w:ascii="Arial" w:cs="Arial" w:eastAsia="Arial" w:hAnsi="Arial"/>
                <w:sz w:val="14"/>
                <w:szCs w:val="14"/>
                <w:color w:val="auto"/>
              </w:rPr>
              <w:t>Liberty Gas Storage, LLC</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CNE</w:t>
            </w:r>
          </w:p>
        </w:tc>
        <w:tc>
          <w:tcPr>
            <w:tcW w:w="4000" w:type="dxa"/>
            <w:vAlign w:val="bottom"/>
          </w:tcPr>
          <w:p>
            <w:pPr>
              <w:ind w:left="360"/>
              <w:spacing w:after="0"/>
              <w:rPr>
                <w:sz w:val="20"/>
                <w:szCs w:val="20"/>
                <w:color w:val="auto"/>
              </w:rPr>
            </w:pPr>
            <w:r>
              <w:rPr>
                <w:rFonts w:ascii="Arial" w:cs="Arial" w:eastAsia="Arial" w:hAnsi="Arial"/>
                <w:sz w:val="14"/>
                <w:szCs w:val="14"/>
                <w:color w:val="auto"/>
              </w:rPr>
              <w:t>Comisión Nacional de Energía (National Energy</w:t>
            </w:r>
          </w:p>
        </w:tc>
        <w:tc>
          <w:tcPr>
            <w:tcW w:w="1840" w:type="dxa"/>
            <w:vAlign w:val="bottom"/>
          </w:tcPr>
          <w:p>
            <w:pPr>
              <w:ind w:left="200"/>
              <w:spacing w:after="0"/>
              <w:rPr>
                <w:sz w:val="20"/>
                <w:szCs w:val="20"/>
                <w:color w:val="auto"/>
              </w:rPr>
            </w:pPr>
            <w:r>
              <w:rPr>
                <w:rFonts w:ascii="Arial" w:cs="Arial" w:eastAsia="Arial" w:hAnsi="Arial"/>
                <w:sz w:val="14"/>
                <w:szCs w:val="14"/>
                <w:color w:val="auto"/>
              </w:rPr>
              <w:t>LIBOR</w:t>
            </w:r>
          </w:p>
        </w:tc>
        <w:tc>
          <w:tcPr>
            <w:tcW w:w="3800" w:type="dxa"/>
            <w:vAlign w:val="bottom"/>
          </w:tcPr>
          <w:p>
            <w:pPr>
              <w:ind w:left="280"/>
              <w:spacing w:after="0"/>
              <w:rPr>
                <w:sz w:val="20"/>
                <w:szCs w:val="20"/>
                <w:color w:val="auto"/>
              </w:rPr>
            </w:pPr>
            <w:r>
              <w:rPr>
                <w:rFonts w:ascii="Arial" w:cs="Arial" w:eastAsia="Arial" w:hAnsi="Arial"/>
                <w:sz w:val="14"/>
                <w:szCs w:val="14"/>
                <w:color w:val="auto"/>
              </w:rPr>
              <w:t>London interbank offered rate</w:t>
            </w:r>
          </w:p>
        </w:tc>
      </w:tr>
      <w:tr>
        <w:trPr>
          <w:trHeight w:val="162"/>
        </w:trPr>
        <w:tc>
          <w:tcPr>
            <w:tcW w:w="1700" w:type="dxa"/>
            <w:vAlign w:val="bottom"/>
          </w:tcPr>
          <w:p>
            <w:pPr>
              <w:spacing w:after="0"/>
              <w:rPr>
                <w:sz w:val="14"/>
                <w:szCs w:val="14"/>
                <w:color w:val="auto"/>
              </w:rPr>
            </w:pPr>
          </w:p>
        </w:tc>
        <w:tc>
          <w:tcPr>
            <w:tcW w:w="4000" w:type="dxa"/>
            <w:vAlign w:val="bottom"/>
          </w:tcPr>
          <w:p>
            <w:pPr>
              <w:ind w:left="360"/>
              <w:spacing w:after="0"/>
              <w:rPr>
                <w:sz w:val="20"/>
                <w:szCs w:val="20"/>
                <w:color w:val="auto"/>
              </w:rPr>
            </w:pPr>
            <w:r>
              <w:rPr>
                <w:rFonts w:ascii="Arial" w:cs="Arial" w:eastAsia="Arial" w:hAnsi="Arial"/>
                <w:sz w:val="14"/>
                <w:szCs w:val="14"/>
                <w:color w:val="auto"/>
              </w:rPr>
              <w:t>Commission)</w:t>
            </w: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Conoco</w:t>
            </w:r>
          </w:p>
        </w:tc>
        <w:tc>
          <w:tcPr>
            <w:tcW w:w="4000" w:type="dxa"/>
            <w:vAlign w:val="bottom"/>
          </w:tcPr>
          <w:p>
            <w:pPr>
              <w:ind w:left="360"/>
              <w:spacing w:after="0"/>
              <w:rPr>
                <w:sz w:val="20"/>
                <w:szCs w:val="20"/>
                <w:color w:val="auto"/>
              </w:rPr>
            </w:pPr>
            <w:r>
              <w:rPr>
                <w:rFonts w:ascii="Arial" w:cs="Arial" w:eastAsia="Arial" w:hAnsi="Arial"/>
                <w:sz w:val="14"/>
                <w:szCs w:val="14"/>
                <w:color w:val="auto"/>
              </w:rPr>
              <w:t>ConocoPhillips</w:t>
            </w:r>
          </w:p>
        </w:tc>
        <w:tc>
          <w:tcPr>
            <w:tcW w:w="1840" w:type="dxa"/>
            <w:vAlign w:val="bottom"/>
          </w:tcPr>
          <w:p>
            <w:pPr>
              <w:ind w:left="200"/>
              <w:spacing w:after="0"/>
              <w:rPr>
                <w:sz w:val="20"/>
                <w:szCs w:val="20"/>
                <w:color w:val="auto"/>
              </w:rPr>
            </w:pPr>
            <w:r>
              <w:rPr>
                <w:rFonts w:ascii="Arial" w:cs="Arial" w:eastAsia="Arial" w:hAnsi="Arial"/>
                <w:sz w:val="14"/>
                <w:szCs w:val="14"/>
                <w:color w:val="auto"/>
              </w:rPr>
              <w:t>LIFO</w:t>
            </w:r>
          </w:p>
        </w:tc>
        <w:tc>
          <w:tcPr>
            <w:tcW w:w="3800" w:type="dxa"/>
            <w:vAlign w:val="bottom"/>
          </w:tcPr>
          <w:p>
            <w:pPr>
              <w:ind w:left="280"/>
              <w:spacing w:after="0"/>
              <w:rPr>
                <w:sz w:val="20"/>
                <w:szCs w:val="20"/>
                <w:color w:val="auto"/>
              </w:rPr>
            </w:pPr>
            <w:r>
              <w:rPr>
                <w:rFonts w:ascii="Arial" w:cs="Arial" w:eastAsia="Arial" w:hAnsi="Arial"/>
                <w:sz w:val="14"/>
                <w:szCs w:val="14"/>
                <w:color w:val="auto"/>
              </w:rPr>
              <w:t>Last-in first-out inventory</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Cox</w:t>
            </w:r>
          </w:p>
        </w:tc>
        <w:tc>
          <w:tcPr>
            <w:tcW w:w="4000" w:type="dxa"/>
            <w:vAlign w:val="bottom"/>
          </w:tcPr>
          <w:p>
            <w:pPr>
              <w:ind w:left="360"/>
              <w:spacing w:after="0"/>
              <w:rPr>
                <w:sz w:val="20"/>
                <w:szCs w:val="20"/>
                <w:color w:val="auto"/>
              </w:rPr>
            </w:pPr>
            <w:r>
              <w:rPr>
                <w:rFonts w:ascii="Arial" w:cs="Arial" w:eastAsia="Arial" w:hAnsi="Arial"/>
                <w:sz w:val="14"/>
                <w:szCs w:val="14"/>
                <w:color w:val="auto"/>
              </w:rPr>
              <w:t>Cox Communications</w:t>
            </w:r>
          </w:p>
        </w:tc>
        <w:tc>
          <w:tcPr>
            <w:tcW w:w="1840" w:type="dxa"/>
            <w:vAlign w:val="bottom"/>
          </w:tcPr>
          <w:p>
            <w:pPr>
              <w:ind w:left="200"/>
              <w:spacing w:after="0"/>
              <w:rPr>
                <w:sz w:val="20"/>
                <w:szCs w:val="20"/>
                <w:color w:val="auto"/>
              </w:rPr>
            </w:pPr>
            <w:r>
              <w:rPr>
                <w:rFonts w:ascii="Arial" w:cs="Arial" w:eastAsia="Arial" w:hAnsi="Arial"/>
                <w:sz w:val="14"/>
                <w:szCs w:val="14"/>
                <w:color w:val="auto"/>
              </w:rPr>
              <w:t>LNG</w:t>
            </w:r>
          </w:p>
        </w:tc>
        <w:tc>
          <w:tcPr>
            <w:tcW w:w="3800" w:type="dxa"/>
            <w:vAlign w:val="bottom"/>
          </w:tcPr>
          <w:p>
            <w:pPr>
              <w:ind w:left="280"/>
              <w:spacing w:after="0"/>
              <w:rPr>
                <w:sz w:val="20"/>
                <w:szCs w:val="20"/>
                <w:color w:val="auto"/>
              </w:rPr>
            </w:pPr>
            <w:r>
              <w:rPr>
                <w:rFonts w:ascii="Arial" w:cs="Arial" w:eastAsia="Arial" w:hAnsi="Arial"/>
                <w:sz w:val="14"/>
                <w:szCs w:val="14"/>
                <w:color w:val="auto"/>
              </w:rPr>
              <w:t>Liquefied natural gas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CPSD</w:t>
            </w:r>
          </w:p>
        </w:tc>
        <w:tc>
          <w:tcPr>
            <w:tcW w:w="4000" w:type="dxa"/>
            <w:vAlign w:val="bottom"/>
          </w:tcPr>
          <w:p>
            <w:pPr>
              <w:ind w:left="360"/>
              <w:spacing w:after="0"/>
              <w:rPr>
                <w:sz w:val="20"/>
                <w:szCs w:val="20"/>
                <w:color w:val="auto"/>
              </w:rPr>
            </w:pPr>
            <w:r>
              <w:rPr>
                <w:rFonts w:ascii="Arial" w:cs="Arial" w:eastAsia="Arial" w:hAnsi="Arial"/>
                <w:sz w:val="14"/>
                <w:szCs w:val="14"/>
                <w:color w:val="auto"/>
              </w:rPr>
              <w:t>Consumer Protection and Safety Division</w:t>
            </w:r>
          </w:p>
        </w:tc>
        <w:tc>
          <w:tcPr>
            <w:tcW w:w="1840" w:type="dxa"/>
            <w:vAlign w:val="bottom"/>
          </w:tcPr>
          <w:p>
            <w:pPr>
              <w:ind w:left="200"/>
              <w:spacing w:after="0"/>
              <w:rPr>
                <w:sz w:val="20"/>
                <w:szCs w:val="20"/>
                <w:color w:val="auto"/>
              </w:rPr>
            </w:pPr>
            <w:r>
              <w:rPr>
                <w:rFonts w:ascii="Arial" w:cs="Arial" w:eastAsia="Arial" w:hAnsi="Arial"/>
                <w:sz w:val="14"/>
                <w:szCs w:val="14"/>
                <w:color w:val="auto"/>
              </w:rPr>
              <w:t>Luz del Sur</w:t>
            </w:r>
          </w:p>
        </w:tc>
        <w:tc>
          <w:tcPr>
            <w:tcW w:w="3800" w:type="dxa"/>
            <w:vAlign w:val="bottom"/>
          </w:tcPr>
          <w:p>
            <w:pPr>
              <w:ind w:left="280"/>
              <w:spacing w:after="0"/>
              <w:rPr>
                <w:sz w:val="20"/>
                <w:szCs w:val="20"/>
                <w:color w:val="auto"/>
              </w:rPr>
            </w:pPr>
            <w:r>
              <w:rPr>
                <w:rFonts w:ascii="Arial" w:cs="Arial" w:eastAsia="Arial" w:hAnsi="Arial"/>
                <w:sz w:val="14"/>
                <w:szCs w:val="14"/>
                <w:color w:val="auto"/>
              </w:rPr>
              <w:t>Luz del Sur S.A.A.</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CPUC</w:t>
            </w:r>
          </w:p>
        </w:tc>
        <w:tc>
          <w:tcPr>
            <w:tcW w:w="4000" w:type="dxa"/>
            <w:vAlign w:val="bottom"/>
          </w:tcPr>
          <w:p>
            <w:pPr>
              <w:ind w:left="360"/>
              <w:spacing w:after="0"/>
              <w:rPr>
                <w:sz w:val="20"/>
                <w:szCs w:val="20"/>
                <w:color w:val="auto"/>
              </w:rPr>
            </w:pPr>
            <w:r>
              <w:rPr>
                <w:rFonts w:ascii="Arial" w:cs="Arial" w:eastAsia="Arial" w:hAnsi="Arial"/>
                <w:sz w:val="14"/>
                <w:szCs w:val="14"/>
                <w:color w:val="auto"/>
              </w:rPr>
              <w:t>California Public Utilities Commission</w:t>
            </w:r>
          </w:p>
        </w:tc>
        <w:tc>
          <w:tcPr>
            <w:tcW w:w="1840" w:type="dxa"/>
            <w:vAlign w:val="bottom"/>
          </w:tcPr>
          <w:p>
            <w:pPr>
              <w:ind w:left="200"/>
              <w:spacing w:after="0"/>
              <w:rPr>
                <w:sz w:val="20"/>
                <w:szCs w:val="20"/>
                <w:color w:val="auto"/>
              </w:rPr>
            </w:pPr>
            <w:r>
              <w:rPr>
                <w:rFonts w:ascii="Arial" w:cs="Arial" w:eastAsia="Arial" w:hAnsi="Arial"/>
                <w:sz w:val="14"/>
                <w:szCs w:val="14"/>
                <w:color w:val="auto"/>
              </w:rPr>
              <w:t>MAOP</w:t>
            </w:r>
          </w:p>
        </w:tc>
        <w:tc>
          <w:tcPr>
            <w:tcW w:w="3800" w:type="dxa"/>
            <w:vAlign w:val="bottom"/>
          </w:tcPr>
          <w:p>
            <w:pPr>
              <w:ind w:left="280"/>
              <w:spacing w:after="0"/>
              <w:rPr>
                <w:sz w:val="20"/>
                <w:szCs w:val="20"/>
                <w:color w:val="auto"/>
              </w:rPr>
            </w:pPr>
            <w:r>
              <w:rPr>
                <w:rFonts w:ascii="Arial" w:cs="Arial" w:eastAsia="Arial" w:hAnsi="Arial"/>
                <w:sz w:val="14"/>
                <w:szCs w:val="14"/>
                <w:color w:val="auto"/>
              </w:rPr>
              <w:t>Maximum allowable operating pressure</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CRE</w:t>
            </w:r>
          </w:p>
        </w:tc>
        <w:tc>
          <w:tcPr>
            <w:tcW w:w="4000" w:type="dxa"/>
            <w:vAlign w:val="bottom"/>
          </w:tcPr>
          <w:p>
            <w:pPr>
              <w:ind w:left="360"/>
              <w:spacing w:after="0"/>
              <w:rPr>
                <w:sz w:val="20"/>
                <w:szCs w:val="20"/>
                <w:color w:val="auto"/>
              </w:rPr>
            </w:pPr>
            <w:r>
              <w:rPr>
                <w:rFonts w:ascii="Arial" w:cs="Arial" w:eastAsia="Arial" w:hAnsi="Arial"/>
                <w:sz w:val="14"/>
                <w:szCs w:val="14"/>
                <w:color w:val="auto"/>
              </w:rPr>
              <w:t>Comisión Reguladora de Energía (Energy Regulatory</w:t>
            </w:r>
          </w:p>
        </w:tc>
        <w:tc>
          <w:tcPr>
            <w:tcW w:w="1840" w:type="dxa"/>
            <w:vAlign w:val="bottom"/>
          </w:tcPr>
          <w:p>
            <w:pPr>
              <w:ind w:left="200"/>
              <w:spacing w:after="0"/>
              <w:rPr>
                <w:sz w:val="20"/>
                <w:szCs w:val="20"/>
                <w:color w:val="auto"/>
              </w:rPr>
            </w:pPr>
            <w:r>
              <w:rPr>
                <w:rFonts w:ascii="Arial" w:cs="Arial" w:eastAsia="Arial" w:hAnsi="Arial"/>
                <w:sz w:val="14"/>
                <w:szCs w:val="14"/>
                <w:color w:val="auto"/>
              </w:rPr>
              <w:t>MBFC</w:t>
            </w:r>
          </w:p>
        </w:tc>
        <w:tc>
          <w:tcPr>
            <w:tcW w:w="3800" w:type="dxa"/>
            <w:vAlign w:val="bottom"/>
          </w:tcPr>
          <w:p>
            <w:pPr>
              <w:ind w:left="280"/>
              <w:spacing w:after="0"/>
              <w:rPr>
                <w:sz w:val="20"/>
                <w:szCs w:val="20"/>
                <w:color w:val="auto"/>
              </w:rPr>
            </w:pPr>
            <w:r>
              <w:rPr>
                <w:rFonts w:ascii="Arial" w:cs="Arial" w:eastAsia="Arial" w:hAnsi="Arial"/>
                <w:sz w:val="14"/>
                <w:szCs w:val="14"/>
                <w:color w:val="auto"/>
              </w:rPr>
              <w:t>Mississippi Business Finance Corporation</w:t>
            </w:r>
          </w:p>
        </w:tc>
      </w:tr>
      <w:tr>
        <w:trPr>
          <w:trHeight w:val="162"/>
        </w:trPr>
        <w:tc>
          <w:tcPr>
            <w:tcW w:w="1700" w:type="dxa"/>
            <w:vAlign w:val="bottom"/>
          </w:tcPr>
          <w:p>
            <w:pPr>
              <w:spacing w:after="0"/>
              <w:rPr>
                <w:sz w:val="14"/>
                <w:szCs w:val="14"/>
                <w:color w:val="auto"/>
              </w:rPr>
            </w:pPr>
          </w:p>
        </w:tc>
        <w:tc>
          <w:tcPr>
            <w:tcW w:w="4000" w:type="dxa"/>
            <w:vAlign w:val="bottom"/>
          </w:tcPr>
          <w:p>
            <w:pPr>
              <w:ind w:left="360"/>
              <w:spacing w:after="0"/>
              <w:rPr>
                <w:sz w:val="20"/>
                <w:szCs w:val="20"/>
                <w:color w:val="auto"/>
              </w:rPr>
            </w:pPr>
            <w:r>
              <w:rPr>
                <w:rFonts w:ascii="Arial" w:cs="Arial" w:eastAsia="Arial" w:hAnsi="Arial"/>
                <w:sz w:val="14"/>
                <w:szCs w:val="14"/>
                <w:color w:val="auto"/>
              </w:rPr>
              <w:t>Commission)</w:t>
            </w: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CRRs</w:t>
            </w:r>
          </w:p>
        </w:tc>
        <w:tc>
          <w:tcPr>
            <w:tcW w:w="4000" w:type="dxa"/>
            <w:vAlign w:val="bottom"/>
          </w:tcPr>
          <w:p>
            <w:pPr>
              <w:ind w:left="360"/>
              <w:spacing w:after="0"/>
              <w:rPr>
                <w:sz w:val="20"/>
                <w:szCs w:val="20"/>
                <w:color w:val="auto"/>
              </w:rPr>
            </w:pPr>
            <w:r>
              <w:rPr>
                <w:rFonts w:ascii="Arial" w:cs="Arial" w:eastAsia="Arial" w:hAnsi="Arial"/>
                <w:sz w:val="14"/>
                <w:szCs w:val="14"/>
                <w:color w:val="auto"/>
              </w:rPr>
              <w:t>Congestion revenue rights</w:t>
            </w:r>
          </w:p>
        </w:tc>
        <w:tc>
          <w:tcPr>
            <w:tcW w:w="1840" w:type="dxa"/>
            <w:vAlign w:val="bottom"/>
          </w:tcPr>
          <w:p>
            <w:pPr>
              <w:ind w:left="200"/>
              <w:spacing w:after="0"/>
              <w:rPr>
                <w:sz w:val="20"/>
                <w:szCs w:val="20"/>
                <w:color w:val="auto"/>
              </w:rPr>
            </w:pPr>
            <w:r>
              <w:rPr>
                <w:rFonts w:ascii="Arial" w:cs="Arial" w:eastAsia="Arial" w:hAnsi="Arial"/>
                <w:sz w:val="14"/>
                <w:szCs w:val="14"/>
                <w:color w:val="auto"/>
              </w:rPr>
              <w:t>Mcf</w:t>
            </w:r>
          </w:p>
        </w:tc>
        <w:tc>
          <w:tcPr>
            <w:tcW w:w="3800" w:type="dxa"/>
            <w:vAlign w:val="bottom"/>
          </w:tcPr>
          <w:p>
            <w:pPr>
              <w:ind w:left="280"/>
              <w:spacing w:after="0"/>
              <w:rPr>
                <w:sz w:val="20"/>
                <w:szCs w:val="20"/>
                <w:color w:val="auto"/>
              </w:rPr>
            </w:pPr>
            <w:r>
              <w:rPr>
                <w:rFonts w:ascii="Arial" w:cs="Arial" w:eastAsia="Arial" w:hAnsi="Arial"/>
                <w:sz w:val="14"/>
                <w:szCs w:val="14"/>
                <w:color w:val="auto"/>
              </w:rPr>
              <w:t>Thousand cubic feet</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DOE</w:t>
            </w:r>
          </w:p>
        </w:tc>
        <w:tc>
          <w:tcPr>
            <w:tcW w:w="4000" w:type="dxa"/>
            <w:vAlign w:val="bottom"/>
          </w:tcPr>
          <w:p>
            <w:pPr>
              <w:ind w:left="360"/>
              <w:spacing w:after="0"/>
              <w:rPr>
                <w:sz w:val="20"/>
                <w:szCs w:val="20"/>
                <w:color w:val="auto"/>
              </w:rPr>
            </w:pPr>
            <w:r>
              <w:rPr>
                <w:rFonts w:ascii="Arial" w:cs="Arial" w:eastAsia="Arial" w:hAnsi="Arial"/>
                <w:sz w:val="14"/>
                <w:szCs w:val="14"/>
                <w:color w:val="auto"/>
              </w:rPr>
              <w:t>U.S. Department of Energy</w:t>
            </w:r>
          </w:p>
        </w:tc>
        <w:tc>
          <w:tcPr>
            <w:tcW w:w="1840" w:type="dxa"/>
            <w:vAlign w:val="bottom"/>
          </w:tcPr>
          <w:p>
            <w:pPr>
              <w:ind w:left="200"/>
              <w:spacing w:after="0"/>
              <w:rPr>
                <w:sz w:val="20"/>
                <w:szCs w:val="20"/>
                <w:color w:val="auto"/>
              </w:rPr>
            </w:pPr>
            <w:r>
              <w:rPr>
                <w:rFonts w:ascii="Arial" w:cs="Arial" w:eastAsia="Arial" w:hAnsi="Arial"/>
                <w:sz w:val="14"/>
                <w:szCs w:val="14"/>
                <w:color w:val="auto"/>
              </w:rPr>
              <w:t>MHI</w:t>
            </w:r>
          </w:p>
        </w:tc>
        <w:tc>
          <w:tcPr>
            <w:tcW w:w="3800" w:type="dxa"/>
            <w:vAlign w:val="bottom"/>
          </w:tcPr>
          <w:p>
            <w:pPr>
              <w:ind w:left="280"/>
              <w:spacing w:after="0"/>
              <w:rPr>
                <w:sz w:val="20"/>
                <w:szCs w:val="20"/>
                <w:color w:val="auto"/>
              </w:rPr>
            </w:pPr>
            <w:r>
              <w:rPr>
                <w:rFonts w:ascii="Arial" w:cs="Arial" w:eastAsia="Arial" w:hAnsi="Arial"/>
                <w:sz w:val="14"/>
                <w:szCs w:val="14"/>
                <w:color w:val="auto"/>
              </w:rPr>
              <w:t>Mitsubishi Heavy Industries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DRA</w:t>
            </w:r>
          </w:p>
        </w:tc>
        <w:tc>
          <w:tcPr>
            <w:tcW w:w="4000" w:type="dxa"/>
            <w:vAlign w:val="bottom"/>
          </w:tcPr>
          <w:p>
            <w:pPr>
              <w:ind w:left="360"/>
              <w:spacing w:after="0"/>
              <w:rPr>
                <w:sz w:val="20"/>
                <w:szCs w:val="20"/>
                <w:color w:val="auto"/>
              </w:rPr>
            </w:pPr>
            <w:r>
              <w:rPr>
                <w:rFonts w:ascii="Arial" w:cs="Arial" w:eastAsia="Arial" w:hAnsi="Arial"/>
                <w:sz w:val="14"/>
                <w:szCs w:val="14"/>
                <w:color w:val="auto"/>
              </w:rPr>
              <w:t>Division of Ratepayer Advocates</w:t>
            </w:r>
          </w:p>
        </w:tc>
        <w:tc>
          <w:tcPr>
            <w:tcW w:w="1840" w:type="dxa"/>
            <w:vAlign w:val="bottom"/>
          </w:tcPr>
          <w:p>
            <w:pPr>
              <w:ind w:left="200"/>
              <w:spacing w:after="0"/>
              <w:rPr>
                <w:sz w:val="20"/>
                <w:szCs w:val="20"/>
                <w:color w:val="auto"/>
              </w:rPr>
            </w:pPr>
            <w:r>
              <w:rPr>
                <w:rFonts w:ascii="Arial" w:cs="Arial" w:eastAsia="Arial" w:hAnsi="Arial"/>
                <w:sz w:val="14"/>
                <w:szCs w:val="14"/>
                <w:color w:val="auto"/>
              </w:rPr>
              <w:t>MICAM</w:t>
            </w:r>
          </w:p>
        </w:tc>
        <w:tc>
          <w:tcPr>
            <w:tcW w:w="3800" w:type="dxa"/>
            <w:vAlign w:val="bottom"/>
          </w:tcPr>
          <w:p>
            <w:pPr>
              <w:ind w:left="280"/>
              <w:spacing w:after="0"/>
              <w:rPr>
                <w:sz w:val="20"/>
                <w:szCs w:val="20"/>
                <w:color w:val="auto"/>
              </w:rPr>
            </w:pPr>
            <w:r>
              <w:rPr>
                <w:rFonts w:ascii="Arial" w:cs="Arial" w:eastAsia="Arial" w:hAnsi="Arial"/>
                <w:sz w:val="14"/>
                <w:szCs w:val="14"/>
                <w:color w:val="auto"/>
              </w:rPr>
              <w:t>Market Indexed Capital Adjustment Mechanism</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DWR</w:t>
            </w:r>
          </w:p>
        </w:tc>
        <w:tc>
          <w:tcPr>
            <w:tcW w:w="4000" w:type="dxa"/>
            <w:vAlign w:val="bottom"/>
          </w:tcPr>
          <w:p>
            <w:pPr>
              <w:ind w:left="360"/>
              <w:spacing w:after="0"/>
              <w:rPr>
                <w:sz w:val="20"/>
                <w:szCs w:val="20"/>
                <w:color w:val="auto"/>
              </w:rPr>
            </w:pPr>
            <w:r>
              <w:rPr>
                <w:rFonts w:ascii="Arial" w:cs="Arial" w:eastAsia="Arial" w:hAnsi="Arial"/>
                <w:sz w:val="14"/>
                <w:szCs w:val="14"/>
                <w:color w:val="auto"/>
              </w:rPr>
              <w:t>California Department of Water Resources</w:t>
            </w:r>
          </w:p>
        </w:tc>
        <w:tc>
          <w:tcPr>
            <w:tcW w:w="1840" w:type="dxa"/>
            <w:vAlign w:val="bottom"/>
          </w:tcPr>
          <w:p>
            <w:pPr>
              <w:ind w:left="200"/>
              <w:spacing w:after="0"/>
              <w:rPr>
                <w:sz w:val="20"/>
                <w:szCs w:val="20"/>
                <w:color w:val="auto"/>
              </w:rPr>
            </w:pPr>
            <w:r>
              <w:rPr>
                <w:rFonts w:ascii="Arial" w:cs="Arial" w:eastAsia="Arial" w:hAnsi="Arial"/>
                <w:sz w:val="14"/>
                <w:szCs w:val="14"/>
                <w:color w:val="auto"/>
              </w:rPr>
              <w:t>Midstream Services</w:t>
            </w:r>
          </w:p>
        </w:tc>
        <w:tc>
          <w:tcPr>
            <w:tcW w:w="3800" w:type="dxa"/>
            <w:vAlign w:val="bottom"/>
          </w:tcPr>
          <w:p>
            <w:pPr>
              <w:ind w:left="280"/>
              <w:spacing w:after="0"/>
              <w:rPr>
                <w:sz w:val="20"/>
                <w:szCs w:val="20"/>
                <w:color w:val="auto"/>
              </w:rPr>
            </w:pPr>
            <w:r>
              <w:rPr>
                <w:rFonts w:ascii="Arial" w:cs="Arial" w:eastAsia="Arial" w:hAnsi="Arial"/>
                <w:sz w:val="14"/>
                <w:szCs w:val="14"/>
                <w:color w:val="auto"/>
              </w:rPr>
              <w:t>Sempra Midstream Services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EBITDA</w:t>
            </w:r>
          </w:p>
        </w:tc>
        <w:tc>
          <w:tcPr>
            <w:tcW w:w="4000" w:type="dxa"/>
            <w:vAlign w:val="bottom"/>
          </w:tcPr>
          <w:p>
            <w:pPr>
              <w:ind w:left="360"/>
              <w:spacing w:after="0"/>
              <w:rPr>
                <w:sz w:val="20"/>
                <w:szCs w:val="20"/>
                <w:color w:val="auto"/>
              </w:rPr>
            </w:pPr>
            <w:r>
              <w:rPr>
                <w:rFonts w:ascii="Arial" w:cs="Arial" w:eastAsia="Arial" w:hAnsi="Arial"/>
                <w:sz w:val="14"/>
                <w:szCs w:val="14"/>
                <w:color w:val="auto"/>
              </w:rPr>
              <w:t>Earnings before interest, taxes, depreciation and</w:t>
            </w:r>
          </w:p>
        </w:tc>
        <w:tc>
          <w:tcPr>
            <w:tcW w:w="1840" w:type="dxa"/>
            <w:vAlign w:val="bottom"/>
          </w:tcPr>
          <w:p>
            <w:pPr>
              <w:ind w:left="200"/>
              <w:spacing w:after="0"/>
              <w:rPr>
                <w:sz w:val="20"/>
                <w:szCs w:val="20"/>
                <w:color w:val="auto"/>
              </w:rPr>
            </w:pPr>
            <w:r>
              <w:rPr>
                <w:rFonts w:ascii="Arial" w:cs="Arial" w:eastAsia="Arial" w:hAnsi="Arial"/>
                <w:sz w:val="14"/>
                <w:szCs w:val="14"/>
                <w:color w:val="auto"/>
              </w:rPr>
              <w:t>Mississippi Hub</w:t>
            </w:r>
          </w:p>
        </w:tc>
        <w:tc>
          <w:tcPr>
            <w:tcW w:w="3800" w:type="dxa"/>
            <w:vAlign w:val="bottom"/>
          </w:tcPr>
          <w:p>
            <w:pPr>
              <w:ind w:left="280"/>
              <w:spacing w:after="0"/>
              <w:rPr>
                <w:sz w:val="20"/>
                <w:szCs w:val="20"/>
                <w:color w:val="auto"/>
              </w:rPr>
            </w:pPr>
            <w:r>
              <w:rPr>
                <w:rFonts w:ascii="Arial" w:cs="Arial" w:eastAsia="Arial" w:hAnsi="Arial"/>
                <w:sz w:val="14"/>
                <w:szCs w:val="14"/>
                <w:color w:val="auto"/>
              </w:rPr>
              <w:t>Mississippi Hub, LLC</w:t>
            </w:r>
          </w:p>
        </w:tc>
      </w:tr>
      <w:tr>
        <w:trPr>
          <w:trHeight w:val="162"/>
        </w:trPr>
        <w:tc>
          <w:tcPr>
            <w:tcW w:w="1700" w:type="dxa"/>
            <w:vAlign w:val="bottom"/>
          </w:tcPr>
          <w:p>
            <w:pPr>
              <w:spacing w:after="0"/>
              <w:rPr>
                <w:sz w:val="14"/>
                <w:szCs w:val="14"/>
                <w:color w:val="auto"/>
              </w:rPr>
            </w:pPr>
          </w:p>
        </w:tc>
        <w:tc>
          <w:tcPr>
            <w:tcW w:w="4000" w:type="dxa"/>
            <w:vAlign w:val="bottom"/>
          </w:tcPr>
          <w:p>
            <w:pPr>
              <w:ind w:left="360"/>
              <w:spacing w:after="0"/>
              <w:rPr>
                <w:sz w:val="20"/>
                <w:szCs w:val="20"/>
                <w:color w:val="auto"/>
              </w:rPr>
            </w:pPr>
            <w:r>
              <w:rPr>
                <w:rFonts w:ascii="Arial" w:cs="Arial" w:eastAsia="Arial" w:hAnsi="Arial"/>
                <w:sz w:val="14"/>
                <w:szCs w:val="14"/>
                <w:color w:val="auto"/>
              </w:rPr>
              <w:t>amortization</w:t>
            </w: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Ecogas</w:t>
            </w:r>
          </w:p>
        </w:tc>
        <w:tc>
          <w:tcPr>
            <w:tcW w:w="4000" w:type="dxa"/>
            <w:vAlign w:val="bottom"/>
          </w:tcPr>
          <w:p>
            <w:pPr>
              <w:ind w:left="360"/>
              <w:spacing w:after="0"/>
              <w:rPr>
                <w:sz w:val="20"/>
                <w:szCs w:val="20"/>
                <w:color w:val="auto"/>
              </w:rPr>
            </w:pPr>
            <w:r>
              <w:rPr>
                <w:rFonts w:ascii="Arial" w:cs="Arial" w:eastAsia="Arial" w:hAnsi="Arial"/>
                <w:sz w:val="14"/>
                <w:szCs w:val="14"/>
                <w:color w:val="auto"/>
              </w:rPr>
              <w:t>Ecogas Mexico, S de RL de CV</w:t>
            </w:r>
          </w:p>
        </w:tc>
        <w:tc>
          <w:tcPr>
            <w:tcW w:w="1840" w:type="dxa"/>
            <w:vAlign w:val="bottom"/>
          </w:tcPr>
          <w:p>
            <w:pPr>
              <w:ind w:left="200"/>
              <w:spacing w:after="0"/>
              <w:rPr>
                <w:sz w:val="20"/>
                <w:szCs w:val="20"/>
                <w:color w:val="auto"/>
              </w:rPr>
            </w:pPr>
            <w:r>
              <w:rPr>
                <w:rFonts w:ascii="Arial" w:cs="Arial" w:eastAsia="Arial" w:hAnsi="Arial"/>
                <w:sz w:val="14"/>
                <w:szCs w:val="14"/>
                <w:color w:val="auto"/>
              </w:rPr>
              <w:t>MMBtu</w:t>
            </w:r>
          </w:p>
        </w:tc>
        <w:tc>
          <w:tcPr>
            <w:tcW w:w="3800" w:type="dxa"/>
            <w:vAlign w:val="bottom"/>
          </w:tcPr>
          <w:p>
            <w:pPr>
              <w:ind w:left="280"/>
              <w:spacing w:after="0"/>
              <w:rPr>
                <w:sz w:val="20"/>
                <w:szCs w:val="20"/>
                <w:color w:val="auto"/>
              </w:rPr>
            </w:pPr>
            <w:r>
              <w:rPr>
                <w:rFonts w:ascii="Arial" w:cs="Arial" w:eastAsia="Arial" w:hAnsi="Arial"/>
                <w:sz w:val="14"/>
                <w:szCs w:val="14"/>
                <w:color w:val="auto"/>
              </w:rPr>
              <w:t>Million British Thermal Units (of natural gas)</w:t>
            </w: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Edison</w:t>
            </w:r>
          </w:p>
        </w:tc>
        <w:tc>
          <w:tcPr>
            <w:tcW w:w="4000" w:type="dxa"/>
            <w:vAlign w:val="bottom"/>
          </w:tcPr>
          <w:p>
            <w:pPr>
              <w:ind w:left="360"/>
              <w:spacing w:after="0"/>
              <w:rPr>
                <w:sz w:val="20"/>
                <w:szCs w:val="20"/>
                <w:color w:val="auto"/>
              </w:rPr>
            </w:pPr>
            <w:r>
              <w:rPr>
                <w:rFonts w:ascii="Arial" w:cs="Arial" w:eastAsia="Arial" w:hAnsi="Arial"/>
                <w:sz w:val="14"/>
                <w:szCs w:val="14"/>
                <w:color w:val="auto"/>
              </w:rPr>
              <w:t>Southern California Edison Company</w:t>
            </w:r>
          </w:p>
        </w:tc>
        <w:tc>
          <w:tcPr>
            <w:tcW w:w="1840" w:type="dxa"/>
            <w:vAlign w:val="bottom"/>
          </w:tcPr>
          <w:p>
            <w:pPr>
              <w:ind w:left="200"/>
              <w:spacing w:after="0"/>
              <w:rPr>
                <w:sz w:val="20"/>
                <w:szCs w:val="20"/>
                <w:color w:val="auto"/>
              </w:rPr>
            </w:pPr>
            <w:r>
              <w:rPr>
                <w:rFonts w:ascii="Arial" w:cs="Arial" w:eastAsia="Arial" w:hAnsi="Arial"/>
                <w:sz w:val="14"/>
                <w:szCs w:val="14"/>
                <w:color w:val="auto"/>
              </w:rPr>
              <w:t>MMcf</w:t>
            </w:r>
          </w:p>
        </w:tc>
        <w:tc>
          <w:tcPr>
            <w:tcW w:w="3800" w:type="dxa"/>
            <w:vAlign w:val="bottom"/>
          </w:tcPr>
          <w:p>
            <w:pPr>
              <w:ind w:left="280"/>
              <w:spacing w:after="0"/>
              <w:rPr>
                <w:sz w:val="20"/>
                <w:szCs w:val="20"/>
                <w:color w:val="auto"/>
              </w:rPr>
            </w:pPr>
            <w:r>
              <w:rPr>
                <w:rFonts w:ascii="Arial" w:cs="Arial" w:eastAsia="Arial" w:hAnsi="Arial"/>
                <w:sz w:val="14"/>
                <w:szCs w:val="14"/>
                <w:color w:val="auto"/>
              </w:rPr>
              <w:t>Million cubic feet</w:t>
            </w:r>
          </w:p>
        </w:tc>
      </w:tr>
      <w:tr>
        <w:trPr>
          <w:trHeight w:val="172"/>
        </w:trPr>
        <w:tc>
          <w:tcPr>
            <w:tcW w:w="1700" w:type="dxa"/>
            <w:vAlign w:val="bottom"/>
          </w:tcPr>
          <w:p>
            <w:pPr>
              <w:spacing w:after="0"/>
              <w:rPr>
                <w:sz w:val="20"/>
                <w:szCs w:val="20"/>
                <w:color w:val="auto"/>
              </w:rPr>
            </w:pPr>
            <w:r>
              <w:rPr>
                <w:rFonts w:ascii="Arial" w:cs="Arial" w:eastAsia="Arial" w:hAnsi="Arial"/>
                <w:sz w:val="14"/>
                <w:szCs w:val="14"/>
                <w:color w:val="auto"/>
              </w:rPr>
              <w:t>Elk Hills</w:t>
            </w:r>
          </w:p>
        </w:tc>
        <w:tc>
          <w:tcPr>
            <w:tcW w:w="4000" w:type="dxa"/>
            <w:vAlign w:val="bottom"/>
          </w:tcPr>
          <w:p>
            <w:pPr>
              <w:ind w:left="360"/>
              <w:spacing w:after="0"/>
              <w:rPr>
                <w:sz w:val="20"/>
                <w:szCs w:val="20"/>
                <w:color w:val="auto"/>
              </w:rPr>
            </w:pPr>
            <w:r>
              <w:rPr>
                <w:rFonts w:ascii="Arial" w:cs="Arial" w:eastAsia="Arial" w:hAnsi="Arial"/>
                <w:sz w:val="14"/>
                <w:szCs w:val="14"/>
                <w:color w:val="auto"/>
              </w:rPr>
              <w:t>Elk Hills Power</w:t>
            </w:r>
          </w:p>
        </w:tc>
        <w:tc>
          <w:tcPr>
            <w:tcW w:w="1840" w:type="dxa"/>
            <w:vAlign w:val="bottom"/>
          </w:tcPr>
          <w:p>
            <w:pPr>
              <w:ind w:left="200"/>
              <w:spacing w:after="0"/>
              <w:rPr>
                <w:sz w:val="20"/>
                <w:szCs w:val="20"/>
                <w:color w:val="auto"/>
              </w:rPr>
            </w:pPr>
            <w:r>
              <w:rPr>
                <w:rFonts w:ascii="Arial" w:cs="Arial" w:eastAsia="Arial" w:hAnsi="Arial"/>
                <w:sz w:val="14"/>
                <w:szCs w:val="14"/>
                <w:color w:val="auto"/>
              </w:rPr>
              <w:t>Mobile Gas</w:t>
            </w:r>
          </w:p>
        </w:tc>
        <w:tc>
          <w:tcPr>
            <w:tcW w:w="3800" w:type="dxa"/>
            <w:vAlign w:val="bottom"/>
          </w:tcPr>
          <w:p>
            <w:pPr>
              <w:ind w:left="280"/>
              <w:spacing w:after="0"/>
              <w:rPr>
                <w:sz w:val="20"/>
                <w:szCs w:val="20"/>
                <w:color w:val="auto"/>
              </w:rPr>
            </w:pPr>
            <w:r>
              <w:rPr>
                <w:rFonts w:ascii="Arial" w:cs="Arial" w:eastAsia="Arial" w:hAnsi="Arial"/>
                <w:sz w:val="14"/>
                <w:szCs w:val="14"/>
                <w:color w:val="auto"/>
              </w:rPr>
              <w:t>Mobile Gas Service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283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Arial" w:cs="Arial" w:eastAsia="Arial" w:hAnsi="Arial"/>
                <w:sz w:val="14"/>
                <w:szCs w:val="14"/>
                <w:color w:val="auto"/>
              </w:rPr>
              <w:t>MSCI</w:t>
            </w:r>
          </w:p>
        </w:tc>
        <w:tc>
          <w:tcPr>
            <w:tcW w:w="3780" w:type="dxa"/>
            <w:vAlign w:val="bottom"/>
          </w:tcPr>
          <w:p>
            <w:pPr>
              <w:ind w:left="500"/>
              <w:spacing w:after="0"/>
              <w:rPr>
                <w:sz w:val="20"/>
                <w:szCs w:val="20"/>
                <w:color w:val="auto"/>
              </w:rPr>
            </w:pPr>
            <w:r>
              <w:rPr>
                <w:rFonts w:ascii="Arial" w:cs="Arial" w:eastAsia="Arial" w:hAnsi="Arial"/>
                <w:sz w:val="14"/>
                <w:szCs w:val="14"/>
                <w:color w:val="auto"/>
              </w:rPr>
              <w:t>Morgan Stanley Capital International</w:t>
            </w:r>
          </w:p>
        </w:tc>
        <w:tc>
          <w:tcPr>
            <w:tcW w:w="1680" w:type="dxa"/>
            <w:vAlign w:val="bottom"/>
          </w:tcPr>
          <w:p>
            <w:pPr>
              <w:ind w:left="380"/>
              <w:spacing w:after="0"/>
              <w:rPr>
                <w:sz w:val="20"/>
                <w:szCs w:val="20"/>
                <w:color w:val="auto"/>
              </w:rPr>
            </w:pPr>
            <w:r>
              <w:rPr>
                <w:rFonts w:ascii="Arial" w:cs="Arial" w:eastAsia="Arial" w:hAnsi="Arial"/>
                <w:sz w:val="14"/>
                <w:szCs w:val="14"/>
                <w:color w:val="auto"/>
              </w:rPr>
              <w:t>ROE</w:t>
            </w:r>
          </w:p>
        </w:tc>
        <w:tc>
          <w:tcPr>
            <w:tcW w:w="2900" w:type="dxa"/>
            <w:vAlign w:val="bottom"/>
          </w:tcPr>
          <w:p>
            <w:pPr>
              <w:ind w:left="920"/>
              <w:spacing w:after="0"/>
              <w:rPr>
                <w:sz w:val="20"/>
                <w:szCs w:val="20"/>
                <w:color w:val="auto"/>
              </w:rPr>
            </w:pPr>
            <w:r>
              <w:rPr>
                <w:rFonts w:ascii="Arial" w:cs="Arial" w:eastAsia="Arial" w:hAnsi="Arial"/>
                <w:sz w:val="14"/>
                <w:szCs w:val="14"/>
                <w:color w:val="auto"/>
              </w:rPr>
              <w:t>Return on equity</w:t>
            </w:r>
          </w:p>
        </w:tc>
      </w:tr>
      <w:tr>
        <w:trPr>
          <w:trHeight w:val="206"/>
        </w:trPr>
        <w:tc>
          <w:tcPr>
            <w:tcW w:w="1700" w:type="dxa"/>
            <w:vAlign w:val="bottom"/>
          </w:tcPr>
          <w:p>
            <w:pPr>
              <w:spacing w:after="0"/>
              <w:rPr>
                <w:sz w:val="20"/>
                <w:szCs w:val="20"/>
                <w:color w:val="auto"/>
              </w:rPr>
            </w:pPr>
            <w:r>
              <w:rPr>
                <w:rFonts w:ascii="Arial" w:cs="Arial" w:eastAsia="Arial" w:hAnsi="Arial"/>
                <w:sz w:val="14"/>
                <w:szCs w:val="14"/>
                <w:color w:val="auto"/>
              </w:rPr>
              <w:t>MSCI EAFE Index</w:t>
            </w:r>
          </w:p>
        </w:tc>
        <w:tc>
          <w:tcPr>
            <w:tcW w:w="3780" w:type="dxa"/>
            <w:vAlign w:val="bottom"/>
          </w:tcPr>
          <w:p>
            <w:pPr>
              <w:ind w:left="500"/>
              <w:spacing w:after="0"/>
              <w:rPr>
                <w:sz w:val="20"/>
                <w:szCs w:val="20"/>
                <w:color w:val="auto"/>
              </w:rPr>
            </w:pPr>
            <w:r>
              <w:rPr>
                <w:rFonts w:ascii="Arial" w:cs="Arial" w:eastAsia="Arial" w:hAnsi="Arial"/>
                <w:sz w:val="14"/>
                <w:szCs w:val="14"/>
                <w:color w:val="auto"/>
              </w:rPr>
              <w:t>MSCI Index for equity market performance in</w:t>
            </w:r>
          </w:p>
        </w:tc>
        <w:tc>
          <w:tcPr>
            <w:tcW w:w="1680" w:type="dxa"/>
            <w:vAlign w:val="bottom"/>
          </w:tcPr>
          <w:p>
            <w:pPr>
              <w:ind w:left="380"/>
              <w:spacing w:after="0"/>
              <w:rPr>
                <w:sz w:val="20"/>
                <w:szCs w:val="20"/>
                <w:color w:val="auto"/>
              </w:rPr>
            </w:pPr>
            <w:r>
              <w:rPr>
                <w:rFonts w:ascii="Arial" w:cs="Arial" w:eastAsia="Arial" w:hAnsi="Arial"/>
                <w:sz w:val="14"/>
                <w:szCs w:val="14"/>
                <w:color w:val="auto"/>
              </w:rPr>
              <w:t>ROR</w:t>
            </w:r>
          </w:p>
        </w:tc>
        <w:tc>
          <w:tcPr>
            <w:tcW w:w="2900" w:type="dxa"/>
            <w:vAlign w:val="bottom"/>
          </w:tcPr>
          <w:p>
            <w:pPr>
              <w:ind w:left="920"/>
              <w:spacing w:after="0"/>
              <w:rPr>
                <w:sz w:val="20"/>
                <w:szCs w:val="20"/>
                <w:color w:val="auto"/>
              </w:rPr>
            </w:pPr>
            <w:r>
              <w:rPr>
                <w:rFonts w:ascii="Arial" w:cs="Arial" w:eastAsia="Arial" w:hAnsi="Arial"/>
                <w:sz w:val="14"/>
                <w:szCs w:val="14"/>
                <w:color w:val="auto"/>
              </w:rPr>
              <w:t>Rate of return</w:t>
            </w:r>
          </w:p>
        </w:tc>
      </w:tr>
      <w:tr>
        <w:trPr>
          <w:trHeight w:val="162"/>
        </w:trPr>
        <w:tc>
          <w:tcPr>
            <w:tcW w:w="1700" w:type="dxa"/>
            <w:vAlign w:val="bottom"/>
          </w:tcPr>
          <w:p>
            <w:pPr>
              <w:spacing w:after="0"/>
              <w:rPr>
                <w:sz w:val="14"/>
                <w:szCs w:val="14"/>
                <w:color w:val="auto"/>
              </w:rPr>
            </w:pPr>
          </w:p>
        </w:tc>
        <w:tc>
          <w:tcPr>
            <w:tcW w:w="3780" w:type="dxa"/>
            <w:vAlign w:val="bottom"/>
          </w:tcPr>
          <w:p>
            <w:pPr>
              <w:ind w:left="500"/>
              <w:spacing w:after="0"/>
              <w:rPr>
                <w:sz w:val="20"/>
                <w:szCs w:val="20"/>
                <w:color w:val="auto"/>
              </w:rPr>
            </w:pPr>
            <w:r>
              <w:rPr>
                <w:rFonts w:ascii="Arial" w:cs="Arial" w:eastAsia="Arial" w:hAnsi="Arial"/>
                <w:sz w:val="14"/>
                <w:szCs w:val="14"/>
                <w:color w:val="auto"/>
              </w:rPr>
              <w:t>Europe, Australasia and Far East</w:t>
            </w:r>
          </w:p>
        </w:tc>
        <w:tc>
          <w:tcPr>
            <w:tcW w:w="16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72"/>
        </w:trPr>
        <w:tc>
          <w:tcPr>
            <w:tcW w:w="1700" w:type="dxa"/>
            <w:vAlign w:val="bottom"/>
          </w:tcPr>
          <w:p>
            <w:pPr>
              <w:spacing w:after="0"/>
              <w:rPr>
                <w:sz w:val="20"/>
                <w:szCs w:val="20"/>
                <w:color w:val="auto"/>
              </w:rPr>
            </w:pPr>
            <w:r>
              <w:rPr>
                <w:rFonts w:ascii="Arial" w:cs="Arial" w:eastAsia="Arial" w:hAnsi="Arial"/>
                <w:sz w:val="14"/>
                <w:szCs w:val="14"/>
                <w:color w:val="auto"/>
              </w:rPr>
              <w:t>MW</w:t>
            </w:r>
          </w:p>
        </w:tc>
        <w:tc>
          <w:tcPr>
            <w:tcW w:w="3780" w:type="dxa"/>
            <w:vAlign w:val="bottom"/>
          </w:tcPr>
          <w:p>
            <w:pPr>
              <w:ind w:left="500"/>
              <w:spacing w:after="0"/>
              <w:rPr>
                <w:sz w:val="20"/>
                <w:szCs w:val="20"/>
                <w:color w:val="auto"/>
              </w:rPr>
            </w:pPr>
            <w:r>
              <w:rPr>
                <w:rFonts w:ascii="Arial" w:cs="Arial" w:eastAsia="Arial" w:hAnsi="Arial"/>
                <w:sz w:val="14"/>
                <w:szCs w:val="14"/>
                <w:color w:val="auto"/>
              </w:rPr>
              <w:t>Megawatt</w:t>
            </w:r>
          </w:p>
        </w:tc>
        <w:tc>
          <w:tcPr>
            <w:tcW w:w="1680" w:type="dxa"/>
            <w:vAlign w:val="bottom"/>
          </w:tcPr>
          <w:p>
            <w:pPr>
              <w:ind w:left="380"/>
              <w:spacing w:after="0"/>
              <w:rPr>
                <w:sz w:val="20"/>
                <w:szCs w:val="20"/>
                <w:color w:val="auto"/>
              </w:rPr>
            </w:pPr>
            <w:r>
              <w:rPr>
                <w:rFonts w:ascii="Arial" w:cs="Arial" w:eastAsia="Arial" w:hAnsi="Arial"/>
                <w:sz w:val="14"/>
                <w:szCs w:val="14"/>
                <w:color w:val="auto"/>
              </w:rPr>
              <w:t>RPS</w:t>
            </w:r>
          </w:p>
        </w:tc>
        <w:tc>
          <w:tcPr>
            <w:tcW w:w="2900" w:type="dxa"/>
            <w:vAlign w:val="bottom"/>
          </w:tcPr>
          <w:p>
            <w:pPr>
              <w:ind w:left="920"/>
              <w:spacing w:after="0"/>
              <w:rPr>
                <w:sz w:val="20"/>
                <w:szCs w:val="20"/>
                <w:color w:val="auto"/>
              </w:rPr>
            </w:pPr>
            <w:r>
              <w:rPr>
                <w:rFonts w:ascii="Arial" w:cs="Arial" w:eastAsia="Arial" w:hAnsi="Arial"/>
                <w:sz w:val="14"/>
                <w:szCs w:val="14"/>
                <w:color w:val="auto"/>
              </w:rPr>
              <w:t>Renewables Portfolio Standard</w:t>
            </w:r>
          </w:p>
        </w:tc>
      </w:tr>
      <w:tr>
        <w:trPr>
          <w:trHeight w:val="216"/>
        </w:trPr>
        <w:tc>
          <w:tcPr>
            <w:tcW w:w="1700" w:type="dxa"/>
            <w:vAlign w:val="bottom"/>
          </w:tcPr>
          <w:p>
            <w:pPr>
              <w:spacing w:after="0"/>
              <w:rPr>
                <w:sz w:val="20"/>
                <w:szCs w:val="20"/>
                <w:color w:val="auto"/>
              </w:rPr>
            </w:pPr>
            <w:r>
              <w:rPr>
                <w:rFonts w:ascii="Arial" w:cs="Arial" w:eastAsia="Arial" w:hAnsi="Arial"/>
                <w:sz w:val="14"/>
                <w:szCs w:val="14"/>
                <w:color w:val="auto"/>
              </w:rPr>
              <w:t>MWh</w:t>
            </w:r>
          </w:p>
        </w:tc>
        <w:tc>
          <w:tcPr>
            <w:tcW w:w="3780" w:type="dxa"/>
            <w:vAlign w:val="bottom"/>
          </w:tcPr>
          <w:p>
            <w:pPr>
              <w:ind w:left="500"/>
              <w:spacing w:after="0"/>
              <w:rPr>
                <w:sz w:val="20"/>
                <w:szCs w:val="20"/>
                <w:color w:val="auto"/>
              </w:rPr>
            </w:pPr>
            <w:r>
              <w:rPr>
                <w:rFonts w:ascii="Arial" w:cs="Arial" w:eastAsia="Arial" w:hAnsi="Arial"/>
                <w:sz w:val="14"/>
                <w:szCs w:val="14"/>
                <w:color w:val="auto"/>
              </w:rPr>
              <w:t>Megawatt hour</w:t>
            </w:r>
          </w:p>
        </w:tc>
        <w:tc>
          <w:tcPr>
            <w:tcW w:w="1680" w:type="dxa"/>
            <w:vAlign w:val="bottom"/>
          </w:tcPr>
          <w:p>
            <w:pPr>
              <w:ind w:left="380"/>
              <w:spacing w:after="0"/>
              <w:rPr>
                <w:sz w:val="20"/>
                <w:szCs w:val="20"/>
                <w:color w:val="auto"/>
              </w:rPr>
            </w:pPr>
            <w:r>
              <w:rPr>
                <w:rFonts w:ascii="Arial" w:cs="Arial" w:eastAsia="Arial" w:hAnsi="Arial"/>
                <w:sz w:val="14"/>
                <w:szCs w:val="14"/>
                <w:color w:val="auto"/>
              </w:rPr>
              <w:t>RSAs</w:t>
            </w:r>
          </w:p>
        </w:tc>
        <w:tc>
          <w:tcPr>
            <w:tcW w:w="2900" w:type="dxa"/>
            <w:vAlign w:val="bottom"/>
          </w:tcPr>
          <w:p>
            <w:pPr>
              <w:ind w:left="920"/>
              <w:spacing w:after="0"/>
              <w:rPr>
                <w:sz w:val="20"/>
                <w:szCs w:val="20"/>
                <w:color w:val="auto"/>
              </w:rPr>
            </w:pPr>
            <w:r>
              <w:rPr>
                <w:rFonts w:ascii="Arial" w:cs="Arial" w:eastAsia="Arial" w:hAnsi="Arial"/>
                <w:sz w:val="14"/>
                <w:szCs w:val="14"/>
                <w:color w:val="auto"/>
              </w:rPr>
              <w:t>Restricted stock awards</w:t>
            </w:r>
          </w:p>
        </w:tc>
      </w:tr>
    </w:tbl>
    <w:p>
      <w:pPr>
        <w:sectPr>
          <w:pgSz w:w="11900" w:h="16872" w:orient="portrait"/>
          <w:cols w:equalWidth="0" w:num="1">
            <w:col w:w="11420"/>
          </w:cols>
          <w:pgMar w:left="240" w:top="120" w:right="239" w:bottom="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spacing w:after="0"/>
              <w:rPr>
                <w:sz w:val="20"/>
                <w:szCs w:val="20"/>
                <w:color w:val="auto"/>
              </w:rPr>
            </w:pPr>
            <w:r>
              <w:rPr>
                <w:rFonts w:ascii="Arial" w:cs="Arial" w:eastAsia="Arial" w:hAnsi="Arial"/>
                <w:sz w:val="14"/>
                <w:szCs w:val="14"/>
                <w:color w:val="auto"/>
              </w:rPr>
              <w:t>Noble Group</w:t>
            </w:r>
          </w:p>
        </w:tc>
        <w:tc>
          <w:tcPr>
            <w:tcW w:w="3660" w:type="dxa"/>
            <w:vAlign w:val="bottom"/>
          </w:tcPr>
          <w:p>
            <w:pPr>
              <w:ind w:left="240"/>
              <w:spacing w:after="0"/>
              <w:rPr>
                <w:sz w:val="20"/>
                <w:szCs w:val="20"/>
                <w:color w:val="auto"/>
              </w:rPr>
            </w:pPr>
            <w:r>
              <w:rPr>
                <w:rFonts w:ascii="Arial" w:cs="Arial" w:eastAsia="Arial" w:hAnsi="Arial"/>
                <w:sz w:val="14"/>
                <w:szCs w:val="14"/>
                <w:color w:val="auto"/>
              </w:rPr>
              <w:t>Noble Group Ltd.</w:t>
            </w:r>
          </w:p>
        </w:tc>
        <w:tc>
          <w:tcPr>
            <w:tcW w:w="1860" w:type="dxa"/>
            <w:vAlign w:val="bottom"/>
          </w:tcPr>
          <w:p>
            <w:pPr>
              <w:ind w:left="240"/>
              <w:spacing w:after="0"/>
              <w:rPr>
                <w:sz w:val="20"/>
                <w:szCs w:val="20"/>
                <w:color w:val="auto"/>
              </w:rPr>
            </w:pPr>
            <w:r>
              <w:rPr>
                <w:rFonts w:ascii="Arial" w:cs="Arial" w:eastAsia="Arial" w:hAnsi="Arial"/>
                <w:sz w:val="14"/>
                <w:szCs w:val="14"/>
                <w:color w:val="auto"/>
              </w:rPr>
              <w:t>RSUs</w:t>
            </w:r>
          </w:p>
        </w:tc>
        <w:tc>
          <w:tcPr>
            <w:tcW w:w="3940" w:type="dxa"/>
            <w:vAlign w:val="bottom"/>
          </w:tcPr>
          <w:p>
            <w:pPr>
              <w:ind w:left="600"/>
              <w:spacing w:after="0"/>
              <w:rPr>
                <w:sz w:val="20"/>
                <w:szCs w:val="20"/>
                <w:color w:val="auto"/>
              </w:rPr>
            </w:pPr>
            <w:r>
              <w:rPr>
                <w:rFonts w:ascii="Arial" w:cs="Arial" w:eastAsia="Arial" w:hAnsi="Arial"/>
                <w:sz w:val="14"/>
                <w:szCs w:val="14"/>
                <w:color w:val="auto"/>
              </w:rPr>
              <w:t>Restricted stock units</w:t>
            </w:r>
          </w:p>
        </w:tc>
      </w:tr>
      <w:tr>
        <w:trPr>
          <w:trHeight w:val="216"/>
        </w:trPr>
        <w:tc>
          <w:tcPr>
            <w:tcW w:w="1960" w:type="dxa"/>
            <w:vAlign w:val="bottom"/>
          </w:tcPr>
          <w:p>
            <w:pPr>
              <w:spacing w:after="0"/>
              <w:rPr>
                <w:sz w:val="20"/>
                <w:szCs w:val="20"/>
                <w:color w:val="auto"/>
              </w:rPr>
            </w:pPr>
            <w:r>
              <w:rPr>
                <w:rFonts w:ascii="Arial" w:cs="Arial" w:eastAsia="Arial" w:hAnsi="Arial"/>
                <w:sz w:val="14"/>
                <w:szCs w:val="14"/>
                <w:color w:val="auto"/>
              </w:rPr>
              <w:t>NOLs</w:t>
            </w:r>
          </w:p>
        </w:tc>
        <w:tc>
          <w:tcPr>
            <w:tcW w:w="3660" w:type="dxa"/>
            <w:vAlign w:val="bottom"/>
          </w:tcPr>
          <w:p>
            <w:pPr>
              <w:ind w:left="240"/>
              <w:spacing w:after="0"/>
              <w:rPr>
                <w:sz w:val="20"/>
                <w:szCs w:val="20"/>
                <w:color w:val="auto"/>
              </w:rPr>
            </w:pPr>
            <w:r>
              <w:rPr>
                <w:rFonts w:ascii="Arial" w:cs="Arial" w:eastAsia="Arial" w:hAnsi="Arial"/>
                <w:sz w:val="14"/>
                <w:szCs w:val="14"/>
                <w:color w:val="auto"/>
              </w:rPr>
              <w:t>Net operating losses</w:t>
            </w:r>
          </w:p>
        </w:tc>
        <w:tc>
          <w:tcPr>
            <w:tcW w:w="1860" w:type="dxa"/>
            <w:vAlign w:val="bottom"/>
          </w:tcPr>
          <w:p>
            <w:pPr>
              <w:ind w:left="240"/>
              <w:spacing w:after="0"/>
              <w:rPr>
                <w:sz w:val="20"/>
                <w:szCs w:val="20"/>
                <w:color w:val="auto"/>
              </w:rPr>
            </w:pPr>
            <w:r>
              <w:rPr>
                <w:rFonts w:ascii="Arial" w:cs="Arial" w:eastAsia="Arial" w:hAnsi="Arial"/>
                <w:sz w:val="14"/>
                <w:szCs w:val="14"/>
                <w:color w:val="auto"/>
              </w:rPr>
              <w:t>SDG&amp;E</w:t>
            </w:r>
          </w:p>
        </w:tc>
        <w:tc>
          <w:tcPr>
            <w:tcW w:w="3940" w:type="dxa"/>
            <w:vAlign w:val="bottom"/>
          </w:tcPr>
          <w:p>
            <w:pPr>
              <w:ind w:left="600"/>
              <w:spacing w:after="0"/>
              <w:rPr>
                <w:sz w:val="20"/>
                <w:szCs w:val="20"/>
                <w:color w:val="auto"/>
              </w:rPr>
            </w:pPr>
            <w:r>
              <w:rPr>
                <w:rFonts w:ascii="Arial" w:cs="Arial" w:eastAsia="Arial" w:hAnsi="Arial"/>
                <w:sz w:val="14"/>
                <w:szCs w:val="14"/>
                <w:color w:val="auto"/>
              </w:rPr>
              <w:t>San Diego Gas &amp; Electric Company</w:t>
            </w:r>
          </w:p>
        </w:tc>
      </w:tr>
      <w:tr>
        <w:trPr>
          <w:trHeight w:val="206"/>
        </w:trPr>
        <w:tc>
          <w:tcPr>
            <w:tcW w:w="1960" w:type="dxa"/>
            <w:vAlign w:val="bottom"/>
          </w:tcPr>
          <w:p>
            <w:pPr>
              <w:spacing w:after="0"/>
              <w:rPr>
                <w:sz w:val="20"/>
                <w:szCs w:val="20"/>
                <w:color w:val="auto"/>
              </w:rPr>
            </w:pPr>
            <w:r>
              <w:rPr>
                <w:rFonts w:ascii="Arial" w:cs="Arial" w:eastAsia="Arial" w:hAnsi="Arial"/>
                <w:sz w:val="14"/>
                <w:szCs w:val="14"/>
                <w:color w:val="auto"/>
              </w:rPr>
              <w:t>NRC</w:t>
            </w:r>
          </w:p>
        </w:tc>
        <w:tc>
          <w:tcPr>
            <w:tcW w:w="3660" w:type="dxa"/>
            <w:vAlign w:val="bottom"/>
          </w:tcPr>
          <w:p>
            <w:pPr>
              <w:ind w:left="240"/>
              <w:spacing w:after="0"/>
              <w:rPr>
                <w:sz w:val="20"/>
                <w:szCs w:val="20"/>
                <w:color w:val="auto"/>
              </w:rPr>
            </w:pPr>
            <w:r>
              <w:rPr>
                <w:rFonts w:ascii="Arial" w:cs="Arial" w:eastAsia="Arial" w:hAnsi="Arial"/>
                <w:sz w:val="14"/>
                <w:szCs w:val="14"/>
                <w:color w:val="auto"/>
              </w:rPr>
              <w:t>Nuclear Regulatory Commission</w:t>
            </w:r>
          </w:p>
        </w:tc>
        <w:tc>
          <w:tcPr>
            <w:tcW w:w="1860" w:type="dxa"/>
            <w:vAlign w:val="bottom"/>
          </w:tcPr>
          <w:p>
            <w:pPr>
              <w:ind w:left="240"/>
              <w:spacing w:after="0"/>
              <w:rPr>
                <w:sz w:val="20"/>
                <w:szCs w:val="20"/>
                <w:color w:val="auto"/>
              </w:rPr>
            </w:pPr>
            <w:r>
              <w:rPr>
                <w:rFonts w:ascii="Arial" w:cs="Arial" w:eastAsia="Arial" w:hAnsi="Arial"/>
                <w:sz w:val="14"/>
                <w:szCs w:val="14"/>
                <w:color w:val="auto"/>
              </w:rPr>
              <w:t>Sempra Utilities</w:t>
            </w:r>
          </w:p>
        </w:tc>
        <w:tc>
          <w:tcPr>
            <w:tcW w:w="3940" w:type="dxa"/>
            <w:vAlign w:val="bottom"/>
          </w:tcPr>
          <w:p>
            <w:pPr>
              <w:ind w:left="600"/>
              <w:spacing w:after="0"/>
              <w:rPr>
                <w:sz w:val="20"/>
                <w:szCs w:val="20"/>
                <w:color w:val="auto"/>
              </w:rPr>
            </w:pPr>
            <w:r>
              <w:rPr>
                <w:rFonts w:ascii="Arial" w:cs="Arial" w:eastAsia="Arial" w:hAnsi="Arial"/>
                <w:sz w:val="14"/>
                <w:szCs w:val="14"/>
                <w:color w:val="auto"/>
              </w:rPr>
              <w:t>San Diego Gas &amp; Electric Company and Southern</w:t>
            </w:r>
          </w:p>
        </w:tc>
      </w:tr>
      <w:tr>
        <w:trPr>
          <w:trHeight w:val="162"/>
        </w:trPr>
        <w:tc>
          <w:tcPr>
            <w:tcW w:w="1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940" w:type="dxa"/>
            <w:vAlign w:val="bottom"/>
          </w:tcPr>
          <w:p>
            <w:pPr>
              <w:ind w:left="600"/>
              <w:spacing w:after="0"/>
              <w:rPr>
                <w:sz w:val="20"/>
                <w:szCs w:val="20"/>
                <w:color w:val="auto"/>
              </w:rPr>
            </w:pPr>
            <w:r>
              <w:rPr>
                <w:rFonts w:ascii="Arial" w:cs="Arial" w:eastAsia="Arial" w:hAnsi="Arial"/>
                <w:sz w:val="14"/>
                <w:szCs w:val="14"/>
                <w:color w:val="auto"/>
              </w:rPr>
              <w:t>California Gas Company</w:t>
            </w:r>
          </w:p>
        </w:tc>
      </w:tr>
      <w:tr>
        <w:trPr>
          <w:trHeight w:val="172"/>
        </w:trPr>
        <w:tc>
          <w:tcPr>
            <w:tcW w:w="1960" w:type="dxa"/>
            <w:vAlign w:val="bottom"/>
          </w:tcPr>
          <w:p>
            <w:pPr>
              <w:spacing w:after="0"/>
              <w:rPr>
                <w:sz w:val="20"/>
                <w:szCs w:val="20"/>
                <w:color w:val="auto"/>
              </w:rPr>
            </w:pPr>
            <w:r>
              <w:rPr>
                <w:rFonts w:ascii="Arial" w:cs="Arial" w:eastAsia="Arial" w:hAnsi="Arial"/>
                <w:sz w:val="14"/>
                <w:szCs w:val="14"/>
                <w:color w:val="auto"/>
              </w:rPr>
              <w:t>NTSB</w:t>
            </w:r>
          </w:p>
        </w:tc>
        <w:tc>
          <w:tcPr>
            <w:tcW w:w="3660" w:type="dxa"/>
            <w:vAlign w:val="bottom"/>
          </w:tcPr>
          <w:p>
            <w:pPr>
              <w:ind w:left="240"/>
              <w:spacing w:after="0"/>
              <w:rPr>
                <w:sz w:val="20"/>
                <w:szCs w:val="20"/>
                <w:color w:val="auto"/>
              </w:rPr>
            </w:pPr>
            <w:r>
              <w:rPr>
                <w:rFonts w:ascii="Arial" w:cs="Arial" w:eastAsia="Arial" w:hAnsi="Arial"/>
                <w:sz w:val="14"/>
                <w:szCs w:val="14"/>
                <w:color w:val="auto"/>
              </w:rPr>
              <w:t>National Transportation Safety Board</w:t>
            </w:r>
          </w:p>
        </w:tc>
        <w:tc>
          <w:tcPr>
            <w:tcW w:w="1860" w:type="dxa"/>
            <w:vAlign w:val="bottom"/>
          </w:tcPr>
          <w:p>
            <w:pPr>
              <w:ind w:left="240"/>
              <w:spacing w:after="0"/>
              <w:rPr>
                <w:sz w:val="20"/>
                <w:szCs w:val="20"/>
                <w:color w:val="auto"/>
              </w:rPr>
            </w:pPr>
            <w:r>
              <w:rPr>
                <w:rFonts w:ascii="Arial" w:cs="Arial" w:eastAsia="Arial" w:hAnsi="Arial"/>
                <w:sz w:val="14"/>
                <w:szCs w:val="14"/>
                <w:color w:val="auto"/>
              </w:rPr>
              <w:t>SFP</w:t>
            </w:r>
          </w:p>
        </w:tc>
        <w:tc>
          <w:tcPr>
            <w:tcW w:w="3940" w:type="dxa"/>
            <w:vAlign w:val="bottom"/>
          </w:tcPr>
          <w:p>
            <w:pPr>
              <w:ind w:left="600"/>
              <w:spacing w:after="0"/>
              <w:rPr>
                <w:sz w:val="20"/>
                <w:szCs w:val="20"/>
                <w:color w:val="auto"/>
              </w:rPr>
            </w:pPr>
            <w:r>
              <w:rPr>
                <w:rFonts w:ascii="Arial" w:cs="Arial" w:eastAsia="Arial" w:hAnsi="Arial"/>
                <w:sz w:val="14"/>
                <w:szCs w:val="14"/>
                <w:color w:val="auto"/>
              </w:rPr>
              <w:t>Secondary Financial Protection</w:t>
            </w:r>
          </w:p>
        </w:tc>
      </w:tr>
      <w:tr>
        <w:trPr>
          <w:trHeight w:val="206"/>
        </w:trPr>
        <w:tc>
          <w:tcPr>
            <w:tcW w:w="1960" w:type="dxa"/>
            <w:vAlign w:val="bottom"/>
          </w:tcPr>
          <w:p>
            <w:pPr>
              <w:spacing w:after="0"/>
              <w:rPr>
                <w:sz w:val="20"/>
                <w:szCs w:val="20"/>
                <w:color w:val="auto"/>
              </w:rPr>
            </w:pPr>
            <w:r>
              <w:rPr>
                <w:rFonts w:ascii="Arial" w:cs="Arial" w:eastAsia="Arial" w:hAnsi="Arial"/>
                <w:sz w:val="14"/>
                <w:szCs w:val="14"/>
                <w:color w:val="auto"/>
              </w:rPr>
              <w:t>OCI</w:t>
            </w:r>
          </w:p>
        </w:tc>
        <w:tc>
          <w:tcPr>
            <w:tcW w:w="3660" w:type="dxa"/>
            <w:vAlign w:val="bottom"/>
          </w:tcPr>
          <w:p>
            <w:pPr>
              <w:ind w:left="240"/>
              <w:spacing w:after="0"/>
              <w:rPr>
                <w:sz w:val="20"/>
                <w:szCs w:val="20"/>
                <w:color w:val="auto"/>
              </w:rPr>
            </w:pPr>
            <w:r>
              <w:rPr>
                <w:rFonts w:ascii="Arial" w:cs="Arial" w:eastAsia="Arial" w:hAnsi="Arial"/>
                <w:sz w:val="14"/>
                <w:szCs w:val="14"/>
                <w:color w:val="auto"/>
              </w:rPr>
              <w:t>Other comprehensive income</w:t>
            </w:r>
          </w:p>
        </w:tc>
        <w:tc>
          <w:tcPr>
            <w:tcW w:w="1860" w:type="dxa"/>
            <w:vAlign w:val="bottom"/>
          </w:tcPr>
          <w:p>
            <w:pPr>
              <w:ind w:left="240"/>
              <w:spacing w:after="0"/>
              <w:rPr>
                <w:sz w:val="20"/>
                <w:szCs w:val="20"/>
                <w:color w:val="auto"/>
              </w:rPr>
            </w:pPr>
            <w:r>
              <w:rPr>
                <w:rFonts w:ascii="Arial" w:cs="Arial" w:eastAsia="Arial" w:hAnsi="Arial"/>
                <w:sz w:val="14"/>
                <w:szCs w:val="14"/>
                <w:color w:val="auto"/>
              </w:rPr>
              <w:t>Shell</w:t>
            </w:r>
          </w:p>
        </w:tc>
        <w:tc>
          <w:tcPr>
            <w:tcW w:w="3940" w:type="dxa"/>
            <w:vAlign w:val="bottom"/>
          </w:tcPr>
          <w:p>
            <w:pPr>
              <w:ind w:left="600"/>
              <w:spacing w:after="0"/>
              <w:rPr>
                <w:sz w:val="20"/>
                <w:szCs w:val="20"/>
                <w:color w:val="auto"/>
              </w:rPr>
            </w:pPr>
            <w:r>
              <w:rPr>
                <w:rFonts w:ascii="Arial" w:cs="Arial" w:eastAsia="Arial" w:hAnsi="Arial"/>
                <w:sz w:val="14"/>
                <w:szCs w:val="14"/>
                <w:color w:val="auto"/>
              </w:rPr>
              <w:t>Shell México Gas Natural</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OMEC</w:t>
            </w:r>
          </w:p>
        </w:tc>
        <w:tc>
          <w:tcPr>
            <w:tcW w:w="3660" w:type="dxa"/>
            <w:vAlign w:val="bottom"/>
          </w:tcPr>
          <w:p>
            <w:pPr>
              <w:ind w:left="240"/>
              <w:spacing w:after="0"/>
              <w:rPr>
                <w:sz w:val="20"/>
                <w:szCs w:val="20"/>
                <w:color w:val="auto"/>
              </w:rPr>
            </w:pPr>
            <w:r>
              <w:rPr>
                <w:rFonts w:ascii="Arial" w:cs="Arial" w:eastAsia="Arial" w:hAnsi="Arial"/>
                <w:sz w:val="14"/>
                <w:szCs w:val="14"/>
                <w:color w:val="auto"/>
              </w:rPr>
              <w:t>Otay Mesa Energy Center</w:t>
            </w:r>
          </w:p>
        </w:tc>
        <w:tc>
          <w:tcPr>
            <w:tcW w:w="1860" w:type="dxa"/>
            <w:vAlign w:val="bottom"/>
          </w:tcPr>
          <w:p>
            <w:pPr>
              <w:ind w:left="240"/>
              <w:spacing w:after="0"/>
              <w:rPr>
                <w:sz w:val="20"/>
                <w:szCs w:val="20"/>
                <w:color w:val="auto"/>
              </w:rPr>
            </w:pPr>
            <w:r>
              <w:rPr>
                <w:rFonts w:ascii="Arial" w:cs="Arial" w:eastAsia="Arial" w:hAnsi="Arial"/>
                <w:sz w:val="14"/>
                <w:szCs w:val="14"/>
                <w:color w:val="auto"/>
              </w:rPr>
              <w:t>SoCalGas</w:t>
            </w:r>
          </w:p>
        </w:tc>
        <w:tc>
          <w:tcPr>
            <w:tcW w:w="3940" w:type="dxa"/>
            <w:vAlign w:val="bottom"/>
          </w:tcPr>
          <w:p>
            <w:pPr>
              <w:ind w:left="600"/>
              <w:spacing w:after="0"/>
              <w:rPr>
                <w:sz w:val="20"/>
                <w:szCs w:val="20"/>
                <w:color w:val="auto"/>
              </w:rPr>
            </w:pPr>
            <w:r>
              <w:rPr>
                <w:rFonts w:ascii="Arial" w:cs="Arial" w:eastAsia="Arial" w:hAnsi="Arial"/>
                <w:sz w:val="14"/>
                <w:szCs w:val="14"/>
                <w:color w:val="auto"/>
              </w:rPr>
              <w:t>Southern California Gas Company</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OMEC LLC</w:t>
            </w:r>
          </w:p>
        </w:tc>
        <w:tc>
          <w:tcPr>
            <w:tcW w:w="3660" w:type="dxa"/>
            <w:vAlign w:val="bottom"/>
          </w:tcPr>
          <w:p>
            <w:pPr>
              <w:ind w:left="240"/>
              <w:spacing w:after="0"/>
              <w:rPr>
                <w:sz w:val="20"/>
                <w:szCs w:val="20"/>
                <w:color w:val="auto"/>
              </w:rPr>
            </w:pPr>
            <w:r>
              <w:rPr>
                <w:rFonts w:ascii="Arial" w:cs="Arial" w:eastAsia="Arial" w:hAnsi="Arial"/>
                <w:sz w:val="14"/>
                <w:szCs w:val="14"/>
                <w:color w:val="auto"/>
              </w:rPr>
              <w:t>Otay Mesa Energy Center LLC</w:t>
            </w:r>
          </w:p>
        </w:tc>
        <w:tc>
          <w:tcPr>
            <w:tcW w:w="1860" w:type="dxa"/>
            <w:vAlign w:val="bottom"/>
          </w:tcPr>
          <w:p>
            <w:pPr>
              <w:ind w:left="240"/>
              <w:spacing w:after="0"/>
              <w:rPr>
                <w:sz w:val="20"/>
                <w:szCs w:val="20"/>
                <w:color w:val="auto"/>
              </w:rPr>
            </w:pPr>
            <w:r>
              <w:rPr>
                <w:rFonts w:ascii="Arial" w:cs="Arial" w:eastAsia="Arial" w:hAnsi="Arial"/>
                <w:sz w:val="14"/>
                <w:szCs w:val="14"/>
                <w:color w:val="auto"/>
              </w:rPr>
              <w:t>SONGS</w:t>
            </w:r>
          </w:p>
        </w:tc>
        <w:tc>
          <w:tcPr>
            <w:tcW w:w="3940" w:type="dxa"/>
            <w:vAlign w:val="bottom"/>
          </w:tcPr>
          <w:p>
            <w:pPr>
              <w:ind w:left="600"/>
              <w:spacing w:after="0"/>
              <w:rPr>
                <w:sz w:val="20"/>
                <w:szCs w:val="20"/>
                <w:color w:val="auto"/>
              </w:rPr>
            </w:pPr>
            <w:r>
              <w:rPr>
                <w:rFonts w:ascii="Arial" w:cs="Arial" w:eastAsia="Arial" w:hAnsi="Arial"/>
                <w:sz w:val="14"/>
                <w:szCs w:val="14"/>
                <w:color w:val="auto"/>
              </w:rPr>
              <w:t>San Onofre Nuclear Generating Station</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OSINERGMIN</w:t>
            </w:r>
          </w:p>
        </w:tc>
        <w:tc>
          <w:tcPr>
            <w:tcW w:w="3660" w:type="dxa"/>
            <w:vAlign w:val="bottom"/>
          </w:tcPr>
          <w:p>
            <w:pPr>
              <w:ind w:left="240"/>
              <w:spacing w:after="0"/>
              <w:rPr>
                <w:sz w:val="20"/>
                <w:szCs w:val="20"/>
                <w:color w:val="auto"/>
              </w:rPr>
            </w:pPr>
            <w:r>
              <w:rPr>
                <w:rFonts w:ascii="Arial" w:cs="Arial" w:eastAsia="Arial" w:hAnsi="Arial"/>
                <w:sz w:val="14"/>
                <w:szCs w:val="14"/>
                <w:color w:val="auto"/>
              </w:rPr>
              <w:t>Organismo Supervisor de la Inversión en Energía</w:t>
            </w:r>
          </w:p>
        </w:tc>
        <w:tc>
          <w:tcPr>
            <w:tcW w:w="1860" w:type="dxa"/>
            <w:vAlign w:val="bottom"/>
          </w:tcPr>
          <w:p>
            <w:pPr>
              <w:ind w:left="240"/>
              <w:spacing w:after="0"/>
              <w:rPr>
                <w:sz w:val="20"/>
                <w:szCs w:val="20"/>
                <w:color w:val="auto"/>
              </w:rPr>
            </w:pPr>
            <w:r>
              <w:rPr>
                <w:rFonts w:ascii="Arial" w:cs="Arial" w:eastAsia="Arial" w:hAnsi="Arial"/>
                <w:sz w:val="14"/>
                <w:szCs w:val="14"/>
                <w:color w:val="auto"/>
              </w:rPr>
              <w:t>SPPR Group</w:t>
            </w:r>
          </w:p>
        </w:tc>
        <w:tc>
          <w:tcPr>
            <w:tcW w:w="3940" w:type="dxa"/>
            <w:vAlign w:val="bottom"/>
          </w:tcPr>
          <w:p>
            <w:pPr>
              <w:ind w:left="600"/>
              <w:spacing w:after="0"/>
              <w:rPr>
                <w:sz w:val="20"/>
                <w:szCs w:val="20"/>
                <w:color w:val="auto"/>
              </w:rPr>
            </w:pPr>
            <w:r>
              <w:rPr>
                <w:rFonts w:ascii="Arial" w:cs="Arial" w:eastAsia="Arial" w:hAnsi="Arial"/>
                <w:sz w:val="14"/>
                <w:szCs w:val="14"/>
                <w:color w:val="auto"/>
              </w:rPr>
              <w:t>Southwest Public Power Resources Group</w:t>
            </w:r>
          </w:p>
        </w:tc>
      </w:tr>
      <w:tr>
        <w:trPr>
          <w:trHeight w:val="162"/>
        </w:trPr>
        <w:tc>
          <w:tcPr>
            <w:tcW w:w="1960" w:type="dxa"/>
            <w:vAlign w:val="bottom"/>
          </w:tcPr>
          <w:p>
            <w:pPr>
              <w:spacing w:after="0"/>
              <w:rPr>
                <w:sz w:val="14"/>
                <w:szCs w:val="14"/>
                <w:color w:val="auto"/>
              </w:rPr>
            </w:pPr>
          </w:p>
        </w:tc>
        <w:tc>
          <w:tcPr>
            <w:tcW w:w="3660" w:type="dxa"/>
            <w:vAlign w:val="bottom"/>
          </w:tcPr>
          <w:p>
            <w:pPr>
              <w:ind w:left="240"/>
              <w:spacing w:after="0"/>
              <w:rPr>
                <w:sz w:val="20"/>
                <w:szCs w:val="20"/>
                <w:color w:val="auto"/>
              </w:rPr>
            </w:pPr>
            <w:r>
              <w:rPr>
                <w:rFonts w:ascii="Arial" w:cs="Arial" w:eastAsia="Arial" w:hAnsi="Arial"/>
                <w:sz w:val="14"/>
                <w:szCs w:val="14"/>
                <w:color w:val="auto"/>
              </w:rPr>
              <w:t>y Minería (Energy and Mining Investment</w:t>
            </w:r>
          </w:p>
        </w:tc>
        <w:tc>
          <w:tcPr>
            <w:tcW w:w="186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3660" w:type="dxa"/>
            <w:vAlign w:val="bottom"/>
          </w:tcPr>
          <w:p>
            <w:pPr>
              <w:ind w:left="240"/>
              <w:spacing w:after="0"/>
              <w:rPr>
                <w:sz w:val="20"/>
                <w:szCs w:val="20"/>
                <w:color w:val="auto"/>
              </w:rPr>
            </w:pPr>
            <w:r>
              <w:rPr>
                <w:rFonts w:ascii="Arial" w:cs="Arial" w:eastAsia="Arial" w:hAnsi="Arial"/>
                <w:sz w:val="14"/>
                <w:szCs w:val="14"/>
                <w:color w:val="auto"/>
              </w:rPr>
              <w:t>Supervisory Body)</w:t>
            </w:r>
          </w:p>
        </w:tc>
        <w:tc>
          <w:tcPr>
            <w:tcW w:w="186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Otay Mesa VIE</w:t>
            </w:r>
          </w:p>
        </w:tc>
        <w:tc>
          <w:tcPr>
            <w:tcW w:w="3660" w:type="dxa"/>
            <w:vAlign w:val="bottom"/>
          </w:tcPr>
          <w:p>
            <w:pPr>
              <w:ind w:left="240"/>
              <w:spacing w:after="0"/>
              <w:rPr>
                <w:sz w:val="20"/>
                <w:szCs w:val="20"/>
                <w:color w:val="auto"/>
              </w:rPr>
            </w:pPr>
            <w:r>
              <w:rPr>
                <w:rFonts w:ascii="Arial" w:cs="Arial" w:eastAsia="Arial" w:hAnsi="Arial"/>
                <w:sz w:val="14"/>
                <w:szCs w:val="14"/>
                <w:color w:val="auto"/>
              </w:rPr>
              <w:t>Otay Mesa Energy Center LLC</w:t>
            </w:r>
          </w:p>
        </w:tc>
        <w:tc>
          <w:tcPr>
            <w:tcW w:w="1860" w:type="dxa"/>
            <w:vAlign w:val="bottom"/>
          </w:tcPr>
          <w:p>
            <w:pPr>
              <w:ind w:left="240"/>
              <w:spacing w:after="0"/>
              <w:rPr>
                <w:sz w:val="20"/>
                <w:szCs w:val="20"/>
                <w:color w:val="auto"/>
              </w:rPr>
            </w:pPr>
            <w:r>
              <w:rPr>
                <w:rFonts w:ascii="Arial" w:cs="Arial" w:eastAsia="Arial" w:hAnsi="Arial"/>
                <w:sz w:val="14"/>
                <w:szCs w:val="14"/>
                <w:color w:val="auto"/>
              </w:rPr>
              <w:t>S&amp;P</w:t>
            </w:r>
          </w:p>
        </w:tc>
        <w:tc>
          <w:tcPr>
            <w:tcW w:w="3940" w:type="dxa"/>
            <w:vAlign w:val="bottom"/>
          </w:tcPr>
          <w:p>
            <w:pPr>
              <w:ind w:left="600"/>
              <w:spacing w:after="0"/>
              <w:rPr>
                <w:sz w:val="20"/>
                <w:szCs w:val="20"/>
                <w:color w:val="auto"/>
              </w:rPr>
            </w:pPr>
            <w:r>
              <w:rPr>
                <w:rFonts w:ascii="Arial" w:cs="Arial" w:eastAsia="Arial" w:hAnsi="Arial"/>
                <w:sz w:val="14"/>
                <w:szCs w:val="14"/>
                <w:color w:val="auto"/>
              </w:rPr>
              <w:t>Standard &amp; Poor’s</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OTC</w:t>
            </w:r>
          </w:p>
        </w:tc>
        <w:tc>
          <w:tcPr>
            <w:tcW w:w="3660" w:type="dxa"/>
            <w:vAlign w:val="bottom"/>
          </w:tcPr>
          <w:p>
            <w:pPr>
              <w:ind w:left="240"/>
              <w:spacing w:after="0"/>
              <w:rPr>
                <w:sz w:val="20"/>
                <w:szCs w:val="20"/>
                <w:color w:val="auto"/>
              </w:rPr>
            </w:pPr>
            <w:r>
              <w:rPr>
                <w:rFonts w:ascii="Arial" w:cs="Arial" w:eastAsia="Arial" w:hAnsi="Arial"/>
                <w:sz w:val="14"/>
                <w:szCs w:val="14"/>
                <w:color w:val="auto"/>
              </w:rPr>
              <w:t>Over-the-counter</w:t>
            </w:r>
          </w:p>
        </w:tc>
        <w:tc>
          <w:tcPr>
            <w:tcW w:w="1860" w:type="dxa"/>
            <w:vAlign w:val="bottom"/>
          </w:tcPr>
          <w:p>
            <w:pPr>
              <w:ind w:left="240"/>
              <w:spacing w:after="0"/>
              <w:rPr>
                <w:sz w:val="20"/>
                <w:szCs w:val="20"/>
                <w:color w:val="auto"/>
              </w:rPr>
            </w:pPr>
            <w:r>
              <w:rPr>
                <w:rFonts w:ascii="Arial" w:cs="Arial" w:eastAsia="Arial" w:hAnsi="Arial"/>
                <w:sz w:val="14"/>
                <w:szCs w:val="14"/>
                <w:color w:val="auto"/>
              </w:rPr>
              <w:t>Tangguh PSC</w:t>
            </w:r>
          </w:p>
        </w:tc>
        <w:tc>
          <w:tcPr>
            <w:tcW w:w="3940" w:type="dxa"/>
            <w:vAlign w:val="bottom"/>
          </w:tcPr>
          <w:p>
            <w:pPr>
              <w:ind w:left="600"/>
              <w:spacing w:after="0"/>
              <w:rPr>
                <w:sz w:val="20"/>
                <w:szCs w:val="20"/>
                <w:color w:val="auto"/>
              </w:rPr>
            </w:pPr>
            <w:r>
              <w:rPr>
                <w:rFonts w:ascii="Arial" w:cs="Arial" w:eastAsia="Arial" w:hAnsi="Arial"/>
                <w:sz w:val="14"/>
                <w:szCs w:val="14"/>
                <w:color w:val="auto"/>
              </w:rPr>
              <w:t>Tangguh PSC Contractors</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PBOP</w:t>
            </w:r>
          </w:p>
        </w:tc>
        <w:tc>
          <w:tcPr>
            <w:tcW w:w="3660" w:type="dxa"/>
            <w:vAlign w:val="bottom"/>
          </w:tcPr>
          <w:p>
            <w:pPr>
              <w:ind w:left="240"/>
              <w:spacing w:after="0"/>
              <w:rPr>
                <w:sz w:val="20"/>
                <w:szCs w:val="20"/>
                <w:color w:val="auto"/>
              </w:rPr>
            </w:pPr>
            <w:r>
              <w:rPr>
                <w:rFonts w:ascii="Arial" w:cs="Arial" w:eastAsia="Arial" w:hAnsi="Arial"/>
                <w:sz w:val="14"/>
                <w:szCs w:val="14"/>
                <w:color w:val="auto"/>
              </w:rPr>
              <w:t>Other postretirement benefit plans</w:t>
            </w:r>
          </w:p>
        </w:tc>
        <w:tc>
          <w:tcPr>
            <w:tcW w:w="1860" w:type="dxa"/>
            <w:vAlign w:val="bottom"/>
          </w:tcPr>
          <w:p>
            <w:pPr>
              <w:ind w:left="240"/>
              <w:spacing w:after="0"/>
              <w:rPr>
                <w:sz w:val="20"/>
                <w:szCs w:val="20"/>
                <w:color w:val="auto"/>
              </w:rPr>
            </w:pPr>
            <w:r>
              <w:rPr>
                <w:rFonts w:ascii="Arial" w:cs="Arial" w:eastAsia="Arial" w:hAnsi="Arial"/>
                <w:sz w:val="14"/>
                <w:szCs w:val="14"/>
                <w:color w:val="auto"/>
              </w:rPr>
              <w:t>Tecnored</w:t>
            </w:r>
          </w:p>
        </w:tc>
        <w:tc>
          <w:tcPr>
            <w:tcW w:w="3940" w:type="dxa"/>
            <w:vAlign w:val="bottom"/>
          </w:tcPr>
          <w:p>
            <w:pPr>
              <w:ind w:left="600"/>
              <w:spacing w:after="0"/>
              <w:rPr>
                <w:sz w:val="20"/>
                <w:szCs w:val="20"/>
                <w:color w:val="auto"/>
              </w:rPr>
            </w:pPr>
            <w:r>
              <w:rPr>
                <w:rFonts w:ascii="Arial" w:cs="Arial" w:eastAsia="Arial" w:hAnsi="Arial"/>
                <w:sz w:val="14"/>
                <w:szCs w:val="14"/>
                <w:color w:val="auto"/>
              </w:rPr>
              <w:t>Tecnored S.A.</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PBOP plan trusts</w:t>
            </w:r>
          </w:p>
        </w:tc>
        <w:tc>
          <w:tcPr>
            <w:tcW w:w="3660" w:type="dxa"/>
            <w:vAlign w:val="bottom"/>
          </w:tcPr>
          <w:p>
            <w:pPr>
              <w:ind w:left="240"/>
              <w:spacing w:after="0"/>
              <w:rPr>
                <w:sz w:val="20"/>
                <w:szCs w:val="20"/>
                <w:color w:val="auto"/>
              </w:rPr>
            </w:pPr>
            <w:r>
              <w:rPr>
                <w:rFonts w:ascii="Arial" w:cs="Arial" w:eastAsia="Arial" w:hAnsi="Arial"/>
                <w:sz w:val="14"/>
                <w:szCs w:val="14"/>
                <w:color w:val="auto"/>
              </w:rPr>
              <w:t>Postretirement benefit plan trusts</w:t>
            </w:r>
          </w:p>
        </w:tc>
        <w:tc>
          <w:tcPr>
            <w:tcW w:w="1860" w:type="dxa"/>
            <w:vAlign w:val="bottom"/>
          </w:tcPr>
          <w:p>
            <w:pPr>
              <w:ind w:left="240"/>
              <w:spacing w:after="0"/>
              <w:rPr>
                <w:sz w:val="20"/>
                <w:szCs w:val="20"/>
                <w:color w:val="auto"/>
              </w:rPr>
            </w:pPr>
            <w:r>
              <w:rPr>
                <w:rFonts w:ascii="Arial" w:cs="Arial" w:eastAsia="Arial" w:hAnsi="Arial"/>
                <w:sz w:val="14"/>
                <w:szCs w:val="14"/>
                <w:color w:val="auto"/>
              </w:rPr>
              <w:t>Tecsur</w:t>
            </w:r>
          </w:p>
        </w:tc>
        <w:tc>
          <w:tcPr>
            <w:tcW w:w="3940" w:type="dxa"/>
            <w:vAlign w:val="bottom"/>
          </w:tcPr>
          <w:p>
            <w:pPr>
              <w:ind w:left="600"/>
              <w:spacing w:after="0"/>
              <w:rPr>
                <w:sz w:val="20"/>
                <w:szCs w:val="20"/>
                <w:color w:val="auto"/>
              </w:rPr>
            </w:pPr>
            <w:r>
              <w:rPr>
                <w:rFonts w:ascii="Arial" w:cs="Arial" w:eastAsia="Arial" w:hAnsi="Arial"/>
                <w:sz w:val="14"/>
                <w:szCs w:val="14"/>
                <w:color w:val="auto"/>
              </w:rPr>
              <w:t>Tecsur S.A.</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PCBs</w:t>
            </w:r>
          </w:p>
        </w:tc>
        <w:tc>
          <w:tcPr>
            <w:tcW w:w="3660" w:type="dxa"/>
            <w:vAlign w:val="bottom"/>
          </w:tcPr>
          <w:p>
            <w:pPr>
              <w:ind w:left="240"/>
              <w:spacing w:after="0"/>
              <w:rPr>
                <w:sz w:val="20"/>
                <w:szCs w:val="20"/>
                <w:color w:val="auto"/>
              </w:rPr>
            </w:pPr>
            <w:r>
              <w:rPr>
                <w:rFonts w:ascii="Arial" w:cs="Arial" w:eastAsia="Arial" w:hAnsi="Arial"/>
                <w:sz w:val="14"/>
                <w:szCs w:val="14"/>
                <w:color w:val="auto"/>
              </w:rPr>
              <w:t>Polychlorinated biphenyls</w:t>
            </w:r>
          </w:p>
        </w:tc>
        <w:tc>
          <w:tcPr>
            <w:tcW w:w="1860" w:type="dxa"/>
            <w:vAlign w:val="bottom"/>
          </w:tcPr>
          <w:p>
            <w:pPr>
              <w:ind w:left="240"/>
              <w:spacing w:after="0"/>
              <w:rPr>
                <w:sz w:val="20"/>
                <w:szCs w:val="20"/>
                <w:color w:val="auto"/>
              </w:rPr>
            </w:pPr>
            <w:r>
              <w:rPr>
                <w:rFonts w:ascii="Arial" w:cs="Arial" w:eastAsia="Arial" w:hAnsi="Arial"/>
                <w:sz w:val="14"/>
                <w:szCs w:val="14"/>
                <w:color w:val="auto"/>
              </w:rPr>
              <w:t>The Committee</w:t>
            </w:r>
          </w:p>
        </w:tc>
        <w:tc>
          <w:tcPr>
            <w:tcW w:w="3940" w:type="dxa"/>
            <w:vAlign w:val="bottom"/>
          </w:tcPr>
          <w:p>
            <w:pPr>
              <w:ind w:left="600"/>
              <w:spacing w:after="0"/>
              <w:rPr>
                <w:sz w:val="20"/>
                <w:szCs w:val="20"/>
                <w:color w:val="auto"/>
              </w:rPr>
            </w:pPr>
            <w:r>
              <w:rPr>
                <w:rFonts w:ascii="Arial" w:cs="Arial" w:eastAsia="Arial" w:hAnsi="Arial"/>
                <w:sz w:val="14"/>
                <w:szCs w:val="14"/>
                <w:color w:val="auto"/>
              </w:rPr>
              <w:t>Pension and Benefits Investment Committee</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PE</w:t>
            </w:r>
          </w:p>
        </w:tc>
        <w:tc>
          <w:tcPr>
            <w:tcW w:w="3660" w:type="dxa"/>
            <w:vAlign w:val="bottom"/>
          </w:tcPr>
          <w:p>
            <w:pPr>
              <w:ind w:left="240"/>
              <w:spacing w:after="0"/>
              <w:rPr>
                <w:sz w:val="20"/>
                <w:szCs w:val="20"/>
                <w:color w:val="auto"/>
              </w:rPr>
            </w:pPr>
            <w:r>
              <w:rPr>
                <w:rFonts w:ascii="Arial" w:cs="Arial" w:eastAsia="Arial" w:hAnsi="Arial"/>
                <w:sz w:val="14"/>
                <w:szCs w:val="14"/>
                <w:color w:val="auto"/>
              </w:rPr>
              <w:t>Pacific Enterprises</w:t>
            </w:r>
          </w:p>
        </w:tc>
        <w:tc>
          <w:tcPr>
            <w:tcW w:w="1860" w:type="dxa"/>
            <w:vAlign w:val="bottom"/>
          </w:tcPr>
          <w:p>
            <w:pPr>
              <w:ind w:left="240"/>
              <w:spacing w:after="0"/>
              <w:rPr>
                <w:sz w:val="20"/>
                <w:szCs w:val="20"/>
                <w:color w:val="auto"/>
              </w:rPr>
            </w:pPr>
            <w:r>
              <w:rPr>
                <w:rFonts w:ascii="Arial" w:cs="Arial" w:eastAsia="Arial" w:hAnsi="Arial"/>
                <w:sz w:val="14"/>
                <w:szCs w:val="14"/>
                <w:color w:val="auto"/>
              </w:rPr>
              <w:t>The Plan</w:t>
            </w:r>
          </w:p>
        </w:tc>
        <w:tc>
          <w:tcPr>
            <w:tcW w:w="3940" w:type="dxa"/>
            <w:vAlign w:val="bottom"/>
          </w:tcPr>
          <w:p>
            <w:pPr>
              <w:ind w:left="600"/>
              <w:spacing w:after="0"/>
              <w:rPr>
                <w:sz w:val="20"/>
                <w:szCs w:val="20"/>
                <w:color w:val="auto"/>
              </w:rPr>
            </w:pPr>
            <w:r>
              <w:rPr>
                <w:rFonts w:ascii="Arial" w:cs="Arial" w:eastAsia="Arial" w:hAnsi="Arial"/>
                <w:sz w:val="14"/>
                <w:szCs w:val="14"/>
                <w:color w:val="auto"/>
              </w:rPr>
              <w:t>Sempra Energy 2008 Long Term Incentive Plan for</w:t>
            </w:r>
          </w:p>
        </w:tc>
      </w:tr>
      <w:tr>
        <w:trPr>
          <w:trHeight w:val="162"/>
        </w:trPr>
        <w:tc>
          <w:tcPr>
            <w:tcW w:w="1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940" w:type="dxa"/>
            <w:vAlign w:val="bottom"/>
          </w:tcPr>
          <w:p>
            <w:pPr>
              <w:ind w:left="600"/>
              <w:spacing w:after="0"/>
              <w:rPr>
                <w:sz w:val="20"/>
                <w:szCs w:val="20"/>
                <w:color w:val="auto"/>
              </w:rPr>
            </w:pPr>
            <w:r>
              <w:rPr>
                <w:rFonts w:ascii="Arial" w:cs="Arial" w:eastAsia="Arial" w:hAnsi="Arial"/>
                <w:sz w:val="14"/>
                <w:szCs w:val="14"/>
                <w:color w:val="auto"/>
              </w:rPr>
              <w:t>EnergySouth, Inc. Employees and Other Eligible</w:t>
            </w:r>
          </w:p>
        </w:tc>
      </w:tr>
      <w:tr>
        <w:trPr>
          <w:trHeight w:val="162"/>
        </w:trPr>
        <w:tc>
          <w:tcPr>
            <w:tcW w:w="1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940" w:type="dxa"/>
            <w:vAlign w:val="bottom"/>
          </w:tcPr>
          <w:p>
            <w:pPr>
              <w:ind w:left="600"/>
              <w:spacing w:after="0"/>
              <w:rPr>
                <w:sz w:val="20"/>
                <w:szCs w:val="20"/>
                <w:color w:val="auto"/>
              </w:rPr>
            </w:pPr>
            <w:r>
              <w:rPr>
                <w:rFonts w:ascii="Arial" w:cs="Arial" w:eastAsia="Arial" w:hAnsi="Arial"/>
                <w:sz w:val="14"/>
                <w:szCs w:val="14"/>
                <w:color w:val="auto"/>
              </w:rPr>
              <w:t>Individuals</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PEMEX</w:t>
            </w:r>
          </w:p>
        </w:tc>
        <w:tc>
          <w:tcPr>
            <w:tcW w:w="3660" w:type="dxa"/>
            <w:vAlign w:val="bottom"/>
          </w:tcPr>
          <w:p>
            <w:pPr>
              <w:ind w:left="240"/>
              <w:spacing w:after="0"/>
              <w:rPr>
                <w:sz w:val="20"/>
                <w:szCs w:val="20"/>
                <w:color w:val="auto"/>
              </w:rPr>
            </w:pPr>
            <w:r>
              <w:rPr>
                <w:rFonts w:ascii="Arial" w:cs="Arial" w:eastAsia="Arial" w:hAnsi="Arial"/>
                <w:sz w:val="14"/>
                <w:szCs w:val="14"/>
                <w:color w:val="auto"/>
              </w:rPr>
              <w:t>Petroleos Mexicanos (Mexican state-owned oil</w:t>
            </w:r>
          </w:p>
        </w:tc>
        <w:tc>
          <w:tcPr>
            <w:tcW w:w="1860" w:type="dxa"/>
            <w:vAlign w:val="bottom"/>
          </w:tcPr>
          <w:p>
            <w:pPr>
              <w:ind w:left="240"/>
              <w:spacing w:after="0"/>
              <w:rPr>
                <w:sz w:val="20"/>
                <w:szCs w:val="20"/>
                <w:color w:val="auto"/>
              </w:rPr>
            </w:pPr>
            <w:r>
              <w:rPr>
                <w:rFonts w:ascii="Arial" w:cs="Arial" w:eastAsia="Arial" w:hAnsi="Arial"/>
                <w:sz w:val="14"/>
                <w:szCs w:val="14"/>
                <w:color w:val="auto"/>
              </w:rPr>
              <w:t>The Prior Plan</w:t>
            </w:r>
          </w:p>
        </w:tc>
        <w:tc>
          <w:tcPr>
            <w:tcW w:w="3940" w:type="dxa"/>
            <w:vAlign w:val="bottom"/>
          </w:tcPr>
          <w:p>
            <w:pPr>
              <w:ind w:left="600"/>
              <w:spacing w:after="0"/>
              <w:rPr>
                <w:sz w:val="20"/>
                <w:szCs w:val="20"/>
                <w:color w:val="auto"/>
              </w:rPr>
            </w:pPr>
            <w:r>
              <w:rPr>
                <w:rFonts w:ascii="Arial" w:cs="Arial" w:eastAsia="Arial" w:hAnsi="Arial"/>
                <w:sz w:val="14"/>
                <w:szCs w:val="14"/>
                <w:color w:val="auto"/>
              </w:rPr>
              <w:t>2008 Incentive Plan of EnergySouth, Inc.</w:t>
            </w:r>
          </w:p>
        </w:tc>
      </w:tr>
      <w:tr>
        <w:trPr>
          <w:trHeight w:val="162"/>
        </w:trPr>
        <w:tc>
          <w:tcPr>
            <w:tcW w:w="1960" w:type="dxa"/>
            <w:vAlign w:val="bottom"/>
          </w:tcPr>
          <w:p>
            <w:pPr>
              <w:spacing w:after="0"/>
              <w:rPr>
                <w:sz w:val="14"/>
                <w:szCs w:val="14"/>
                <w:color w:val="auto"/>
              </w:rPr>
            </w:pPr>
          </w:p>
        </w:tc>
        <w:tc>
          <w:tcPr>
            <w:tcW w:w="3660" w:type="dxa"/>
            <w:vAlign w:val="bottom"/>
          </w:tcPr>
          <w:p>
            <w:pPr>
              <w:ind w:left="240"/>
              <w:spacing w:after="0"/>
              <w:rPr>
                <w:sz w:val="20"/>
                <w:szCs w:val="20"/>
                <w:color w:val="auto"/>
              </w:rPr>
            </w:pPr>
            <w:r>
              <w:rPr>
                <w:rFonts w:ascii="Arial" w:cs="Arial" w:eastAsia="Arial" w:hAnsi="Arial"/>
                <w:sz w:val="14"/>
                <w:szCs w:val="14"/>
                <w:color w:val="auto"/>
              </w:rPr>
              <w:t>company)</w:t>
            </w:r>
          </w:p>
        </w:tc>
        <w:tc>
          <w:tcPr>
            <w:tcW w:w="186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PG&amp;E</w:t>
            </w:r>
          </w:p>
        </w:tc>
        <w:tc>
          <w:tcPr>
            <w:tcW w:w="3660" w:type="dxa"/>
            <w:vAlign w:val="bottom"/>
          </w:tcPr>
          <w:p>
            <w:pPr>
              <w:ind w:left="240"/>
              <w:spacing w:after="0"/>
              <w:rPr>
                <w:sz w:val="20"/>
                <w:szCs w:val="20"/>
                <w:color w:val="auto"/>
              </w:rPr>
            </w:pPr>
            <w:r>
              <w:rPr>
                <w:rFonts w:ascii="Arial" w:cs="Arial" w:eastAsia="Arial" w:hAnsi="Arial"/>
                <w:sz w:val="14"/>
                <w:szCs w:val="14"/>
                <w:color w:val="auto"/>
              </w:rPr>
              <w:t>Pacific Gas and Electric Company</w:t>
            </w:r>
          </w:p>
        </w:tc>
        <w:tc>
          <w:tcPr>
            <w:tcW w:w="1860" w:type="dxa"/>
            <w:vAlign w:val="bottom"/>
          </w:tcPr>
          <w:p>
            <w:pPr>
              <w:ind w:left="240"/>
              <w:spacing w:after="0"/>
              <w:rPr>
                <w:sz w:val="20"/>
                <w:szCs w:val="20"/>
                <w:color w:val="auto"/>
              </w:rPr>
            </w:pPr>
            <w:r>
              <w:rPr>
                <w:rFonts w:ascii="Arial" w:cs="Arial" w:eastAsia="Arial" w:hAnsi="Arial"/>
                <w:sz w:val="14"/>
                <w:szCs w:val="14"/>
                <w:color w:val="auto"/>
              </w:rPr>
              <w:t>Trust</w:t>
            </w:r>
          </w:p>
        </w:tc>
        <w:tc>
          <w:tcPr>
            <w:tcW w:w="3940" w:type="dxa"/>
            <w:vAlign w:val="bottom"/>
          </w:tcPr>
          <w:p>
            <w:pPr>
              <w:ind w:left="600"/>
              <w:spacing w:after="0"/>
              <w:rPr>
                <w:sz w:val="20"/>
                <w:szCs w:val="20"/>
                <w:color w:val="auto"/>
              </w:rPr>
            </w:pPr>
            <w:r>
              <w:rPr>
                <w:rFonts w:ascii="Arial" w:cs="Arial" w:eastAsia="Arial" w:hAnsi="Arial"/>
                <w:sz w:val="14"/>
                <w:szCs w:val="14"/>
                <w:color w:val="auto"/>
              </w:rPr>
              <w:t>ESOP trust</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PPACA</w:t>
            </w:r>
          </w:p>
        </w:tc>
        <w:tc>
          <w:tcPr>
            <w:tcW w:w="3660" w:type="dxa"/>
            <w:vAlign w:val="bottom"/>
          </w:tcPr>
          <w:p>
            <w:pPr>
              <w:ind w:left="240"/>
              <w:spacing w:after="0"/>
              <w:rPr>
                <w:sz w:val="20"/>
                <w:szCs w:val="20"/>
                <w:color w:val="auto"/>
              </w:rPr>
            </w:pPr>
            <w:r>
              <w:rPr>
                <w:rFonts w:ascii="Arial" w:cs="Arial" w:eastAsia="Arial" w:hAnsi="Arial"/>
                <w:sz w:val="14"/>
                <w:szCs w:val="14"/>
                <w:color w:val="auto"/>
              </w:rPr>
              <w:t>Patient Protection and Affordable Care Act</w:t>
            </w:r>
          </w:p>
        </w:tc>
        <w:tc>
          <w:tcPr>
            <w:tcW w:w="1860" w:type="dxa"/>
            <w:vAlign w:val="bottom"/>
          </w:tcPr>
          <w:p>
            <w:pPr>
              <w:ind w:left="240"/>
              <w:spacing w:after="0"/>
              <w:rPr>
                <w:sz w:val="20"/>
                <w:szCs w:val="20"/>
                <w:color w:val="auto"/>
              </w:rPr>
            </w:pPr>
            <w:r>
              <w:rPr>
                <w:rFonts w:ascii="Arial" w:cs="Arial" w:eastAsia="Arial" w:hAnsi="Arial"/>
                <w:sz w:val="14"/>
                <w:szCs w:val="14"/>
                <w:color w:val="auto"/>
              </w:rPr>
              <w:t>TURN</w:t>
            </w:r>
          </w:p>
        </w:tc>
        <w:tc>
          <w:tcPr>
            <w:tcW w:w="3940" w:type="dxa"/>
            <w:vAlign w:val="bottom"/>
          </w:tcPr>
          <w:p>
            <w:pPr>
              <w:ind w:left="600"/>
              <w:spacing w:after="0"/>
              <w:rPr>
                <w:sz w:val="20"/>
                <w:szCs w:val="20"/>
                <w:color w:val="auto"/>
              </w:rPr>
            </w:pPr>
            <w:r>
              <w:rPr>
                <w:rFonts w:ascii="Arial" w:cs="Arial" w:eastAsia="Arial" w:hAnsi="Arial"/>
                <w:sz w:val="14"/>
                <w:szCs w:val="14"/>
                <w:color w:val="auto"/>
              </w:rPr>
              <w:t>The Utility Reform Network</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PRP</w:t>
            </w:r>
          </w:p>
        </w:tc>
        <w:tc>
          <w:tcPr>
            <w:tcW w:w="3660" w:type="dxa"/>
            <w:vAlign w:val="bottom"/>
          </w:tcPr>
          <w:p>
            <w:pPr>
              <w:ind w:left="240"/>
              <w:spacing w:after="0"/>
              <w:rPr>
                <w:sz w:val="20"/>
                <w:szCs w:val="20"/>
                <w:color w:val="auto"/>
              </w:rPr>
            </w:pPr>
            <w:r>
              <w:rPr>
                <w:rFonts w:ascii="Arial" w:cs="Arial" w:eastAsia="Arial" w:hAnsi="Arial"/>
                <w:sz w:val="14"/>
                <w:szCs w:val="14"/>
                <w:color w:val="auto"/>
              </w:rPr>
              <w:t>Potentially Responsible Party</w:t>
            </w:r>
          </w:p>
        </w:tc>
        <w:tc>
          <w:tcPr>
            <w:tcW w:w="1860" w:type="dxa"/>
            <w:vAlign w:val="bottom"/>
          </w:tcPr>
          <w:p>
            <w:pPr>
              <w:ind w:left="240"/>
              <w:spacing w:after="0"/>
              <w:rPr>
                <w:sz w:val="20"/>
                <w:szCs w:val="20"/>
                <w:color w:val="auto"/>
              </w:rPr>
            </w:pPr>
            <w:r>
              <w:rPr>
                <w:rFonts w:ascii="Arial" w:cs="Arial" w:eastAsia="Arial" w:hAnsi="Arial"/>
                <w:sz w:val="14"/>
                <w:szCs w:val="14"/>
                <w:color w:val="auto"/>
              </w:rPr>
              <w:t>UCAN</w:t>
            </w:r>
          </w:p>
        </w:tc>
        <w:tc>
          <w:tcPr>
            <w:tcW w:w="3940" w:type="dxa"/>
            <w:vAlign w:val="bottom"/>
          </w:tcPr>
          <w:p>
            <w:pPr>
              <w:ind w:left="600"/>
              <w:spacing w:after="0"/>
              <w:rPr>
                <w:sz w:val="20"/>
                <w:szCs w:val="20"/>
                <w:color w:val="auto"/>
              </w:rPr>
            </w:pPr>
            <w:r>
              <w:rPr>
                <w:rFonts w:ascii="Arial" w:cs="Arial" w:eastAsia="Arial" w:hAnsi="Arial"/>
                <w:sz w:val="14"/>
                <w:szCs w:val="14"/>
                <w:color w:val="auto"/>
              </w:rPr>
              <w:t>Utility Consumers’ Action Network</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PSEP</w:t>
            </w:r>
          </w:p>
        </w:tc>
        <w:tc>
          <w:tcPr>
            <w:tcW w:w="3660" w:type="dxa"/>
            <w:vAlign w:val="bottom"/>
          </w:tcPr>
          <w:p>
            <w:pPr>
              <w:ind w:left="240"/>
              <w:spacing w:after="0"/>
              <w:rPr>
                <w:sz w:val="20"/>
                <w:szCs w:val="20"/>
                <w:color w:val="auto"/>
              </w:rPr>
            </w:pPr>
            <w:r>
              <w:rPr>
                <w:rFonts w:ascii="Arial" w:cs="Arial" w:eastAsia="Arial" w:hAnsi="Arial"/>
                <w:sz w:val="14"/>
                <w:szCs w:val="14"/>
                <w:color w:val="auto"/>
              </w:rPr>
              <w:t>Pipeline Safety Enhancement Plan</w:t>
            </w:r>
          </w:p>
        </w:tc>
        <w:tc>
          <w:tcPr>
            <w:tcW w:w="1860" w:type="dxa"/>
            <w:vAlign w:val="bottom"/>
          </w:tcPr>
          <w:p>
            <w:pPr>
              <w:ind w:left="240"/>
              <w:spacing w:after="0"/>
              <w:rPr>
                <w:sz w:val="20"/>
                <w:szCs w:val="20"/>
                <w:color w:val="auto"/>
              </w:rPr>
            </w:pPr>
            <w:r>
              <w:rPr>
                <w:rFonts w:ascii="Arial" w:cs="Arial" w:eastAsia="Arial" w:hAnsi="Arial"/>
                <w:sz w:val="14"/>
                <w:szCs w:val="14"/>
                <w:color w:val="auto"/>
              </w:rPr>
              <w:t>USFS</w:t>
            </w:r>
          </w:p>
        </w:tc>
        <w:tc>
          <w:tcPr>
            <w:tcW w:w="3940" w:type="dxa"/>
            <w:vAlign w:val="bottom"/>
          </w:tcPr>
          <w:p>
            <w:pPr>
              <w:ind w:left="600"/>
              <w:spacing w:after="0"/>
              <w:rPr>
                <w:sz w:val="20"/>
                <w:szCs w:val="20"/>
                <w:color w:val="auto"/>
              </w:rPr>
            </w:pPr>
            <w:r>
              <w:rPr>
                <w:rFonts w:ascii="Arial" w:cs="Arial" w:eastAsia="Arial" w:hAnsi="Arial"/>
                <w:sz w:val="14"/>
                <w:szCs w:val="14"/>
                <w:color w:val="auto"/>
              </w:rPr>
              <w:t>United States Forest Service</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RBS</w:t>
            </w:r>
          </w:p>
        </w:tc>
        <w:tc>
          <w:tcPr>
            <w:tcW w:w="3660" w:type="dxa"/>
            <w:vAlign w:val="bottom"/>
          </w:tcPr>
          <w:p>
            <w:pPr>
              <w:ind w:left="240"/>
              <w:spacing w:after="0"/>
              <w:rPr>
                <w:sz w:val="20"/>
                <w:szCs w:val="20"/>
                <w:color w:val="auto"/>
              </w:rPr>
            </w:pPr>
            <w:r>
              <w:rPr>
                <w:rFonts w:ascii="Arial" w:cs="Arial" w:eastAsia="Arial" w:hAnsi="Arial"/>
                <w:sz w:val="14"/>
                <w:szCs w:val="14"/>
                <w:color w:val="auto"/>
              </w:rPr>
              <w:t>The Royal Bank of Scotland plc</w:t>
            </w:r>
          </w:p>
        </w:tc>
        <w:tc>
          <w:tcPr>
            <w:tcW w:w="1860" w:type="dxa"/>
            <w:vAlign w:val="bottom"/>
          </w:tcPr>
          <w:p>
            <w:pPr>
              <w:ind w:left="240"/>
              <w:spacing w:after="0"/>
              <w:rPr>
                <w:sz w:val="20"/>
                <w:szCs w:val="20"/>
                <w:color w:val="auto"/>
              </w:rPr>
            </w:pPr>
            <w:r>
              <w:rPr>
                <w:rFonts w:ascii="Arial" w:cs="Arial" w:eastAsia="Arial" w:hAnsi="Arial"/>
                <w:sz w:val="14"/>
                <w:szCs w:val="14"/>
                <w:color w:val="auto"/>
              </w:rPr>
              <w:t>VaR</w:t>
            </w:r>
          </w:p>
        </w:tc>
        <w:tc>
          <w:tcPr>
            <w:tcW w:w="3940" w:type="dxa"/>
            <w:vAlign w:val="bottom"/>
          </w:tcPr>
          <w:p>
            <w:pPr>
              <w:ind w:left="600"/>
              <w:spacing w:after="0"/>
              <w:rPr>
                <w:sz w:val="20"/>
                <w:szCs w:val="20"/>
                <w:color w:val="auto"/>
              </w:rPr>
            </w:pPr>
            <w:r>
              <w:rPr>
                <w:rFonts w:ascii="Arial" w:cs="Arial" w:eastAsia="Arial" w:hAnsi="Arial"/>
                <w:sz w:val="14"/>
                <w:szCs w:val="14"/>
                <w:color w:val="auto"/>
              </w:rPr>
              <w:t>Value at Risk</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RBS Sempra Commodities</w:t>
            </w:r>
          </w:p>
        </w:tc>
        <w:tc>
          <w:tcPr>
            <w:tcW w:w="3660" w:type="dxa"/>
            <w:vAlign w:val="bottom"/>
          </w:tcPr>
          <w:p>
            <w:pPr>
              <w:ind w:left="240"/>
              <w:spacing w:after="0"/>
              <w:rPr>
                <w:sz w:val="20"/>
                <w:szCs w:val="20"/>
                <w:color w:val="auto"/>
              </w:rPr>
            </w:pPr>
            <w:r>
              <w:rPr>
                <w:rFonts w:ascii="Arial" w:cs="Arial" w:eastAsia="Arial" w:hAnsi="Arial"/>
                <w:sz w:val="14"/>
                <w:szCs w:val="14"/>
                <w:color w:val="auto"/>
              </w:rPr>
              <w:t>RBS Sempra Commodities LLP</w:t>
            </w:r>
          </w:p>
        </w:tc>
        <w:tc>
          <w:tcPr>
            <w:tcW w:w="1860" w:type="dxa"/>
            <w:vAlign w:val="bottom"/>
          </w:tcPr>
          <w:p>
            <w:pPr>
              <w:ind w:left="240"/>
              <w:spacing w:after="0"/>
              <w:rPr>
                <w:sz w:val="20"/>
                <w:szCs w:val="20"/>
                <w:color w:val="auto"/>
              </w:rPr>
            </w:pPr>
            <w:r>
              <w:rPr>
                <w:rFonts w:ascii="Arial" w:cs="Arial" w:eastAsia="Arial" w:hAnsi="Arial"/>
                <w:sz w:val="14"/>
                <w:szCs w:val="14"/>
                <w:color w:val="auto"/>
              </w:rPr>
              <w:t>VEBA</w:t>
            </w:r>
          </w:p>
        </w:tc>
        <w:tc>
          <w:tcPr>
            <w:tcW w:w="3940" w:type="dxa"/>
            <w:vAlign w:val="bottom"/>
          </w:tcPr>
          <w:p>
            <w:pPr>
              <w:ind w:left="600"/>
              <w:spacing w:after="0"/>
              <w:rPr>
                <w:sz w:val="20"/>
                <w:szCs w:val="20"/>
                <w:color w:val="auto"/>
              </w:rPr>
            </w:pPr>
            <w:r>
              <w:rPr>
                <w:rFonts w:ascii="Arial" w:cs="Arial" w:eastAsia="Arial" w:hAnsi="Arial"/>
                <w:sz w:val="14"/>
                <w:szCs w:val="14"/>
                <w:color w:val="auto"/>
              </w:rPr>
              <w:t>Voluntary Employee Beneficiary Association</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RDS</w:t>
            </w:r>
          </w:p>
        </w:tc>
        <w:tc>
          <w:tcPr>
            <w:tcW w:w="3660" w:type="dxa"/>
            <w:vAlign w:val="bottom"/>
          </w:tcPr>
          <w:p>
            <w:pPr>
              <w:ind w:left="240"/>
              <w:spacing w:after="0"/>
              <w:rPr>
                <w:sz w:val="20"/>
                <w:szCs w:val="20"/>
                <w:color w:val="auto"/>
              </w:rPr>
            </w:pPr>
            <w:r>
              <w:rPr>
                <w:rFonts w:ascii="Arial" w:cs="Arial" w:eastAsia="Arial" w:hAnsi="Arial"/>
                <w:sz w:val="14"/>
                <w:szCs w:val="14"/>
                <w:color w:val="auto"/>
              </w:rPr>
              <w:t>Retiree Drug Subsidy</w:t>
            </w:r>
          </w:p>
        </w:tc>
        <w:tc>
          <w:tcPr>
            <w:tcW w:w="1860" w:type="dxa"/>
            <w:vAlign w:val="bottom"/>
          </w:tcPr>
          <w:p>
            <w:pPr>
              <w:ind w:left="240"/>
              <w:spacing w:after="0"/>
              <w:rPr>
                <w:sz w:val="20"/>
                <w:szCs w:val="20"/>
                <w:color w:val="auto"/>
              </w:rPr>
            </w:pPr>
            <w:r>
              <w:rPr>
                <w:rFonts w:ascii="Arial" w:cs="Arial" w:eastAsia="Arial" w:hAnsi="Arial"/>
                <w:sz w:val="14"/>
                <w:szCs w:val="14"/>
                <w:color w:val="auto"/>
              </w:rPr>
              <w:t>VIE</w:t>
            </w:r>
          </w:p>
        </w:tc>
        <w:tc>
          <w:tcPr>
            <w:tcW w:w="3940" w:type="dxa"/>
            <w:vAlign w:val="bottom"/>
          </w:tcPr>
          <w:p>
            <w:pPr>
              <w:ind w:left="600"/>
              <w:spacing w:after="0"/>
              <w:rPr>
                <w:sz w:val="20"/>
                <w:szCs w:val="20"/>
                <w:color w:val="auto"/>
              </w:rPr>
            </w:pPr>
            <w:r>
              <w:rPr>
                <w:rFonts w:ascii="Arial" w:cs="Arial" w:eastAsia="Arial" w:hAnsi="Arial"/>
                <w:sz w:val="14"/>
                <w:szCs w:val="14"/>
                <w:color w:val="auto"/>
              </w:rPr>
              <w:t>Variable Interest Entity</w:t>
            </w: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REX</w:t>
            </w:r>
          </w:p>
        </w:tc>
        <w:tc>
          <w:tcPr>
            <w:tcW w:w="3660" w:type="dxa"/>
            <w:vAlign w:val="bottom"/>
          </w:tcPr>
          <w:p>
            <w:pPr>
              <w:ind w:left="240"/>
              <w:spacing w:after="0"/>
              <w:rPr>
                <w:sz w:val="20"/>
                <w:szCs w:val="20"/>
                <w:color w:val="auto"/>
              </w:rPr>
            </w:pPr>
            <w:r>
              <w:rPr>
                <w:rFonts w:ascii="Arial" w:cs="Arial" w:eastAsia="Arial" w:hAnsi="Arial"/>
                <w:sz w:val="14"/>
                <w:szCs w:val="14"/>
                <w:color w:val="auto"/>
              </w:rPr>
              <w:t>Rockies Express Pipeline</w:t>
            </w:r>
          </w:p>
        </w:tc>
        <w:tc>
          <w:tcPr>
            <w:tcW w:w="1860" w:type="dxa"/>
            <w:vAlign w:val="bottom"/>
          </w:tcPr>
          <w:p>
            <w:pPr>
              <w:ind w:left="240"/>
              <w:spacing w:after="0"/>
              <w:rPr>
                <w:sz w:val="20"/>
                <w:szCs w:val="20"/>
                <w:color w:val="auto"/>
              </w:rPr>
            </w:pPr>
            <w:r>
              <w:rPr>
                <w:rFonts w:ascii="Arial" w:cs="Arial" w:eastAsia="Arial" w:hAnsi="Arial"/>
                <w:sz w:val="14"/>
                <w:szCs w:val="14"/>
                <w:color w:val="auto"/>
              </w:rPr>
              <w:t>VNR</w:t>
            </w:r>
          </w:p>
        </w:tc>
        <w:tc>
          <w:tcPr>
            <w:tcW w:w="3940" w:type="dxa"/>
            <w:vAlign w:val="bottom"/>
          </w:tcPr>
          <w:p>
            <w:pPr>
              <w:ind w:left="600"/>
              <w:spacing w:after="0"/>
              <w:rPr>
                <w:sz w:val="20"/>
                <w:szCs w:val="20"/>
                <w:color w:val="auto"/>
              </w:rPr>
            </w:pPr>
            <w:r>
              <w:rPr>
                <w:rFonts w:ascii="Arial" w:cs="Arial" w:eastAsia="Arial" w:hAnsi="Arial"/>
                <w:sz w:val="14"/>
                <w:szCs w:val="14"/>
                <w:color w:val="auto"/>
              </w:rPr>
              <w:t>Valor Nuevo de Reemplazo (New replacement</w:t>
            </w:r>
          </w:p>
        </w:tc>
      </w:tr>
      <w:tr>
        <w:trPr>
          <w:trHeight w:val="162"/>
        </w:trPr>
        <w:tc>
          <w:tcPr>
            <w:tcW w:w="1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940" w:type="dxa"/>
            <w:vAlign w:val="bottom"/>
          </w:tcPr>
          <w:p>
            <w:pPr>
              <w:ind w:left="600"/>
              <w:spacing w:after="0"/>
              <w:rPr>
                <w:sz w:val="20"/>
                <w:szCs w:val="20"/>
                <w:color w:val="auto"/>
              </w:rPr>
            </w:pPr>
            <w:r>
              <w:rPr>
                <w:rFonts w:ascii="Arial" w:cs="Arial" w:eastAsia="Arial" w:hAnsi="Arial"/>
                <w:sz w:val="14"/>
                <w:szCs w:val="14"/>
                <w:color w:val="auto"/>
              </w:rPr>
              <w:t>value)</w:t>
            </w:r>
          </w:p>
        </w:tc>
      </w:tr>
      <w:tr>
        <w:trPr>
          <w:trHeight w:val="164"/>
        </w:trPr>
        <w:tc>
          <w:tcPr>
            <w:tcW w:w="1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Rockies Express</w:t>
            </w:r>
          </w:p>
        </w:tc>
        <w:tc>
          <w:tcPr>
            <w:tcW w:w="366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Rockies Express Pipeline LLC</w:t>
            </w:r>
          </w:p>
        </w:tc>
        <w:tc>
          <w:tcPr>
            <w:tcW w:w="186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Williams</w:t>
            </w:r>
          </w:p>
        </w:tc>
        <w:tc>
          <w:tcPr>
            <w:tcW w:w="3940" w:type="dxa"/>
            <w:vAlign w:val="bottom"/>
            <w:tcBorders>
              <w:bottom w:val="single" w:sz="8" w:color="auto"/>
            </w:tcBorders>
          </w:tcPr>
          <w:p>
            <w:pPr>
              <w:ind w:left="600"/>
              <w:spacing w:after="0" w:line="157" w:lineRule="exact"/>
              <w:rPr>
                <w:sz w:val="20"/>
                <w:szCs w:val="20"/>
                <w:color w:val="auto"/>
              </w:rPr>
            </w:pPr>
            <w:r>
              <w:rPr>
                <w:rFonts w:ascii="Arial" w:cs="Arial" w:eastAsia="Arial" w:hAnsi="Arial"/>
                <w:sz w:val="14"/>
                <w:szCs w:val="14"/>
                <w:color w:val="auto"/>
              </w:rPr>
              <w:t>Williams Midstream Natural Gas Liquids, Inc.</w:t>
            </w:r>
          </w:p>
        </w:tc>
      </w:tr>
    </w:tbl>
    <w:p>
      <w:pPr>
        <w:sectPr>
          <w:pgSz w:w="11900" w:h="16838" w:orient="portrait"/>
          <w:cols w:equalWidth="0" w:num="1">
            <w:col w:w="11420"/>
          </w:cols>
          <w:pgMar w:left="240" w:top="144" w:right="2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22"/>
          <w:szCs w:val="22"/>
          <w:b w:val="1"/>
          <w:bCs w:val="1"/>
          <w:color w:val="auto"/>
        </w:rPr>
        <w:t>Exhibit 21.1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jc w:val="center"/>
        <w:spacing w:after="0" w:line="230" w:lineRule="auto"/>
        <w:rPr>
          <w:sz w:val="20"/>
          <w:szCs w:val="20"/>
          <w:color w:val="auto"/>
        </w:rPr>
      </w:pPr>
      <w:r>
        <w:rPr>
          <w:rFonts w:ascii="Arial" w:cs="Arial" w:eastAsia="Arial" w:hAnsi="Arial"/>
          <w:sz w:val="22"/>
          <w:szCs w:val="22"/>
          <w:b w:val="1"/>
          <w:bCs w:val="1"/>
          <w:color w:val="auto"/>
        </w:rPr>
        <w:t>Schedule of Significant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December 31, 2011</w:t>
      </w:r>
    </w:p>
    <w:p>
      <w:pPr>
        <w:spacing w:after="0" w:line="246" w:lineRule="exact"/>
        <w:rPr>
          <w:sz w:val="20"/>
          <w:szCs w:val="20"/>
          <w:color w:val="auto"/>
        </w:rPr>
      </w:pPr>
    </w:p>
    <w:tbl>
      <w:tblPr>
        <w:tblLayout w:type="fixed"/>
        <w:tblInd w:w="104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3160" w:type="dxa"/>
            <w:vAlign w:val="bottom"/>
          </w:tcPr>
          <w:p>
            <w:pPr>
              <w:ind w:left="580"/>
              <w:spacing w:after="0"/>
              <w:rPr>
                <w:sz w:val="20"/>
                <w:szCs w:val="20"/>
                <w:color w:val="auto"/>
              </w:rPr>
            </w:pPr>
            <w:r>
              <w:rPr>
                <w:rFonts w:ascii="Arial" w:cs="Arial" w:eastAsia="Arial" w:hAnsi="Arial"/>
                <w:sz w:val="16"/>
                <w:szCs w:val="16"/>
                <w:b w:val="1"/>
                <w:bCs w:val="1"/>
                <w:color w:val="auto"/>
              </w:rPr>
              <w:t>State of Incorporation or Other</w:t>
            </w:r>
          </w:p>
        </w:tc>
      </w:tr>
      <w:tr>
        <w:trPr>
          <w:trHeight w:val="207"/>
        </w:trPr>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Subsidiary</w:t>
            </w:r>
          </w:p>
        </w:tc>
        <w:tc>
          <w:tcPr>
            <w:tcW w:w="316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Jurisdiction</w:t>
            </w:r>
          </w:p>
        </w:tc>
      </w:tr>
      <w:tr>
        <w:trPr>
          <w:trHeight w:val="184"/>
        </w:trPr>
        <w:tc>
          <w:tcPr>
            <w:tcW w:w="3800" w:type="dxa"/>
            <w:vAlign w:val="bottom"/>
          </w:tcPr>
          <w:p>
            <w:pPr>
              <w:ind w:left="120"/>
              <w:spacing w:after="0"/>
              <w:rPr>
                <w:sz w:val="20"/>
                <w:szCs w:val="20"/>
                <w:color w:val="auto"/>
              </w:rPr>
            </w:pPr>
            <w:r>
              <w:rPr>
                <w:rFonts w:ascii="Arial" w:cs="Arial" w:eastAsia="Arial" w:hAnsi="Arial"/>
                <w:sz w:val="16"/>
                <w:szCs w:val="16"/>
                <w:color w:val="auto"/>
              </w:rPr>
              <w:t>AEI Asosiacion en Participacion</w:t>
            </w:r>
          </w:p>
        </w:tc>
        <w:tc>
          <w:tcPr>
            <w:tcW w:w="3160" w:type="dxa"/>
            <w:vAlign w:val="bottom"/>
          </w:tcPr>
          <w:p>
            <w:pPr>
              <w:ind w:left="580"/>
              <w:spacing w:after="0"/>
              <w:rPr>
                <w:sz w:val="20"/>
                <w:szCs w:val="20"/>
                <w:color w:val="auto"/>
              </w:rPr>
            </w:pPr>
            <w:r>
              <w:rPr>
                <w:rFonts w:ascii="Arial" w:cs="Arial" w:eastAsia="Arial" w:hAnsi="Arial"/>
                <w:sz w:val="16"/>
                <w:szCs w:val="16"/>
                <w:color w:val="auto"/>
              </w:rPr>
              <w:t>Peru</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Enova Corporation</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Pacific Enterprises</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Pacific Enterprises International</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San Diego Gas &amp; Electric Company</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Chile S.A.</w:t>
            </w:r>
          </w:p>
        </w:tc>
        <w:tc>
          <w:tcPr>
            <w:tcW w:w="3160" w:type="dxa"/>
            <w:vAlign w:val="bottom"/>
          </w:tcPr>
          <w:p>
            <w:pPr>
              <w:ind w:left="580"/>
              <w:spacing w:after="0"/>
              <w:rPr>
                <w:sz w:val="20"/>
                <w:szCs w:val="20"/>
                <w:color w:val="auto"/>
              </w:rPr>
            </w:pPr>
            <w:r>
              <w:rPr>
                <w:rFonts w:ascii="Arial" w:cs="Arial" w:eastAsia="Arial" w:hAnsi="Arial"/>
                <w:sz w:val="16"/>
                <w:szCs w:val="16"/>
                <w:color w:val="auto"/>
              </w:rPr>
              <w:t>Chile</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Commodities, Inc.</w:t>
            </w:r>
          </w:p>
        </w:tc>
        <w:tc>
          <w:tcPr>
            <w:tcW w:w="3160" w:type="dxa"/>
            <w:vAlign w:val="bottom"/>
          </w:tcPr>
          <w:p>
            <w:pPr>
              <w:ind w:left="580"/>
              <w:spacing w:after="0"/>
              <w:rPr>
                <w:sz w:val="20"/>
                <w:szCs w:val="20"/>
                <w:color w:val="auto"/>
              </w:rPr>
            </w:pPr>
            <w:r>
              <w:rPr>
                <w:rFonts w:ascii="Arial" w:cs="Arial" w:eastAsia="Arial" w:hAnsi="Arial"/>
                <w:sz w:val="16"/>
                <w:szCs w:val="16"/>
                <w:color w:val="auto"/>
              </w:rPr>
              <w:t>Delaware</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International</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Holdings III B.V.</w:t>
            </w:r>
          </w:p>
        </w:tc>
        <w:tc>
          <w:tcPr>
            <w:tcW w:w="3160" w:type="dxa"/>
            <w:vAlign w:val="bottom"/>
          </w:tcPr>
          <w:p>
            <w:pPr>
              <w:ind w:left="580"/>
              <w:spacing w:after="0"/>
              <w:rPr>
                <w:sz w:val="20"/>
                <w:szCs w:val="20"/>
                <w:color w:val="auto"/>
              </w:rPr>
            </w:pPr>
            <w:r>
              <w:rPr>
                <w:rFonts w:ascii="Arial" w:cs="Arial" w:eastAsia="Arial" w:hAnsi="Arial"/>
                <w:sz w:val="16"/>
                <w:szCs w:val="16"/>
                <w:color w:val="auto"/>
              </w:rPr>
              <w:t>Netherlands</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Holdings VIII B.V.</w:t>
            </w:r>
          </w:p>
        </w:tc>
        <w:tc>
          <w:tcPr>
            <w:tcW w:w="3160" w:type="dxa"/>
            <w:vAlign w:val="bottom"/>
          </w:tcPr>
          <w:p>
            <w:pPr>
              <w:ind w:left="580"/>
              <w:spacing w:after="0"/>
              <w:rPr>
                <w:sz w:val="20"/>
                <w:szCs w:val="20"/>
                <w:color w:val="auto"/>
              </w:rPr>
            </w:pPr>
            <w:r>
              <w:rPr>
                <w:rFonts w:ascii="Arial" w:cs="Arial" w:eastAsia="Arial" w:hAnsi="Arial"/>
                <w:sz w:val="16"/>
                <w:szCs w:val="16"/>
                <w:color w:val="auto"/>
              </w:rPr>
              <w:t>Netherlands</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International Holdings N.V.</w:t>
            </w:r>
          </w:p>
        </w:tc>
        <w:tc>
          <w:tcPr>
            <w:tcW w:w="3160" w:type="dxa"/>
            <w:vAlign w:val="bottom"/>
          </w:tcPr>
          <w:p>
            <w:pPr>
              <w:ind w:left="580"/>
              <w:spacing w:after="0"/>
              <w:rPr>
                <w:sz w:val="20"/>
                <w:szCs w:val="20"/>
                <w:color w:val="auto"/>
              </w:rPr>
            </w:pPr>
            <w:r>
              <w:rPr>
                <w:rFonts w:ascii="Arial" w:cs="Arial" w:eastAsia="Arial" w:hAnsi="Arial"/>
                <w:sz w:val="16"/>
                <w:szCs w:val="16"/>
                <w:color w:val="auto"/>
              </w:rPr>
              <w:t>Netherlands</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Global</w:t>
            </w:r>
          </w:p>
        </w:tc>
        <w:tc>
          <w:tcPr>
            <w:tcW w:w="3160" w:type="dxa"/>
            <w:vAlign w:val="bottom"/>
          </w:tcPr>
          <w:p>
            <w:pPr>
              <w:ind w:left="580"/>
              <w:spacing w:after="0"/>
              <w:rPr>
                <w:sz w:val="20"/>
                <w:szCs w:val="20"/>
                <w:color w:val="auto"/>
              </w:rPr>
            </w:pPr>
            <w:r>
              <w:rPr>
                <w:rFonts w:ascii="Arial" w:cs="Arial" w:eastAsia="Arial" w:hAnsi="Arial"/>
                <w:sz w:val="16"/>
                <w:szCs w:val="16"/>
                <w:color w:val="auto"/>
              </w:rPr>
              <w:t>Delaware</w:t>
            </w:r>
          </w:p>
        </w:tc>
      </w:tr>
      <w:tr>
        <w:trPr>
          <w:trHeight w:val="195"/>
        </w:trPr>
        <w:tc>
          <w:tcPr>
            <w:tcW w:w="3800" w:type="dxa"/>
            <w:vAlign w:val="bottom"/>
          </w:tcPr>
          <w:p>
            <w:pPr>
              <w:ind w:left="120"/>
              <w:spacing w:after="0"/>
              <w:rPr>
                <w:sz w:val="20"/>
                <w:szCs w:val="20"/>
                <w:color w:val="auto"/>
              </w:rPr>
            </w:pPr>
            <w:r>
              <w:rPr>
                <w:rFonts w:ascii="Arial" w:cs="Arial" w:eastAsia="Arial" w:hAnsi="Arial"/>
                <w:sz w:val="16"/>
                <w:szCs w:val="16"/>
                <w:color w:val="auto"/>
              </w:rPr>
              <w:t>Southern California Gas Company</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bl>
    <w:p>
      <w:pPr>
        <w:sectPr>
          <w:pgSz w:w="11900" w:h="16838" w:orient="portrait"/>
          <w:cols w:equalWidth="0" w:num="1">
            <w:col w:w="9019"/>
          </w:cols>
          <w:pgMar w:left="1440" w:top="112" w:right="1440" w:bottom="1440" w:gutter="0" w:footer="0" w:header="0"/>
        </w:sectPr>
      </w:pPr>
    </w:p>
    <w:bookmarkStart w:id="275" w:name="page276"/>
    <w:bookmarkEnd w:id="275"/>
    <w:p>
      <w:pPr>
        <w:jc w:val="right"/>
        <w:spacing w:after="0"/>
        <w:rPr>
          <w:sz w:val="20"/>
          <w:szCs w:val="20"/>
          <w:color w:val="auto"/>
        </w:rPr>
      </w:pPr>
      <w:r>
        <w:rPr>
          <w:rFonts w:ascii="Arial" w:cs="Arial" w:eastAsia="Arial" w:hAnsi="Arial"/>
          <w:sz w:val="22"/>
          <w:szCs w:val="22"/>
          <w:color w:val="auto"/>
        </w:rPr>
        <w:t>Exhibit 23.2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consent to the incorporation by reference in Registration Statement No. 333-176855 on Form S-3 of Sempra Energy and Registration Statement Nos. 333-56161, 333-50806, 333-49732, 333-121073, 333-128441, 333-151184, 333-155191, 333-129774 and 333-157567 on Form S-8 of Sempra Energy of our report dated February 22, 2010 (which report expresses an unqualified opinion and includes an explanatory paragraph relating to an agreement to sell certain businesses), relating to the consolidated statement of financial condition of RBS Sempra Commodities LLP and subsidiaries as of December 31, 2009, and the related consolidated statements of income, cash flows, and changes in members’ capital, for the year ended December 31, 2009 and the period from April 1, 2008 (Date of Commencement) to December 31, 2008, which report is incorporated by reference in this Annual Report on Form 10-K of Sempra Energy for the year ended December 31, 2011.</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2012</w:t>
      </w:r>
    </w:p>
    <w:p>
      <w:pPr>
        <w:sectPr>
          <w:pgSz w:w="11900" w:h="16838" w:orient="portrait"/>
          <w:cols w:equalWidth="0" w:num="1">
            <w:col w:w="11420"/>
          </w:cols>
          <w:pgMar w:left="240" w:top="118" w:right="239" w:bottom="1440" w:gutter="0" w:footer="0" w:header="0"/>
        </w:sectPr>
      </w:pPr>
    </w:p>
    <w:bookmarkStart w:id="276" w:name="page277"/>
    <w:bookmarkEnd w:id="276"/>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I have reviewed this report on Form 10-K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38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38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38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38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38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38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28, 2012</w:t>
      </w:r>
    </w:p>
    <w:p>
      <w:pPr>
        <w:spacing w:after="0" w:line="267"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277" w:name="page278"/>
    <w:bookmarkEnd w:id="277"/>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Joseph A. Householder, certify that:</w:t>
      </w:r>
    </w:p>
    <w:p>
      <w:pPr>
        <w:spacing w:after="0" w:line="260" w:lineRule="exact"/>
        <w:rPr>
          <w:sz w:val="20"/>
          <w:szCs w:val="20"/>
          <w:color w:val="auto"/>
        </w:rPr>
      </w:pPr>
    </w:p>
    <w:p>
      <w:pPr>
        <w:ind w:left="340" w:hanging="332"/>
        <w:spacing w:after="0"/>
        <w:tabs>
          <w:tab w:leader="none" w:pos="34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I have reviewed this report on Form 10-K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38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38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38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38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38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38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28, 2012</w:t>
      </w:r>
    </w:p>
    <w:p>
      <w:pPr>
        <w:spacing w:after="0" w:line="267"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-123190</wp:posOffset>
            </wp:positionV>
            <wp:extent cx="26498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278" w:name="page279"/>
    <w:bookmarkEnd w:id="278"/>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I have reviewed this report on Form 10-K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38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38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38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38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38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38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28, 2012</w:t>
      </w:r>
    </w:p>
    <w:p>
      <w:pPr>
        <w:spacing w:after="0" w:line="267"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r>
        <w:rPr>
          <w:rFonts w:ascii="Arial" w:cs="Arial" w:eastAsia="Arial" w:hAnsi="Arial"/>
          <w:sz w:val="17"/>
          <w:szCs w:val="17"/>
          <w:i w:val="1"/>
          <w:iCs w:val="1"/>
          <w:color w:val="auto"/>
        </w:rPr>
        <w:t>.</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-123190</wp:posOffset>
            </wp:positionV>
            <wp:extent cx="27527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279" w:name="page280"/>
    <w:bookmarkEnd w:id="279"/>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386"/>
        </w:numPr>
        <w:rPr>
          <w:rFonts w:ascii="Arial" w:cs="Arial" w:eastAsia="Arial" w:hAnsi="Arial"/>
          <w:sz w:val="22"/>
          <w:szCs w:val="22"/>
          <w:color w:val="auto"/>
        </w:rPr>
      </w:pPr>
      <w:r>
        <w:rPr>
          <w:rFonts w:ascii="Arial" w:cs="Arial" w:eastAsia="Arial" w:hAnsi="Arial"/>
          <w:sz w:val="22"/>
          <w:szCs w:val="22"/>
          <w:color w:val="auto"/>
        </w:rPr>
        <w:t>I have reviewed this report on Form 10-K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38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38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38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28, 2012</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280" w:name="page281"/>
    <w:bookmarkEnd w:id="280"/>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Michael W. Allman, certify that:</w:t>
      </w:r>
    </w:p>
    <w:p>
      <w:pPr>
        <w:spacing w:after="0" w:line="260" w:lineRule="exact"/>
        <w:rPr>
          <w:sz w:val="20"/>
          <w:szCs w:val="20"/>
          <w:color w:val="auto"/>
        </w:rPr>
      </w:pPr>
    </w:p>
    <w:p>
      <w:pPr>
        <w:ind w:left="340" w:hanging="332"/>
        <w:spacing w:after="0"/>
        <w:tabs>
          <w:tab w:leader="none" w:pos="34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I have reviewed this report on Form 10-K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38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38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38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38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38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38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28, 2012</w:t>
      </w:r>
    </w:p>
    <w:p>
      <w:pPr>
        <w:spacing w:after="0" w:line="267"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/S/ Michael W. Allman</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281" w:name="page282"/>
    <w:bookmarkEnd w:id="281"/>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I have reviewed this report on Form 10-K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38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28, 2012</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389"/>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2011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2012</w:t>
      </w:r>
    </w:p>
    <w:p>
      <w:pPr>
        <w:spacing w:after="0" w:line="36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390"/>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2011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390"/>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2012</w:t>
      </w:r>
    </w:p>
    <w:p>
      <w:pPr>
        <w:spacing w:after="0" w:line="362"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55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391"/>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2011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2012</w:t>
      </w:r>
    </w:p>
    <w:p>
      <w:pPr>
        <w:spacing w:after="0" w:line="362"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-123190</wp:posOffset>
            </wp:positionV>
            <wp:extent cx="25469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392"/>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2011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2012</w:t>
      </w:r>
    </w:p>
    <w:p>
      <w:pPr>
        <w:spacing w:after="0" w:line="362"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393"/>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2011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2012</w:t>
      </w:r>
    </w:p>
    <w:p>
      <w:pPr>
        <w:spacing w:after="0" w:line="362"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/S/ Michael W. Allman</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394"/>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2011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7D2D2"/>
    <w:multiLevelType w:val="hybridMultilevel"/>
    <w:lvl w:ilvl="0">
      <w:lvlJc w:val="left"/>
      <w:lvlText w:val="[%1]"/>
      <w:numFmt w:val="upperLetter"/>
      <w:start w:val="24"/>
    </w:lvl>
  </w:abstractNum>
  <w:abstractNum w:abstractNumId="1">
    <w:nsid w:val="6D68AB2"/>
    <w:multiLevelType w:val="hybridMultilevel"/>
    <w:lvl w:ilvl="0">
      <w:lvlJc w:val="left"/>
      <w:lvlText w:val="§"/>
      <w:numFmt w:val="bullet"/>
      <w:start w:val="1"/>
    </w:lvl>
  </w:abstractNum>
  <w:abstractNum w:abstractNumId="2">
    <w:nsid w:val="3A966CD0"/>
    <w:multiLevelType w:val="hybridMultilevel"/>
    <w:lvl w:ilvl="0">
      <w:lvlJc w:val="left"/>
      <w:lvlText w:val="§"/>
      <w:numFmt w:val="bullet"/>
      <w:start w:val="1"/>
    </w:lvl>
  </w:abstractNum>
  <w:abstractNum w:abstractNumId="3">
    <w:nsid w:val="63F37E85"/>
    <w:multiLevelType w:val="hybridMultilevel"/>
    <w:lvl w:ilvl="0">
      <w:lvlJc w:val="left"/>
      <w:lvlText w:val="§"/>
      <w:numFmt w:val="bullet"/>
      <w:start w:val="1"/>
    </w:lvl>
  </w:abstractNum>
  <w:abstractNum w:abstractNumId="4">
    <w:nsid w:val="5895F5FA"/>
    <w:multiLevelType w:val="hybridMultilevel"/>
    <w:lvl w:ilvl="0">
      <w:lvlJc w:val="left"/>
      <w:lvlText w:val="§"/>
      <w:numFmt w:val="bullet"/>
      <w:start w:val="1"/>
    </w:lvl>
  </w:abstractNum>
  <w:abstractNum w:abstractNumId="5">
    <w:nsid w:val="38A5D054"/>
    <w:multiLevelType w:val="hybridMultilevel"/>
    <w:lvl w:ilvl="0">
      <w:lvlJc w:val="left"/>
      <w:lvlText w:val="§"/>
      <w:numFmt w:val="bullet"/>
      <w:start w:val="1"/>
    </w:lvl>
  </w:abstractNum>
  <w:abstractNum w:abstractNumId="6">
    <w:nsid w:val="F3F09D8"/>
    <w:multiLevelType w:val="hybridMultilevel"/>
    <w:lvl w:ilvl="0">
      <w:lvlJc w:val="left"/>
      <w:lvlText w:val="§"/>
      <w:numFmt w:val="bullet"/>
      <w:start w:val="1"/>
    </w:lvl>
  </w:abstractNum>
  <w:abstractNum w:abstractNumId="7">
    <w:nsid w:val="4B793735"/>
    <w:multiLevelType w:val="hybridMultilevel"/>
    <w:lvl w:ilvl="0">
      <w:lvlJc w:val="left"/>
      <w:lvlText w:val="§"/>
      <w:numFmt w:val="bullet"/>
      <w:start w:val="1"/>
    </w:lvl>
  </w:abstractNum>
  <w:abstractNum w:abstractNumId="8">
    <w:nsid w:val="4A10B4E8"/>
    <w:multiLevelType w:val="hybridMultilevel"/>
    <w:lvl w:ilvl="0">
      <w:lvlJc w:val="left"/>
      <w:lvlText w:val="§"/>
      <w:numFmt w:val="bullet"/>
      <w:start w:val="1"/>
    </w:lvl>
  </w:abstractNum>
  <w:abstractNum w:abstractNumId="9">
    <w:nsid w:val="43D3BCD4"/>
    <w:multiLevelType w:val="hybridMultilevel"/>
    <w:lvl w:ilvl="0">
      <w:lvlJc w:val="left"/>
      <w:lvlText w:val="§"/>
      <w:numFmt w:val="bullet"/>
      <w:start w:val="1"/>
    </w:lvl>
  </w:abstractNum>
  <w:abstractNum w:abstractNumId="10">
    <w:nsid w:val="4C2A7166"/>
    <w:multiLevelType w:val="hybridMultilevel"/>
    <w:lvl w:ilvl="0">
      <w:lvlJc w:val="left"/>
      <w:lvlText w:val="§"/>
      <w:numFmt w:val="bullet"/>
      <w:start w:val="1"/>
    </w:lvl>
  </w:abstractNum>
  <w:abstractNum w:abstractNumId="11">
    <w:nsid w:val="2E534A82"/>
    <w:multiLevelType w:val="hybridMultilevel"/>
    <w:lvl w:ilvl="0">
      <w:lvlJc w:val="left"/>
      <w:lvlText w:val="(%1)"/>
      <w:numFmt w:val="decimal"/>
      <w:start w:val="1"/>
    </w:lvl>
  </w:abstractNum>
  <w:abstractNum w:abstractNumId="12">
    <w:nsid w:val="26F2D364"/>
    <w:multiLevelType w:val="hybridMultilevel"/>
    <w:lvl w:ilvl="0">
      <w:lvlJc w:val="left"/>
      <w:lvlText w:val="§"/>
      <w:numFmt w:val="bullet"/>
      <w:start w:val="1"/>
    </w:lvl>
  </w:abstractNum>
  <w:abstractNum w:abstractNumId="13">
    <w:nsid w:val="71C1AF98"/>
    <w:multiLevelType w:val="hybridMultilevel"/>
    <w:lvl w:ilvl="0">
      <w:lvlJc w:val="left"/>
      <w:lvlText w:val="(%1)"/>
      <w:numFmt w:val="decimal"/>
      <w:start w:val="1"/>
    </w:lvl>
  </w:abstractNum>
  <w:abstractNum w:abstractNumId="14">
    <w:nsid w:val="3D00B9D9"/>
    <w:multiLevelType w:val="hybridMultilevel"/>
    <w:lvl w:ilvl="0">
      <w:lvlJc w:val="left"/>
      <w:lvlText w:val="§"/>
      <w:numFmt w:val="bullet"/>
      <w:start w:val="1"/>
    </w:lvl>
  </w:abstractNum>
  <w:abstractNum w:abstractNumId="15">
    <w:nsid w:val="15BCABA8"/>
    <w:multiLevelType w:val="hybridMultilevel"/>
    <w:lvl w:ilvl="0">
      <w:lvlJc w:val="left"/>
      <w:lvlText w:val="(%1)"/>
      <w:numFmt w:val="decimal"/>
      <w:start w:val="1"/>
    </w:lvl>
  </w:abstractNum>
  <w:abstractNum w:abstractNumId="16">
    <w:nsid w:val="4E0B9A87"/>
    <w:multiLevelType w:val="hybridMultilevel"/>
    <w:lvl w:ilvl="0">
      <w:lvlJc w:val="left"/>
      <w:lvlText w:val="§"/>
      <w:numFmt w:val="bullet"/>
      <w:start w:val="1"/>
    </w:lvl>
  </w:abstractNum>
  <w:abstractNum w:abstractNumId="17">
    <w:nsid w:val="434BAE75"/>
    <w:multiLevelType w:val="hybridMultilevel"/>
    <w:lvl w:ilvl="0">
      <w:lvlJc w:val="left"/>
      <w:lvlText w:val="§"/>
      <w:numFmt w:val="bullet"/>
      <w:start w:val="1"/>
    </w:lvl>
  </w:abstractNum>
  <w:abstractNum w:abstractNumId="18">
    <w:nsid w:val="4F38F265"/>
    <w:multiLevelType w:val="hybridMultilevel"/>
    <w:lvl w:ilvl="0">
      <w:lvlJc w:val="left"/>
      <w:lvlText w:val="§"/>
      <w:numFmt w:val="bullet"/>
      <w:start w:val="1"/>
    </w:lvl>
  </w:abstractNum>
  <w:abstractNum w:abstractNumId="19">
    <w:nsid w:val="4C502870"/>
    <w:multiLevelType w:val="hybridMultilevel"/>
    <w:lvl w:ilvl="0">
      <w:lvlJc w:val="left"/>
      <w:lvlText w:val="§"/>
      <w:numFmt w:val="bullet"/>
      <w:start w:val="1"/>
    </w:lvl>
  </w:abstractNum>
  <w:abstractNum w:abstractNumId="20">
    <w:nsid w:val="1DE8725A"/>
    <w:multiLevelType w:val="hybridMultilevel"/>
    <w:lvl w:ilvl="0">
      <w:lvlJc w:val="left"/>
      <w:lvlText w:val="§"/>
      <w:numFmt w:val="bullet"/>
      <w:start w:val="1"/>
    </w:lvl>
  </w:abstractNum>
  <w:abstractNum w:abstractNumId="21">
    <w:nsid w:val="6A37288A"/>
    <w:multiLevelType w:val="hybridMultilevel"/>
    <w:lvl w:ilvl="0">
      <w:lvlJc w:val="left"/>
      <w:lvlText w:val="§"/>
      <w:numFmt w:val="bullet"/>
      <w:start w:val="1"/>
    </w:lvl>
  </w:abstractNum>
  <w:abstractNum w:abstractNumId="22">
    <w:nsid w:val="8F8B73F"/>
    <w:multiLevelType w:val="hybridMultilevel"/>
    <w:lvl w:ilvl="0">
      <w:lvlJc w:val="left"/>
      <w:lvlText w:val="§"/>
      <w:numFmt w:val="bullet"/>
      <w:start w:val="1"/>
    </w:lvl>
  </w:abstractNum>
  <w:abstractNum w:abstractNumId="23">
    <w:nsid w:val="CA6B462"/>
    <w:multiLevelType w:val="hybridMultilevel"/>
    <w:lvl w:ilvl="0">
      <w:lvlJc w:val="left"/>
      <w:lvlText w:val="§"/>
      <w:numFmt w:val="bullet"/>
      <w:start w:val="1"/>
    </w:lvl>
  </w:abstractNum>
  <w:abstractNum w:abstractNumId="24">
    <w:nsid w:val="763CB680"/>
    <w:multiLevelType w:val="hybridMultilevel"/>
    <w:lvl w:ilvl="0">
      <w:lvlJc w:val="left"/>
      <w:lvlText w:val="%1."/>
      <w:numFmt w:val="decimal"/>
      <w:start w:val="1"/>
    </w:lvl>
    <w:lvl w:ilvl="1">
      <w:lvlJc w:val="left"/>
      <w:lvlText w:val="%2."/>
      <w:numFmt w:val="decimal"/>
      <w:start w:val="3"/>
    </w:lvl>
  </w:abstractNum>
  <w:abstractNum w:abstractNumId="25">
    <w:nsid w:val="15B71329"/>
    <w:multiLevelType w:val="hybridMultilevel"/>
    <w:lvl w:ilvl="0">
      <w:lvlJc w:val="left"/>
      <w:lvlText w:val="(%1)"/>
      <w:numFmt w:val="upperLetter"/>
      <w:start w:val="1"/>
    </w:lvl>
  </w:abstractNum>
  <w:abstractNum w:abstractNumId="26">
    <w:nsid w:val="3DA97044"/>
    <w:multiLevelType w:val="hybridMultilevel"/>
    <w:lvl w:ilvl="0">
      <w:lvlJc w:val="left"/>
      <w:lvlText w:val="%1:"/>
      <w:numFmt w:val="decimal"/>
      <w:start w:val="2"/>
    </w:lvl>
  </w:abstractNum>
  <w:abstractNum w:abstractNumId="27">
    <w:nsid w:val="1CDCE2DE"/>
    <w:multiLevelType w:val="hybridMultilevel"/>
    <w:lvl w:ilvl="0">
      <w:lvlJc w:val="left"/>
      <w:lvlText w:val="%1."/>
      <w:numFmt w:val="decimal"/>
      <w:start w:val="1"/>
    </w:lvl>
  </w:abstractNum>
  <w:abstractNum w:abstractNumId="28">
    <w:nsid w:val="69D3947C"/>
    <w:multiLevelType w:val="hybridMultilevel"/>
    <w:lvl w:ilvl="0">
      <w:lvlJc w:val="left"/>
      <w:lvlText w:val="(%1)"/>
      <w:numFmt w:val="decimal"/>
      <w:start w:val="2"/>
    </w:lvl>
  </w:abstractNum>
  <w:abstractNum w:abstractNumId="29">
    <w:nsid w:val="2539DFA5"/>
    <w:multiLevelType w:val="hybridMultilevel"/>
    <w:lvl w:ilvl="0">
      <w:lvlJc w:val="left"/>
      <w:lvlText w:val="%1"/>
      <w:numFmt w:val="lowerLetter"/>
      <w:start w:val="1"/>
    </w:lvl>
    <w:lvl w:ilvl="1">
      <w:lvlJc w:val="left"/>
      <w:lvlText w:val="(%2)"/>
      <w:numFmt w:val="lowerLetter"/>
      <w:start w:val="1"/>
    </w:lvl>
  </w:abstractNum>
  <w:abstractNum w:abstractNumId="30">
    <w:nsid w:val="2DB88089"/>
    <w:multiLevelType w:val="hybridMultilevel"/>
    <w:lvl w:ilvl="0">
      <w:lvlJc w:val="left"/>
      <w:lvlText w:val="(%1)"/>
      <w:numFmt w:val="lowerLetter"/>
      <w:start w:val="35"/>
    </w:lvl>
    <w:lvl w:ilvl="1">
      <w:lvlJc w:val="left"/>
      <w:lvlText w:val="(%2)"/>
      <w:numFmt w:val="lowerLetter"/>
      <w:start w:val="2"/>
    </w:lvl>
  </w:abstractNum>
  <w:abstractNum w:abstractNumId="31">
    <w:nsid w:val="706B674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2">
    <w:nsid w:val="2C106A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
    <w:nsid w:val="684EED5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4">
    <w:nsid w:val="545EE5D3"/>
    <w:multiLevelType w:val="hybridMultilevel"/>
    <w:lvl w:ilvl="0">
      <w:lvlJc w:val="left"/>
      <w:lvlText w:val="(%1)"/>
      <w:numFmt w:val="lowerLetter"/>
      <w:start w:val="1"/>
    </w:lvl>
    <w:lvl w:ilvl="1">
      <w:lvlJc w:val="left"/>
      <w:lvlText w:val="(%2)"/>
      <w:numFmt w:val="lowerRoman"/>
      <w:start w:val="1"/>
    </w:lvl>
  </w:abstractNum>
  <w:abstractNum w:abstractNumId="35">
    <w:nsid w:val="4A66051"/>
    <w:multiLevelType w:val="hybridMultilevel"/>
    <w:lvl w:ilvl="0">
      <w:lvlJc w:val="left"/>
      <w:lvlText w:val="(%1)"/>
      <w:numFmt w:val="lowerRoman"/>
      <w:start w:val="5"/>
    </w:lvl>
  </w:abstractNum>
  <w:abstractNum w:abstractNumId="36">
    <w:nsid w:val="20F4BDAD"/>
    <w:multiLevelType w:val="hybridMultilevel"/>
    <w:lvl w:ilvl="0">
      <w:lvlJc w:val="left"/>
      <w:lvlText w:val="(%1)"/>
      <w:numFmt w:val="lowerLetter"/>
      <w:start w:val="1"/>
    </w:lvl>
  </w:abstractNum>
  <w:abstractNum w:abstractNumId="37">
    <w:nsid w:val="639DEFAC"/>
    <w:multiLevelType w:val="hybridMultilevel"/>
    <w:lvl w:ilvl="0">
      <w:lvlJc w:val="left"/>
      <w:lvlText w:val="%1"/>
      <w:numFmt w:val="upperLetter"/>
      <w:start w:val="1"/>
    </w:lvl>
    <w:lvl w:ilvl="1">
      <w:lvlJc w:val="left"/>
      <w:lvlText w:val="(%2)"/>
      <w:numFmt w:val="lowerLetter"/>
      <w:start w:val="1"/>
    </w:lvl>
  </w:abstractNum>
  <w:abstractNum w:abstractNumId="38">
    <w:nsid w:val="501F9786"/>
    <w:multiLevelType w:val="hybridMultilevel"/>
    <w:lvl w:ilvl="0">
      <w:lvlJc w:val="left"/>
      <w:lvlText w:val="(%1)"/>
      <w:numFmt w:val="upperLetter"/>
      <w:start w:val="1"/>
    </w:lvl>
    <w:lvl w:ilvl="1">
      <w:lvlJc w:val="left"/>
      <w:lvlText w:val="(%2)"/>
      <w:numFmt w:val="lowerLetter"/>
      <w:start w:val="2"/>
    </w:lvl>
  </w:abstractNum>
  <w:abstractNum w:abstractNumId="39">
    <w:nsid w:val="6B057295"/>
    <w:multiLevelType w:val="hybridMultilevel"/>
    <w:lvl w:ilvl="0">
      <w:lvlJc w:val="left"/>
      <w:lvlText w:val="%1"/>
      <w:numFmt w:val="upperLetter"/>
      <w:start w:val="1"/>
    </w:lvl>
    <w:lvl w:ilvl="1">
      <w:lvlJc w:val="left"/>
      <w:lvlText w:val="(%2)"/>
      <w:numFmt w:val="lowerLetter"/>
      <w:start w:val="1"/>
    </w:lvl>
  </w:abstractNum>
  <w:abstractNum w:abstractNumId="40">
    <w:nsid w:val="2771AC80"/>
    <w:multiLevelType w:val="hybridMultilevel"/>
    <w:lvl w:ilvl="0">
      <w:lvlJc w:val="left"/>
      <w:lvlText w:val="(%1)"/>
      <w:numFmt w:val="upperLetter"/>
      <w:start w:val="1"/>
    </w:lvl>
    <w:lvl w:ilvl="1">
      <w:lvlJc w:val="left"/>
      <w:lvlText w:val="(%2)"/>
      <w:numFmt w:val="lowerLetter"/>
      <w:start w:val="2"/>
    </w:lvl>
  </w:abstractNum>
  <w:abstractNum w:abstractNumId="41">
    <w:nsid w:val="1C4A08EC"/>
    <w:multiLevelType w:val="hybridMultilevel"/>
    <w:lvl w:ilvl="0">
      <w:lvlJc w:val="left"/>
      <w:lvlText w:val="(%1)"/>
      <w:numFmt w:val="lowerLetter"/>
      <w:start w:val="5"/>
    </w:lvl>
  </w:abstractNum>
  <w:abstractNum w:abstractNumId="42">
    <w:nsid w:val="1958BD17"/>
    <w:multiLevelType w:val="hybridMultilevel"/>
    <w:lvl w:ilvl="0">
      <w:lvlJc w:val="left"/>
      <w:lvlText w:val="(%1)"/>
      <w:numFmt w:val="lowerLetter"/>
      <w:start w:val="1"/>
    </w:lvl>
    <w:lvl w:ilvl="1">
      <w:lvlJc w:val="left"/>
      <w:lvlText w:val="(%2)"/>
      <w:numFmt w:val="lowerLetter"/>
      <w:start w:val="9"/>
    </w:lvl>
  </w:abstractNum>
  <w:abstractNum w:abstractNumId="43">
    <w:nsid w:val="4E647FE4"/>
    <w:multiLevelType w:val="hybridMultilevel"/>
    <w:lvl w:ilvl="0">
      <w:lvlJc w:val="left"/>
      <w:lvlText w:val="(%1)"/>
      <w:numFmt w:val="lowerRoman"/>
      <w:start w:val="2"/>
    </w:lvl>
  </w:abstractNum>
  <w:abstractNum w:abstractNumId="44">
    <w:nsid w:val="E0BB885"/>
    <w:multiLevelType w:val="hybridMultilevel"/>
    <w:lvl w:ilvl="0">
      <w:lvlJc w:val="left"/>
      <w:lvlText w:val="(%1)"/>
      <w:numFmt w:val="lowerLetter"/>
      <w:start w:val="3"/>
    </w:lvl>
    <w:lvl w:ilvl="1">
      <w:lvlJc w:val="left"/>
      <w:lvlText w:val="(%2)"/>
      <w:numFmt w:val="lowerRoman"/>
      <w:start w:val="1"/>
    </w:lvl>
  </w:abstractNum>
  <w:abstractNum w:abstractNumId="45">
    <w:nsid w:val="565976F1"/>
    <w:multiLevelType w:val="hybridMultilevel"/>
    <w:lvl w:ilvl="0">
      <w:lvlJc w:val="left"/>
      <w:lvlText w:val="(%1)"/>
      <w:numFmt w:val="lowerLetter"/>
      <w:start w:val="1"/>
    </w:lvl>
  </w:abstractNum>
  <w:abstractNum w:abstractNumId="46">
    <w:nsid w:val="64212B8C"/>
    <w:multiLevelType w:val="hybridMultilevel"/>
    <w:lvl w:ilvl="0">
      <w:lvlJc w:val="left"/>
      <w:lvlText w:val="(%1)"/>
      <w:numFmt w:val="lowerLetter"/>
      <w:start w:val="3"/>
    </w:lvl>
  </w:abstractNum>
  <w:abstractNum w:abstractNumId="47">
    <w:nsid w:val="5C17530C"/>
    <w:multiLevelType w:val="hybridMultilevel"/>
    <w:lvl w:ilvl="0">
      <w:lvlJc w:val="left"/>
      <w:lvlText w:val="(%1)"/>
      <w:numFmt w:val="lowerLetter"/>
      <w:start w:val="5"/>
    </w:lvl>
  </w:abstractNum>
  <w:abstractNum w:abstractNumId="48">
    <w:nsid w:val="19A52566"/>
    <w:multiLevelType w:val="hybridMultilevel"/>
    <w:lvl w:ilvl="0">
      <w:lvlJc w:val="left"/>
      <w:lvlText w:val="(%1)"/>
      <w:numFmt w:val="lowerLetter"/>
      <w:start w:val="1"/>
    </w:lvl>
  </w:abstractNum>
  <w:abstractNum w:abstractNumId="49">
    <w:nsid w:val="335A1DF1"/>
    <w:multiLevelType w:val="hybridMultilevel"/>
    <w:lvl w:ilvl="0">
      <w:lvlJc w:val="left"/>
      <w:lvlText w:val="(%1)"/>
      <w:numFmt w:val="lowerLetter"/>
      <w:start w:val="1"/>
    </w:lvl>
  </w:abstractNum>
  <w:abstractNum w:abstractNumId="50">
    <w:nsid w:val="28677B7C"/>
    <w:multiLevelType w:val="hybridMultilevel"/>
    <w:lvl w:ilvl="0">
      <w:lvlJc w:val="left"/>
      <w:lvlText w:val="(%1)"/>
      <w:numFmt w:val="lowerLetter"/>
      <w:start w:val="3"/>
    </w:lvl>
  </w:abstractNum>
  <w:abstractNum w:abstractNumId="51">
    <w:nsid w:val="378D97C0"/>
    <w:multiLevelType w:val="hybridMultilevel"/>
    <w:lvl w:ilvl="0">
      <w:lvlJc w:val="left"/>
      <w:lvlText w:val="(%1)"/>
      <w:numFmt w:val="lowerLetter"/>
      <w:start w:val="1"/>
    </w:lvl>
  </w:abstractNum>
  <w:abstractNum w:abstractNumId="52">
    <w:nsid w:val="1D91467C"/>
    <w:multiLevelType w:val="hybridMultilevel"/>
    <w:lvl w:ilvl="0">
      <w:lvlJc w:val="left"/>
      <w:lvlText w:val="(%1)"/>
      <w:numFmt w:val="lowerLetter"/>
      <w:start w:val="2"/>
    </w:lvl>
  </w:abstractNum>
  <w:abstractNum w:abstractNumId="53">
    <w:nsid w:val="316032BB"/>
    <w:multiLevelType w:val="hybridMultilevel"/>
    <w:lvl w:ilvl="0">
      <w:lvlJc w:val="left"/>
      <w:lvlText w:val="(%1)"/>
      <w:numFmt w:val="lowerLetter"/>
      <w:start w:val="1"/>
    </w:lvl>
  </w:abstractNum>
  <w:abstractNum w:abstractNumId="54">
    <w:nsid w:val="44344C22"/>
    <w:multiLevelType w:val="hybridMultilevel"/>
    <w:lvl w:ilvl="0">
      <w:lvlJc w:val="left"/>
      <w:lvlText w:val="(%1)"/>
      <w:numFmt w:val="lowerLetter"/>
      <w:start w:val="10"/>
    </w:lvl>
  </w:abstractNum>
  <w:abstractNum w:abstractNumId="55">
    <w:nsid w:val="13CDFCFC"/>
    <w:multiLevelType w:val="hybridMultilevel"/>
    <w:lvl w:ilvl="0">
      <w:lvlJc w:val="left"/>
      <w:lvlText w:val="%1"/>
      <w:numFmt w:val="decimal"/>
      <w:start w:val="1"/>
    </w:lvl>
    <w:lvl w:ilvl="1">
      <w:lvlJc w:val="left"/>
      <w:lvlText w:val="(%2)"/>
      <w:numFmt w:val="lowerLetter"/>
      <w:start w:val="1"/>
    </w:lvl>
  </w:abstractNum>
  <w:abstractNum w:abstractNumId="56">
    <w:nsid w:val="471745E4"/>
    <w:multiLevelType w:val="hybridMultilevel"/>
    <w:lvl w:ilvl="0">
      <w:lvlJc w:val="left"/>
      <w:lvlText w:val="(%1)"/>
      <w:numFmt w:val="decimal"/>
      <w:start w:val="10"/>
    </w:lvl>
    <w:lvl w:ilvl="1">
      <w:lvlJc w:val="left"/>
      <w:lvlText w:val="%2"/>
      <w:numFmt w:val="lowerLetter"/>
      <w:start w:val="1"/>
    </w:lvl>
  </w:abstractNum>
  <w:abstractNum w:abstractNumId="57">
    <w:nsid w:val="1DDBC66"/>
    <w:multiLevelType w:val="hybridMultilevel"/>
    <w:lvl w:ilvl="0">
      <w:lvlJc w:val="left"/>
      <w:lvlText w:val="(%1)"/>
      <w:numFmt w:val="lowerLetter"/>
      <w:start w:val="1"/>
    </w:lvl>
  </w:abstractNum>
  <w:abstractNum w:abstractNumId="58">
    <w:nsid w:val="30AADFDA"/>
    <w:multiLevelType w:val="hybridMultilevel"/>
    <w:lvl w:ilvl="0">
      <w:lvlJc w:val="left"/>
      <w:lvlText w:val="%1"/>
      <w:numFmt w:val="lowerLetter"/>
      <w:start w:val="1"/>
    </w:lvl>
    <w:lvl w:ilvl="1">
      <w:lvlJc w:val="left"/>
      <w:lvlText w:val="(%2)"/>
      <w:numFmt w:val="lowerLetter"/>
      <w:start w:val="1"/>
    </w:lvl>
  </w:abstractNum>
  <w:abstractNum w:abstractNumId="59">
    <w:nsid w:val="30EADA61"/>
    <w:multiLevelType w:val="hybridMultilevel"/>
    <w:lvl w:ilvl="0">
      <w:lvlJc w:val="left"/>
      <w:lvlText w:val="(%1)"/>
      <w:numFmt w:val="lowerLetter"/>
      <w:start w:val="35"/>
    </w:lvl>
    <w:lvl w:ilvl="1">
      <w:lvlJc w:val="left"/>
      <w:lvlText w:val="(%2)"/>
      <w:numFmt w:val="lowerLetter"/>
      <w:start w:val="2"/>
    </w:lvl>
  </w:abstractNum>
  <w:abstractNum w:abstractNumId="60">
    <w:nsid w:val="27179C0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1">
    <w:nsid w:val="5E63606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2">
    <w:nsid w:val="215641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3">
    <w:nsid w:val="53280662"/>
    <w:multiLevelType w:val="hybridMultilevel"/>
    <w:lvl w:ilvl="0">
      <w:lvlJc w:val="left"/>
      <w:lvlText w:val="(%1)"/>
      <w:numFmt w:val="lowerLetter"/>
      <w:start w:val="1"/>
    </w:lvl>
    <w:lvl w:ilvl="1">
      <w:lvlJc w:val="left"/>
      <w:lvlText w:val="(%2)"/>
      <w:numFmt w:val="lowerRoman"/>
      <w:start w:val="1"/>
    </w:lvl>
  </w:abstractNum>
  <w:abstractNum w:abstractNumId="64">
    <w:nsid w:val="46B24DBC"/>
    <w:multiLevelType w:val="hybridMultilevel"/>
    <w:lvl w:ilvl="0">
      <w:lvlJc w:val="left"/>
      <w:lvlText w:val="(%1)"/>
      <w:numFmt w:val="lowerRoman"/>
      <w:start w:val="5"/>
    </w:lvl>
  </w:abstractNum>
  <w:abstractNum w:abstractNumId="65">
    <w:nsid w:val="75B52783"/>
    <w:multiLevelType w:val="hybridMultilevel"/>
    <w:lvl w:ilvl="0">
      <w:lvlJc w:val="left"/>
      <w:lvlText w:val="(%1)"/>
      <w:numFmt w:val="lowerLetter"/>
      <w:start w:val="1"/>
    </w:lvl>
  </w:abstractNum>
  <w:abstractNum w:abstractNumId="66">
    <w:nsid w:val="57CE66B4"/>
    <w:multiLevelType w:val="hybridMultilevel"/>
    <w:lvl w:ilvl="0">
      <w:lvlJc w:val="left"/>
      <w:lvlText w:val="%1"/>
      <w:numFmt w:val="upperLetter"/>
      <w:start w:val="1"/>
    </w:lvl>
    <w:lvl w:ilvl="1">
      <w:lvlJc w:val="left"/>
      <w:lvlText w:val="(%2)"/>
      <w:numFmt w:val="lowerLetter"/>
      <w:start w:val="1"/>
    </w:lvl>
  </w:abstractNum>
  <w:abstractNum w:abstractNumId="67">
    <w:nsid w:val="67A70B69"/>
    <w:multiLevelType w:val="hybridMultilevel"/>
    <w:lvl w:ilvl="0">
      <w:lvlJc w:val="left"/>
      <w:lvlText w:val="(%1)"/>
      <w:numFmt w:val="upperLetter"/>
      <w:start w:val="1"/>
    </w:lvl>
    <w:lvl w:ilvl="1">
      <w:lvlJc w:val="left"/>
      <w:lvlText w:val="(%2)"/>
      <w:numFmt w:val="lowerLetter"/>
      <w:start w:val="2"/>
    </w:lvl>
  </w:abstractNum>
  <w:abstractNum w:abstractNumId="68">
    <w:nsid w:val="5953172F"/>
    <w:multiLevelType w:val="hybridMultilevel"/>
    <w:lvl w:ilvl="0">
      <w:lvlJc w:val="left"/>
      <w:lvlText w:val="%1"/>
      <w:numFmt w:val="upperLetter"/>
      <w:start w:val="1"/>
    </w:lvl>
    <w:lvl w:ilvl="1">
      <w:lvlJc w:val="left"/>
      <w:lvlText w:val="(%2)"/>
      <w:numFmt w:val="lowerLetter"/>
      <w:start w:val="1"/>
    </w:lvl>
  </w:abstractNum>
  <w:abstractNum w:abstractNumId="69">
    <w:nsid w:val="27EDFE3A"/>
    <w:multiLevelType w:val="hybridMultilevel"/>
    <w:lvl w:ilvl="0">
      <w:lvlJc w:val="left"/>
      <w:lvlText w:val="(%1)"/>
      <w:numFmt w:val="upperLetter"/>
      <w:start w:val="1"/>
    </w:lvl>
    <w:lvl w:ilvl="1">
      <w:lvlJc w:val="left"/>
      <w:lvlText w:val="(%2)"/>
      <w:numFmt w:val="lowerLetter"/>
      <w:start w:val="2"/>
    </w:lvl>
  </w:abstractNum>
  <w:abstractNum w:abstractNumId="70">
    <w:nsid w:val="52AC7DFF"/>
    <w:multiLevelType w:val="hybridMultilevel"/>
    <w:lvl w:ilvl="0">
      <w:lvlJc w:val="left"/>
      <w:lvlText w:val="(%1)"/>
      <w:numFmt w:val="lowerLetter"/>
      <w:start w:val="5"/>
    </w:lvl>
  </w:abstractNum>
  <w:abstractNum w:abstractNumId="71">
    <w:nsid w:val="C4C3AF"/>
    <w:multiLevelType w:val="hybridMultilevel"/>
    <w:lvl w:ilvl="0">
      <w:lvlJc w:val="left"/>
      <w:lvlText w:val="(%1)"/>
      <w:numFmt w:val="lowerLetter"/>
      <w:start w:val="1"/>
    </w:lvl>
    <w:lvl w:ilvl="1">
      <w:lvlJc w:val="left"/>
      <w:lvlText w:val="(%2)"/>
      <w:numFmt w:val="lowerLetter"/>
      <w:start w:val="9"/>
    </w:lvl>
  </w:abstractNum>
  <w:abstractNum w:abstractNumId="72">
    <w:nsid w:val="44380727"/>
    <w:multiLevelType w:val="hybridMultilevel"/>
    <w:lvl w:ilvl="0">
      <w:lvlJc w:val="left"/>
      <w:lvlText w:val="(%1)"/>
      <w:numFmt w:val="lowerRoman"/>
      <w:start w:val="2"/>
    </w:lvl>
  </w:abstractNum>
  <w:abstractNum w:abstractNumId="73">
    <w:nsid w:val="6C053B16"/>
    <w:multiLevelType w:val="hybridMultilevel"/>
    <w:lvl w:ilvl="0">
      <w:lvlJc w:val="left"/>
      <w:lvlText w:val="(%1)"/>
      <w:numFmt w:val="lowerLetter"/>
      <w:start w:val="3"/>
    </w:lvl>
    <w:lvl w:ilvl="1">
      <w:lvlJc w:val="left"/>
      <w:lvlText w:val="(%2)"/>
      <w:numFmt w:val="lowerRoman"/>
      <w:start w:val="1"/>
    </w:lvl>
  </w:abstractNum>
  <w:abstractNum w:abstractNumId="74">
    <w:nsid w:val="4F294393"/>
    <w:multiLevelType w:val="hybridMultilevel"/>
    <w:lvl w:ilvl="0">
      <w:lvlJc w:val="left"/>
      <w:lvlText w:val="(%1)"/>
      <w:numFmt w:val="lowerLetter"/>
      <w:start w:val="1"/>
    </w:lvl>
  </w:abstractNum>
  <w:abstractNum w:abstractNumId="75">
    <w:nsid w:val="5243BFAC"/>
    <w:multiLevelType w:val="hybridMultilevel"/>
    <w:lvl w:ilvl="0">
      <w:lvlJc w:val="left"/>
      <w:lvlText w:val="(%1)"/>
      <w:numFmt w:val="lowerLetter"/>
      <w:start w:val="3"/>
    </w:lvl>
  </w:abstractNum>
  <w:abstractNum w:abstractNumId="76">
    <w:nsid w:val="425EB207"/>
    <w:multiLevelType w:val="hybridMultilevel"/>
    <w:lvl w:ilvl="0">
      <w:lvlJc w:val="left"/>
      <w:lvlText w:val="(%1)"/>
      <w:numFmt w:val="lowerLetter"/>
      <w:start w:val="5"/>
    </w:lvl>
  </w:abstractNum>
  <w:abstractNum w:abstractNumId="77">
    <w:nsid w:val="334A6F1F"/>
    <w:multiLevelType w:val="hybridMultilevel"/>
    <w:lvl w:ilvl="0">
      <w:lvlJc w:val="left"/>
      <w:lvlText w:val="(%1)"/>
      <w:numFmt w:val="lowerLetter"/>
      <w:start w:val="1"/>
    </w:lvl>
  </w:abstractNum>
  <w:abstractNum w:abstractNumId="78">
    <w:nsid w:val="2E5B12B8"/>
    <w:multiLevelType w:val="hybridMultilevel"/>
    <w:lvl w:ilvl="0">
      <w:lvlJc w:val="left"/>
      <w:lvlText w:val="(%1)"/>
      <w:numFmt w:val="lowerLetter"/>
      <w:start w:val="1"/>
    </w:lvl>
  </w:abstractNum>
  <w:abstractNum w:abstractNumId="79">
    <w:nsid w:val="5C03D76D"/>
    <w:multiLevelType w:val="hybridMultilevel"/>
    <w:lvl w:ilvl="0">
      <w:lvlJc w:val="left"/>
      <w:lvlText w:val="(%1)"/>
      <w:numFmt w:val="lowerLetter"/>
      <w:start w:val="3"/>
    </w:lvl>
  </w:abstractNum>
  <w:abstractNum w:abstractNumId="80">
    <w:nsid w:val="66A48D11"/>
    <w:multiLevelType w:val="hybridMultilevel"/>
    <w:lvl w:ilvl="0">
      <w:lvlJc w:val="left"/>
      <w:lvlText w:val="(%1)"/>
      <w:numFmt w:val="lowerLetter"/>
      <w:start w:val="1"/>
    </w:lvl>
  </w:abstractNum>
  <w:abstractNum w:abstractNumId="81">
    <w:nsid w:val="56C28E34"/>
    <w:multiLevelType w:val="hybridMultilevel"/>
    <w:lvl w:ilvl="0">
      <w:lvlJc w:val="left"/>
      <w:lvlText w:val="(%1)"/>
      <w:numFmt w:val="lowerLetter"/>
      <w:start w:val="2"/>
    </w:lvl>
  </w:abstractNum>
  <w:abstractNum w:abstractNumId="82">
    <w:nsid w:val="13916F2D"/>
    <w:multiLevelType w:val="hybridMultilevel"/>
    <w:lvl w:ilvl="0">
      <w:lvlJc w:val="left"/>
      <w:lvlText w:val="(%1)"/>
      <w:numFmt w:val="lowerLetter"/>
      <w:start w:val="1"/>
    </w:lvl>
  </w:abstractNum>
  <w:abstractNum w:abstractNumId="83">
    <w:nsid w:val="435D38D"/>
    <w:multiLevelType w:val="hybridMultilevel"/>
    <w:lvl w:ilvl="0">
      <w:lvlJc w:val="left"/>
      <w:lvlText w:val="(%1)"/>
      <w:numFmt w:val="lowerLetter"/>
      <w:start w:val="10"/>
    </w:lvl>
  </w:abstractNum>
  <w:abstractNum w:abstractNumId="84">
    <w:nsid w:val="822C0EF"/>
    <w:multiLevelType w:val="hybridMultilevel"/>
    <w:lvl w:ilvl="0">
      <w:lvlJc w:val="left"/>
      <w:lvlText w:val="%1"/>
      <w:numFmt w:val="decimal"/>
      <w:start w:val="1"/>
    </w:lvl>
    <w:lvl w:ilvl="1">
      <w:lvlJc w:val="left"/>
      <w:lvlText w:val="(%2)"/>
      <w:numFmt w:val="lowerLetter"/>
      <w:start w:val="1"/>
    </w:lvl>
  </w:abstractNum>
  <w:abstractNum w:abstractNumId="85">
    <w:nsid w:val="57C5BB4F"/>
    <w:multiLevelType w:val="hybridMultilevel"/>
    <w:lvl w:ilvl="0">
      <w:lvlJc w:val="left"/>
      <w:lvlText w:val="(%1)"/>
      <w:numFmt w:val="decimal"/>
      <w:start w:val="10"/>
    </w:lvl>
    <w:lvl w:ilvl="1">
      <w:lvlJc w:val="left"/>
      <w:lvlText w:val="%2"/>
      <w:numFmt w:val="lowerLetter"/>
      <w:start w:val="1"/>
    </w:lvl>
  </w:abstractNum>
  <w:abstractNum w:abstractNumId="86">
    <w:nsid w:val="1803D089"/>
    <w:multiLevelType w:val="hybridMultilevel"/>
    <w:lvl w:ilvl="0">
      <w:lvlJc w:val="left"/>
      <w:lvlText w:val="(%1)"/>
      <w:numFmt w:val="lowerLetter"/>
      <w:start w:val="1"/>
    </w:lvl>
  </w:abstractNum>
  <w:abstractNum w:abstractNumId="87">
    <w:nsid w:val="4F3A06D4"/>
    <w:multiLevelType w:val="hybridMultilevel"/>
    <w:lvl w:ilvl="0">
      <w:lvlJc w:val="left"/>
      <w:lvlText w:val="%1"/>
      <w:numFmt w:val="lowerLetter"/>
      <w:start w:val="1"/>
    </w:lvl>
    <w:lvl w:ilvl="1">
      <w:lvlJc w:val="left"/>
      <w:lvlText w:val="(%2)"/>
      <w:numFmt w:val="lowerLetter"/>
      <w:start w:val="1"/>
    </w:lvl>
  </w:abstractNum>
  <w:abstractNum w:abstractNumId="88">
    <w:nsid w:val="59A377B6"/>
    <w:multiLevelType w:val="hybridMultilevel"/>
    <w:lvl w:ilvl="0">
      <w:lvlJc w:val="left"/>
      <w:lvlText w:val="(%1)"/>
      <w:numFmt w:val="lowerLetter"/>
      <w:start w:val="35"/>
    </w:lvl>
    <w:lvl w:ilvl="1">
      <w:lvlJc w:val="left"/>
      <w:lvlText w:val="(%2)"/>
      <w:numFmt w:val="lowerLetter"/>
      <w:start w:val="2"/>
    </w:lvl>
  </w:abstractNum>
  <w:abstractNum w:abstractNumId="89">
    <w:nsid w:val="48AEB063"/>
    <w:multiLevelType w:val="hybridMultilevel"/>
    <w:lvl w:ilvl="0">
      <w:lvlJc w:val="left"/>
      <w:lvlText w:val="(%1)"/>
      <w:numFmt w:val="lowerLetter"/>
      <w:start w:val="2"/>
    </w:lvl>
    <w:lvl w:ilvl="1">
      <w:lvlJc w:val="left"/>
      <w:lvlText w:val="%2"/>
      <w:numFmt w:val="lowerLetter"/>
      <w:start w:val="1"/>
    </w:lvl>
  </w:abstractNum>
  <w:abstractNum w:abstractNumId="90">
    <w:nsid w:val="24E13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1">
    <w:nsid w:val="BB13C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271210C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3">
    <w:nsid w:val="217B22E4"/>
    <w:multiLevelType w:val="hybridMultilevel"/>
    <w:lvl w:ilvl="0">
      <w:lvlJc w:val="left"/>
      <w:lvlText w:val="(%1)"/>
      <w:numFmt w:val="lowerLetter"/>
      <w:start w:val="1"/>
    </w:lvl>
    <w:lvl w:ilvl="1">
      <w:lvlJc w:val="left"/>
      <w:lvlText w:val="(%2)"/>
      <w:numFmt w:val="lowerRoman"/>
      <w:start w:val="1"/>
    </w:lvl>
  </w:abstractNum>
  <w:abstractNum w:abstractNumId="94">
    <w:nsid w:val="53E31A24"/>
    <w:multiLevelType w:val="hybridMultilevel"/>
    <w:lvl w:ilvl="0">
      <w:lvlJc w:val="left"/>
      <w:lvlText w:val="(%1)"/>
      <w:numFmt w:val="lowerRoman"/>
      <w:start w:val="6"/>
    </w:lvl>
  </w:abstractNum>
  <w:abstractNum w:abstractNumId="95">
    <w:nsid w:val="6DC45E83"/>
    <w:multiLevelType w:val="hybridMultilevel"/>
    <w:lvl w:ilvl="0">
      <w:lvlJc w:val="left"/>
      <w:lvlText w:val="(%1)"/>
      <w:numFmt w:val="lowerLetter"/>
      <w:start w:val="1"/>
    </w:lvl>
  </w:abstractNum>
  <w:abstractNum w:abstractNumId="96">
    <w:nsid w:val="17304A67"/>
    <w:multiLevelType w:val="hybridMultilevel"/>
    <w:lvl w:ilvl="0">
      <w:lvlJc w:val="left"/>
      <w:lvlText w:val="(%1)"/>
      <w:numFmt w:val="decimal"/>
      <w:start w:val="30"/>
    </w:lvl>
    <w:lvl w:ilvl="1">
      <w:lvlJc w:val="left"/>
      <w:lvlText w:val="(%2)"/>
      <w:numFmt w:val="lowerLetter"/>
      <w:start w:val="1"/>
    </w:lvl>
  </w:abstractNum>
  <w:abstractNum w:abstractNumId="97">
    <w:nsid w:val="2BB180D8"/>
    <w:multiLevelType w:val="hybridMultilevel"/>
    <w:lvl w:ilvl="0">
      <w:lvlJc w:val="left"/>
      <w:lvlText w:val="%1"/>
      <w:numFmt w:val="upperLetter"/>
      <w:start w:val="1"/>
    </w:lvl>
    <w:lvl w:ilvl="1">
      <w:lvlJc w:val="left"/>
      <w:lvlText w:val="(%2)"/>
      <w:numFmt w:val="lowerLetter"/>
      <w:start w:val="1"/>
    </w:lvl>
  </w:abstractNum>
  <w:abstractNum w:abstractNumId="98">
    <w:nsid w:val="556B69ED"/>
    <w:multiLevelType w:val="hybridMultilevel"/>
    <w:lvl w:ilvl="0">
      <w:lvlJc w:val="left"/>
      <w:lvlText w:val="(%1)"/>
      <w:numFmt w:val="upperLetter"/>
      <w:start w:val="1"/>
    </w:lvl>
    <w:lvl w:ilvl="1">
      <w:lvlJc w:val="left"/>
      <w:lvlText w:val="(%2)"/>
      <w:numFmt w:val="lowerLetter"/>
      <w:start w:val="2"/>
    </w:lvl>
  </w:abstractNum>
  <w:abstractNum w:abstractNumId="99">
    <w:nsid w:val="70836196"/>
    <w:multiLevelType w:val="hybridMultilevel"/>
    <w:lvl w:ilvl="0">
      <w:lvlJc w:val="left"/>
      <w:lvlText w:val="(%1)"/>
      <w:numFmt w:val="lowerLetter"/>
      <w:start w:val="3"/>
    </w:lvl>
  </w:abstractNum>
  <w:abstractNum w:abstractNumId="100">
    <w:nsid w:val="539F7F12"/>
    <w:multiLevelType w:val="hybridMultilevel"/>
    <w:lvl w:ilvl="0">
      <w:lvlJc w:val="left"/>
      <w:lvlText w:val="(%1)"/>
      <w:numFmt w:val="lowerLetter"/>
      <w:start w:val="8"/>
    </w:lvl>
  </w:abstractNum>
  <w:abstractNum w:abstractNumId="101">
    <w:nsid w:val="2817E7EC"/>
    <w:multiLevelType w:val="hybridMultilevel"/>
    <w:lvl w:ilvl="0">
      <w:lvlJc w:val="left"/>
      <w:lvlText w:val="(%1)"/>
      <w:numFmt w:val="lowerLetter"/>
      <w:start w:val="1"/>
    </w:lvl>
    <w:lvl w:ilvl="1">
      <w:lvlJc w:val="left"/>
      <w:lvlText w:val="(%2)"/>
      <w:numFmt w:val="lowerRoman"/>
      <w:start w:val="1"/>
    </w:lvl>
  </w:abstractNum>
  <w:abstractNum w:abstractNumId="102">
    <w:nsid w:val="71482545"/>
    <w:multiLevelType w:val="hybridMultilevel"/>
    <w:lvl w:ilvl="0">
      <w:lvlJc w:val="left"/>
      <w:lvlText w:val="(%1)"/>
      <w:numFmt w:val="lowerLetter"/>
      <w:start w:val="3"/>
    </w:lvl>
    <w:lvl w:ilvl="1">
      <w:lvlJc w:val="left"/>
      <w:lvlText w:val="(%2)"/>
      <w:numFmt w:val="lowerRoman"/>
      <w:start w:val="1"/>
    </w:lvl>
  </w:abstractNum>
  <w:abstractNum w:abstractNumId="103">
    <w:nsid w:val="17D78639"/>
    <w:multiLevelType w:val="hybridMultilevel"/>
    <w:lvl w:ilvl="0">
      <w:lvlJc w:val="left"/>
      <w:lvlText w:val="(%1)"/>
      <w:numFmt w:val="lowerLetter"/>
      <w:start w:val="1"/>
    </w:lvl>
  </w:abstractNum>
  <w:abstractNum w:abstractNumId="104">
    <w:nsid w:val="141D2302"/>
    <w:multiLevelType w:val="hybridMultilevel"/>
    <w:lvl w:ilvl="0">
      <w:lvlJc w:val="left"/>
      <w:lvlText w:val="(%1)"/>
      <w:numFmt w:val="lowerLetter"/>
      <w:start w:val="5"/>
    </w:lvl>
  </w:abstractNum>
  <w:abstractNum w:abstractNumId="105">
    <w:nsid w:val="407168D8"/>
    <w:multiLevelType w:val="hybridMultilevel"/>
    <w:lvl w:ilvl="0">
      <w:lvlJc w:val="left"/>
      <w:lvlText w:val="(%1)"/>
      <w:numFmt w:val="lowerLetter"/>
      <w:start w:val="1"/>
    </w:lvl>
  </w:abstractNum>
  <w:abstractNum w:abstractNumId="106">
    <w:nsid w:val="6A1B45E5"/>
    <w:multiLevelType w:val="hybridMultilevel"/>
    <w:lvl w:ilvl="0">
      <w:lvlJc w:val="left"/>
      <w:lvlText w:val="(%1)"/>
      <w:numFmt w:val="lowerLetter"/>
      <w:start w:val="1"/>
    </w:lvl>
  </w:abstractNum>
  <w:abstractNum w:abstractNumId="107">
    <w:nsid w:val="567BD50A"/>
    <w:multiLevelType w:val="hybridMultilevel"/>
    <w:lvl w:ilvl="0">
      <w:lvlJc w:val="left"/>
      <w:lvlText w:val="(%1)"/>
      <w:numFmt w:val="lowerLetter"/>
      <w:start w:val="1"/>
    </w:lvl>
  </w:abstractNum>
  <w:abstractNum w:abstractNumId="108">
    <w:nsid w:val="73BBD7F8"/>
    <w:multiLevelType w:val="hybridMultilevel"/>
    <w:lvl w:ilvl="0">
      <w:lvlJc w:val="left"/>
      <w:lvlText w:val="(%1)"/>
      <w:numFmt w:val="lowerLetter"/>
      <w:start w:val="1"/>
    </w:lvl>
  </w:abstractNum>
  <w:abstractNum w:abstractNumId="109">
    <w:nsid w:val="1876589D"/>
    <w:multiLevelType w:val="hybridMultilevel"/>
    <w:lvl w:ilvl="0">
      <w:lvlJc w:val="left"/>
      <w:lvlText w:val="(%1)"/>
      <w:numFmt w:val="lowerLetter"/>
      <w:start w:val="3"/>
    </w:lvl>
  </w:abstractNum>
  <w:abstractNum w:abstractNumId="110">
    <w:nsid w:val="327FAC77"/>
    <w:multiLevelType w:val="hybridMultilevel"/>
    <w:lvl w:ilvl="0">
      <w:lvlJc w:val="left"/>
      <w:lvlText w:val="%1"/>
      <w:numFmt w:val="decimal"/>
      <w:start w:val="1"/>
    </w:lvl>
    <w:lvl w:ilvl="1">
      <w:lvlJc w:val="left"/>
      <w:lvlText w:val="(%2)"/>
      <w:numFmt w:val="lowerLetter"/>
      <w:start w:val="1"/>
    </w:lvl>
  </w:abstractNum>
  <w:abstractNum w:abstractNumId="111">
    <w:nsid w:val="5A606509"/>
    <w:multiLevelType w:val="hybridMultilevel"/>
    <w:lvl w:ilvl="0">
      <w:lvlJc w:val="left"/>
      <w:lvlText w:val="(%1)"/>
      <w:numFmt w:val="decimal"/>
      <w:start w:val="10"/>
    </w:lvl>
    <w:lvl w:ilvl="1">
      <w:lvlJc w:val="left"/>
      <w:lvlText w:val="%2"/>
      <w:numFmt w:val="lowerLetter"/>
      <w:start w:val="1"/>
    </w:lvl>
  </w:abstractNum>
  <w:abstractNum w:abstractNumId="112">
    <w:nsid w:val="6F38E6D1"/>
    <w:multiLevelType w:val="hybridMultilevel"/>
    <w:lvl w:ilvl="0">
      <w:lvlJc w:val="left"/>
      <w:lvlText w:val="(%1)"/>
      <w:numFmt w:val="lowerLetter"/>
      <w:start w:val="1"/>
    </w:lvl>
  </w:abstractNum>
  <w:abstractNum w:abstractNumId="113">
    <w:nsid w:val="46111BA5"/>
    <w:multiLevelType w:val="hybridMultilevel"/>
    <w:lvl w:ilvl="0">
      <w:lvlJc w:val="left"/>
      <w:lvlText w:val="%1"/>
      <w:numFmt w:val="lowerLetter"/>
      <w:start w:val="1"/>
    </w:lvl>
    <w:lvl w:ilvl="1">
      <w:lvlJc w:val="left"/>
      <w:lvlText w:val="(%2)"/>
      <w:numFmt w:val="lowerLetter"/>
      <w:start w:val="1"/>
    </w:lvl>
  </w:abstractNum>
  <w:abstractNum w:abstractNumId="114">
    <w:nsid w:val="5E963896"/>
    <w:multiLevelType w:val="hybridMultilevel"/>
    <w:lvl w:ilvl="0">
      <w:lvlJc w:val="left"/>
      <w:lvlText w:val="(%1)"/>
      <w:numFmt w:val="lowerLetter"/>
      <w:start w:val="35"/>
    </w:lvl>
    <w:lvl w:ilvl="1">
      <w:lvlJc w:val="left"/>
      <w:lvlText w:val="(%2)"/>
      <w:numFmt w:val="lowerLetter"/>
      <w:start w:val="2"/>
    </w:lvl>
  </w:abstractNum>
  <w:abstractNum w:abstractNumId="115">
    <w:nsid w:val="775BA7C1"/>
    <w:multiLevelType w:val="hybridMultilevel"/>
    <w:lvl w:ilvl="0">
      <w:lvlJc w:val="left"/>
      <w:lvlText w:val="(%1)"/>
      <w:numFmt w:val="lowerLetter"/>
      <w:start w:val="2"/>
    </w:lvl>
    <w:lvl w:ilvl="1">
      <w:lvlJc w:val="left"/>
      <w:lvlText w:val="%2"/>
      <w:numFmt w:val="lowerLetter"/>
      <w:start w:val="1"/>
    </w:lvl>
  </w:abstractNum>
  <w:abstractNum w:abstractNumId="116">
    <w:nsid w:val="1DD6D6F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7">
    <w:nsid w:val="769A091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8">
    <w:nsid w:val="4695AE9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9">
    <w:nsid w:val="777A4EAA"/>
    <w:multiLevelType w:val="hybridMultilevel"/>
    <w:lvl w:ilvl="0">
      <w:lvlJc w:val="left"/>
      <w:lvlText w:val="(%1)"/>
      <w:numFmt w:val="lowerLetter"/>
      <w:start w:val="1"/>
    </w:lvl>
    <w:lvl w:ilvl="1">
      <w:lvlJc w:val="left"/>
      <w:lvlText w:val="(%2)"/>
      <w:numFmt w:val="lowerRoman"/>
      <w:start w:val="1"/>
    </w:lvl>
  </w:abstractNum>
  <w:abstractNum w:abstractNumId="120">
    <w:nsid w:val="3F48B982"/>
    <w:multiLevelType w:val="hybridMultilevel"/>
    <w:lvl w:ilvl="0">
      <w:lvlJc w:val="left"/>
      <w:lvlText w:val="(%1)"/>
      <w:numFmt w:val="lowerRoman"/>
      <w:start w:val="6"/>
    </w:lvl>
  </w:abstractNum>
  <w:abstractNum w:abstractNumId="121">
    <w:nsid w:val="46BA8FCA"/>
    <w:multiLevelType w:val="hybridMultilevel"/>
    <w:lvl w:ilvl="0">
      <w:lvlJc w:val="left"/>
      <w:lvlText w:val="(%1)"/>
      <w:numFmt w:val="lowerLetter"/>
      <w:start w:val="1"/>
    </w:lvl>
  </w:abstractNum>
  <w:abstractNum w:abstractNumId="122">
    <w:nsid w:val="7835626C"/>
    <w:multiLevelType w:val="hybridMultilevel"/>
    <w:lvl w:ilvl="0">
      <w:lvlJc w:val="left"/>
      <w:lvlText w:val="(%1)"/>
      <w:numFmt w:val="decimal"/>
      <w:start w:val="30"/>
    </w:lvl>
    <w:lvl w:ilvl="1">
      <w:lvlJc w:val="left"/>
      <w:lvlText w:val="(%2)"/>
      <w:numFmt w:val="lowerLetter"/>
      <w:start w:val="1"/>
    </w:lvl>
  </w:abstractNum>
  <w:abstractNum w:abstractNumId="123">
    <w:nsid w:val="665ACA49"/>
    <w:multiLevelType w:val="hybridMultilevel"/>
    <w:lvl w:ilvl="0">
      <w:lvlJc w:val="left"/>
      <w:lvlText w:val="%1"/>
      <w:numFmt w:val="upperLetter"/>
      <w:start w:val="1"/>
    </w:lvl>
    <w:lvl w:ilvl="1">
      <w:lvlJc w:val="left"/>
      <w:lvlText w:val="(%2)"/>
      <w:numFmt w:val="lowerLetter"/>
      <w:start w:val="1"/>
    </w:lvl>
  </w:abstractNum>
  <w:abstractNum w:abstractNumId="124">
    <w:nsid w:val="6835B2AE"/>
    <w:multiLevelType w:val="hybridMultilevel"/>
    <w:lvl w:ilvl="0">
      <w:lvlJc w:val="left"/>
      <w:lvlText w:val="(%1)"/>
      <w:numFmt w:val="upperLetter"/>
      <w:start w:val="1"/>
    </w:lvl>
    <w:lvl w:ilvl="1">
      <w:lvlJc w:val="left"/>
      <w:lvlText w:val="(%2)"/>
      <w:numFmt w:val="lowerLetter"/>
      <w:start w:val="2"/>
    </w:lvl>
  </w:abstractNum>
  <w:abstractNum w:abstractNumId="125">
    <w:nsid w:val="4C187C90"/>
    <w:multiLevelType w:val="hybridMultilevel"/>
    <w:lvl w:ilvl="0">
      <w:lvlJc w:val="left"/>
      <w:lvlText w:val="(%1)"/>
      <w:numFmt w:val="lowerLetter"/>
      <w:start w:val="5"/>
    </w:lvl>
  </w:abstractNum>
  <w:abstractNum w:abstractNumId="126">
    <w:nsid w:val="541F28CD"/>
    <w:multiLevelType w:val="hybridMultilevel"/>
    <w:lvl w:ilvl="0">
      <w:lvlJc w:val="left"/>
      <w:lvlText w:val="(%1)"/>
      <w:numFmt w:val="lowerLetter"/>
      <w:start w:val="1"/>
    </w:lvl>
    <w:lvl w:ilvl="1">
      <w:lvlJc w:val="left"/>
      <w:lvlText w:val="(%2)"/>
      <w:numFmt w:val="lowerLetter"/>
      <w:start w:val="9"/>
    </w:lvl>
  </w:abstractNum>
  <w:abstractNum w:abstractNumId="127">
    <w:nsid w:val="7F65FD16"/>
    <w:multiLevelType w:val="hybridMultilevel"/>
    <w:lvl w:ilvl="0">
      <w:lvlJc w:val="left"/>
      <w:lvlText w:val="(%1)"/>
      <w:numFmt w:val="lowerLetter"/>
      <w:start w:val="3"/>
    </w:lvl>
    <w:lvl w:ilvl="1">
      <w:lvlJc w:val="left"/>
      <w:lvlText w:val="(%2)"/>
      <w:numFmt w:val="lowerRoman"/>
      <w:start w:val="1"/>
    </w:lvl>
  </w:abstractNum>
  <w:abstractNum w:abstractNumId="128">
    <w:nsid w:val="77C9FD68"/>
    <w:multiLevelType w:val="hybridMultilevel"/>
    <w:lvl w:ilvl="0">
      <w:lvlJc w:val="left"/>
      <w:lvlText w:val="(%1)"/>
      <w:numFmt w:val="lowerLetter"/>
      <w:start w:val="1"/>
    </w:lvl>
  </w:abstractNum>
  <w:abstractNum w:abstractNumId="129">
    <w:nsid w:val="298A92BA"/>
    <w:multiLevelType w:val="hybridMultilevel"/>
    <w:lvl w:ilvl="0">
      <w:lvlJc w:val="left"/>
      <w:lvlText w:val="(%1)"/>
      <w:numFmt w:val="lowerLetter"/>
      <w:start w:val="3"/>
    </w:lvl>
  </w:abstractNum>
  <w:abstractNum w:abstractNumId="130">
    <w:nsid w:val="6FE95EAC"/>
    <w:multiLevelType w:val="hybridMultilevel"/>
    <w:lvl w:ilvl="0">
      <w:lvlJc w:val="left"/>
      <w:lvlText w:val="(%1)"/>
      <w:numFmt w:val="lowerLetter"/>
      <w:start w:val="5"/>
    </w:lvl>
  </w:abstractNum>
  <w:abstractNum w:abstractNumId="131">
    <w:nsid w:val="4B697C7A"/>
    <w:multiLevelType w:val="hybridMultilevel"/>
    <w:lvl w:ilvl="0">
      <w:lvlJc w:val="left"/>
      <w:lvlText w:val="(%1)"/>
      <w:numFmt w:val="lowerLetter"/>
      <w:start w:val="1"/>
    </w:lvl>
  </w:abstractNum>
  <w:abstractNum w:abstractNumId="132">
    <w:nsid w:val="51A27AA6"/>
    <w:multiLevelType w:val="hybridMultilevel"/>
    <w:lvl w:ilvl="0">
      <w:lvlJc w:val="left"/>
      <w:lvlText w:val="(%1)"/>
      <w:numFmt w:val="lowerLetter"/>
      <w:start w:val="1"/>
    </w:lvl>
  </w:abstractNum>
  <w:abstractNum w:abstractNumId="133">
    <w:nsid w:val="613183F2"/>
    <w:multiLevelType w:val="hybridMultilevel"/>
    <w:lvl w:ilvl="0">
      <w:lvlJc w:val="left"/>
      <w:lvlText w:val="(%1)"/>
      <w:numFmt w:val="lowerLetter"/>
      <w:start w:val="3"/>
    </w:lvl>
  </w:abstractNum>
  <w:abstractNum w:abstractNumId="134">
    <w:nsid w:val="634102B4"/>
    <w:multiLevelType w:val="hybridMultilevel"/>
    <w:lvl w:ilvl="0">
      <w:lvlJc w:val="left"/>
      <w:lvlText w:val="(%1)"/>
      <w:numFmt w:val="lowerLetter"/>
      <w:start w:val="1"/>
    </w:lvl>
  </w:abstractNum>
  <w:abstractNum w:abstractNumId="135">
    <w:nsid w:val="65BF9DA8"/>
    <w:multiLevelType w:val="hybridMultilevel"/>
    <w:lvl w:ilvl="0">
      <w:lvlJc w:val="left"/>
      <w:lvlText w:val="(%1)"/>
      <w:numFmt w:val="lowerLetter"/>
      <w:start w:val="2"/>
    </w:lvl>
  </w:abstractNum>
  <w:abstractNum w:abstractNumId="136">
    <w:nsid w:val="21A2ECCA"/>
    <w:multiLevelType w:val="hybridMultilevel"/>
    <w:lvl w:ilvl="0">
      <w:lvlJc w:val="left"/>
      <w:lvlText w:val="(%1)"/>
      <w:numFmt w:val="lowerLetter"/>
      <w:start w:val="1"/>
    </w:lvl>
  </w:abstractNum>
  <w:abstractNum w:abstractNumId="137">
    <w:nsid w:val="4D5C4899"/>
    <w:multiLevelType w:val="hybridMultilevel"/>
    <w:lvl w:ilvl="0">
      <w:lvlJc w:val="left"/>
      <w:lvlText w:val="(%1)"/>
      <w:numFmt w:val="lowerLetter"/>
      <w:start w:val="10"/>
    </w:lvl>
  </w:abstractNum>
  <w:abstractNum w:abstractNumId="138">
    <w:nsid w:val="3C3B72B2"/>
    <w:multiLevelType w:val="hybridMultilevel"/>
    <w:lvl w:ilvl="0">
      <w:lvlJc w:val="left"/>
      <w:lvlText w:val="%1"/>
      <w:numFmt w:val="decimal"/>
      <w:start w:val="1"/>
    </w:lvl>
    <w:lvl w:ilvl="1">
      <w:lvlJc w:val="left"/>
      <w:lvlText w:val="(%2)"/>
      <w:numFmt w:val="lowerLetter"/>
      <w:start w:val="1"/>
    </w:lvl>
  </w:abstractNum>
  <w:abstractNum w:abstractNumId="139">
    <w:nsid w:val="155EC4C2"/>
    <w:multiLevelType w:val="hybridMultilevel"/>
    <w:lvl w:ilvl="0">
      <w:lvlJc w:val="left"/>
      <w:lvlText w:val="(%1)"/>
      <w:numFmt w:val="decimal"/>
      <w:start w:val="10"/>
    </w:lvl>
    <w:lvl w:ilvl="1">
      <w:lvlJc w:val="left"/>
      <w:lvlText w:val="%2"/>
      <w:numFmt w:val="lowerLetter"/>
      <w:start w:val="1"/>
    </w:lvl>
  </w:abstractNum>
  <w:abstractNum w:abstractNumId="140">
    <w:nsid w:val="65D2A137"/>
    <w:multiLevelType w:val="hybridMultilevel"/>
    <w:lvl w:ilvl="0">
      <w:lvlJc w:val="left"/>
      <w:lvlText w:val="(%1)"/>
      <w:numFmt w:val="lowerLetter"/>
      <w:start w:val="1"/>
    </w:lvl>
  </w:abstractNum>
  <w:abstractNum w:abstractNumId="141">
    <w:nsid w:val="6EBB1F2A"/>
    <w:multiLevelType w:val="hybridMultilevel"/>
    <w:lvl w:ilvl="0">
      <w:lvlJc w:val="left"/>
      <w:lvlText w:val="%1."/>
      <w:numFmt w:val="decimal"/>
      <w:start w:val="4"/>
    </w:lvl>
  </w:abstractNum>
  <w:abstractNum w:abstractNumId="142">
    <w:nsid w:val="6FBF29CB"/>
    <w:multiLevelType w:val="hybridMultilevel"/>
    <w:lvl w:ilvl="0">
      <w:lvlJc w:val="left"/>
      <w:lvlText w:val="%1."/>
      <w:numFmt w:val="decimal"/>
      <w:start w:val="1"/>
    </w:lvl>
  </w:abstractNum>
  <w:abstractNum w:abstractNumId="143">
    <w:nsid w:val="550B8808"/>
    <w:multiLevelType w:val="hybridMultilevel"/>
    <w:lvl w:ilvl="0">
      <w:lvlJc w:val="left"/>
      <w:lvlText w:val="%1."/>
      <w:numFmt w:val="decimal"/>
      <w:start w:val="2"/>
    </w:lvl>
  </w:abstractNum>
  <w:abstractNum w:abstractNumId="144">
    <w:nsid w:val="34CC3ACF"/>
    <w:multiLevelType w:val="hybridMultilevel"/>
    <w:lvl w:ilvl="0">
      <w:lvlJc w:val="left"/>
      <w:lvlText w:val="%1."/>
      <w:numFmt w:val="decimal"/>
      <w:start w:val="1"/>
    </w:lvl>
  </w:abstractNum>
  <w:abstractNum w:abstractNumId="145">
    <w:nsid w:val="4E556261"/>
    <w:multiLevelType w:val="hybridMultilevel"/>
    <w:lvl w:ilvl="0">
      <w:lvlJc w:val="left"/>
      <w:lvlText w:val="(%1)"/>
      <w:numFmt w:val="decimal"/>
      <w:start w:val="1"/>
    </w:lvl>
  </w:abstractNum>
  <w:abstractNum w:abstractNumId="146">
    <w:nsid w:val="4C672FC9"/>
    <w:multiLevelType w:val="hybridMultilevel"/>
    <w:lvl w:ilvl="0">
      <w:lvlJc w:val="left"/>
      <w:lvlText w:val="(%1)"/>
      <w:numFmt w:val="decimal"/>
      <w:start w:val="1"/>
    </w:lvl>
  </w:abstractNum>
  <w:abstractNum w:abstractNumId="147">
    <w:nsid w:val="52A311C3"/>
    <w:multiLevelType w:val="hybridMultilevel"/>
    <w:lvl w:ilvl="0">
      <w:lvlJc w:val="left"/>
      <w:lvlText w:val="(%1)"/>
      <w:numFmt w:val="decimal"/>
      <w:start w:val="1"/>
    </w:lvl>
  </w:abstractNum>
  <w:abstractNum w:abstractNumId="148">
    <w:nsid w:val="44EF6B80"/>
    <w:multiLevelType w:val="hybridMultilevel"/>
    <w:lvl w:ilvl="0">
      <w:lvlJc w:val="left"/>
      <w:lvlText w:val="§"/>
      <w:numFmt w:val="bullet"/>
      <w:start w:val="1"/>
    </w:lvl>
  </w:abstractNum>
  <w:abstractNum w:abstractNumId="149">
    <w:nsid w:val="12FCDE5E"/>
    <w:multiLevelType w:val="hybridMultilevel"/>
    <w:lvl w:ilvl="0">
      <w:lvlJc w:val="left"/>
      <w:lvlText w:val="§"/>
      <w:numFmt w:val="bullet"/>
      <w:start w:val="1"/>
    </w:lvl>
  </w:abstractNum>
  <w:abstractNum w:abstractNumId="150">
    <w:nsid w:val="4A1D606E"/>
    <w:multiLevelType w:val="hybridMultilevel"/>
    <w:lvl w:ilvl="0">
      <w:lvlJc w:val="left"/>
      <w:lvlText w:val="§"/>
      <w:numFmt w:val="bullet"/>
      <w:start w:val="1"/>
    </w:lvl>
  </w:abstractNum>
  <w:abstractNum w:abstractNumId="151">
    <w:nsid w:val="4382503"/>
    <w:multiLevelType w:val="hybridMultilevel"/>
    <w:lvl w:ilvl="0">
      <w:lvlJc w:val="left"/>
      <w:lvlText w:val="§"/>
      <w:numFmt w:val="bullet"/>
      <w:start w:val="1"/>
    </w:lvl>
  </w:abstractNum>
  <w:abstractNum w:abstractNumId="152">
    <w:nsid w:val="59B76E28"/>
    <w:multiLevelType w:val="hybridMultilevel"/>
    <w:lvl w:ilvl="0">
      <w:lvlJc w:val="left"/>
      <w:lvlText w:val="§"/>
      <w:numFmt w:val="bullet"/>
      <w:start w:val="1"/>
    </w:lvl>
  </w:abstractNum>
  <w:abstractNum w:abstractNumId="153">
    <w:nsid w:val="4252C2DA"/>
    <w:multiLevelType w:val="hybridMultilevel"/>
    <w:lvl w:ilvl="0">
      <w:lvlJc w:val="left"/>
      <w:lvlText w:val="§"/>
      <w:numFmt w:val="bullet"/>
      <w:start w:val="1"/>
    </w:lvl>
  </w:abstractNum>
  <w:abstractNum w:abstractNumId="154">
    <w:nsid w:val="6A92EF4C"/>
    <w:multiLevelType w:val="hybridMultilevel"/>
    <w:lvl w:ilvl="0">
      <w:lvlJc w:val="left"/>
      <w:lvlText w:val="§"/>
      <w:numFmt w:val="bullet"/>
      <w:start w:val="1"/>
    </w:lvl>
  </w:abstractNum>
  <w:abstractNum w:abstractNumId="155">
    <w:nsid w:val="41ED20D7"/>
    <w:multiLevelType w:val="hybridMultilevel"/>
    <w:lvl w:ilvl="0">
      <w:lvlJc w:val="left"/>
      <w:lvlText w:val="§"/>
      <w:numFmt w:val="bullet"/>
      <w:start w:val="1"/>
    </w:lvl>
  </w:abstractNum>
  <w:abstractNum w:abstractNumId="156">
    <w:nsid w:val="E6B3F6A"/>
    <w:multiLevelType w:val="hybridMultilevel"/>
    <w:lvl w:ilvl="0">
      <w:lvlJc w:val="left"/>
      <w:lvlText w:val="§"/>
      <w:numFmt w:val="bullet"/>
      <w:start w:val="1"/>
    </w:lvl>
  </w:abstractNum>
  <w:abstractNum w:abstractNumId="157">
    <w:nsid w:val="3EB21819"/>
    <w:multiLevelType w:val="hybridMultilevel"/>
    <w:lvl w:ilvl="0">
      <w:lvlJc w:val="left"/>
      <w:lvlText w:val="§"/>
      <w:numFmt w:val="bullet"/>
      <w:start w:val="1"/>
    </w:lvl>
  </w:abstractNum>
  <w:abstractNum w:abstractNumId="158">
    <w:nsid w:val="41531DED"/>
    <w:multiLevelType w:val="hybridMultilevel"/>
    <w:lvl w:ilvl="0">
      <w:lvlJc w:val="left"/>
      <w:lvlText w:val="(%1)"/>
      <w:numFmt w:val="decimal"/>
      <w:start w:val="1"/>
    </w:lvl>
  </w:abstractNum>
  <w:abstractNum w:abstractNumId="159">
    <w:nsid w:val="6353CD2"/>
    <w:multiLevelType w:val="hybridMultilevel"/>
    <w:lvl w:ilvl="0">
      <w:lvlJc w:val="left"/>
      <w:lvlText w:val="§"/>
      <w:numFmt w:val="bullet"/>
      <w:start w:val="1"/>
    </w:lvl>
  </w:abstractNum>
  <w:abstractNum w:abstractNumId="160">
    <w:nsid w:val="683CAAD3"/>
    <w:multiLevelType w:val="hybridMultilevel"/>
    <w:lvl w:ilvl="0">
      <w:lvlJc w:val="left"/>
      <w:lvlText w:val="§"/>
      <w:numFmt w:val="bullet"/>
      <w:start w:val="1"/>
    </w:lvl>
  </w:abstractNum>
  <w:abstractNum w:abstractNumId="161">
    <w:nsid w:val="313C7C99"/>
    <w:multiLevelType w:val="hybridMultilevel"/>
    <w:lvl w:ilvl="0">
      <w:lvlJc w:val="left"/>
      <w:lvlText w:val="%1."/>
      <w:numFmt w:val="decimal"/>
      <w:start w:val="1"/>
    </w:lvl>
    <w:lvl w:ilvl="1">
      <w:lvlJc w:val="left"/>
      <w:lvlText w:val="§"/>
      <w:numFmt w:val="bullet"/>
      <w:start w:val="1"/>
    </w:lvl>
  </w:abstractNum>
  <w:abstractNum w:abstractNumId="162">
    <w:nsid w:val="519EB94C"/>
    <w:multiLevelType w:val="hybridMultilevel"/>
    <w:lvl w:ilvl="0">
      <w:lvlJc w:val="left"/>
      <w:lvlText w:val="§"/>
      <w:numFmt w:val="bullet"/>
      <w:start w:val="1"/>
    </w:lvl>
  </w:abstractNum>
  <w:abstractNum w:abstractNumId="163">
    <w:nsid w:val="39DF2579"/>
    <w:multiLevelType w:val="hybridMultilevel"/>
    <w:lvl w:ilvl="0">
      <w:lvlJc w:val="left"/>
      <w:lvlText w:val="§"/>
      <w:numFmt w:val="bullet"/>
      <w:start w:val="1"/>
    </w:lvl>
  </w:abstractNum>
  <w:abstractNum w:abstractNumId="164">
    <w:nsid w:val="126E008B"/>
    <w:multiLevelType w:val="hybridMultilevel"/>
    <w:lvl w:ilvl="0">
      <w:lvlJc w:val="left"/>
      <w:lvlText w:val="§"/>
      <w:numFmt w:val="bullet"/>
      <w:start w:val="1"/>
    </w:lvl>
  </w:abstractNum>
  <w:abstractNum w:abstractNumId="165">
    <w:nsid w:val="34DFBC00"/>
    <w:multiLevelType w:val="hybridMultilevel"/>
    <w:lvl w:ilvl="0">
      <w:lvlJc w:val="left"/>
      <w:lvlText w:val="§"/>
      <w:numFmt w:val="bullet"/>
      <w:start w:val="1"/>
    </w:lvl>
  </w:abstractNum>
  <w:abstractNum w:abstractNumId="166">
    <w:nsid w:val="1F9EC322"/>
    <w:multiLevelType w:val="hybridMultilevel"/>
    <w:lvl w:ilvl="0">
      <w:lvlJc w:val="left"/>
      <w:lvlText w:val="§"/>
      <w:numFmt w:val="bullet"/>
      <w:start w:val="1"/>
    </w:lvl>
  </w:abstractNum>
  <w:abstractNum w:abstractNumId="167">
    <w:nsid w:val="3410ED56"/>
    <w:multiLevelType w:val="hybridMultilevel"/>
    <w:lvl w:ilvl="0">
      <w:lvlJc w:val="left"/>
      <w:lvlText w:val="§"/>
      <w:numFmt w:val="bullet"/>
      <w:start w:val="1"/>
    </w:lvl>
  </w:abstractNum>
  <w:abstractNum w:abstractNumId="168">
    <w:nsid w:val="23C049A"/>
    <w:multiLevelType w:val="hybridMultilevel"/>
    <w:lvl w:ilvl="0">
      <w:lvlJc w:val="left"/>
      <w:lvlText w:val="§"/>
      <w:numFmt w:val="bullet"/>
      <w:start w:val="1"/>
    </w:lvl>
  </w:abstractNum>
  <w:abstractNum w:abstractNumId="169">
    <w:nsid w:val="5BDA35D4"/>
    <w:multiLevelType w:val="hybridMultilevel"/>
    <w:lvl w:ilvl="0">
      <w:lvlJc w:val="left"/>
      <w:lvlText w:val="(%1)"/>
      <w:numFmt w:val="decimal"/>
      <w:start w:val="1"/>
    </w:lvl>
  </w:abstractNum>
  <w:abstractNum w:abstractNumId="170">
    <w:nsid w:val="496FB218"/>
    <w:multiLevelType w:val="hybridMultilevel"/>
    <w:lvl w:ilvl="0">
      <w:lvlJc w:val="left"/>
      <w:lvlText w:val="§"/>
      <w:numFmt w:val="bullet"/>
      <w:start w:val="1"/>
    </w:lvl>
  </w:abstractNum>
  <w:abstractNum w:abstractNumId="171">
    <w:nsid w:val="680EA5D1"/>
    <w:multiLevelType w:val="hybridMultilevel"/>
    <w:lvl w:ilvl="0">
      <w:lvlJc w:val="left"/>
      <w:lvlText w:val="§"/>
      <w:numFmt w:val="bullet"/>
      <w:start w:val="1"/>
    </w:lvl>
    <w:lvl w:ilvl="1">
      <w:lvlJc w:val="left"/>
      <w:lvlText w:val="§"/>
      <w:numFmt w:val="bullet"/>
      <w:start w:val="1"/>
    </w:lvl>
  </w:abstractNum>
  <w:abstractNum w:abstractNumId="172">
    <w:nsid w:val="4A9554FE"/>
    <w:multiLevelType w:val="hybridMultilevel"/>
    <w:lvl w:ilvl="0">
      <w:lvlJc w:val="left"/>
      <w:lvlText w:val="§"/>
      <w:numFmt w:val="bullet"/>
      <w:start w:val="1"/>
    </w:lvl>
  </w:abstractNum>
  <w:abstractNum w:abstractNumId="173">
    <w:nsid w:val="392EDBE4"/>
    <w:multiLevelType w:val="hybridMultilevel"/>
    <w:lvl w:ilvl="0">
      <w:lvlJc w:val="left"/>
      <w:lvlText w:val="§"/>
      <w:numFmt w:val="bullet"/>
      <w:start w:val="1"/>
    </w:lvl>
    <w:lvl w:ilvl="1">
      <w:lvlJc w:val="left"/>
      <w:lvlText w:val="§"/>
      <w:numFmt w:val="bullet"/>
      <w:start w:val="1"/>
    </w:lvl>
  </w:abstractNum>
  <w:abstractNum w:abstractNumId="174">
    <w:nsid w:val="3D1A2DD9"/>
    <w:multiLevelType w:val="hybridMultilevel"/>
    <w:lvl w:ilvl="0">
      <w:lvlJc w:val="left"/>
      <w:lvlText w:val="§"/>
      <w:numFmt w:val="bullet"/>
      <w:start w:val="1"/>
    </w:lvl>
  </w:abstractNum>
  <w:abstractNum w:abstractNumId="175">
    <w:nsid w:val="7F618FCD"/>
    <w:multiLevelType w:val="hybridMultilevel"/>
    <w:lvl w:ilvl="0">
      <w:lvlJc w:val="left"/>
      <w:lvlText w:val="§"/>
      <w:numFmt w:val="bullet"/>
      <w:start w:val="1"/>
    </w:lvl>
  </w:abstractNum>
  <w:abstractNum w:abstractNumId="176">
    <w:nsid w:val="7843E45"/>
    <w:multiLevelType w:val="hybridMultilevel"/>
    <w:lvl w:ilvl="0">
      <w:lvlJc w:val="left"/>
      <w:lvlText w:val="§"/>
      <w:numFmt w:val="bullet"/>
      <w:start w:val="1"/>
    </w:lvl>
  </w:abstractNum>
  <w:abstractNum w:abstractNumId="177">
    <w:nsid w:val="9815DA3"/>
    <w:multiLevelType w:val="hybridMultilevel"/>
    <w:lvl w:ilvl="0">
      <w:lvlJc w:val="left"/>
      <w:lvlText w:val="§"/>
      <w:numFmt w:val="bullet"/>
      <w:start w:val="1"/>
    </w:lvl>
  </w:abstractNum>
  <w:abstractNum w:abstractNumId="178">
    <w:nsid w:val="5204A191"/>
    <w:multiLevelType w:val="hybridMultilevel"/>
    <w:lvl w:ilvl="0">
      <w:lvlJc w:val="left"/>
      <w:lvlText w:val="§"/>
      <w:numFmt w:val="bullet"/>
      <w:start w:val="1"/>
    </w:lvl>
  </w:abstractNum>
  <w:abstractNum w:abstractNumId="179">
    <w:nsid w:val="4C73A9C6"/>
    <w:multiLevelType w:val="hybridMultilevel"/>
    <w:lvl w:ilvl="0">
      <w:lvlJc w:val="left"/>
      <w:lvlText w:val="§"/>
      <w:numFmt w:val="bullet"/>
      <w:start w:val="1"/>
    </w:lvl>
  </w:abstractNum>
  <w:abstractNum w:abstractNumId="180">
    <w:nsid w:val="1C7E3C01"/>
    <w:multiLevelType w:val="hybridMultilevel"/>
    <w:lvl w:ilvl="0">
      <w:lvlJc w:val="left"/>
      <w:lvlText w:val="§"/>
      <w:numFmt w:val="bullet"/>
      <w:start w:val="1"/>
    </w:lvl>
  </w:abstractNum>
  <w:abstractNum w:abstractNumId="181">
    <w:nsid w:val="1C2201FF"/>
    <w:multiLevelType w:val="hybridMultilevel"/>
    <w:lvl w:ilvl="0">
      <w:lvlJc w:val="left"/>
      <w:lvlText w:val="§"/>
      <w:numFmt w:val="bullet"/>
      <w:start w:val="1"/>
    </w:lvl>
  </w:abstractNum>
  <w:abstractNum w:abstractNumId="182">
    <w:nsid w:val="50ABCEC9"/>
    <w:multiLevelType w:val="hybridMultilevel"/>
    <w:lvl w:ilvl="0">
      <w:lvlJc w:val="left"/>
      <w:lvlText w:val="§"/>
      <w:numFmt w:val="bullet"/>
      <w:start w:val="1"/>
    </w:lvl>
  </w:abstractNum>
  <w:abstractNum w:abstractNumId="183">
    <w:nsid w:val="7635AA2A"/>
    <w:multiLevelType w:val="hybridMultilevel"/>
    <w:lvl w:ilvl="0">
      <w:lvlJc w:val="left"/>
      <w:lvlText w:val="§"/>
      <w:numFmt w:val="bullet"/>
      <w:start w:val="1"/>
    </w:lvl>
  </w:abstractNum>
  <w:abstractNum w:abstractNumId="184">
    <w:nsid w:val="5E74C4D9"/>
    <w:multiLevelType w:val="hybridMultilevel"/>
    <w:lvl w:ilvl="0">
      <w:lvlJc w:val="left"/>
      <w:lvlText w:val="§"/>
      <w:numFmt w:val="bullet"/>
      <w:start w:val="1"/>
    </w:lvl>
  </w:abstractNum>
  <w:abstractNum w:abstractNumId="185">
    <w:nsid w:val="3B3EBE15"/>
    <w:multiLevelType w:val="hybridMultilevel"/>
    <w:lvl w:ilvl="0">
      <w:lvlJc w:val="left"/>
      <w:lvlText w:val="§"/>
      <w:numFmt w:val="bullet"/>
      <w:start w:val="1"/>
    </w:lvl>
  </w:abstractNum>
  <w:abstractNum w:abstractNumId="186">
    <w:nsid w:val="3822CB01"/>
    <w:multiLevelType w:val="hybridMultilevel"/>
    <w:lvl w:ilvl="0">
      <w:lvlJc w:val="left"/>
      <w:lvlText w:val="§"/>
      <w:numFmt w:val="bullet"/>
      <w:start w:val="1"/>
    </w:lvl>
  </w:abstractNum>
  <w:abstractNum w:abstractNumId="187">
    <w:nsid w:val="6CE00443"/>
    <w:multiLevelType w:val="hybridMultilevel"/>
    <w:lvl w:ilvl="0">
      <w:lvlJc w:val="left"/>
      <w:lvlText w:val="§"/>
      <w:numFmt w:val="bullet"/>
      <w:start w:val="1"/>
    </w:lvl>
  </w:abstractNum>
  <w:abstractNum w:abstractNumId="188">
    <w:nsid w:val="79F0D62F"/>
    <w:multiLevelType w:val="hybridMultilevel"/>
    <w:lvl w:ilvl="0">
      <w:lvlJc w:val="left"/>
      <w:lvlText w:val="§"/>
      <w:numFmt w:val="bullet"/>
      <w:start w:val="1"/>
    </w:lvl>
  </w:abstractNum>
  <w:abstractNum w:abstractNumId="189">
    <w:nsid w:val="7975E8EE"/>
    <w:multiLevelType w:val="hybridMultilevel"/>
    <w:lvl w:ilvl="0">
      <w:lvlJc w:val="left"/>
      <w:lvlText w:val="§"/>
      <w:numFmt w:val="bullet"/>
      <w:start w:val="1"/>
    </w:lvl>
  </w:abstractNum>
  <w:abstractNum w:abstractNumId="190">
    <w:nsid w:val="73154115"/>
    <w:multiLevelType w:val="hybridMultilevel"/>
    <w:lvl w:ilvl="0">
      <w:lvlJc w:val="left"/>
      <w:lvlText w:val="§"/>
      <w:numFmt w:val="bullet"/>
      <w:start w:val="1"/>
    </w:lvl>
  </w:abstractNum>
  <w:abstractNum w:abstractNumId="191">
    <w:nsid w:val="622D8102"/>
    <w:multiLevelType w:val="hybridMultilevel"/>
    <w:lvl w:ilvl="0">
      <w:lvlJc w:val="left"/>
      <w:lvlText w:val="§"/>
      <w:numFmt w:val="bullet"/>
      <w:start w:val="1"/>
    </w:lvl>
  </w:abstractNum>
  <w:abstractNum w:abstractNumId="192">
    <w:nsid w:val="2AB26587"/>
    <w:multiLevelType w:val="hybridMultilevel"/>
    <w:lvl w:ilvl="0">
      <w:lvlJc w:val="left"/>
      <w:lvlText w:val="§"/>
      <w:numFmt w:val="bullet"/>
      <w:start w:val="1"/>
    </w:lvl>
  </w:abstractNum>
  <w:abstractNum w:abstractNumId="193">
    <w:nsid w:val="44B3FA61"/>
    <w:multiLevelType w:val="hybridMultilevel"/>
    <w:lvl w:ilvl="0">
      <w:lvlJc w:val="left"/>
      <w:lvlText w:val="§"/>
      <w:numFmt w:val="bullet"/>
      <w:start w:val="1"/>
    </w:lvl>
  </w:abstractNum>
  <w:abstractNum w:abstractNumId="194">
    <w:nsid w:val="1C0CA67C"/>
    <w:multiLevelType w:val="hybridMultilevel"/>
    <w:lvl w:ilvl="0">
      <w:lvlJc w:val="left"/>
      <w:lvlText w:val="§"/>
      <w:numFmt w:val="bullet"/>
      <w:start w:val="1"/>
    </w:lvl>
  </w:abstractNum>
  <w:abstractNum w:abstractNumId="195">
    <w:nsid w:val="3D206613"/>
    <w:multiLevelType w:val="hybridMultilevel"/>
    <w:lvl w:ilvl="0">
      <w:lvlJc w:val="left"/>
      <w:lvlText w:val="§"/>
      <w:numFmt w:val="bullet"/>
      <w:start w:val="1"/>
    </w:lvl>
  </w:abstractNum>
  <w:abstractNum w:abstractNumId="196">
    <w:nsid w:val="7993B662"/>
    <w:multiLevelType w:val="hybridMultilevel"/>
    <w:lvl w:ilvl="0">
      <w:lvlJc w:val="left"/>
      <w:lvlText w:val="§"/>
      <w:numFmt w:val="bullet"/>
      <w:start w:val="1"/>
    </w:lvl>
  </w:abstractNum>
  <w:abstractNum w:abstractNumId="197">
    <w:nsid w:val="3BAB699E"/>
    <w:multiLevelType w:val="hybridMultilevel"/>
    <w:lvl w:ilvl="0">
      <w:lvlJc w:val="left"/>
      <w:lvlText w:val="§"/>
      <w:numFmt w:val="bullet"/>
      <w:start w:val="1"/>
    </w:lvl>
  </w:abstractNum>
  <w:abstractNum w:abstractNumId="198">
    <w:nsid w:val="71315369"/>
    <w:multiLevelType w:val="hybridMultilevel"/>
    <w:lvl w:ilvl="0">
      <w:lvlJc w:val="left"/>
      <w:lvlText w:val="(%1)"/>
      <w:numFmt w:val="decimal"/>
      <w:start w:val="1"/>
    </w:lvl>
  </w:abstractNum>
  <w:abstractNum w:abstractNumId="199">
    <w:nsid w:val="7BCFBAFC"/>
    <w:multiLevelType w:val="hybridMultilevel"/>
    <w:lvl w:ilvl="0">
      <w:lvlJc w:val="left"/>
      <w:lvlText w:val="(%1)"/>
      <w:numFmt w:val="decimal"/>
      <w:start w:val="1"/>
    </w:lvl>
  </w:abstractNum>
  <w:abstractNum w:abstractNumId="200">
    <w:nsid w:val="17859F72"/>
    <w:multiLevelType w:val="hybridMultilevel"/>
    <w:lvl w:ilvl="0">
      <w:lvlJc w:val="left"/>
      <w:lvlText w:val="§"/>
      <w:numFmt w:val="bullet"/>
      <w:start w:val="1"/>
    </w:lvl>
  </w:abstractNum>
  <w:abstractNum w:abstractNumId="201">
    <w:nsid w:val="3AA10581"/>
    <w:multiLevelType w:val="hybridMultilevel"/>
    <w:lvl w:ilvl="0">
      <w:lvlJc w:val="left"/>
      <w:lvlText w:val="§"/>
      <w:numFmt w:val="bullet"/>
      <w:start w:val="1"/>
    </w:lvl>
  </w:abstractNum>
  <w:abstractNum w:abstractNumId="202">
    <w:nsid w:val="63DE60CD"/>
    <w:multiLevelType w:val="hybridMultilevel"/>
    <w:lvl w:ilvl="0">
      <w:lvlJc w:val="left"/>
      <w:lvlText w:val="(%1)"/>
      <w:numFmt w:val="decimal"/>
      <w:start w:val="1"/>
    </w:lvl>
  </w:abstractNum>
  <w:abstractNum w:abstractNumId="203">
    <w:nsid w:val="621AF471"/>
    <w:multiLevelType w:val="hybridMultilevel"/>
    <w:lvl w:ilvl="0">
      <w:lvlJc w:val="left"/>
      <w:lvlText w:val="§"/>
      <w:numFmt w:val="bullet"/>
      <w:start w:val="1"/>
    </w:lvl>
  </w:abstractNum>
  <w:abstractNum w:abstractNumId="204">
    <w:nsid w:val="73CFE165"/>
    <w:multiLevelType w:val="hybridMultilevel"/>
    <w:lvl w:ilvl="0">
      <w:lvlJc w:val="left"/>
      <w:lvlText w:val="§"/>
      <w:numFmt w:val="bullet"/>
      <w:start w:val="1"/>
    </w:lvl>
  </w:abstractNum>
  <w:abstractNum w:abstractNumId="205">
    <w:nsid w:val="20F88EA6"/>
    <w:multiLevelType w:val="hybridMultilevel"/>
    <w:lvl w:ilvl="0">
      <w:lvlJc w:val="left"/>
      <w:lvlText w:val="§"/>
      <w:numFmt w:val="bullet"/>
      <w:start w:val="1"/>
    </w:lvl>
  </w:abstractNum>
  <w:abstractNum w:abstractNumId="206">
    <w:nsid w:val="617C843E"/>
    <w:multiLevelType w:val="hybridMultilevel"/>
    <w:lvl w:ilvl="0">
      <w:lvlJc w:val="left"/>
      <w:lvlText w:val="§"/>
      <w:numFmt w:val="bullet"/>
      <w:start w:val="1"/>
    </w:lvl>
    <w:lvl w:ilvl="1">
      <w:lvlJc w:val="left"/>
      <w:lvlText w:val="·"/>
      <w:numFmt w:val="bullet"/>
      <w:start w:val="1"/>
    </w:lvl>
  </w:abstractNum>
  <w:abstractNum w:abstractNumId="207">
    <w:nsid w:val="7B541FAB"/>
    <w:multiLevelType w:val="hybridMultilevel"/>
    <w:lvl w:ilvl="0">
      <w:lvlJc w:val="left"/>
      <w:lvlText w:val="§"/>
      <w:numFmt w:val="bullet"/>
      <w:start w:val="1"/>
    </w:lvl>
  </w:abstractNum>
  <w:abstractNum w:abstractNumId="208">
    <w:nsid w:val="2A79EC49"/>
    <w:multiLevelType w:val="hybridMultilevel"/>
    <w:lvl w:ilvl="0">
      <w:lvlJc w:val="left"/>
      <w:lvlText w:val="§"/>
      <w:numFmt w:val="bullet"/>
      <w:start w:val="1"/>
    </w:lvl>
  </w:abstractNum>
  <w:abstractNum w:abstractNumId="209">
    <w:nsid w:val="338125CF"/>
    <w:multiLevelType w:val="hybridMultilevel"/>
    <w:lvl w:ilvl="0">
      <w:lvlJc w:val="left"/>
      <w:lvlText w:val="§"/>
      <w:numFmt w:val="bullet"/>
      <w:start w:val="1"/>
    </w:lvl>
  </w:abstractNum>
  <w:abstractNum w:abstractNumId="210">
    <w:nsid w:val="47C7C971"/>
    <w:multiLevelType w:val="hybridMultilevel"/>
    <w:lvl w:ilvl="0">
      <w:lvlJc w:val="left"/>
      <w:lvlText w:val="§"/>
      <w:numFmt w:val="bullet"/>
      <w:start w:val="1"/>
    </w:lvl>
  </w:abstractNum>
  <w:abstractNum w:abstractNumId="211">
    <w:nsid w:val="46F8284B"/>
    <w:multiLevelType w:val="hybridMultilevel"/>
    <w:lvl w:ilvl="0">
      <w:lvlJc w:val="left"/>
      <w:lvlText w:val="§"/>
      <w:numFmt w:val="bullet"/>
      <w:start w:val="1"/>
    </w:lvl>
  </w:abstractNum>
  <w:abstractNum w:abstractNumId="212">
    <w:nsid w:val="4FA327CE"/>
    <w:multiLevelType w:val="hybridMultilevel"/>
    <w:lvl w:ilvl="0">
      <w:lvlJc w:val="left"/>
      <w:lvlText w:val="§"/>
      <w:numFmt w:val="bullet"/>
      <w:start w:val="1"/>
    </w:lvl>
  </w:abstractNum>
  <w:abstractNum w:abstractNumId="213">
    <w:nsid w:val="1873983A"/>
    <w:multiLevelType w:val="hybridMultilevel"/>
    <w:lvl w:ilvl="0">
      <w:lvlJc w:val="left"/>
      <w:lvlText w:val="§"/>
      <w:numFmt w:val="bullet"/>
      <w:start w:val="1"/>
    </w:lvl>
  </w:abstractNum>
  <w:abstractNum w:abstractNumId="214">
    <w:nsid w:val="3D2DD275"/>
    <w:multiLevelType w:val="hybridMultilevel"/>
    <w:lvl w:ilvl="0">
      <w:lvlJc w:val="left"/>
      <w:lvlText w:val="§"/>
      <w:numFmt w:val="bullet"/>
      <w:start w:val="1"/>
    </w:lvl>
  </w:abstractNum>
  <w:abstractNum w:abstractNumId="215">
    <w:nsid w:val="2E17ECA7"/>
    <w:multiLevelType w:val="hybridMultilevel"/>
    <w:lvl w:ilvl="0">
      <w:lvlJc w:val="left"/>
      <w:lvlText w:val="§"/>
      <w:numFmt w:val="bullet"/>
      <w:start w:val="1"/>
    </w:lvl>
  </w:abstractNum>
  <w:abstractNum w:abstractNumId="216">
    <w:nsid w:val="53B2564F"/>
    <w:multiLevelType w:val="hybridMultilevel"/>
    <w:lvl w:ilvl="0">
      <w:lvlJc w:val="left"/>
      <w:lvlText w:val="§"/>
      <w:numFmt w:val="bullet"/>
      <w:start w:val="1"/>
    </w:lvl>
  </w:abstractNum>
  <w:abstractNum w:abstractNumId="217">
    <w:nsid w:val="75509D76"/>
    <w:multiLevelType w:val="hybridMultilevel"/>
    <w:lvl w:ilvl="0">
      <w:lvlJc w:val="left"/>
      <w:lvlText w:val="§"/>
      <w:numFmt w:val="bullet"/>
      <w:start w:val="1"/>
    </w:lvl>
  </w:abstractNum>
  <w:abstractNum w:abstractNumId="218">
    <w:nsid w:val="1AF7F0EA"/>
    <w:multiLevelType w:val="hybridMultilevel"/>
    <w:lvl w:ilvl="0">
      <w:lvlJc w:val="left"/>
      <w:lvlText w:val="§"/>
      <w:numFmt w:val="bullet"/>
      <w:start w:val="1"/>
    </w:lvl>
  </w:abstractNum>
  <w:abstractNum w:abstractNumId="219">
    <w:nsid w:val="4DA32C7E"/>
    <w:multiLevelType w:val="hybridMultilevel"/>
    <w:lvl w:ilvl="0">
      <w:lvlJc w:val="left"/>
      <w:lvlText w:val="§"/>
      <w:numFmt w:val="bullet"/>
      <w:start w:val="1"/>
    </w:lvl>
  </w:abstractNum>
  <w:abstractNum w:abstractNumId="220">
    <w:nsid w:val="6EC68664"/>
    <w:multiLevelType w:val="hybridMultilevel"/>
    <w:lvl w:ilvl="0">
      <w:lvlJc w:val="left"/>
      <w:lvlText w:val="§"/>
      <w:numFmt w:val="bullet"/>
      <w:start w:val="1"/>
    </w:lvl>
  </w:abstractNum>
  <w:abstractNum w:abstractNumId="221">
    <w:nsid w:val="E0D31FF"/>
    <w:multiLevelType w:val="hybridMultilevel"/>
    <w:lvl w:ilvl="0">
      <w:lvlJc w:val="left"/>
      <w:lvlText w:val="§"/>
      <w:numFmt w:val="bullet"/>
      <w:start w:val="1"/>
    </w:lvl>
  </w:abstractNum>
  <w:abstractNum w:abstractNumId="222">
    <w:nsid w:val="2FD0AD81"/>
    <w:multiLevelType w:val="hybridMultilevel"/>
    <w:lvl w:ilvl="0">
      <w:lvlJc w:val="left"/>
      <w:lvlText w:val="§"/>
      <w:numFmt w:val="bullet"/>
      <w:start w:val="1"/>
    </w:lvl>
    <w:lvl w:ilvl="1">
      <w:lvlJc w:val="left"/>
      <w:lvlText w:val="§"/>
      <w:numFmt w:val="bullet"/>
      <w:start w:val="1"/>
    </w:lvl>
  </w:abstractNum>
  <w:abstractNum w:abstractNumId="223">
    <w:nsid w:val="1978EBEB"/>
    <w:multiLevelType w:val="hybridMultilevel"/>
    <w:lvl w:ilvl="0">
      <w:lvlJc w:val="left"/>
      <w:lvlText w:val="§"/>
      <w:numFmt w:val="bullet"/>
      <w:start w:val="1"/>
    </w:lvl>
  </w:abstractNum>
  <w:abstractNum w:abstractNumId="224">
    <w:nsid w:val="52C12C61"/>
    <w:multiLevelType w:val="hybridMultilevel"/>
    <w:lvl w:ilvl="0">
      <w:lvlJc w:val="left"/>
      <w:lvlText w:val="§"/>
      <w:numFmt w:val="bullet"/>
      <w:start w:val="1"/>
    </w:lvl>
  </w:abstractNum>
  <w:abstractNum w:abstractNumId="225">
    <w:nsid w:val="4BDD53FD"/>
    <w:multiLevelType w:val="hybridMultilevel"/>
    <w:lvl w:ilvl="0">
      <w:lvlJc w:val="left"/>
      <w:lvlText w:val="§"/>
      <w:numFmt w:val="bullet"/>
      <w:start w:val="1"/>
    </w:lvl>
  </w:abstractNum>
  <w:abstractNum w:abstractNumId="226">
    <w:nsid w:val="569951FE"/>
    <w:multiLevelType w:val="hybridMultilevel"/>
    <w:lvl w:ilvl="0">
      <w:lvlJc w:val="left"/>
      <w:lvlText w:val="§"/>
      <w:numFmt w:val="bullet"/>
      <w:start w:val="1"/>
    </w:lvl>
  </w:abstractNum>
  <w:abstractNum w:abstractNumId="227">
    <w:nsid w:val="4C54E2C3"/>
    <w:multiLevelType w:val="hybridMultilevel"/>
    <w:lvl w:ilvl="0">
      <w:lvlJc w:val="left"/>
      <w:lvlText w:val="§"/>
      <w:numFmt w:val="bullet"/>
      <w:start w:val="1"/>
    </w:lvl>
  </w:abstractNum>
  <w:abstractNum w:abstractNumId="228">
    <w:nsid w:val="788BD9B"/>
    <w:multiLevelType w:val="hybridMultilevel"/>
    <w:lvl w:ilvl="0">
      <w:lvlJc w:val="left"/>
      <w:lvlText w:val="§"/>
      <w:numFmt w:val="bullet"/>
      <w:start w:val="1"/>
    </w:lvl>
  </w:abstractNum>
  <w:abstractNum w:abstractNumId="229">
    <w:nsid w:val="47CAA567"/>
    <w:multiLevelType w:val="hybridMultilevel"/>
    <w:lvl w:ilvl="0">
      <w:lvlJc w:val="left"/>
      <w:lvlText w:val="§"/>
      <w:numFmt w:val="bullet"/>
      <w:start w:val="1"/>
    </w:lvl>
  </w:abstractNum>
  <w:abstractNum w:abstractNumId="230">
    <w:nsid w:val="48249DBF"/>
    <w:multiLevelType w:val="hybridMultilevel"/>
    <w:lvl w:ilvl="0">
      <w:lvlJc w:val="left"/>
      <w:lvlText w:val="§"/>
      <w:numFmt w:val="bullet"/>
      <w:start w:val="1"/>
    </w:lvl>
  </w:abstractNum>
  <w:abstractNum w:abstractNumId="231">
    <w:nsid w:val="1F0E5D0D"/>
    <w:multiLevelType w:val="hybridMultilevel"/>
    <w:lvl w:ilvl="0">
      <w:lvlJc w:val="left"/>
      <w:lvlText w:val="§"/>
      <w:numFmt w:val="bullet"/>
      <w:start w:val="1"/>
    </w:lvl>
  </w:abstractNum>
  <w:abstractNum w:abstractNumId="232">
    <w:nsid w:val="26BAAE9"/>
    <w:multiLevelType w:val="hybridMultilevel"/>
    <w:lvl w:ilvl="0">
      <w:lvlJc w:val="left"/>
      <w:lvlText w:val="§"/>
      <w:numFmt w:val="bullet"/>
      <w:start w:val="1"/>
    </w:lvl>
  </w:abstractNum>
  <w:abstractNum w:abstractNumId="233">
    <w:nsid w:val="2C02FE8C"/>
    <w:multiLevelType w:val="hybridMultilevel"/>
    <w:lvl w:ilvl="0">
      <w:lvlJc w:val="left"/>
      <w:lvlText w:val="§"/>
      <w:numFmt w:val="bullet"/>
      <w:start w:val="1"/>
    </w:lvl>
  </w:abstractNum>
  <w:abstractNum w:abstractNumId="234">
    <w:nsid w:val="129517E"/>
    <w:multiLevelType w:val="hybridMultilevel"/>
    <w:lvl w:ilvl="0">
      <w:lvlJc w:val="left"/>
      <w:lvlText w:val="§"/>
      <w:numFmt w:val="bullet"/>
      <w:start w:val="1"/>
    </w:lvl>
  </w:abstractNum>
  <w:abstractNum w:abstractNumId="235">
    <w:nsid w:val="763B8C4E"/>
    <w:multiLevelType w:val="hybridMultilevel"/>
    <w:lvl w:ilvl="0">
      <w:lvlJc w:val="left"/>
      <w:lvlText w:val="§"/>
      <w:numFmt w:val="bullet"/>
      <w:start w:val="1"/>
    </w:lvl>
  </w:abstractNum>
  <w:abstractNum w:abstractNumId="236">
    <w:nsid w:val="4CFB8D32"/>
    <w:multiLevelType w:val="hybridMultilevel"/>
    <w:lvl w:ilvl="0">
      <w:lvlJc w:val="left"/>
      <w:lvlText w:val="(%1)"/>
      <w:numFmt w:val="decimal"/>
      <w:start w:val="1"/>
    </w:lvl>
  </w:abstractNum>
  <w:abstractNum w:abstractNumId="237">
    <w:nsid w:val="62A5D5BD"/>
    <w:multiLevelType w:val="hybridMultilevel"/>
    <w:lvl w:ilvl="0">
      <w:lvlJc w:val="left"/>
      <w:lvlText w:val="§"/>
      <w:numFmt w:val="bullet"/>
      <w:start w:val="1"/>
    </w:lvl>
  </w:abstractNum>
  <w:abstractNum w:abstractNumId="238">
    <w:nsid w:val="718FABF9"/>
    <w:multiLevelType w:val="hybridMultilevel"/>
    <w:lvl w:ilvl="0">
      <w:lvlJc w:val="left"/>
      <w:lvlText w:val="(%1)"/>
      <w:numFmt w:val="decimal"/>
      <w:start w:val="1"/>
    </w:lvl>
  </w:abstractNum>
  <w:abstractNum w:abstractNumId="239">
    <w:nsid w:val="7775797C"/>
    <w:multiLevelType w:val="hybridMultilevel"/>
    <w:lvl w:ilvl="0">
      <w:lvlJc w:val="left"/>
      <w:lvlText w:val="§"/>
      <w:numFmt w:val="bullet"/>
      <w:start w:val="1"/>
    </w:lvl>
  </w:abstractNum>
  <w:abstractNum w:abstractNumId="240">
    <w:nsid w:val="1626FB8C"/>
    <w:multiLevelType w:val="hybridMultilevel"/>
    <w:lvl w:ilvl="0">
      <w:lvlJc w:val="left"/>
      <w:lvlText w:val="§"/>
      <w:numFmt w:val="bullet"/>
      <w:start w:val="1"/>
    </w:lvl>
  </w:abstractNum>
  <w:abstractNum w:abstractNumId="241">
    <w:nsid w:val="3957756A"/>
    <w:multiLevelType w:val="hybridMultilevel"/>
    <w:lvl w:ilvl="0">
      <w:lvlJc w:val="left"/>
      <w:lvlText w:val="§"/>
      <w:numFmt w:val="bullet"/>
      <w:start w:val="1"/>
    </w:lvl>
  </w:abstractNum>
  <w:abstractNum w:abstractNumId="242">
    <w:nsid w:val="3E6DA1C7"/>
    <w:multiLevelType w:val="hybridMultilevel"/>
    <w:lvl w:ilvl="0">
      <w:lvlJc w:val="left"/>
      <w:lvlText w:val="§"/>
      <w:numFmt w:val="bullet"/>
      <w:start w:val="1"/>
    </w:lvl>
  </w:abstractNum>
  <w:abstractNum w:abstractNumId="243">
    <w:nsid w:val="65CA235B"/>
    <w:multiLevelType w:val="hybridMultilevel"/>
    <w:lvl w:ilvl="0">
      <w:lvlJc w:val="left"/>
      <w:lvlText w:val="§"/>
      <w:numFmt w:val="bullet"/>
      <w:start w:val="1"/>
    </w:lvl>
  </w:abstractNum>
  <w:abstractNum w:abstractNumId="244">
    <w:nsid w:val="51CB0DA4"/>
    <w:multiLevelType w:val="hybridMultilevel"/>
    <w:lvl w:ilvl="0">
      <w:lvlJc w:val="left"/>
      <w:lvlText w:val="§"/>
      <w:numFmt w:val="bullet"/>
      <w:start w:val="1"/>
    </w:lvl>
  </w:abstractNum>
  <w:abstractNum w:abstractNumId="245">
    <w:nsid w:val="7B9B743C"/>
    <w:multiLevelType w:val="hybridMultilevel"/>
    <w:lvl w:ilvl="0">
      <w:lvlJc w:val="left"/>
      <w:lvlText w:val="§"/>
      <w:numFmt w:val="bullet"/>
      <w:start w:val="1"/>
    </w:lvl>
  </w:abstractNum>
  <w:abstractNum w:abstractNumId="246">
    <w:nsid w:val="13E21002"/>
    <w:multiLevelType w:val="hybridMultilevel"/>
    <w:lvl w:ilvl="0">
      <w:lvlJc w:val="left"/>
      <w:lvlText w:val="§"/>
      <w:numFmt w:val="bullet"/>
      <w:start w:val="1"/>
    </w:lvl>
  </w:abstractNum>
  <w:abstractNum w:abstractNumId="247">
    <w:nsid w:val="257D63F4"/>
    <w:multiLevelType w:val="hybridMultilevel"/>
    <w:lvl w:ilvl="0">
      <w:lvlJc w:val="left"/>
      <w:lvlText w:val="§"/>
      <w:numFmt w:val="bullet"/>
      <w:start w:val="1"/>
    </w:lvl>
  </w:abstractNum>
  <w:abstractNum w:abstractNumId="248">
    <w:nsid w:val="70EC11B2"/>
    <w:multiLevelType w:val="hybridMultilevel"/>
    <w:lvl w:ilvl="0">
      <w:lvlJc w:val="left"/>
      <w:lvlText w:val="§"/>
      <w:numFmt w:val="bullet"/>
      <w:start w:val="1"/>
    </w:lvl>
  </w:abstractNum>
  <w:abstractNum w:abstractNumId="249">
    <w:nsid w:val="2EDA00ED"/>
    <w:multiLevelType w:val="hybridMultilevel"/>
    <w:lvl w:ilvl="0">
      <w:lvlJc w:val="left"/>
      <w:lvlText w:val="§"/>
      <w:numFmt w:val="bullet"/>
      <w:start w:val="1"/>
    </w:lvl>
  </w:abstractNum>
  <w:abstractNum w:abstractNumId="250">
    <w:nsid w:val="73209072"/>
    <w:multiLevelType w:val="hybridMultilevel"/>
    <w:lvl w:ilvl="0">
      <w:lvlJc w:val="left"/>
      <w:lvlText w:val="§"/>
      <w:numFmt w:val="bullet"/>
      <w:start w:val="1"/>
    </w:lvl>
  </w:abstractNum>
  <w:abstractNum w:abstractNumId="251">
    <w:nsid w:val="5FB29816"/>
    <w:multiLevelType w:val="hybridMultilevel"/>
    <w:lvl w:ilvl="0">
      <w:lvlJc w:val="left"/>
      <w:lvlText w:val="§"/>
      <w:numFmt w:val="bullet"/>
      <w:start w:val="1"/>
    </w:lvl>
  </w:abstractNum>
  <w:abstractNum w:abstractNumId="252">
    <w:nsid w:val="3CE732EC"/>
    <w:multiLevelType w:val="hybridMultilevel"/>
    <w:lvl w:ilvl="0">
      <w:lvlJc w:val="left"/>
      <w:lvlText w:val="§"/>
      <w:numFmt w:val="bullet"/>
      <w:start w:val="1"/>
    </w:lvl>
  </w:abstractNum>
  <w:abstractNum w:abstractNumId="253">
    <w:nsid w:val="22F13DF3"/>
    <w:multiLevelType w:val="hybridMultilevel"/>
    <w:lvl w:ilvl="0">
      <w:lvlJc w:val="left"/>
      <w:lvlText w:val="§"/>
      <w:numFmt w:val="bullet"/>
      <w:start w:val="1"/>
    </w:lvl>
  </w:abstractNum>
  <w:abstractNum w:abstractNumId="254">
    <w:nsid w:val="792B8401"/>
    <w:multiLevelType w:val="hybridMultilevel"/>
    <w:lvl w:ilvl="0">
      <w:lvlJc w:val="left"/>
      <w:lvlText w:val="§"/>
      <w:numFmt w:val="bullet"/>
      <w:start w:val="1"/>
    </w:lvl>
  </w:abstractNum>
  <w:abstractNum w:abstractNumId="255">
    <w:nsid w:val="FA85F4D"/>
    <w:multiLevelType w:val="hybridMultilevel"/>
    <w:lvl w:ilvl="0">
      <w:lvlJc w:val="left"/>
      <w:lvlText w:val="§"/>
      <w:numFmt w:val="bullet"/>
      <w:start w:val="1"/>
    </w:lvl>
  </w:abstractNum>
  <w:abstractNum w:abstractNumId="256">
    <w:nsid w:val="6ECE91F0"/>
    <w:multiLevelType w:val="hybridMultilevel"/>
    <w:lvl w:ilvl="0">
      <w:lvlJc w:val="left"/>
      <w:lvlText w:val="§"/>
      <w:numFmt w:val="bullet"/>
      <w:start w:val="1"/>
    </w:lvl>
  </w:abstractNum>
  <w:abstractNum w:abstractNumId="257">
    <w:nsid w:val="4FC4D600"/>
    <w:multiLevelType w:val="hybridMultilevel"/>
    <w:lvl w:ilvl="0">
      <w:lvlJc w:val="left"/>
      <w:lvlText w:val="§"/>
      <w:numFmt w:val="bullet"/>
      <w:start w:val="1"/>
    </w:lvl>
  </w:abstractNum>
  <w:abstractNum w:abstractNumId="258">
    <w:nsid w:val="5BFD4210"/>
    <w:multiLevelType w:val="hybridMultilevel"/>
    <w:lvl w:ilvl="0">
      <w:lvlJc w:val="left"/>
      <w:lvlText w:val="§"/>
      <w:numFmt w:val="bullet"/>
      <w:start w:val="1"/>
    </w:lvl>
  </w:abstractNum>
  <w:abstractNum w:abstractNumId="259">
    <w:nsid w:val="76574F8B"/>
    <w:multiLevelType w:val="hybridMultilevel"/>
    <w:lvl w:ilvl="0">
      <w:lvlJc w:val="left"/>
      <w:lvlText w:val="§"/>
      <w:numFmt w:val="bullet"/>
      <w:start w:val="1"/>
    </w:lvl>
  </w:abstractNum>
  <w:abstractNum w:abstractNumId="260">
    <w:nsid w:val="178F7B67"/>
    <w:multiLevelType w:val="hybridMultilevel"/>
    <w:lvl w:ilvl="0">
      <w:lvlJc w:val="left"/>
      <w:lvlText w:val="§"/>
      <w:numFmt w:val="bullet"/>
      <w:start w:val="1"/>
    </w:lvl>
  </w:abstractNum>
  <w:abstractNum w:abstractNumId="261">
    <w:nsid w:val="2421DFCF"/>
    <w:multiLevelType w:val="hybridMultilevel"/>
    <w:lvl w:ilvl="0">
      <w:lvlJc w:val="left"/>
      <w:lvlText w:val="§"/>
      <w:numFmt w:val="bullet"/>
      <w:start w:val="1"/>
    </w:lvl>
  </w:abstractNum>
  <w:abstractNum w:abstractNumId="262">
    <w:nsid w:val="1565AC99"/>
    <w:multiLevelType w:val="hybridMultilevel"/>
    <w:lvl w:ilvl="0">
      <w:lvlJc w:val="left"/>
      <w:lvlText w:val="§"/>
      <w:numFmt w:val="bullet"/>
      <w:start w:val="1"/>
    </w:lvl>
  </w:abstractNum>
  <w:abstractNum w:abstractNumId="263">
    <w:nsid w:val="19FB2650"/>
    <w:multiLevelType w:val="hybridMultilevel"/>
    <w:lvl w:ilvl="0">
      <w:lvlJc w:val="left"/>
      <w:lvlText w:val="§"/>
      <w:numFmt w:val="bullet"/>
      <w:start w:val="1"/>
    </w:lvl>
  </w:abstractNum>
  <w:abstractNum w:abstractNumId="264">
    <w:nsid w:val="5024DE5B"/>
    <w:multiLevelType w:val="hybridMultilevel"/>
    <w:lvl w:ilvl="0">
      <w:lvlJc w:val="left"/>
      <w:lvlText w:val="§"/>
      <w:numFmt w:val="bullet"/>
      <w:start w:val="1"/>
    </w:lvl>
  </w:abstractNum>
  <w:abstractNum w:abstractNumId="265">
    <w:nsid w:val="168EFE17"/>
    <w:multiLevelType w:val="hybridMultilevel"/>
    <w:lvl w:ilvl="0">
      <w:lvlJc w:val="left"/>
      <w:lvlText w:val="§"/>
      <w:numFmt w:val="bullet"/>
      <w:start w:val="1"/>
    </w:lvl>
  </w:abstractNum>
  <w:abstractNum w:abstractNumId="266">
    <w:nsid w:val="1036B29F"/>
    <w:multiLevelType w:val="hybridMultilevel"/>
    <w:lvl w:ilvl="0">
      <w:lvlJc w:val="left"/>
      <w:lvlText w:val="§"/>
      <w:numFmt w:val="bullet"/>
      <w:start w:val="1"/>
    </w:lvl>
  </w:abstractNum>
  <w:abstractNum w:abstractNumId="267">
    <w:nsid w:val="1D206B8E"/>
    <w:multiLevelType w:val="hybridMultilevel"/>
    <w:lvl w:ilvl="0">
      <w:lvlJc w:val="left"/>
      <w:lvlText w:val="§"/>
      <w:numFmt w:val="bullet"/>
      <w:start w:val="1"/>
    </w:lvl>
  </w:abstractNum>
  <w:abstractNum w:abstractNumId="268">
    <w:nsid w:val="7934D3D4"/>
    <w:multiLevelType w:val="hybridMultilevel"/>
    <w:lvl w:ilvl="0">
      <w:lvlJc w:val="left"/>
      <w:lvlText w:val="§"/>
      <w:numFmt w:val="bullet"/>
      <w:start w:val="1"/>
    </w:lvl>
  </w:abstractNum>
  <w:abstractNum w:abstractNumId="269">
    <w:nsid w:val="1C65E98"/>
    <w:multiLevelType w:val="hybridMultilevel"/>
    <w:lvl w:ilvl="0">
      <w:lvlJc w:val="left"/>
      <w:lvlText w:val="§"/>
      <w:numFmt w:val="bullet"/>
      <w:start w:val="1"/>
    </w:lvl>
  </w:abstractNum>
  <w:abstractNum w:abstractNumId="270">
    <w:nsid w:val="1495E50A"/>
    <w:multiLevelType w:val="hybridMultilevel"/>
    <w:lvl w:ilvl="0">
      <w:lvlJc w:val="left"/>
      <w:lvlText w:val="§"/>
      <w:numFmt w:val="bullet"/>
      <w:start w:val="1"/>
    </w:lvl>
  </w:abstractNum>
  <w:abstractNum w:abstractNumId="271">
    <w:nsid w:val="F5BCF61"/>
    <w:multiLevelType w:val="hybridMultilevel"/>
    <w:lvl w:ilvl="0">
      <w:lvlJc w:val="left"/>
      <w:lvlText w:val="§"/>
      <w:numFmt w:val="bullet"/>
      <w:start w:val="1"/>
    </w:lvl>
  </w:abstractNum>
  <w:abstractNum w:abstractNumId="272">
    <w:nsid w:val="3B1DD403"/>
    <w:multiLevelType w:val="hybridMultilevel"/>
    <w:lvl w:ilvl="0">
      <w:lvlJc w:val="left"/>
      <w:lvlText w:val="(%1)"/>
      <w:numFmt w:val="decimal"/>
      <w:start w:val="1"/>
    </w:lvl>
  </w:abstractNum>
  <w:abstractNum w:abstractNumId="273">
    <w:nsid w:val="530386D1"/>
    <w:multiLevelType w:val="hybridMultilevel"/>
    <w:lvl w:ilvl="0">
      <w:lvlJc w:val="left"/>
      <w:lvlText w:val="§"/>
      <w:numFmt w:val="bullet"/>
      <w:start w:val="1"/>
    </w:lvl>
  </w:abstractNum>
  <w:abstractNum w:abstractNumId="274">
    <w:nsid w:val="7525F2BC"/>
    <w:multiLevelType w:val="hybridMultilevel"/>
    <w:lvl w:ilvl="0">
      <w:lvlJc w:val="left"/>
      <w:lvlText w:val="(%1)"/>
      <w:numFmt w:val="decimal"/>
      <w:start w:val="1"/>
    </w:lvl>
  </w:abstractNum>
  <w:abstractNum w:abstractNumId="275">
    <w:nsid w:val="CE8E1A7"/>
    <w:multiLevelType w:val="hybridMultilevel"/>
    <w:lvl w:ilvl="0">
      <w:lvlJc w:val="left"/>
      <w:lvlText w:val="(%1)"/>
      <w:numFmt w:val="decimal"/>
      <w:start w:val="1"/>
    </w:lvl>
  </w:abstractNum>
  <w:abstractNum w:abstractNumId="276">
    <w:nsid w:val="4E9EFB0D"/>
    <w:multiLevelType w:val="hybridMultilevel"/>
    <w:lvl w:ilvl="0">
      <w:lvlJc w:val="left"/>
      <w:lvlText w:val="(%1)"/>
      <w:numFmt w:val="decimal"/>
      <w:start w:val="1"/>
    </w:lvl>
  </w:abstractNum>
  <w:abstractNum w:abstractNumId="277">
    <w:nsid w:val="90802BE"/>
    <w:multiLevelType w:val="hybridMultilevel"/>
    <w:lvl w:ilvl="0">
      <w:lvlJc w:val="left"/>
      <w:lvlText w:val="§"/>
      <w:numFmt w:val="bullet"/>
      <w:start w:val="1"/>
    </w:lvl>
  </w:abstractNum>
  <w:abstractNum w:abstractNumId="278">
    <w:nsid w:val="3266459B"/>
    <w:multiLevelType w:val="hybridMultilevel"/>
    <w:lvl w:ilvl="0">
      <w:lvlJc w:val="left"/>
      <w:lvlText w:val="§"/>
      <w:numFmt w:val="bullet"/>
      <w:start w:val="1"/>
    </w:lvl>
  </w:abstractNum>
  <w:abstractNum w:abstractNumId="279">
    <w:nsid w:val="3F8B0CBF"/>
    <w:multiLevelType w:val="hybridMultilevel"/>
    <w:lvl w:ilvl="0">
      <w:lvlJc w:val="left"/>
      <w:lvlText w:val="§"/>
      <w:numFmt w:val="bullet"/>
      <w:start w:val="1"/>
    </w:lvl>
  </w:abstractNum>
  <w:abstractNum w:abstractNumId="280">
    <w:nsid w:val="37E203AB"/>
    <w:multiLevelType w:val="hybridMultilevel"/>
    <w:lvl w:ilvl="0">
      <w:lvlJc w:val="left"/>
      <w:lvlText w:val="§"/>
      <w:numFmt w:val="bullet"/>
      <w:start w:val="1"/>
    </w:lvl>
  </w:abstractNum>
  <w:abstractNum w:abstractNumId="281">
    <w:nsid w:val="2586D60E"/>
    <w:multiLevelType w:val="hybridMultilevel"/>
    <w:lvl w:ilvl="0">
      <w:lvlJc w:val="left"/>
      <w:lvlText w:val="§"/>
      <w:numFmt w:val="bullet"/>
      <w:start w:val="1"/>
    </w:lvl>
  </w:abstractNum>
  <w:abstractNum w:abstractNumId="282">
    <w:nsid w:val="1F3DA4D5"/>
    <w:multiLevelType w:val="hybridMultilevel"/>
    <w:lvl w:ilvl="0">
      <w:lvlJc w:val="left"/>
      <w:lvlText w:val="§"/>
      <w:numFmt w:val="bullet"/>
      <w:start w:val="1"/>
    </w:lvl>
  </w:abstractNum>
  <w:abstractNum w:abstractNumId="283">
    <w:nsid w:val="74C93698"/>
    <w:multiLevelType w:val="hybridMultilevel"/>
    <w:lvl w:ilvl="0">
      <w:lvlJc w:val="left"/>
      <w:lvlText w:val="§"/>
      <w:numFmt w:val="bullet"/>
      <w:start w:val="1"/>
    </w:lvl>
  </w:abstractNum>
  <w:abstractNum w:abstractNumId="284">
    <w:nsid w:val="48781401"/>
    <w:multiLevelType w:val="hybridMultilevel"/>
    <w:lvl w:ilvl="0">
      <w:lvlJc w:val="left"/>
      <w:lvlText w:val="§"/>
      <w:numFmt w:val="bullet"/>
      <w:start w:val="1"/>
    </w:lvl>
  </w:abstractNum>
  <w:abstractNum w:abstractNumId="285">
    <w:nsid w:val="186928D6"/>
    <w:multiLevelType w:val="hybridMultilevel"/>
    <w:lvl w:ilvl="0">
      <w:lvlJc w:val="left"/>
      <w:lvlText w:val="§"/>
      <w:numFmt w:val="bullet"/>
      <w:start w:val="1"/>
    </w:lvl>
  </w:abstractNum>
  <w:abstractNum w:abstractNumId="286">
    <w:nsid w:val="47195E5"/>
    <w:multiLevelType w:val="hybridMultilevel"/>
    <w:lvl w:ilvl="0">
      <w:lvlJc w:val="left"/>
      <w:lvlText w:val="§"/>
      <w:numFmt w:val="bullet"/>
      <w:start w:val="1"/>
    </w:lvl>
  </w:abstractNum>
  <w:abstractNum w:abstractNumId="287">
    <w:nsid w:val="3746A5F2"/>
    <w:multiLevelType w:val="hybridMultilevel"/>
    <w:lvl w:ilvl="0">
      <w:lvlJc w:val="left"/>
      <w:lvlText w:val="§"/>
      <w:numFmt w:val="bullet"/>
      <w:start w:val="1"/>
    </w:lvl>
  </w:abstractNum>
  <w:abstractNum w:abstractNumId="288">
    <w:nsid w:val="682DFED6"/>
    <w:multiLevelType w:val="hybridMultilevel"/>
    <w:lvl w:ilvl="0">
      <w:lvlJc w:val="left"/>
      <w:lvlText w:val="§"/>
      <w:numFmt w:val="bullet"/>
      <w:start w:val="1"/>
    </w:lvl>
  </w:abstractNum>
  <w:abstractNum w:abstractNumId="289">
    <w:nsid w:val="606ED7F6"/>
    <w:multiLevelType w:val="hybridMultilevel"/>
    <w:lvl w:ilvl="0">
      <w:lvlJc w:val="left"/>
      <w:lvlText w:val="(%1)"/>
      <w:numFmt w:val="decimal"/>
      <w:start w:val="1"/>
    </w:lvl>
  </w:abstractNum>
  <w:abstractNum w:abstractNumId="290">
    <w:nsid w:val="2D9DF57D"/>
    <w:multiLevelType w:val="hybridMultilevel"/>
    <w:lvl w:ilvl="0">
      <w:lvlJc w:val="left"/>
      <w:lvlText w:val="(%1)"/>
      <w:numFmt w:val="decimal"/>
      <w:start w:val="1"/>
    </w:lvl>
  </w:abstractNum>
  <w:abstractNum w:abstractNumId="291">
    <w:nsid w:val="7FBD7A3E"/>
    <w:multiLevelType w:val="hybridMultilevel"/>
    <w:lvl w:ilvl="0">
      <w:lvlJc w:val="left"/>
      <w:lvlText w:val="§"/>
      <w:numFmt w:val="bullet"/>
      <w:start w:val="1"/>
    </w:lvl>
  </w:abstractNum>
  <w:abstractNum w:abstractNumId="292">
    <w:nsid w:val="490B7C5"/>
    <w:multiLevelType w:val="hybridMultilevel"/>
    <w:lvl w:ilvl="0">
      <w:lvlJc w:val="left"/>
      <w:lvlText w:val="§"/>
      <w:numFmt w:val="bullet"/>
      <w:start w:val="1"/>
    </w:lvl>
  </w:abstractNum>
  <w:abstractNum w:abstractNumId="293">
    <w:nsid w:val="4303A216"/>
    <w:multiLevelType w:val="hybridMultilevel"/>
    <w:lvl w:ilvl="0">
      <w:lvlJc w:val="left"/>
      <w:lvlText w:val="§"/>
      <w:numFmt w:val="bullet"/>
      <w:start w:val="1"/>
    </w:lvl>
  </w:abstractNum>
  <w:abstractNum w:abstractNumId="294">
    <w:nsid w:val="19B8A08E"/>
    <w:multiLevelType w:val="hybridMultilevel"/>
    <w:lvl w:ilvl="0">
      <w:lvlJc w:val="left"/>
      <w:lvlText w:val="§"/>
      <w:numFmt w:val="bullet"/>
      <w:start w:val="1"/>
    </w:lvl>
  </w:abstractNum>
  <w:abstractNum w:abstractNumId="295">
    <w:nsid w:val="54B59621"/>
    <w:multiLevelType w:val="hybridMultilevel"/>
    <w:lvl w:ilvl="0">
      <w:lvlJc w:val="left"/>
      <w:lvlText w:val="(%1)"/>
      <w:numFmt w:val="decimal"/>
      <w:start w:val="1"/>
    </w:lvl>
  </w:abstractNum>
  <w:abstractNum w:abstractNumId="296">
    <w:nsid w:val="5992A02E"/>
    <w:multiLevelType w:val="hybridMultilevel"/>
    <w:lvl w:ilvl="0">
      <w:lvlJc w:val="left"/>
      <w:lvlText w:val="(%1)"/>
      <w:numFmt w:val="decimal"/>
      <w:start w:val="1"/>
    </w:lvl>
  </w:abstractNum>
  <w:abstractNum w:abstractNumId="297">
    <w:nsid w:val="29EF532D"/>
    <w:multiLevelType w:val="hybridMultilevel"/>
    <w:lvl w:ilvl="0">
      <w:lvlJc w:val="left"/>
      <w:lvlText w:val="§"/>
      <w:numFmt w:val="bullet"/>
      <w:start w:val="1"/>
    </w:lvl>
  </w:abstractNum>
  <w:abstractNum w:abstractNumId="298">
    <w:nsid w:val="71D601AF"/>
    <w:multiLevelType w:val="hybridMultilevel"/>
    <w:lvl w:ilvl="0">
      <w:lvlJc w:val="left"/>
      <w:lvlText w:val="§"/>
      <w:numFmt w:val="bullet"/>
      <w:start w:val="1"/>
    </w:lvl>
    <w:lvl w:ilvl="1">
      <w:lvlJc w:val="left"/>
      <w:lvlText w:val="§"/>
      <w:numFmt w:val="bullet"/>
      <w:start w:val="1"/>
    </w:lvl>
  </w:abstractNum>
  <w:abstractNum w:abstractNumId="299">
    <w:nsid w:val="52C77402"/>
    <w:multiLevelType w:val="hybridMultilevel"/>
    <w:lvl w:ilvl="0">
      <w:lvlJc w:val="left"/>
      <w:lvlText w:val="§"/>
      <w:numFmt w:val="bullet"/>
      <w:start w:val="1"/>
    </w:lvl>
  </w:abstractNum>
  <w:abstractNum w:abstractNumId="300">
    <w:nsid w:val="2BB5B1C6"/>
    <w:multiLevelType w:val="hybridMultilevel"/>
    <w:lvl w:ilvl="0">
      <w:lvlJc w:val="left"/>
      <w:lvlText w:val="§"/>
      <w:numFmt w:val="bullet"/>
      <w:start w:val="1"/>
    </w:lvl>
    <w:lvl w:ilvl="1">
      <w:lvlJc w:val="left"/>
      <w:lvlText w:val="§"/>
      <w:numFmt w:val="bullet"/>
      <w:start w:val="1"/>
    </w:lvl>
  </w:abstractNum>
  <w:abstractNum w:abstractNumId="301">
    <w:nsid w:val="66BE6B9"/>
    <w:multiLevelType w:val="hybridMultilevel"/>
    <w:lvl w:ilvl="0">
      <w:lvlJc w:val="left"/>
      <w:lvlText w:val="§"/>
      <w:numFmt w:val="bullet"/>
      <w:start w:val="1"/>
    </w:lvl>
  </w:abstractNum>
  <w:abstractNum w:abstractNumId="302">
    <w:nsid w:val="62234363"/>
    <w:multiLevelType w:val="hybridMultilevel"/>
    <w:lvl w:ilvl="0">
      <w:lvlJc w:val="left"/>
      <w:lvlText w:val="(%1)"/>
      <w:numFmt w:val="decimal"/>
      <w:start w:val="1"/>
    </w:lvl>
  </w:abstractNum>
  <w:abstractNum w:abstractNumId="303">
    <w:nsid w:val="66D385C9"/>
    <w:multiLevelType w:val="hybridMultilevel"/>
    <w:lvl w:ilvl="0">
      <w:lvlJc w:val="left"/>
      <w:lvlText w:val="§"/>
      <w:numFmt w:val="bullet"/>
      <w:start w:val="1"/>
    </w:lvl>
  </w:abstractNum>
  <w:abstractNum w:abstractNumId="304">
    <w:nsid w:val="596F6D8A"/>
    <w:multiLevelType w:val="hybridMultilevel"/>
    <w:lvl w:ilvl="0">
      <w:lvlJc w:val="left"/>
      <w:lvlText w:val="(%1)"/>
      <w:numFmt w:val="decimal"/>
      <w:start w:val="1"/>
    </w:lvl>
  </w:abstractNum>
  <w:abstractNum w:abstractNumId="305">
    <w:nsid w:val="5749361F"/>
    <w:multiLevelType w:val="hybridMultilevel"/>
    <w:lvl w:ilvl="0">
      <w:lvlJc w:val="left"/>
      <w:lvlText w:val="(%1)"/>
      <w:numFmt w:val="decimal"/>
      <w:start w:val="1"/>
    </w:lvl>
  </w:abstractNum>
  <w:abstractNum w:abstractNumId="306">
    <w:nsid w:val="73BC6770"/>
    <w:multiLevelType w:val="hybridMultilevel"/>
    <w:lvl w:ilvl="0">
      <w:lvlJc w:val="left"/>
      <w:lvlText w:val="(%1)"/>
      <w:numFmt w:val="decimal"/>
      <w:start w:val="1"/>
    </w:lvl>
  </w:abstractNum>
  <w:abstractNum w:abstractNumId="307">
    <w:nsid w:val="280E6897"/>
    <w:multiLevelType w:val="hybridMultilevel"/>
    <w:lvl w:ilvl="0">
      <w:lvlJc w:val="left"/>
      <w:lvlText w:val="§"/>
      <w:numFmt w:val="bullet"/>
      <w:start w:val="1"/>
    </w:lvl>
  </w:abstractNum>
  <w:abstractNum w:abstractNumId="308">
    <w:nsid w:val="605138DE"/>
    <w:multiLevelType w:val="hybridMultilevel"/>
    <w:lvl w:ilvl="0">
      <w:lvlJc w:val="left"/>
      <w:lvlText w:val="§"/>
      <w:numFmt w:val="bullet"/>
      <w:start w:val="1"/>
    </w:lvl>
    <w:lvl w:ilvl="1">
      <w:lvlJc w:val="left"/>
      <w:lvlText w:val="§"/>
      <w:numFmt w:val="bullet"/>
      <w:start w:val="1"/>
    </w:lvl>
  </w:abstractNum>
  <w:abstractNum w:abstractNumId="309">
    <w:nsid w:val="2622AD0C"/>
    <w:multiLevelType w:val="hybridMultilevel"/>
    <w:lvl w:ilvl="0">
      <w:lvlJc w:val="left"/>
      <w:lvlText w:val="(%1)"/>
      <w:numFmt w:val="decimal"/>
      <w:start w:val="1"/>
    </w:lvl>
  </w:abstractNum>
  <w:abstractNum w:abstractNumId="310">
    <w:nsid w:val="67997556"/>
    <w:multiLevelType w:val="hybridMultilevel"/>
    <w:lvl w:ilvl="0">
      <w:lvlJc w:val="left"/>
      <w:lvlText w:val="§"/>
      <w:numFmt w:val="bullet"/>
      <w:start w:val="1"/>
    </w:lvl>
  </w:abstractNum>
  <w:abstractNum w:abstractNumId="311">
    <w:nsid w:val="18333C89"/>
    <w:multiLevelType w:val="hybridMultilevel"/>
    <w:lvl w:ilvl="0">
      <w:lvlJc w:val="left"/>
      <w:lvlText w:val="(%1)"/>
      <w:numFmt w:val="decimal"/>
      <w:start w:val="1"/>
    </w:lvl>
  </w:abstractNum>
  <w:abstractNum w:abstractNumId="312">
    <w:nsid w:val="4BA9831A"/>
    <w:multiLevelType w:val="hybridMultilevel"/>
    <w:lvl w:ilvl="0">
      <w:lvlJc w:val="left"/>
      <w:lvlText w:val="§"/>
      <w:numFmt w:val="bullet"/>
      <w:start w:val="1"/>
    </w:lvl>
  </w:abstractNum>
  <w:abstractNum w:abstractNumId="313">
    <w:nsid w:val="6D71A2B"/>
    <w:multiLevelType w:val="hybridMultilevel"/>
    <w:lvl w:ilvl="0">
      <w:lvlJc w:val="left"/>
      <w:lvlText w:val="(%1)"/>
      <w:numFmt w:val="decimal"/>
      <w:start w:val="1"/>
    </w:lvl>
  </w:abstractNum>
  <w:abstractNum w:abstractNumId="314">
    <w:nsid w:val="CFC7321"/>
    <w:multiLevelType w:val="hybridMultilevel"/>
    <w:lvl w:ilvl="0">
      <w:lvlJc w:val="left"/>
      <w:lvlText w:val="(%1)"/>
      <w:numFmt w:val="decimal"/>
      <w:start w:val="1"/>
    </w:lvl>
  </w:abstractNum>
  <w:abstractNum w:abstractNumId="315">
    <w:nsid w:val="1421971B"/>
    <w:multiLevelType w:val="hybridMultilevel"/>
    <w:lvl w:ilvl="0">
      <w:lvlJc w:val="left"/>
      <w:lvlText w:val="(%1)"/>
      <w:numFmt w:val="decimal"/>
      <w:start w:val="1"/>
    </w:lvl>
  </w:abstractNum>
  <w:abstractNum w:abstractNumId="316">
    <w:nsid w:val="1F404301"/>
    <w:multiLevelType w:val="hybridMultilevel"/>
    <w:lvl w:ilvl="0">
      <w:lvlJc w:val="left"/>
      <w:lvlText w:val="(%1)"/>
      <w:numFmt w:val="decimal"/>
      <w:start w:val="1"/>
    </w:lvl>
  </w:abstractNum>
  <w:abstractNum w:abstractNumId="317">
    <w:nsid w:val="116E0907"/>
    <w:multiLevelType w:val="hybridMultilevel"/>
    <w:lvl w:ilvl="0">
      <w:lvlJc w:val="left"/>
      <w:lvlText w:val="§"/>
      <w:numFmt w:val="bullet"/>
      <w:start w:val="1"/>
    </w:lvl>
  </w:abstractNum>
  <w:abstractNum w:abstractNumId="318">
    <w:nsid w:val="4B683D0D"/>
    <w:multiLevelType w:val="hybridMultilevel"/>
    <w:lvl w:ilvl="0">
      <w:lvlJc w:val="left"/>
      <w:lvlText w:val="§"/>
      <w:numFmt w:val="bullet"/>
      <w:start w:val="1"/>
    </w:lvl>
  </w:abstractNum>
  <w:abstractNum w:abstractNumId="319">
    <w:nsid w:val="76E41D8"/>
    <w:multiLevelType w:val="hybridMultilevel"/>
    <w:lvl w:ilvl="0">
      <w:lvlJc w:val="left"/>
      <w:lvlText w:val="§"/>
      <w:numFmt w:val="bullet"/>
      <w:start w:val="1"/>
    </w:lvl>
  </w:abstractNum>
  <w:abstractNum w:abstractNumId="320">
    <w:nsid w:val="71DCE0FD"/>
    <w:multiLevelType w:val="hybridMultilevel"/>
    <w:lvl w:ilvl="0">
      <w:lvlJc w:val="left"/>
      <w:lvlText w:val="§"/>
      <w:numFmt w:val="bullet"/>
      <w:start w:val="1"/>
    </w:lvl>
  </w:abstractNum>
  <w:abstractNum w:abstractNumId="321">
    <w:nsid w:val="7906328B"/>
    <w:multiLevelType w:val="hybridMultilevel"/>
    <w:lvl w:ilvl="0">
      <w:lvlJc w:val="left"/>
      <w:lvlText w:val="(%1)"/>
      <w:numFmt w:val="decimal"/>
      <w:start w:val="1"/>
    </w:lvl>
  </w:abstractNum>
  <w:abstractNum w:abstractNumId="322">
    <w:nsid w:val="72BBC16"/>
    <w:multiLevelType w:val="hybridMultilevel"/>
    <w:lvl w:ilvl="0">
      <w:lvlJc w:val="left"/>
      <w:lvlText w:val="§"/>
      <w:numFmt w:val="bullet"/>
      <w:start w:val="1"/>
    </w:lvl>
  </w:abstractNum>
  <w:abstractNum w:abstractNumId="323">
    <w:nsid w:val="766D98C2"/>
    <w:multiLevelType w:val="hybridMultilevel"/>
    <w:lvl w:ilvl="0">
      <w:lvlJc w:val="left"/>
      <w:lvlText w:val="(%1)"/>
      <w:numFmt w:val="decimal"/>
      <w:start w:val="1"/>
    </w:lvl>
  </w:abstractNum>
  <w:abstractNum w:abstractNumId="324">
    <w:nsid w:val="3C09D4A1"/>
    <w:multiLevelType w:val="hybridMultilevel"/>
    <w:lvl w:ilvl="0">
      <w:lvlJc w:val="left"/>
      <w:lvlText w:val="§"/>
      <w:numFmt w:val="bullet"/>
      <w:start w:val="1"/>
    </w:lvl>
  </w:abstractNum>
  <w:abstractNum w:abstractNumId="325">
    <w:nsid w:val="20E45CA4"/>
    <w:multiLevelType w:val="hybridMultilevel"/>
    <w:lvl w:ilvl="0">
      <w:lvlJc w:val="left"/>
      <w:lvlText w:val="§"/>
      <w:numFmt w:val="bullet"/>
      <w:start w:val="1"/>
    </w:lvl>
  </w:abstractNum>
  <w:abstractNum w:abstractNumId="326">
    <w:nsid w:val="4B232EE3"/>
    <w:multiLevelType w:val="hybridMultilevel"/>
    <w:lvl w:ilvl="0">
      <w:lvlJc w:val="left"/>
      <w:lvlText w:val="§"/>
      <w:numFmt w:val="bullet"/>
      <w:start w:val="1"/>
    </w:lvl>
  </w:abstractNum>
  <w:abstractNum w:abstractNumId="327">
    <w:nsid w:val="159C74CF"/>
    <w:multiLevelType w:val="hybridMultilevel"/>
    <w:lvl w:ilvl="0">
      <w:lvlJc w:val="left"/>
      <w:lvlText w:val="§"/>
      <w:numFmt w:val="bullet"/>
      <w:start w:val="1"/>
    </w:lvl>
  </w:abstractNum>
  <w:abstractNum w:abstractNumId="328">
    <w:nsid w:val="4AD3AFD2"/>
    <w:multiLevelType w:val="hybridMultilevel"/>
    <w:lvl w:ilvl="0">
      <w:lvlJc w:val="left"/>
      <w:lvlText w:val="§"/>
      <w:numFmt w:val="bullet"/>
      <w:start w:val="1"/>
    </w:lvl>
  </w:abstractNum>
  <w:abstractNum w:abstractNumId="329">
    <w:nsid w:val="3CF93092"/>
    <w:multiLevelType w:val="hybridMultilevel"/>
    <w:lvl w:ilvl="0">
      <w:lvlJc w:val="left"/>
      <w:lvlText w:val="§"/>
      <w:numFmt w:val="bullet"/>
      <w:start w:val="1"/>
    </w:lvl>
  </w:abstractNum>
  <w:abstractNum w:abstractNumId="330">
    <w:nsid w:val="6863E8D2"/>
    <w:multiLevelType w:val="hybridMultilevel"/>
    <w:lvl w:ilvl="0">
      <w:lvlJc w:val="left"/>
      <w:lvlText w:val="§"/>
      <w:numFmt w:val="bullet"/>
      <w:start w:val="1"/>
    </w:lvl>
  </w:abstractNum>
  <w:abstractNum w:abstractNumId="331">
    <w:nsid w:val="76896198"/>
    <w:multiLevelType w:val="hybridMultilevel"/>
    <w:lvl w:ilvl="0">
      <w:lvlJc w:val="left"/>
      <w:lvlText w:val="(%1)"/>
      <w:numFmt w:val="decimal"/>
      <w:start w:val="1"/>
    </w:lvl>
  </w:abstractNum>
  <w:abstractNum w:abstractNumId="332">
    <w:nsid w:val="4365174B"/>
    <w:multiLevelType w:val="hybridMultilevel"/>
    <w:lvl w:ilvl="0">
      <w:lvlJc w:val="left"/>
      <w:lvlText w:val="§"/>
      <w:numFmt w:val="bullet"/>
      <w:start w:val="1"/>
    </w:lvl>
  </w:abstractNum>
  <w:abstractNum w:abstractNumId="333">
    <w:nsid w:val="4A872C35"/>
    <w:multiLevelType w:val="hybridMultilevel"/>
    <w:lvl w:ilvl="0">
      <w:lvlJc w:val="left"/>
      <w:lvlText w:val="§"/>
      <w:numFmt w:val="bullet"/>
      <w:start w:val="1"/>
    </w:lvl>
  </w:abstractNum>
  <w:abstractNum w:abstractNumId="334">
    <w:nsid w:val="5D5CE761"/>
    <w:multiLevelType w:val="hybridMultilevel"/>
    <w:lvl w:ilvl="0">
      <w:lvlJc w:val="left"/>
      <w:lvlText w:val="§"/>
      <w:numFmt w:val="bullet"/>
      <w:start w:val="1"/>
    </w:lvl>
  </w:abstractNum>
  <w:abstractNum w:abstractNumId="335">
    <w:nsid w:val="1CD484D5"/>
    <w:multiLevelType w:val="hybridMultilevel"/>
    <w:lvl w:ilvl="0">
      <w:lvlJc w:val="left"/>
      <w:lvlText w:val="(%1)"/>
      <w:numFmt w:val="decimal"/>
      <w:start w:val="1"/>
    </w:lvl>
  </w:abstractNum>
  <w:abstractNum w:abstractNumId="336">
    <w:nsid w:val="21D06255"/>
    <w:multiLevelType w:val="hybridMultilevel"/>
    <w:lvl w:ilvl="0">
      <w:lvlJc w:val="left"/>
      <w:lvlText w:val="(%1)"/>
      <w:numFmt w:val="decimal"/>
      <w:start w:val="1"/>
    </w:lvl>
  </w:abstractNum>
  <w:abstractNum w:abstractNumId="337">
    <w:nsid w:val="51194ED1"/>
    <w:multiLevelType w:val="hybridMultilevel"/>
    <w:lvl w:ilvl="0">
      <w:lvlJc w:val="left"/>
      <w:lvlText w:val="(%1)"/>
      <w:numFmt w:val="decimal"/>
      <w:start w:val="1"/>
    </w:lvl>
  </w:abstractNum>
  <w:abstractNum w:abstractNumId="338">
    <w:nsid w:val="44E2ED6C"/>
    <w:multiLevelType w:val="hybridMultilevel"/>
    <w:lvl w:ilvl="0">
      <w:lvlJc w:val="left"/>
      <w:lvlText w:val="(%1)"/>
      <w:numFmt w:val="decimal"/>
      <w:start w:val="1"/>
    </w:lvl>
  </w:abstractNum>
  <w:abstractNum w:abstractNumId="339">
    <w:nsid w:val="2219B33"/>
    <w:multiLevelType w:val="hybridMultilevel"/>
    <w:lvl w:ilvl="0">
      <w:lvlJc w:val="left"/>
      <w:lvlText w:val="(%1)"/>
      <w:numFmt w:val="decimal"/>
      <w:start w:val="1"/>
    </w:lvl>
  </w:abstractNum>
  <w:abstractNum w:abstractNumId="340">
    <w:nsid w:val="773BFBDD"/>
    <w:multiLevelType w:val="hybridMultilevel"/>
    <w:lvl w:ilvl="0">
      <w:lvlJc w:val="left"/>
      <w:lvlText w:val="(%1)"/>
      <w:numFmt w:val="decimal"/>
      <w:start w:val="1"/>
    </w:lvl>
  </w:abstractNum>
  <w:abstractNum w:abstractNumId="341">
    <w:nsid w:val="2C7C62C2"/>
    <w:multiLevelType w:val="hybridMultilevel"/>
    <w:lvl w:ilvl="0">
      <w:lvlJc w:val="left"/>
      <w:lvlText w:val="§"/>
      <w:numFmt w:val="bullet"/>
      <w:start w:val="1"/>
    </w:lvl>
  </w:abstractNum>
  <w:abstractNum w:abstractNumId="342">
    <w:nsid w:val="1A54D7BC"/>
    <w:multiLevelType w:val="hybridMultilevel"/>
    <w:lvl w:ilvl="0">
      <w:lvlJc w:val="left"/>
      <w:lvlText w:val="§"/>
      <w:numFmt w:val="bullet"/>
      <w:start w:val="1"/>
    </w:lvl>
  </w:abstractNum>
  <w:abstractNum w:abstractNumId="343">
    <w:nsid w:val="42E57EF7"/>
    <w:multiLevelType w:val="hybridMultilevel"/>
    <w:lvl w:ilvl="0">
      <w:lvlJc w:val="left"/>
      <w:lvlText w:val="§"/>
      <w:numFmt w:val="bullet"/>
      <w:start w:val="1"/>
    </w:lvl>
  </w:abstractNum>
  <w:abstractNum w:abstractNumId="344">
    <w:nsid w:val="33537CED"/>
    <w:multiLevelType w:val="hybridMultilevel"/>
    <w:lvl w:ilvl="0">
      <w:lvlJc w:val="left"/>
      <w:lvlText w:val="§"/>
      <w:numFmt w:val="bullet"/>
      <w:start w:val="1"/>
    </w:lvl>
  </w:abstractNum>
  <w:abstractNum w:abstractNumId="345">
    <w:nsid w:val="27514ADE"/>
    <w:multiLevelType w:val="hybridMultilevel"/>
    <w:lvl w:ilvl="0">
      <w:lvlJc w:val="left"/>
      <w:lvlText w:val="§"/>
      <w:numFmt w:val="bullet"/>
      <w:start w:val="1"/>
    </w:lvl>
  </w:abstractNum>
  <w:abstractNum w:abstractNumId="346">
    <w:nsid w:val="57071613"/>
    <w:multiLevelType w:val="hybridMultilevel"/>
    <w:lvl w:ilvl="0">
      <w:lvlJc w:val="left"/>
      <w:lvlText w:val="(%1)"/>
      <w:numFmt w:val="decimal"/>
      <w:start w:val="1"/>
    </w:lvl>
  </w:abstractNum>
  <w:abstractNum w:abstractNumId="347">
    <w:nsid w:val="5293BFEF"/>
    <w:multiLevelType w:val="hybridMultilevel"/>
    <w:lvl w:ilvl="0">
      <w:lvlJc w:val="left"/>
      <w:lvlText w:val="(%1)"/>
      <w:numFmt w:val="decimal"/>
      <w:start w:val="1"/>
    </w:lvl>
  </w:abstractNum>
  <w:abstractNum w:abstractNumId="348">
    <w:nsid w:val="38BF53E5"/>
    <w:multiLevelType w:val="hybridMultilevel"/>
    <w:lvl w:ilvl="0">
      <w:lvlJc w:val="left"/>
      <w:lvlText w:val="(%1)"/>
      <w:numFmt w:val="decimal"/>
      <w:start w:val="3"/>
    </w:lvl>
  </w:abstractNum>
  <w:abstractNum w:abstractNumId="349">
    <w:nsid w:val="226F5320"/>
    <w:multiLevelType w:val="hybridMultilevel"/>
    <w:lvl w:ilvl="0">
      <w:lvlJc w:val="left"/>
      <w:lvlText w:val="§"/>
      <w:numFmt w:val="bullet"/>
      <w:start w:val="1"/>
    </w:lvl>
  </w:abstractNum>
  <w:abstractNum w:abstractNumId="350">
    <w:nsid w:val="5A0201C7"/>
    <w:multiLevelType w:val="hybridMultilevel"/>
    <w:lvl w:ilvl="0">
      <w:lvlJc w:val="left"/>
      <w:lvlText w:val="(%1)"/>
      <w:numFmt w:val="decimal"/>
      <w:start w:val="1"/>
    </w:lvl>
  </w:abstractNum>
  <w:abstractNum w:abstractNumId="351">
    <w:nsid w:val="2A9C34E2"/>
    <w:multiLevelType w:val="hybridMultilevel"/>
    <w:lvl w:ilvl="0">
      <w:lvlJc w:val="left"/>
      <w:lvlText w:val="(%1)"/>
      <w:numFmt w:val="decimal"/>
      <w:start w:val="1"/>
    </w:lvl>
  </w:abstractNum>
  <w:abstractNum w:abstractNumId="352">
    <w:nsid w:val="1B7585AB"/>
    <w:multiLevelType w:val="hybridMultilevel"/>
    <w:lvl w:ilvl="0">
      <w:lvlJc w:val="left"/>
      <w:lvlText w:val="(%1)"/>
      <w:numFmt w:val="decimal"/>
      <w:start w:val="1"/>
    </w:lvl>
  </w:abstractNum>
  <w:abstractNum w:abstractNumId="353">
    <w:nsid w:val="612DBDDD"/>
    <w:multiLevelType w:val="hybridMultilevel"/>
    <w:lvl w:ilvl="0">
      <w:lvlJc w:val="left"/>
      <w:lvlText w:val="(%1)"/>
      <w:numFmt w:val="decimal"/>
      <w:start w:val="1"/>
    </w:lvl>
  </w:abstractNum>
  <w:abstractNum w:abstractNumId="354">
    <w:nsid w:val="2109CDA4"/>
    <w:multiLevelType w:val="hybridMultilevel"/>
    <w:lvl w:ilvl="0">
      <w:lvlJc w:val="left"/>
      <w:lvlText w:val="(%1)"/>
      <w:numFmt w:val="decimal"/>
      <w:start w:val="1"/>
    </w:lvl>
  </w:abstractNum>
  <w:abstractNum w:abstractNumId="355">
    <w:nsid w:val="577F5A4D"/>
    <w:multiLevelType w:val="hybridMultilevel"/>
    <w:lvl w:ilvl="0">
      <w:lvlJc w:val="left"/>
      <w:lvlText w:val="(%1)"/>
      <w:numFmt w:val="decimal"/>
      <w:start w:val="1"/>
    </w:lvl>
  </w:abstractNum>
  <w:abstractNum w:abstractNumId="356">
    <w:nsid w:val="2121A81"/>
    <w:multiLevelType w:val="hybridMultilevel"/>
    <w:lvl w:ilvl="0">
      <w:lvlJc w:val="left"/>
      <w:lvlText w:val="(%1)"/>
      <w:numFmt w:val="decimal"/>
      <w:start w:val="1"/>
    </w:lvl>
  </w:abstractNum>
  <w:abstractNum w:abstractNumId="357">
    <w:nsid w:val="6C2CFC88"/>
    <w:multiLevelType w:val="hybridMultilevel"/>
    <w:lvl w:ilvl="0">
      <w:lvlJc w:val="left"/>
      <w:lvlText w:val="§"/>
      <w:numFmt w:val="bullet"/>
      <w:start w:val="1"/>
    </w:lvl>
  </w:abstractNum>
  <w:abstractNum w:abstractNumId="358">
    <w:nsid w:val="6D1BCF1C"/>
    <w:multiLevelType w:val="hybridMultilevel"/>
    <w:lvl w:ilvl="0">
      <w:lvlJc w:val="left"/>
      <w:lvlText w:val="(%1)"/>
      <w:numFmt w:val="decimal"/>
      <w:start w:val="1"/>
    </w:lvl>
  </w:abstractNum>
  <w:abstractNum w:abstractNumId="359">
    <w:nsid w:val="4CE5CA53"/>
    <w:multiLevelType w:val="hybridMultilevel"/>
    <w:lvl w:ilvl="0">
      <w:lvlJc w:val="left"/>
      <w:lvlText w:val="§"/>
      <w:numFmt w:val="bullet"/>
      <w:start w:val="1"/>
    </w:lvl>
  </w:abstractNum>
  <w:abstractNum w:abstractNumId="360">
    <w:nsid w:val="29262D1A"/>
    <w:multiLevelType w:val="hybridMultilevel"/>
    <w:lvl w:ilvl="0">
      <w:lvlJc w:val="left"/>
      <w:lvlText w:val="§"/>
      <w:numFmt w:val="bullet"/>
      <w:start w:val="1"/>
    </w:lvl>
  </w:abstractNum>
  <w:abstractNum w:abstractNumId="361">
    <w:nsid w:val="557FB7EE"/>
    <w:multiLevelType w:val="hybridMultilevel"/>
    <w:lvl w:ilvl="0">
      <w:lvlJc w:val="left"/>
      <w:lvlText w:val="(%1)"/>
      <w:numFmt w:val="decimal"/>
      <w:start w:val="1"/>
    </w:lvl>
  </w:abstractNum>
  <w:abstractNum w:abstractNumId="362">
    <w:nsid w:val="436F2BEB"/>
    <w:multiLevelType w:val="hybridMultilevel"/>
    <w:lvl w:ilvl="0">
      <w:lvlJc w:val="left"/>
      <w:lvlText w:val="§"/>
      <w:numFmt w:val="bullet"/>
      <w:start w:val="1"/>
    </w:lvl>
  </w:abstractNum>
  <w:abstractNum w:abstractNumId="363">
    <w:nsid w:val="6C8B4466"/>
    <w:multiLevelType w:val="hybridMultilevel"/>
    <w:lvl w:ilvl="0">
      <w:lvlJc w:val="left"/>
      <w:lvlText w:val="§"/>
      <w:numFmt w:val="bullet"/>
      <w:start w:val="1"/>
    </w:lvl>
  </w:abstractNum>
  <w:abstractNum w:abstractNumId="364">
    <w:nsid w:val="2006E424"/>
    <w:multiLevelType w:val="hybridMultilevel"/>
    <w:lvl w:ilvl="0">
      <w:lvlJc w:val="left"/>
      <w:lvlText w:val="§"/>
      <w:numFmt w:val="bullet"/>
      <w:start w:val="1"/>
    </w:lvl>
  </w:abstractNum>
  <w:abstractNum w:abstractNumId="365">
    <w:nsid w:val="20CC134C"/>
    <w:multiLevelType w:val="hybridMultilevel"/>
    <w:lvl w:ilvl="0">
      <w:lvlJc w:val="left"/>
      <w:lvlText w:val="§"/>
      <w:numFmt w:val="bullet"/>
      <w:start w:val="1"/>
    </w:lvl>
  </w:abstractNum>
  <w:abstractNum w:abstractNumId="366">
    <w:nsid w:val="95FC93B"/>
    <w:multiLevelType w:val="hybridMultilevel"/>
    <w:lvl w:ilvl="0">
      <w:lvlJc w:val="left"/>
      <w:lvlText w:val="§"/>
      <w:numFmt w:val="bullet"/>
      <w:start w:val="1"/>
    </w:lvl>
  </w:abstractNum>
  <w:abstractNum w:abstractNumId="367">
    <w:nsid w:val="41D74679"/>
    <w:multiLevelType w:val="hybridMultilevel"/>
    <w:lvl w:ilvl="0">
      <w:lvlJc w:val="left"/>
      <w:lvlText w:val="§"/>
      <w:numFmt w:val="bullet"/>
      <w:start w:val="1"/>
    </w:lvl>
  </w:abstractNum>
  <w:abstractNum w:abstractNumId="368">
    <w:nsid w:val="71E5621E"/>
    <w:multiLevelType w:val="hybridMultilevel"/>
    <w:lvl w:ilvl="0">
      <w:lvlJc w:val="left"/>
      <w:lvlText w:val="§"/>
      <w:numFmt w:val="bullet"/>
      <w:start w:val="1"/>
    </w:lvl>
  </w:abstractNum>
  <w:abstractNum w:abstractNumId="369">
    <w:nsid w:val="4E42B6A8"/>
    <w:multiLevelType w:val="hybridMultilevel"/>
    <w:lvl w:ilvl="0">
      <w:lvlJc w:val="left"/>
      <w:lvlText w:val="§"/>
      <w:numFmt w:val="bullet"/>
      <w:start w:val="1"/>
    </w:lvl>
  </w:abstractNum>
  <w:abstractNum w:abstractNumId="370">
    <w:nsid w:val="43F8E1AC"/>
    <w:multiLevelType w:val="hybridMultilevel"/>
    <w:lvl w:ilvl="0">
      <w:lvlJc w:val="left"/>
      <w:lvlText w:val="(%1)"/>
      <w:numFmt w:val="decimal"/>
      <w:start w:val="1"/>
    </w:lvl>
  </w:abstractNum>
  <w:abstractNum w:abstractNumId="371">
    <w:nsid w:val="69215DFB"/>
    <w:multiLevelType w:val="hybridMultilevel"/>
    <w:lvl w:ilvl="0">
      <w:lvlJc w:val="left"/>
      <w:lvlText w:val="§"/>
      <w:numFmt w:val="bullet"/>
      <w:start w:val="1"/>
    </w:lvl>
  </w:abstractNum>
  <w:abstractNum w:abstractNumId="372">
    <w:nsid w:val="7ABF196A"/>
    <w:multiLevelType w:val="hybridMultilevel"/>
    <w:lvl w:ilvl="0">
      <w:lvlJc w:val="left"/>
      <w:lvlText w:val="§"/>
      <w:numFmt w:val="bullet"/>
      <w:start w:val="1"/>
    </w:lvl>
  </w:abstractNum>
  <w:abstractNum w:abstractNumId="373">
    <w:nsid w:val="5E4DB968"/>
    <w:multiLevelType w:val="hybridMultilevel"/>
    <w:lvl w:ilvl="0">
      <w:lvlJc w:val="left"/>
      <w:lvlText w:val="(%1)"/>
      <w:numFmt w:val="decimal"/>
      <w:start w:val="1"/>
    </w:lvl>
  </w:abstractNum>
  <w:abstractNum w:abstractNumId="374">
    <w:nsid w:val="2C06DCF3"/>
    <w:multiLevelType w:val="hybridMultilevel"/>
    <w:lvl w:ilvl="0">
      <w:lvlJc w:val="left"/>
      <w:lvlText w:val="(%1)"/>
      <w:numFmt w:val="decimal"/>
      <w:start w:val="1"/>
    </w:lvl>
  </w:abstractNum>
  <w:abstractNum w:abstractNumId="375">
    <w:nsid w:val="2E129658"/>
    <w:multiLevelType w:val="hybridMultilevel"/>
    <w:lvl w:ilvl="0">
      <w:lvlJc w:val="left"/>
      <w:lvlText w:val="§"/>
      <w:numFmt w:val="bullet"/>
      <w:start w:val="1"/>
    </w:lvl>
  </w:abstractNum>
  <w:abstractNum w:abstractNumId="376">
    <w:nsid w:val="59F0446"/>
    <w:multiLevelType w:val="hybridMultilevel"/>
    <w:lvl w:ilvl="0">
      <w:lvlJc w:val="left"/>
      <w:lvlText w:val="§"/>
      <w:numFmt w:val="bullet"/>
      <w:start w:val="1"/>
    </w:lvl>
  </w:abstractNum>
  <w:abstractNum w:abstractNumId="377">
    <w:nsid w:val="30DF306"/>
    <w:multiLevelType w:val="hybridMultilevel"/>
    <w:lvl w:ilvl="0">
      <w:lvlJc w:val="left"/>
      <w:lvlText w:val="(%1)"/>
      <w:numFmt w:val="decimal"/>
      <w:start w:val="1"/>
    </w:lvl>
  </w:abstractNum>
  <w:abstractNum w:abstractNumId="378">
    <w:nsid w:val="A65647"/>
    <w:multiLevelType w:val="hybridMultilevel"/>
    <w:lvl w:ilvl="0">
      <w:lvlJc w:val="left"/>
      <w:lvlText w:val="(%1)"/>
      <w:numFmt w:val="decimal"/>
      <w:start w:val="1"/>
    </w:lvl>
  </w:abstractNum>
  <w:abstractNum w:abstractNumId="379">
    <w:nsid w:val="3E5E582B"/>
    <w:multiLevelType w:val="hybridMultilevel"/>
    <w:lvl w:ilvl="0">
      <w:lvlJc w:val="left"/>
      <w:lvlText w:val="%1."/>
      <w:numFmt w:val="decimal"/>
      <w:start w:val="1"/>
    </w:lvl>
  </w:abstractNum>
  <w:abstractNum w:abstractNumId="380">
    <w:nsid w:val="257D4626"/>
    <w:multiLevelType w:val="hybridMultilevel"/>
    <w:lvl w:ilvl="0">
      <w:lvlJc w:val="left"/>
      <w:lvlText w:val="(%1)"/>
      <w:numFmt w:val="decimal"/>
      <w:start w:val="1"/>
    </w:lvl>
  </w:abstractNum>
  <w:abstractNum w:abstractNumId="381">
    <w:nsid w:val="5AA8580E"/>
    <w:multiLevelType w:val="hybridMultilevel"/>
    <w:lvl w:ilvl="0">
      <w:lvlJc w:val="left"/>
      <w:lvlText w:val="(%1)"/>
      <w:numFmt w:val="decimal"/>
      <w:start w:val="1"/>
    </w:lvl>
  </w:abstractNum>
  <w:abstractNum w:abstractNumId="382">
    <w:nsid w:val="68FA8D0D"/>
    <w:multiLevelType w:val="hybridMultilevel"/>
    <w:lvl w:ilvl="0">
      <w:lvlJc w:val="left"/>
      <w:lvlText w:val="%1."/>
      <w:numFmt w:val="decimal"/>
      <w:start w:val="1"/>
    </w:lvl>
    <w:lvl w:ilvl="1">
      <w:lvlJc w:val="left"/>
      <w:lvlText w:val="%2)"/>
      <w:numFmt w:val="lowerLetter"/>
      <w:start w:val="1"/>
    </w:lvl>
  </w:abstractNum>
  <w:abstractNum w:abstractNumId="383">
    <w:nsid w:val="40F2CBD2"/>
    <w:multiLevelType w:val="hybridMultilevel"/>
    <w:lvl w:ilvl="0">
      <w:lvlJc w:val="left"/>
      <w:lvlText w:val="%1."/>
      <w:numFmt w:val="decimal"/>
      <w:start w:val="1"/>
    </w:lvl>
    <w:lvl w:ilvl="1">
      <w:lvlJc w:val="left"/>
      <w:lvlText w:val="%2)"/>
      <w:numFmt w:val="lowerLetter"/>
      <w:start w:val="1"/>
    </w:lvl>
  </w:abstractNum>
  <w:abstractNum w:abstractNumId="384">
    <w:nsid w:val="3BD615EB"/>
    <w:multiLevelType w:val="hybridMultilevel"/>
    <w:lvl w:ilvl="0">
      <w:lvlJc w:val="left"/>
      <w:lvlText w:val="%1."/>
      <w:numFmt w:val="decimal"/>
      <w:start w:val="1"/>
    </w:lvl>
    <w:lvl w:ilvl="1">
      <w:lvlJc w:val="left"/>
      <w:lvlText w:val="%2)"/>
      <w:numFmt w:val="lowerLetter"/>
      <w:start w:val="1"/>
    </w:lvl>
  </w:abstractNum>
  <w:abstractNum w:abstractNumId="385">
    <w:nsid w:val="A045AB2"/>
    <w:multiLevelType w:val="hybridMultilevel"/>
    <w:lvl w:ilvl="0">
      <w:lvlJc w:val="left"/>
      <w:lvlText w:val="%1."/>
      <w:numFmt w:val="decimal"/>
      <w:start w:val="1"/>
    </w:lvl>
    <w:lvl w:ilvl="1">
      <w:lvlJc w:val="left"/>
      <w:lvlText w:val="%2)"/>
      <w:numFmt w:val="lowerLetter"/>
      <w:start w:val="1"/>
    </w:lvl>
  </w:abstractNum>
  <w:abstractNum w:abstractNumId="386">
    <w:nsid w:val="1872261F"/>
    <w:multiLevelType w:val="hybridMultilevel"/>
    <w:lvl w:ilvl="0">
      <w:lvlJc w:val="left"/>
      <w:lvlText w:val="%1."/>
      <w:numFmt w:val="decimal"/>
      <w:start w:val="1"/>
    </w:lvl>
    <w:lvl w:ilvl="1">
      <w:lvlJc w:val="left"/>
      <w:lvlText w:val="%2)"/>
      <w:numFmt w:val="lowerLetter"/>
      <w:start w:val="1"/>
    </w:lvl>
  </w:abstractNum>
  <w:abstractNum w:abstractNumId="387">
    <w:nsid w:val="3DE8306C"/>
    <w:multiLevelType w:val="hybridMultilevel"/>
    <w:lvl w:ilvl="0">
      <w:lvlJc w:val="left"/>
      <w:lvlText w:val="%1."/>
      <w:numFmt w:val="decimal"/>
      <w:start w:val="1"/>
    </w:lvl>
    <w:lvl w:ilvl="1">
      <w:lvlJc w:val="left"/>
      <w:lvlText w:val="%2)"/>
      <w:numFmt w:val="lowerLetter"/>
      <w:start w:val="1"/>
    </w:lvl>
  </w:abstractNum>
  <w:abstractNum w:abstractNumId="388">
    <w:nsid w:val="7631573A"/>
    <w:multiLevelType w:val="hybridMultilevel"/>
    <w:lvl w:ilvl="0">
      <w:lvlJc w:val="left"/>
      <w:lvlText w:val="(%1)"/>
      <w:numFmt w:val="lowerRoman"/>
      <w:start w:val="1"/>
    </w:lvl>
  </w:abstractNum>
  <w:abstractNum w:abstractNumId="389">
    <w:nsid w:val="58DF53B"/>
    <w:multiLevelType w:val="hybridMultilevel"/>
    <w:lvl w:ilvl="0">
      <w:lvlJc w:val="left"/>
      <w:lvlText w:val="(%1)"/>
      <w:numFmt w:val="lowerRoman"/>
      <w:start w:val="1"/>
    </w:lvl>
  </w:abstractNum>
  <w:abstractNum w:abstractNumId="390">
    <w:nsid w:val="ACDFAC0"/>
    <w:multiLevelType w:val="hybridMultilevel"/>
    <w:lvl w:ilvl="0">
      <w:lvlJc w:val="left"/>
      <w:lvlText w:val="(%1)"/>
      <w:numFmt w:val="lowerRoman"/>
      <w:start w:val="1"/>
    </w:lvl>
  </w:abstractNum>
  <w:abstractNum w:abstractNumId="391">
    <w:nsid w:val="1F578454"/>
    <w:multiLevelType w:val="hybridMultilevel"/>
    <w:lvl w:ilvl="0">
      <w:lvlJc w:val="left"/>
      <w:lvlText w:val="(%1)"/>
      <w:numFmt w:val="lowerRoman"/>
      <w:start w:val="1"/>
    </w:lvl>
  </w:abstractNum>
  <w:abstractNum w:abstractNumId="392">
    <w:nsid w:val="5B0DAD2A"/>
    <w:multiLevelType w:val="hybridMultilevel"/>
    <w:lvl w:ilvl="0">
      <w:lvlJc w:val="left"/>
      <w:lvlText w:val="(%1)"/>
      <w:numFmt w:val="lowerRoman"/>
      <w:start w:val="1"/>
    </w:lvl>
  </w:abstractNum>
  <w:abstractNum w:abstractNumId="393">
    <w:nsid w:val="4E3D26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2019-12-13T06:31:45Z</dcterms:created>
  <dcterms:modified xsi:type="dcterms:W3CDTF">2019-12-13T06:31:45Z</dcterms:modified>
</cp:coreProperties>
</file>