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4519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45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 RICHARD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488 8TH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SEMPRA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SRE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92101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136.81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136.81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91.37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2,005.78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of Sempra Common Stock acquired as director compensation.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Derivative Security is 1 for 1.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Date exercisable is immediate for shares that have vested.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Expiration date is Not Applicable.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J. MARK BY: Lisa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325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 w:line="1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 xml:space="preserve">H. Abbot, Managing Attorney - </w:t>
      </w:r>
      <w:r>
        <w:rPr>
          <w:rFonts w:ascii="Times New Roman" w:cs="Times New Roman" w:eastAsia="Times New Roman" w:hAnsi="Times New Roman"/>
          <w:sz w:val="27"/>
          <w:szCs w:val="27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Corporate and Securities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1690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Sempra and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2547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4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90100" TargetMode="External"/><Relationship Id="rId14" Type="http://schemas.openxmlformats.org/officeDocument/2006/relationships/hyperlink" Target="http://www.sec.gov/cgi-bin/browse-edgar?action=getcompany&amp;CIK=00010322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2026-07-02T15:20:44Z</dcterms:created>
  <dcterms:modified xsi:type="dcterms:W3CDTF">2026-07-02T15:20:44Z</dcterms:modified>
</cp:coreProperties>
</file>