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1049655</wp:posOffset>
            </wp:positionH>
            <wp:positionV relativeFrom="page">
              <wp:posOffset>791845</wp:posOffset>
            </wp:positionV>
            <wp:extent cx="54711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71160" cy="26035"/>
                    </a:xfrm>
                    <a:prstGeom prst="rect">
                      <a:avLst/>
                    </a:prstGeom>
                    <a:noFill/>
                  </pic:spPr>
                </pic:pic>
              </a:graphicData>
            </a:graphic>
          </wp:anchor>
        </w:drawing>
        <w:drawing>
          <wp:anchor simplePos="0" relativeHeight="251657728" behindDoc="1" locked="0" layoutInCell="0" allowOverlap="1">
            <wp:simplePos x="0" y="0"/>
            <wp:positionH relativeFrom="page">
              <wp:posOffset>1049655</wp:posOffset>
            </wp:positionH>
            <wp:positionV relativeFrom="page">
              <wp:posOffset>972185</wp:posOffset>
            </wp:positionV>
            <wp:extent cx="5471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SECURITIES AND EXCHANGE COMMISSION</w:t>
      </w:r>
    </w:p>
    <w:p>
      <w:pPr>
        <w:jc w:val="center"/>
        <w:ind w:right="59"/>
        <w:spacing w:after="0"/>
        <w:rPr>
          <w:sz w:val="20"/>
          <w:szCs w:val="20"/>
          <w:color w:val="auto"/>
        </w:rPr>
      </w:pPr>
      <w:r>
        <w:rPr>
          <w:rFonts w:ascii="Arial" w:cs="Arial" w:eastAsia="Arial" w:hAnsi="Arial"/>
          <w:sz w:val="20"/>
          <w:szCs w:val="20"/>
          <w:color w:val="auto"/>
        </w:rPr>
        <w:t>Washington, D.C. 20549</w:t>
      </w:r>
    </w:p>
    <w:p>
      <w:pPr>
        <w:spacing w:after="0" w:line="11" w:lineRule="exact"/>
        <w:rPr>
          <w:sz w:val="24"/>
          <w:szCs w:val="24"/>
          <w:color w:val="auto"/>
        </w:rPr>
      </w:pPr>
    </w:p>
    <w:p>
      <w:pPr>
        <w:ind w:left="3980"/>
        <w:spacing w:after="0"/>
        <w:rPr>
          <w:sz w:val="20"/>
          <w:szCs w:val="20"/>
          <w:color w:val="auto"/>
        </w:rPr>
      </w:pPr>
      <w:r>
        <w:rPr>
          <w:rFonts w:ascii="Arial" w:cs="Arial" w:eastAsia="Arial" w:hAnsi="Arial"/>
          <w:sz w:val="20"/>
          <w:szCs w:val="20"/>
          <w:color w:val="auto"/>
        </w:rPr>
        <w:t>FORM 10-Q</w:t>
      </w:r>
    </w:p>
    <w:p>
      <w:pPr>
        <w:spacing w:after="0" w:line="27" w:lineRule="exact"/>
        <w:rPr>
          <w:sz w:val="24"/>
          <w:szCs w:val="24"/>
          <w:color w:val="auto"/>
        </w:rPr>
      </w:pPr>
    </w:p>
    <w:p>
      <w:pPr>
        <w:ind w:left="1600"/>
        <w:spacing w:after="0"/>
        <w:rPr>
          <w:sz w:val="20"/>
          <w:szCs w:val="20"/>
          <w:color w:val="auto"/>
        </w:rPr>
      </w:pPr>
      <w:r>
        <w:rPr>
          <w:rFonts w:ascii="Arial" w:cs="Arial" w:eastAsia="Arial" w:hAnsi="Arial"/>
          <w:sz w:val="20"/>
          <w:szCs w:val="20"/>
          <w:color w:val="auto"/>
        </w:rPr>
        <w:t>QUARTERLY REPORT PURSUANT TO SECTION 13 OR 15 (d) OF THE</w:t>
      </w:r>
    </w:p>
    <w:p>
      <w:pPr>
        <w:spacing w:after="0" w:line="16" w:lineRule="exact"/>
        <w:rPr>
          <w:sz w:val="24"/>
          <w:szCs w:val="24"/>
          <w:color w:val="auto"/>
        </w:rPr>
      </w:pPr>
    </w:p>
    <w:p>
      <w:pPr>
        <w:ind w:left="2900"/>
        <w:spacing w:after="0"/>
        <w:rPr>
          <w:sz w:val="20"/>
          <w:szCs w:val="20"/>
          <w:color w:val="auto"/>
        </w:rPr>
      </w:pPr>
      <w:r>
        <w:rPr>
          <w:rFonts w:ascii="Arial" w:cs="Arial" w:eastAsia="Arial" w:hAnsi="Arial"/>
          <w:sz w:val="20"/>
          <w:szCs w:val="20"/>
          <w:color w:val="auto"/>
        </w:rPr>
        <w:t>SECURITIES EXCHANGE ACT OF 1934</w:t>
      </w:r>
    </w:p>
    <w:p>
      <w:pPr>
        <w:spacing w:after="0" w:line="11" w:lineRule="exact"/>
        <w:rPr>
          <w:sz w:val="24"/>
          <w:szCs w:val="24"/>
          <w:color w:val="auto"/>
        </w:rPr>
      </w:pPr>
    </w:p>
    <w:p>
      <w:pPr>
        <w:ind w:left="3000"/>
        <w:spacing w:after="0"/>
        <w:rPr>
          <w:sz w:val="20"/>
          <w:szCs w:val="20"/>
          <w:color w:val="auto"/>
        </w:rPr>
      </w:pPr>
      <w:r>
        <w:rPr>
          <w:rFonts w:ascii="Arial" w:cs="Arial" w:eastAsia="Arial" w:hAnsi="Arial"/>
          <w:sz w:val="20"/>
          <w:szCs w:val="20"/>
          <w:color w:val="auto"/>
        </w:rPr>
        <w:t>For the quarterly period ended June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3492500</wp:posOffset>
            </wp:positionH>
            <wp:positionV relativeFrom="paragraph">
              <wp:posOffset>19050</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 w:lineRule="exact"/>
        <w:rPr>
          <w:sz w:val="24"/>
          <w:szCs w:val="24"/>
          <w:color w:val="auto"/>
        </w:rPr>
      </w:pPr>
    </w:p>
    <w:p>
      <w:pPr>
        <w:ind w:left="3440"/>
        <w:spacing w:after="0"/>
        <w:rPr>
          <w:sz w:val="20"/>
          <w:szCs w:val="20"/>
          <w:color w:val="auto"/>
        </w:rPr>
      </w:pPr>
      <w:r>
        <w:rPr>
          <w:rFonts w:ascii="Arial" w:cs="Arial" w:eastAsia="Arial" w:hAnsi="Arial"/>
          <w:sz w:val="20"/>
          <w:szCs w:val="20"/>
          <w:color w:val="auto"/>
        </w:rPr>
        <w:t>Commission file number 1-3779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3492500</wp:posOffset>
            </wp:positionH>
            <wp:positionV relativeFrom="paragraph">
              <wp:posOffset>19050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SAN DIEGO GAS &amp; ELECTRIC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147955</wp:posOffset>
            </wp:positionH>
            <wp:positionV relativeFrom="paragraph">
              <wp:posOffset>19050</wp:posOffset>
            </wp:positionV>
            <wp:extent cx="5471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7" w:lineRule="exact"/>
        <w:rPr>
          <w:sz w:val="24"/>
          <w:szCs w:val="24"/>
          <w:color w:val="auto"/>
        </w:rPr>
      </w:pPr>
    </w:p>
    <w:tbl>
      <w:tblPr>
        <w:tblLayout w:type="fixed"/>
        <w:tblInd w:w="240" w:type="dxa"/>
        <w:tblCellMar>
          <w:top w:w="0" w:type="dxa"/>
          <w:left w:w="0" w:type="dxa"/>
          <w:bottom w:w="0" w:type="dxa"/>
          <w:right w:w="0" w:type="dxa"/>
        </w:tblCellMar>
      </w:tblPr>
      <w:tr>
        <w:trPr>
          <w:trHeight w:val="255"/>
        </w:trPr>
        <w:tc>
          <w:tcPr>
            <w:tcW w:w="4660" w:type="dxa"/>
            <w:vAlign w:val="bottom"/>
          </w:tcPr>
          <w:p>
            <w:pPr>
              <w:jc w:val="center"/>
              <w:ind w:left="81"/>
              <w:spacing w:after="0"/>
              <w:rPr>
                <w:sz w:val="20"/>
                <w:szCs w:val="20"/>
                <w:color w:val="auto"/>
              </w:rPr>
            </w:pPr>
            <w:r>
              <w:rPr>
                <w:rFonts w:ascii="Arial" w:cs="Arial" w:eastAsia="Arial" w:hAnsi="Arial"/>
                <w:sz w:val="20"/>
                <w:szCs w:val="20"/>
                <w:color w:val="auto"/>
                <w:w w:val="94"/>
              </w:rPr>
              <w:t>California</w:t>
            </w:r>
          </w:p>
        </w:tc>
        <w:tc>
          <w:tcPr>
            <w:tcW w:w="3940" w:type="dxa"/>
            <w:vAlign w:val="bottom"/>
            <w:gridSpan w:val="2"/>
          </w:tcPr>
          <w:p>
            <w:pPr>
              <w:jc w:val="right"/>
              <w:ind w:right="1141"/>
              <w:spacing w:after="0"/>
              <w:rPr>
                <w:sz w:val="20"/>
                <w:szCs w:val="20"/>
                <w:color w:val="auto"/>
              </w:rPr>
            </w:pPr>
            <w:r>
              <w:rPr>
                <w:rFonts w:ascii="Arial" w:cs="Arial" w:eastAsia="Arial" w:hAnsi="Arial"/>
                <w:sz w:val="20"/>
                <w:szCs w:val="20"/>
                <w:color w:val="auto"/>
              </w:rPr>
              <w:t>95-1184800</w:t>
            </w:r>
          </w:p>
        </w:tc>
      </w:tr>
      <w:tr>
        <w:trPr>
          <w:trHeight w:val="225"/>
        </w:trPr>
        <w:tc>
          <w:tcPr>
            <w:tcW w:w="4660" w:type="dxa"/>
            <w:vAlign w:val="bottom"/>
            <w:tcBorders>
              <w:top w:val="single" w:sz="8" w:color="auto"/>
            </w:tcBorders>
          </w:tcPr>
          <w:p>
            <w:pPr>
              <w:jc w:val="center"/>
              <w:ind w:left="81"/>
              <w:spacing w:after="0" w:line="225" w:lineRule="exact"/>
              <w:rPr>
                <w:sz w:val="20"/>
                <w:szCs w:val="20"/>
                <w:color w:val="auto"/>
              </w:rPr>
            </w:pPr>
            <w:r>
              <w:rPr>
                <w:rFonts w:ascii="Arial" w:cs="Arial" w:eastAsia="Arial" w:hAnsi="Arial"/>
                <w:sz w:val="20"/>
                <w:szCs w:val="20"/>
                <w:color w:val="auto"/>
                <w:w w:val="92"/>
              </w:rPr>
              <w:t>(State or other jurisdiction of incorporation or</w:t>
            </w:r>
          </w:p>
        </w:tc>
        <w:tc>
          <w:tcPr>
            <w:tcW w:w="600" w:type="dxa"/>
            <w:vAlign w:val="bottom"/>
          </w:tcPr>
          <w:p>
            <w:pPr>
              <w:spacing w:after="0"/>
              <w:rPr>
                <w:sz w:val="19"/>
                <w:szCs w:val="19"/>
                <w:color w:val="auto"/>
              </w:rPr>
            </w:pPr>
          </w:p>
        </w:tc>
        <w:tc>
          <w:tcPr>
            <w:tcW w:w="3340" w:type="dxa"/>
            <w:vAlign w:val="bottom"/>
            <w:tcBorders>
              <w:top w:val="single" w:sz="8" w:color="auto"/>
            </w:tcBorders>
          </w:tcPr>
          <w:p>
            <w:pPr>
              <w:jc w:val="center"/>
              <w:ind w:right="1"/>
              <w:spacing w:after="0" w:line="225" w:lineRule="exact"/>
              <w:rPr>
                <w:sz w:val="20"/>
                <w:szCs w:val="20"/>
                <w:color w:val="auto"/>
              </w:rPr>
            </w:pPr>
            <w:r>
              <w:rPr>
                <w:rFonts w:ascii="Arial" w:cs="Arial" w:eastAsia="Arial" w:hAnsi="Arial"/>
                <w:sz w:val="20"/>
                <w:szCs w:val="20"/>
                <w:color w:val="auto"/>
                <w:w w:val="93"/>
              </w:rPr>
              <w:t>(I.R.S. Employer Identification No.)</w:t>
            </w:r>
          </w:p>
        </w:tc>
      </w:tr>
      <w:tr>
        <w:trPr>
          <w:trHeight w:val="250"/>
        </w:trPr>
        <w:tc>
          <w:tcPr>
            <w:tcW w:w="4660" w:type="dxa"/>
            <w:vAlign w:val="bottom"/>
          </w:tcPr>
          <w:p>
            <w:pPr>
              <w:jc w:val="center"/>
              <w:ind w:left="81"/>
              <w:spacing w:after="0"/>
              <w:rPr>
                <w:sz w:val="20"/>
                <w:szCs w:val="20"/>
                <w:color w:val="auto"/>
              </w:rPr>
            </w:pPr>
            <w:r>
              <w:rPr>
                <w:rFonts w:ascii="Arial" w:cs="Arial" w:eastAsia="Arial" w:hAnsi="Arial"/>
                <w:sz w:val="20"/>
                <w:szCs w:val="20"/>
                <w:color w:val="auto"/>
                <w:w w:val="89"/>
              </w:rPr>
              <w:t>organization)</w:t>
            </w:r>
          </w:p>
        </w:tc>
        <w:tc>
          <w:tcPr>
            <w:tcW w:w="600" w:type="dxa"/>
            <w:vAlign w:val="bottom"/>
          </w:tcPr>
          <w:p>
            <w:pPr>
              <w:spacing w:after="0"/>
              <w:rPr>
                <w:sz w:val="21"/>
                <w:szCs w:val="21"/>
                <w:color w:val="auto"/>
              </w:rPr>
            </w:pPr>
          </w:p>
        </w:tc>
        <w:tc>
          <w:tcPr>
            <w:tcW w:w="3340" w:type="dxa"/>
            <w:vAlign w:val="bottom"/>
          </w:tcPr>
          <w:p>
            <w:pPr>
              <w:spacing w:after="0"/>
              <w:rPr>
                <w:sz w:val="21"/>
                <w:szCs w:val="21"/>
                <w:color w:val="auto"/>
              </w:rPr>
            </w:pPr>
          </w:p>
        </w:tc>
      </w:tr>
    </w:tbl>
    <w:p>
      <w:pPr>
        <w:spacing w:after="0" w:line="236" w:lineRule="exact"/>
        <w:rPr>
          <w:sz w:val="24"/>
          <w:szCs w:val="24"/>
          <w:color w:val="auto"/>
        </w:rPr>
      </w:pPr>
    </w:p>
    <w:p>
      <w:pPr>
        <w:ind w:left="2300"/>
        <w:spacing w:after="0"/>
        <w:rPr>
          <w:sz w:val="20"/>
          <w:szCs w:val="20"/>
          <w:color w:val="auto"/>
        </w:rPr>
      </w:pPr>
      <w:r>
        <w:rPr>
          <w:rFonts w:ascii="Arial" w:cs="Arial" w:eastAsia="Arial" w:hAnsi="Arial"/>
          <w:sz w:val="20"/>
          <w:szCs w:val="20"/>
          <w:color w:val="auto"/>
        </w:rPr>
        <w:t>8326 Century Park Court, San Diego, California 92123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147955</wp:posOffset>
            </wp:positionH>
            <wp:positionV relativeFrom="paragraph">
              <wp:posOffset>19050</wp:posOffset>
            </wp:positionV>
            <wp:extent cx="5471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920"/>
        <w:spacing w:after="0"/>
        <w:rPr>
          <w:sz w:val="20"/>
          <w:szCs w:val="20"/>
          <w:color w:val="auto"/>
        </w:rPr>
      </w:pPr>
      <w:r>
        <w:rPr>
          <w:rFonts w:ascii="Arial" w:cs="Arial" w:eastAsia="Arial" w:hAnsi="Arial"/>
          <w:sz w:val="20"/>
          <w:szCs w:val="20"/>
          <w:color w:val="auto"/>
        </w:rPr>
        <w:t>(Address of principal executive offices)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(Zip Code)</w:t>
      </w:r>
    </w:p>
    <w:p>
      <w:pPr>
        <w:spacing w:after="0" w:line="240" w:lineRule="exact"/>
        <w:rPr>
          <w:sz w:val="24"/>
          <w:szCs w:val="24"/>
          <w:color w:val="auto"/>
        </w:rPr>
      </w:pPr>
    </w:p>
    <w:p>
      <w:pPr>
        <w:ind w:left="3880"/>
        <w:spacing w:after="0"/>
        <w:rPr>
          <w:sz w:val="20"/>
          <w:szCs w:val="20"/>
          <w:color w:val="auto"/>
        </w:rPr>
      </w:pPr>
      <w:r>
        <w:rPr>
          <w:rFonts w:ascii="Arial" w:cs="Arial" w:eastAsia="Arial" w:hAnsi="Arial"/>
          <w:sz w:val="20"/>
          <w:szCs w:val="20"/>
          <w:color w:val="auto"/>
        </w:rPr>
        <w:t>(619) 696-2000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147955</wp:posOffset>
            </wp:positionH>
            <wp:positionV relativeFrom="paragraph">
              <wp:posOffset>19050</wp:posOffset>
            </wp:positionV>
            <wp:extent cx="5471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400"/>
        <w:spacing w:after="0"/>
        <w:rPr>
          <w:sz w:val="20"/>
          <w:szCs w:val="20"/>
          <w:color w:val="auto"/>
        </w:rPr>
      </w:pPr>
      <w:r>
        <w:rPr>
          <w:rFonts w:ascii="Arial" w:cs="Arial" w:eastAsia="Arial" w:hAnsi="Arial"/>
          <w:sz w:val="20"/>
          <w:szCs w:val="20"/>
          <w:color w:val="auto"/>
        </w:rPr>
        <w:t>(Registrant's telephone number, including area code)</w:t>
      </w:r>
    </w:p>
    <w:p>
      <w:pPr>
        <w:spacing w:after="0" w:line="27" w:lineRule="exact"/>
        <w:rPr>
          <w:sz w:val="24"/>
          <w:szCs w:val="24"/>
          <w:color w:val="auto"/>
        </w:rPr>
      </w:pPr>
    </w:p>
    <w:p>
      <w:pPr>
        <w:ind w:left="4040"/>
        <w:spacing w:after="0"/>
        <w:rPr>
          <w:sz w:val="20"/>
          <w:szCs w:val="20"/>
          <w:color w:val="auto"/>
        </w:rPr>
      </w:pPr>
      <w:r>
        <w:rPr>
          <w:rFonts w:ascii="Arial" w:cs="Arial" w:eastAsia="Arial" w:hAnsi="Arial"/>
          <w:sz w:val="20"/>
          <w:szCs w:val="20"/>
          <w:color w:val="auto"/>
        </w:rPr>
        <w:t>No 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147955</wp:posOffset>
            </wp:positionH>
            <wp:positionV relativeFrom="paragraph">
              <wp:posOffset>19050</wp:posOffset>
            </wp:positionV>
            <wp:extent cx="5471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380"/>
        <w:spacing w:after="0"/>
        <w:rPr>
          <w:sz w:val="20"/>
          <w:szCs w:val="20"/>
          <w:color w:val="auto"/>
        </w:rPr>
      </w:pPr>
      <w:r>
        <w:rPr>
          <w:rFonts w:ascii="Arial" w:cs="Arial" w:eastAsia="Arial" w:hAnsi="Arial"/>
          <w:sz w:val="20"/>
          <w:szCs w:val="20"/>
          <w:color w:val="auto"/>
        </w:rPr>
        <w:t>(Former name, former address and former fiscal year,</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if changed since last report)</w:t>
      </w:r>
    </w:p>
    <w:p>
      <w:pPr>
        <w:spacing w:after="0" w:line="240" w:lineRule="exact"/>
        <w:rPr>
          <w:sz w:val="24"/>
          <w:szCs w:val="24"/>
          <w:color w:val="auto"/>
        </w:rPr>
      </w:pPr>
    </w:p>
    <w:p>
      <w:pPr>
        <w:ind w:left="240" w:right="399"/>
        <w:spacing w:after="0" w:line="246"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3" w:lineRule="exact"/>
        <w:rPr>
          <w:sz w:val="24"/>
          <w:szCs w:val="24"/>
          <w:color w:val="auto"/>
        </w:rPr>
      </w:pPr>
    </w:p>
    <w:p>
      <w:pPr>
        <w:ind w:left="4860"/>
        <w:spacing w:after="0"/>
        <w:tabs>
          <w:tab w:leader="none" w:pos="5960" w:val="left"/>
          <w:tab w:leader="none" w:pos="718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3492500</wp:posOffset>
            </wp:positionH>
            <wp:positionV relativeFrom="paragraph">
              <wp:posOffset>19050</wp:posOffset>
            </wp:positionV>
            <wp:extent cx="746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4933315</wp:posOffset>
            </wp:positionH>
            <wp:positionV relativeFrom="paragraph">
              <wp:posOffset>19050</wp:posOffset>
            </wp:positionV>
            <wp:extent cx="831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50" w:lineRule="exact"/>
        <w:rPr>
          <w:sz w:val="24"/>
          <w:szCs w:val="24"/>
          <w:color w:val="auto"/>
        </w:rPr>
      </w:pPr>
    </w:p>
    <w:p>
      <w:pPr>
        <w:ind w:right="319"/>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40" w:lineRule="exact"/>
        <w:rPr>
          <w:sz w:val="24"/>
          <w:szCs w:val="24"/>
          <w:color w:val="auto"/>
        </w:rPr>
      </w:pPr>
    </w:p>
    <w:p>
      <w:pPr>
        <w:spacing w:after="0"/>
        <w:tabs>
          <w:tab w:leader="none" w:pos="2360" w:val="left"/>
          <w:tab w:leader="none" w:pos="3120" w:val="left"/>
          <w:tab w:leader="none" w:pos="5180" w:val="left"/>
          <w:tab w:leader="none" w:pos="6080" w:val="left"/>
          <w:tab w:leader="none" w:pos="8380" w:val="left"/>
        </w:tabs>
        <w:rPr>
          <w:sz w:val="20"/>
          <w:szCs w:val="20"/>
          <w:color w:val="auto"/>
        </w:rPr>
      </w:pPr>
      <w:r>
        <w:rPr>
          <w:rFonts w:ascii="Arial" w:cs="Arial" w:eastAsia="Arial" w:hAnsi="Arial"/>
          <w:sz w:val="20"/>
          <w:szCs w:val="20"/>
          <w:color w:val="auto"/>
        </w:rPr>
        <w:t>Large accelerated filer</w:t>
      </w:r>
      <w:r>
        <w:rPr>
          <w:sz w:val="20"/>
          <w:szCs w:val="20"/>
          <w:color w:val="auto"/>
        </w:rPr>
        <w:tab/>
      </w:r>
      <w:r>
        <w:rPr>
          <w:rFonts w:ascii="Arial" w:cs="Arial" w:eastAsia="Arial" w:hAnsi="Arial"/>
          <w:sz w:val="20"/>
          <w:szCs w:val="20"/>
          <w:color w:val="auto"/>
        </w:rPr>
        <w:t>[ ]</w:t>
      </w:r>
      <w:r>
        <w:rPr>
          <w:sz w:val="20"/>
          <w:szCs w:val="20"/>
          <w:color w:val="auto"/>
        </w:rPr>
        <w:tab/>
      </w:r>
      <w:r>
        <w:rPr>
          <w:rFonts w:ascii="Arial" w:cs="Arial" w:eastAsia="Arial" w:hAnsi="Arial"/>
          <w:sz w:val="20"/>
          <w:szCs w:val="20"/>
          <w:color w:val="auto"/>
        </w:rPr>
        <w:t>Accelerated filer</w:t>
      </w:r>
      <w:r>
        <w:rPr>
          <w:sz w:val="20"/>
          <w:szCs w:val="20"/>
          <w:color w:val="auto"/>
        </w:rPr>
        <w:tab/>
      </w:r>
      <w:r>
        <w:rPr>
          <w:rFonts w:ascii="Arial" w:cs="Arial" w:eastAsia="Arial" w:hAnsi="Arial"/>
          <w:sz w:val="20"/>
          <w:szCs w:val="20"/>
          <w:color w:val="auto"/>
        </w:rPr>
        <w:t>[ ]</w:t>
      </w:r>
      <w:r>
        <w:rPr>
          <w:sz w:val="20"/>
          <w:szCs w:val="20"/>
          <w:color w:val="auto"/>
        </w:rPr>
        <w:tab/>
      </w:r>
      <w:r>
        <w:rPr>
          <w:rFonts w:ascii="Arial" w:cs="Arial" w:eastAsia="Arial" w:hAnsi="Arial"/>
          <w:sz w:val="20"/>
          <w:szCs w:val="20"/>
          <w:color w:val="auto"/>
        </w:rPr>
        <w:t>Non-accelerated filer</w:t>
      </w:r>
      <w:r>
        <w:rPr>
          <w:sz w:val="20"/>
          <w:szCs w:val="20"/>
          <w:color w:val="auto"/>
        </w:rPr>
        <w:tab/>
      </w:r>
      <w:r>
        <w:rPr>
          <w:rFonts w:ascii="Arial" w:cs="Arial" w:eastAsia="Arial" w:hAnsi="Arial"/>
          <w:sz w:val="20"/>
          <w:szCs w:val="20"/>
          <w:color w:val="auto"/>
        </w:rPr>
        <w:t>[ X ]</w:t>
      </w:r>
    </w:p>
    <w:p>
      <w:pPr>
        <w:spacing w:after="0" w:line="200" w:lineRule="exact"/>
        <w:rPr>
          <w:sz w:val="24"/>
          <w:szCs w:val="24"/>
          <w:color w:val="auto"/>
        </w:rPr>
      </w:pPr>
    </w:p>
    <w:p>
      <w:pPr>
        <w:spacing w:after="0" w:line="299" w:lineRule="exact"/>
        <w:rPr>
          <w:sz w:val="24"/>
          <w:szCs w:val="24"/>
          <w:color w:val="auto"/>
        </w:rPr>
      </w:pPr>
    </w:p>
    <w:p>
      <w:pPr>
        <w:ind w:right="499"/>
        <w:spacing w:after="0" w:line="253" w:lineRule="auto"/>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1" w:lineRule="exact"/>
        <w:rPr>
          <w:sz w:val="24"/>
          <w:szCs w:val="24"/>
          <w:color w:val="auto"/>
        </w:rPr>
      </w:pPr>
    </w:p>
    <w:p>
      <w:pPr>
        <w:ind w:left="4680"/>
        <w:spacing w:after="0"/>
        <w:tabs>
          <w:tab w:leader="none" w:pos="7220" w:val="left"/>
          <w:tab w:leader="none" w:pos="832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3432175</wp:posOffset>
            </wp:positionH>
            <wp:positionV relativeFrom="paragraph">
              <wp:posOffset>19050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4958715</wp:posOffset>
            </wp:positionH>
            <wp:positionV relativeFrom="paragraph">
              <wp:posOffset>19050</wp:posOffset>
            </wp:positionV>
            <wp:extent cx="8058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50" w:lineRule="exact"/>
        <w:rPr>
          <w:sz w:val="24"/>
          <w:szCs w:val="24"/>
          <w:color w:val="auto"/>
        </w:rPr>
      </w:pPr>
    </w:p>
    <w:p>
      <w:pPr>
        <w:ind w:right="699"/>
        <w:spacing w:after="0" w:line="260" w:lineRule="auto"/>
        <w:rPr>
          <w:sz w:val="20"/>
          <w:szCs w:val="20"/>
          <w:color w:val="auto"/>
        </w:rPr>
      </w:pPr>
      <w:r>
        <w:rPr>
          <w:rFonts w:ascii="Arial" w:cs="Arial" w:eastAsia="Arial" w:hAnsi="Arial"/>
          <w:sz w:val="20"/>
          <w:szCs w:val="20"/>
          <w:color w:val="auto"/>
        </w:rPr>
        <w:t>Indicate the number of shares outstanding of each of the issuer's classes of common stock, as of the latest practicable date.</w:t>
      </w:r>
    </w:p>
    <w:p>
      <w:pPr>
        <w:spacing w:after="0" w:line="231" w:lineRule="exact"/>
        <w:rPr>
          <w:sz w:val="24"/>
          <w:szCs w:val="24"/>
          <w:color w:val="auto"/>
        </w:rPr>
      </w:pPr>
    </w:p>
    <w:p>
      <w:pPr>
        <w:spacing w:after="0"/>
        <w:tabs>
          <w:tab w:leader="none" w:pos="4460" w:val="left"/>
        </w:tabs>
        <w:rPr>
          <w:sz w:val="20"/>
          <w:szCs w:val="20"/>
          <w:color w:val="auto"/>
        </w:rPr>
      </w:pPr>
      <w:r>
        <w:rPr>
          <w:rFonts w:ascii="Arial" w:cs="Arial" w:eastAsia="Arial" w:hAnsi="Arial"/>
          <w:sz w:val="20"/>
          <w:szCs w:val="20"/>
          <w:color w:val="auto"/>
        </w:rPr>
        <w:t>Common stock outstanding:</w:t>
      </w:r>
      <w:r>
        <w:rPr>
          <w:sz w:val="20"/>
          <w:szCs w:val="20"/>
          <w:color w:val="auto"/>
        </w:rPr>
        <w:tab/>
      </w:r>
      <w:r>
        <w:rPr>
          <w:rFonts w:ascii="Arial" w:cs="Arial" w:eastAsia="Arial" w:hAnsi="Arial"/>
          <w:sz w:val="18"/>
          <w:szCs w:val="18"/>
          <w:color w:val="auto"/>
        </w:rPr>
        <w:t>Wholly owned by Enova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19050</wp:posOffset>
            </wp:positionV>
            <wp:extent cx="2924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182245</wp:posOffset>
            </wp:positionV>
            <wp:extent cx="57715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71515" cy="260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361950</wp:posOffset>
            </wp:positionV>
            <wp:extent cx="57715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039"/>
          </w:cols>
          <w:pgMar w:left="1420" w:top="1440"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0"/>
          <w:szCs w:val="20"/>
          <w:color w:val="auto"/>
        </w:rPr>
        <w:t>INFORMATION REGARDING FORWARD-LOOKING STATEMENTS</w:t>
      </w: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This Quarterly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Forward-looking statements are necessarily based upon various assumptions involving judgments with respect to the future and other risks, including, among others, local, regional and national economic, competitive, political, legislative and regulatory conditions and developments; actions by the California Public Utilities Commission, the California State Legislature, the California Department of Water Resources, the Federal Energy Regulatory Commission and other regulatory bodies in the United States; capital markets conditions, inflation rates, interest rates and exchange rates; energy and trading markets, including the timing and extent of changes in commodity prices; the availability of electric power, natural gas and liquefied natural gas; weather conditions and conservation efforts; war and terrorist attacks; business, regulatory, environmental and legal decisions and requirements; the status of deregulation of retail natural ga s and electricity delivery; the timing and success of business development efforts; the resolution of litigation; and other uncertainties, all of which are difficult to predict and many of which are beyond the control of the company. Readers are cautioned not to rely unduly on any forward-looking statements and are urged to review and consider carefully the risks, uncertainties and other factors which affect the company's business described in this report and other reports filed by the company from time to time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00"/>
          </w:cols>
          <w:pgMar w:left="240" w:top="852" w:right="359" w:bottom="1440" w:gutter="0" w:footer="0" w:header="0"/>
        </w:sectPr>
      </w:pPr>
    </w:p>
    <w:bookmarkStart w:id="2" w:name="page3"/>
    <w:bookmarkEnd w:id="2"/>
    <w:p>
      <w:pPr>
        <w:ind w:left="980"/>
        <w:spacing w:after="0"/>
        <w:rPr>
          <w:sz w:val="20"/>
          <w:szCs w:val="20"/>
          <w:color w:val="auto"/>
        </w:rPr>
      </w:pPr>
      <w:r>
        <w:rPr>
          <w:rFonts w:ascii="Arial" w:cs="Arial" w:eastAsia="Arial" w:hAnsi="Arial"/>
          <w:sz w:val="18"/>
          <w:szCs w:val="18"/>
          <w:color w:val="auto"/>
        </w:rPr>
        <w:t>PART I. FINANCIAL INFORMATION</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1. CONDENSED CONSOLIDATED FINANCIAL STATEMENTS</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DIEGO GAS &amp; ELECTRIC COMPANY AND SUBSIDIARY</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STATEMENTS OF CONSOLIDATED INCOME</w:t>
      </w:r>
    </w:p>
    <w:p>
      <w:pPr>
        <w:spacing w:after="0" w:line="279"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tcPr>
          <w:p>
            <w:pPr>
              <w:jc w:val="right"/>
              <w:ind w:right="330"/>
              <w:spacing w:after="0"/>
              <w:rPr>
                <w:sz w:val="20"/>
                <w:szCs w:val="20"/>
                <w:color w:val="auto"/>
              </w:rPr>
            </w:pPr>
            <w:r>
              <w:rPr>
                <w:rFonts w:ascii="Arial" w:cs="Arial" w:eastAsia="Arial" w:hAnsi="Arial"/>
                <w:sz w:val="18"/>
                <w:szCs w:val="18"/>
                <w:color w:val="auto"/>
                <w:w w:val="96"/>
              </w:rPr>
              <w:t>Three months ended</w:t>
            </w:r>
          </w:p>
        </w:tc>
        <w:tc>
          <w:tcPr>
            <w:tcW w:w="440" w:type="dxa"/>
            <w:vAlign w:val="bottom"/>
          </w:tcPr>
          <w:p>
            <w:pPr>
              <w:spacing w:after="0"/>
              <w:rPr>
                <w:sz w:val="18"/>
                <w:szCs w:val="18"/>
                <w:color w:val="auto"/>
              </w:rPr>
            </w:pPr>
          </w:p>
        </w:tc>
        <w:tc>
          <w:tcPr>
            <w:tcW w:w="1960" w:type="dxa"/>
            <w:vAlign w:val="bottom"/>
            <w:gridSpan w:val="3"/>
          </w:tcPr>
          <w:p>
            <w:pPr>
              <w:jc w:val="right"/>
              <w:ind w:right="470"/>
              <w:spacing w:after="0"/>
              <w:rPr>
                <w:sz w:val="20"/>
                <w:szCs w:val="20"/>
                <w:color w:val="auto"/>
              </w:rPr>
            </w:pPr>
            <w:r>
              <w:rPr>
                <w:rFonts w:ascii="Arial" w:cs="Arial" w:eastAsia="Arial" w:hAnsi="Arial"/>
                <w:sz w:val="18"/>
                <w:szCs w:val="18"/>
                <w:color w:val="auto"/>
                <w:w w:val="95"/>
              </w:rPr>
              <w:t>Six months ended</w:t>
            </w:r>
          </w:p>
        </w:tc>
      </w:tr>
      <w:tr>
        <w:trPr>
          <w:trHeight w:val="237"/>
        </w:trPr>
        <w:tc>
          <w:tcPr>
            <w:tcW w:w="4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r>
      <w:tr>
        <w:trPr>
          <w:trHeight w:val="237"/>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2007</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2008</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r>
      <w:tr>
        <w:trPr>
          <w:trHeight w:val="230"/>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(unaudited)</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2"/>
        </w:trPr>
        <w:tc>
          <w:tcPr>
            <w:tcW w:w="480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Electric</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583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518</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1,084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988</w:t>
            </w:r>
          </w:p>
        </w:tc>
      </w:tr>
      <w:tr>
        <w:trPr>
          <w:trHeight w:val="257"/>
        </w:trPr>
        <w:tc>
          <w:tcPr>
            <w:tcW w:w="4800" w:type="dxa"/>
            <w:vAlign w:val="bottom"/>
          </w:tcPr>
          <w:p>
            <w:pPr>
              <w:ind w:left="200"/>
              <w:spacing w:after="0"/>
              <w:rPr>
                <w:sz w:val="20"/>
                <w:szCs w:val="20"/>
                <w:color w:val="auto"/>
              </w:rPr>
            </w:pPr>
            <w:r>
              <w:rPr>
                <w:rFonts w:ascii="Arial" w:cs="Arial" w:eastAsia="Arial" w:hAnsi="Arial"/>
                <w:sz w:val="18"/>
                <w:szCs w:val="18"/>
                <w:color w:val="auto"/>
              </w:rPr>
              <w:t>Natural gas</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171</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141</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416</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380</w:t>
            </w:r>
          </w:p>
        </w:tc>
      </w:tr>
      <w:tr>
        <w:trPr>
          <w:trHeight w:val="237"/>
        </w:trPr>
        <w:tc>
          <w:tcPr>
            <w:tcW w:w="4800" w:type="dxa"/>
            <w:vAlign w:val="bottom"/>
          </w:tcPr>
          <w:p>
            <w:pPr>
              <w:ind w:left="46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754</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659</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1,500</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1,368</w:t>
            </w:r>
          </w:p>
        </w:tc>
      </w:tr>
      <w:tr>
        <w:trPr>
          <w:trHeight w:val="466"/>
        </w:trPr>
        <w:tc>
          <w:tcPr>
            <w:tcW w:w="4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Cost of electric fuel and purchased power</w:t>
            </w:r>
          </w:p>
        </w:tc>
        <w:tc>
          <w:tcPr>
            <w:tcW w:w="28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220</w:t>
            </w:r>
          </w:p>
        </w:tc>
        <w:tc>
          <w:tcPr>
            <w:tcW w:w="4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163</w:t>
            </w:r>
          </w:p>
        </w:tc>
        <w:tc>
          <w:tcPr>
            <w:tcW w:w="4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312</w:t>
            </w: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Cost of natural gas</w:t>
            </w:r>
          </w:p>
        </w:tc>
        <w:tc>
          <w:tcPr>
            <w:tcW w:w="28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265</w:t>
            </w:r>
          </w:p>
        </w:tc>
        <w:tc>
          <w:tcPr>
            <w:tcW w:w="3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234</w:t>
            </w: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195</w:t>
            </w:r>
          </w:p>
        </w:tc>
        <w:tc>
          <w:tcPr>
            <w:tcW w:w="4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188</w:t>
            </w:r>
          </w:p>
        </w:tc>
        <w:tc>
          <w:tcPr>
            <w:tcW w:w="4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366</w:t>
            </w: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150</w:t>
            </w:r>
          </w:p>
        </w:tc>
      </w:tr>
      <w:tr>
        <w:trPr>
          <w:trHeight w:val="257"/>
        </w:trPr>
        <w:tc>
          <w:tcPr>
            <w:tcW w:w="4800" w:type="dxa"/>
            <w:vAlign w:val="bottom"/>
          </w:tcPr>
          <w:p>
            <w:pPr>
              <w:ind w:left="200"/>
              <w:spacing w:after="0"/>
              <w:rPr>
                <w:sz w:val="20"/>
                <w:szCs w:val="20"/>
                <w:color w:val="auto"/>
              </w:rPr>
            </w:pPr>
            <w:r>
              <w:rPr>
                <w:rFonts w:ascii="Arial" w:cs="Arial" w:eastAsia="Arial" w:hAnsi="Arial"/>
                <w:sz w:val="18"/>
                <w:szCs w:val="18"/>
                <w:color w:val="auto"/>
              </w:rPr>
              <w:t>Franchise fees and other taxes</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75</w:t>
            </w:r>
          </w:p>
        </w:tc>
      </w:tr>
      <w:tr>
        <w:trPr>
          <w:trHeight w:val="237"/>
        </w:trPr>
        <w:tc>
          <w:tcPr>
            <w:tcW w:w="480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642</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548</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1,259</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1,137</w:t>
            </w:r>
          </w:p>
        </w:tc>
      </w:tr>
      <w:tr>
        <w:trPr>
          <w:trHeight w:val="466"/>
        </w:trPr>
        <w:tc>
          <w:tcPr>
            <w:tcW w:w="48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4"/>
                <w:szCs w:val="24"/>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231</w:t>
            </w:r>
          </w:p>
        </w:tc>
      </w:tr>
      <w:tr>
        <w:trPr>
          <w:trHeight w:val="486"/>
        </w:trPr>
        <w:tc>
          <w:tcPr>
            <w:tcW w:w="48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4"/>
                <w:szCs w:val="24"/>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4"/>
                <w:szCs w:val="24"/>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(2 )</w:t>
            </w:r>
          </w:p>
        </w:tc>
        <w:tc>
          <w:tcPr>
            <w:tcW w:w="44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257"/>
        </w:trPr>
        <w:tc>
          <w:tcPr>
            <w:tcW w:w="4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(22 )</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(23 )</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(49 )</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(47 )</w:t>
            </w:r>
          </w:p>
        </w:tc>
      </w:tr>
      <w:tr>
        <w:trPr>
          <w:trHeight w:val="224"/>
        </w:trPr>
        <w:tc>
          <w:tcPr>
            <w:tcW w:w="4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188</w:t>
            </w:r>
          </w:p>
        </w:tc>
      </w:tr>
      <w:tr>
        <w:trPr>
          <w:trHeight w:val="499"/>
        </w:trPr>
        <w:tc>
          <w:tcPr>
            <w:tcW w:w="4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73</w:t>
            </w:r>
          </w:p>
        </w:tc>
      </w:tr>
      <w:tr>
        <w:trPr>
          <w:trHeight w:val="466"/>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4"/>
                <w:szCs w:val="24"/>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115</w:t>
            </w:r>
          </w:p>
        </w:tc>
      </w:tr>
      <w:tr>
        <w:trPr>
          <w:trHeight w:val="257"/>
        </w:trPr>
        <w:tc>
          <w:tcPr>
            <w:tcW w:w="4800" w:type="dxa"/>
            <w:vAlign w:val="bottom"/>
          </w:tcPr>
          <w:p>
            <w:pPr>
              <w:ind w:left="20"/>
              <w:spacing w:after="0"/>
              <w:rPr>
                <w:sz w:val="20"/>
                <w:szCs w:val="20"/>
                <w:color w:val="auto"/>
              </w:rPr>
            </w:pPr>
            <w:r>
              <w:rPr>
                <w:rFonts w:ascii="Arial" w:cs="Arial" w:eastAsia="Arial" w:hAnsi="Arial"/>
                <w:sz w:val="18"/>
                <w:szCs w:val="18"/>
                <w:color w:val="auto"/>
              </w:rPr>
              <w:t>Preferred dividend requirements</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r>
      <w:tr>
        <w:trPr>
          <w:trHeight w:val="257"/>
        </w:trPr>
        <w:tc>
          <w:tcPr>
            <w:tcW w:w="4800" w:type="dxa"/>
            <w:vAlign w:val="bottom"/>
          </w:tcPr>
          <w:p>
            <w:pPr>
              <w:ind w:left="20"/>
              <w:spacing w:after="0"/>
              <w:rPr>
                <w:sz w:val="20"/>
                <w:szCs w:val="20"/>
                <w:color w:val="auto"/>
              </w:rPr>
            </w:pPr>
            <w:r>
              <w:rPr>
                <w:rFonts w:ascii="Arial" w:cs="Arial" w:eastAsia="Arial" w:hAnsi="Arial"/>
                <w:sz w:val="18"/>
                <w:szCs w:val="18"/>
                <w:color w:val="auto"/>
              </w:rPr>
              <w:t>Earnings applicable to common shares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51</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113</w:t>
            </w:r>
          </w:p>
        </w:tc>
      </w:tr>
    </w:tbl>
    <w:p>
      <w:pPr>
        <w:spacing w:after="0" w:line="24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480"/>
          </w:cols>
          <w:pgMar w:left="240" w:top="1138" w:right="1179" w:bottom="1440" w:gutter="0" w:footer="0" w:header="0"/>
        </w:sectPr>
      </w:pPr>
    </w:p>
    <w:bookmarkStart w:id="3" w:name="page4"/>
    <w:bookmarkEnd w:id="3"/>
    <w:p>
      <w:pPr>
        <w:ind w:left="1400"/>
        <w:spacing w:after="0"/>
        <w:rPr>
          <w:sz w:val="20"/>
          <w:szCs w:val="20"/>
          <w:color w:val="auto"/>
        </w:rPr>
      </w:pPr>
      <w:r>
        <w:rPr>
          <w:rFonts w:ascii="Arial" w:cs="Arial" w:eastAsia="Arial" w:hAnsi="Arial"/>
          <w:sz w:val="18"/>
          <w:szCs w:val="18"/>
          <w:color w:val="auto"/>
        </w:rPr>
        <w:t>SAN DIEGO GAS &amp; ELECTRIC COMPANY AND SUBSIDIARY</w:t>
      </w:r>
    </w:p>
    <w:p>
      <w:pPr>
        <w:spacing w:after="0" w:line="33"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CONSOLIDATED BALANCE SHEETS</w:t>
      </w:r>
    </w:p>
    <w:p>
      <w:pPr>
        <w:spacing w:after="0" w:line="331" w:lineRule="exact"/>
        <w:rPr>
          <w:sz w:val="20"/>
          <w:szCs w:val="20"/>
          <w:color w:val="auto"/>
        </w:rPr>
      </w:pPr>
    </w:p>
    <w:p>
      <w:pPr>
        <w:ind w:left="8900"/>
        <w:spacing w:after="0"/>
        <w:rPr>
          <w:sz w:val="20"/>
          <w:szCs w:val="20"/>
          <w:color w:val="auto"/>
        </w:rPr>
      </w:pPr>
      <w:r>
        <w:rPr>
          <w:rFonts w:ascii="Arial" w:cs="Arial" w:eastAsia="Arial" w:hAnsi="Arial"/>
          <w:sz w:val="17"/>
          <w:szCs w:val="17"/>
          <w:color w:val="auto"/>
        </w:rPr>
        <w:t>December 31,</w:t>
      </w:r>
    </w:p>
    <w:p>
      <w:pPr>
        <w:spacing w:after="0" w:line="8" w:lineRule="exact"/>
        <w:rPr>
          <w:sz w:val="20"/>
          <w:szCs w:val="20"/>
          <w:color w:val="auto"/>
        </w:rPr>
      </w:pPr>
    </w:p>
    <w:p>
      <w:pPr>
        <w:ind w:left="7340" w:right="599" w:hanging="6892"/>
        <w:spacing w:after="0" w:line="298" w:lineRule="auto"/>
        <w:tabs>
          <w:tab w:leader="none" w:pos="7320" w:val="left"/>
        </w:tabs>
        <w:rPr>
          <w:sz w:val="20"/>
          <w:szCs w:val="20"/>
          <w:color w:val="auto"/>
        </w:rPr>
      </w:pPr>
      <w:r>
        <w:rPr>
          <w:rFonts w:ascii="Arial" w:cs="Arial" w:eastAsia="Arial" w:hAnsi="Arial"/>
          <w:sz w:val="17"/>
          <w:szCs w:val="17"/>
          <w:color w:val="auto"/>
        </w:rPr>
        <w:t>(Dollars in millions)</w:t>
      </w:r>
      <w:r>
        <w:rPr>
          <w:sz w:val="20"/>
          <w:szCs w:val="20"/>
          <w:color w:val="auto"/>
        </w:rPr>
        <w:tab/>
      </w:r>
      <w:r>
        <w:rPr>
          <w:rFonts w:ascii="Arial" w:cs="Arial" w:eastAsia="Arial" w:hAnsi="Arial"/>
          <w:sz w:val="17"/>
          <w:szCs w:val="17"/>
          <w:color w:val="auto"/>
        </w:rPr>
        <w:t>June 30, 2008 2007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-168275</wp:posOffset>
            </wp:positionV>
            <wp:extent cx="55054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5450" cy="17145"/>
                    </a:xfrm>
                    <a:prstGeom prst="rect">
                      <a:avLst/>
                    </a:prstGeom>
                    <a:noFill/>
                  </pic:spPr>
                </pic:pic>
              </a:graphicData>
            </a:graphic>
          </wp:anchor>
        </w:drawing>
      </w:r>
    </w:p>
    <w:tbl>
      <w:tblPr>
        <w:tblLayout w:type="fixed"/>
        <w:tblInd w:w="1400" w:type="dxa"/>
        <w:tblCellMar>
          <w:top w:w="0" w:type="dxa"/>
          <w:left w:w="0" w:type="dxa"/>
          <w:bottom w:w="0" w:type="dxa"/>
          <w:right w:w="0" w:type="dxa"/>
        </w:tblCellMar>
      </w:tblP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ASSETS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5880" w:type="dxa"/>
            <w:vAlign w:val="bottom"/>
          </w:tcPr>
          <w:p>
            <w:pPr>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7"/>
        </w:trPr>
        <w:tc>
          <w:tcPr>
            <w:tcW w:w="58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44</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158</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161</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Accounts receivable – trade</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211</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207</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Accounts receivable – other</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31</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49</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Due from unconsolidated affiliates</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7</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22</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7</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56</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50</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67</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62</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113</w:t>
            </w:r>
          </w:p>
        </w:tc>
      </w:tr>
      <w:tr>
        <w:trPr>
          <w:trHeight w:val="229"/>
        </w:trPr>
        <w:tc>
          <w:tcPr>
            <w:tcW w:w="5880" w:type="dxa"/>
            <w:vAlign w:val="bottom"/>
          </w:tcPr>
          <w:p>
            <w:pPr>
              <w:ind w:left="380"/>
              <w:spacing w:after="0"/>
              <w:rPr>
                <w:sz w:val="20"/>
                <w:szCs w:val="20"/>
                <w:color w:val="auto"/>
              </w:rPr>
            </w:pPr>
            <w:r>
              <w:rPr>
                <w:rFonts w:ascii="Arial" w:cs="Arial" w:eastAsia="Arial" w:hAnsi="Arial"/>
                <w:sz w:val="18"/>
                <w:szCs w:val="18"/>
                <w:color w:val="auto"/>
              </w:rPr>
              <w:t>Regulatory assets arising from fixed-price contracts and other</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80" w:type="dxa"/>
            <w:vAlign w:val="bottom"/>
          </w:tcPr>
          <w:p>
            <w:pPr>
              <w:ind w:left="480"/>
              <w:spacing w:after="0"/>
              <w:rPr>
                <w:sz w:val="20"/>
                <w:szCs w:val="20"/>
                <w:color w:val="auto"/>
              </w:rPr>
            </w:pPr>
            <w:r>
              <w:rPr>
                <w:rFonts w:ascii="Arial" w:cs="Arial" w:eastAsia="Arial" w:hAnsi="Arial"/>
                <w:sz w:val="18"/>
                <w:szCs w:val="18"/>
                <w:color w:val="auto"/>
              </w:rPr>
              <w:t>derivatives</w:t>
            </w:r>
          </w:p>
        </w:tc>
        <w:tc>
          <w:tcPr>
            <w:tcW w:w="32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52</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Other regulatory assets</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12</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14</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Fixed-price contracts and other derivatives</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63</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18</w:t>
            </w:r>
          </w:p>
        </w:tc>
      </w:tr>
      <w:tr>
        <w:trPr>
          <w:trHeight w:val="250"/>
        </w:trPr>
        <w:tc>
          <w:tcPr>
            <w:tcW w:w="588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23</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34</w:t>
            </w:r>
          </w:p>
        </w:tc>
      </w:tr>
      <w:tr>
        <w:trPr>
          <w:trHeight w:val="243"/>
        </w:trPr>
        <w:tc>
          <w:tcPr>
            <w:tcW w:w="588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671</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790</w:t>
            </w:r>
          </w:p>
        </w:tc>
      </w:tr>
      <w:tr>
        <w:trPr>
          <w:trHeight w:val="466"/>
        </w:trPr>
        <w:tc>
          <w:tcPr>
            <w:tcW w:w="588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Due from unconsolidated affiliate</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5</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5</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Deferred taxes recoverable in rates</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335</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312</w:t>
            </w:r>
          </w:p>
        </w:tc>
      </w:tr>
      <w:tr>
        <w:trPr>
          <w:trHeight w:val="229"/>
        </w:trPr>
        <w:tc>
          <w:tcPr>
            <w:tcW w:w="5880" w:type="dxa"/>
            <w:vAlign w:val="bottom"/>
          </w:tcPr>
          <w:p>
            <w:pPr>
              <w:ind w:left="380"/>
              <w:spacing w:after="0"/>
              <w:rPr>
                <w:sz w:val="20"/>
                <w:szCs w:val="20"/>
                <w:color w:val="auto"/>
              </w:rPr>
            </w:pPr>
            <w:r>
              <w:rPr>
                <w:rFonts w:ascii="Arial" w:cs="Arial" w:eastAsia="Arial" w:hAnsi="Arial"/>
                <w:sz w:val="18"/>
                <w:szCs w:val="18"/>
                <w:color w:val="auto"/>
              </w:rPr>
              <w:t>Regulatory assets arising from fixed-price contracts and other</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80" w:type="dxa"/>
            <w:vAlign w:val="bottom"/>
          </w:tcPr>
          <w:p>
            <w:pPr>
              <w:ind w:left="480"/>
              <w:spacing w:after="0"/>
              <w:rPr>
                <w:sz w:val="20"/>
                <w:szCs w:val="20"/>
                <w:color w:val="auto"/>
              </w:rPr>
            </w:pPr>
            <w:r>
              <w:rPr>
                <w:rFonts w:ascii="Arial" w:cs="Arial" w:eastAsia="Arial" w:hAnsi="Arial"/>
                <w:sz w:val="18"/>
                <w:szCs w:val="18"/>
                <w:color w:val="auto"/>
              </w:rPr>
              <w:t>derivatives</w:t>
            </w:r>
          </w:p>
        </w:tc>
        <w:tc>
          <w:tcPr>
            <w:tcW w:w="32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274</w:t>
            </w:r>
          </w:p>
        </w:tc>
        <w:tc>
          <w:tcPr>
            <w:tcW w:w="56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309</w:t>
            </w:r>
          </w:p>
        </w:tc>
      </w:tr>
      <w:tr>
        <w:trPr>
          <w:trHeight w:val="229"/>
        </w:trPr>
        <w:tc>
          <w:tcPr>
            <w:tcW w:w="5880" w:type="dxa"/>
            <w:vAlign w:val="bottom"/>
          </w:tcPr>
          <w:p>
            <w:pPr>
              <w:ind w:left="380"/>
              <w:spacing w:after="0"/>
              <w:rPr>
                <w:sz w:val="20"/>
                <w:szCs w:val="20"/>
                <w:color w:val="auto"/>
              </w:rPr>
            </w:pPr>
            <w:r>
              <w:rPr>
                <w:rFonts w:ascii="Arial" w:cs="Arial" w:eastAsia="Arial" w:hAnsi="Arial"/>
                <w:sz w:val="18"/>
                <w:szCs w:val="18"/>
                <w:color w:val="auto"/>
              </w:rPr>
              <w:t>Regulatory assets arising from pensions and other postretirement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80" w:type="dxa"/>
            <w:vAlign w:val="bottom"/>
          </w:tcPr>
          <w:p>
            <w:pPr>
              <w:ind w:left="480"/>
              <w:spacing w:after="0"/>
              <w:rPr>
                <w:sz w:val="20"/>
                <w:szCs w:val="20"/>
                <w:color w:val="auto"/>
              </w:rPr>
            </w:pPr>
            <w:r>
              <w:rPr>
                <w:rFonts w:ascii="Arial" w:cs="Arial" w:eastAsia="Arial" w:hAnsi="Arial"/>
                <w:sz w:val="18"/>
                <w:szCs w:val="18"/>
                <w:color w:val="auto"/>
              </w:rPr>
              <w:t>benefit obligations</w:t>
            </w:r>
          </w:p>
        </w:tc>
        <w:tc>
          <w:tcPr>
            <w:tcW w:w="32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166</w:t>
            </w:r>
          </w:p>
        </w:tc>
        <w:tc>
          <w:tcPr>
            <w:tcW w:w="560" w:type="dxa"/>
            <w:vAlign w:val="bottom"/>
          </w:tcPr>
          <w:p>
            <w:pPr>
              <w:spacing w:after="0"/>
              <w:rPr>
                <w:sz w:val="20"/>
                <w:szCs w:val="20"/>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162</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Other regulatory assets</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48</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48</w:t>
            </w: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Nuclear decommissioning trusts</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685</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739</w:t>
            </w:r>
          </w:p>
        </w:tc>
      </w:tr>
      <w:tr>
        <w:trPr>
          <w:trHeight w:val="250"/>
        </w:trPr>
        <w:tc>
          <w:tcPr>
            <w:tcW w:w="5880" w:type="dxa"/>
            <w:vAlign w:val="bottom"/>
          </w:tcPr>
          <w:p>
            <w:pPr>
              <w:ind w:left="380"/>
              <w:spacing w:after="0"/>
              <w:rPr>
                <w:sz w:val="20"/>
                <w:szCs w:val="20"/>
                <w:color w:val="auto"/>
              </w:rPr>
            </w:pPr>
            <w:r>
              <w:rPr>
                <w:rFonts w:ascii="Arial" w:cs="Arial" w:eastAsia="Arial" w:hAnsi="Arial"/>
                <w:sz w:val="18"/>
                <w:szCs w:val="18"/>
                <w:color w:val="auto"/>
              </w:rPr>
              <w:t>Sundry</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170</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123</w:t>
            </w:r>
          </w:p>
        </w:tc>
      </w:tr>
      <w:tr>
        <w:trPr>
          <w:trHeight w:val="243"/>
        </w:trPr>
        <w:tc>
          <w:tcPr>
            <w:tcW w:w="5880" w:type="dxa"/>
            <w:vAlign w:val="bottom"/>
          </w:tcPr>
          <w:p>
            <w:pPr>
              <w:ind w:left="820"/>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1,683</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1,698</w:t>
            </w:r>
          </w:p>
        </w:tc>
      </w:tr>
      <w:tr>
        <w:trPr>
          <w:trHeight w:val="466"/>
        </w:trPr>
        <w:tc>
          <w:tcPr>
            <w:tcW w:w="58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5880" w:type="dxa"/>
            <w:vAlign w:val="bottom"/>
          </w:tcPr>
          <w:p>
            <w:pPr>
              <w:ind w:left="46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8,630</w:t>
            </w:r>
          </w:p>
        </w:tc>
        <w:tc>
          <w:tcPr>
            <w:tcW w:w="560" w:type="dxa"/>
            <w:vAlign w:val="bottom"/>
          </w:tcPr>
          <w:p>
            <w:pPr>
              <w:spacing w:after="0"/>
              <w:rPr>
                <w:sz w:val="21"/>
                <w:szCs w:val="21"/>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color w:val="auto"/>
              </w:rPr>
              <w:t>8,282</w:t>
            </w:r>
          </w:p>
        </w:tc>
      </w:tr>
      <w:tr>
        <w:trPr>
          <w:trHeight w:val="257"/>
        </w:trPr>
        <w:tc>
          <w:tcPr>
            <w:tcW w:w="5880" w:type="dxa"/>
            <w:vAlign w:val="bottom"/>
          </w:tcPr>
          <w:p>
            <w:pPr>
              <w:ind w:left="46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98"/>
              </w:rPr>
              <w:t>(2,312 )</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95"/>
              </w:rPr>
              <w:t>(2,271 )</w:t>
            </w:r>
          </w:p>
        </w:tc>
      </w:tr>
      <w:tr>
        <w:trPr>
          <w:trHeight w:val="237"/>
        </w:trPr>
        <w:tc>
          <w:tcPr>
            <w:tcW w:w="5880" w:type="dxa"/>
            <w:vAlign w:val="bottom"/>
          </w:tcPr>
          <w:p>
            <w:pPr>
              <w:ind w:left="8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6,318</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6,011</w:t>
            </w:r>
          </w:p>
        </w:tc>
      </w:tr>
      <w:tr>
        <w:trPr>
          <w:trHeight w:val="257"/>
        </w:trPr>
        <w:tc>
          <w:tcPr>
            <w:tcW w:w="588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8,672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8,499</w:t>
            </w:r>
          </w:p>
        </w:tc>
      </w:tr>
    </w:tbl>
    <w:p>
      <w:pPr>
        <w:spacing w:after="0" w:line="24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7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As adjusted for the retrospective adoption of FASB Staff Position FIN 39-1.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19"/>
          </w:cols>
          <w:pgMar w:left="240" w:top="895" w:right="1440" w:bottom="1440" w:gutter="0" w:footer="0" w:header="0"/>
        </w:sectPr>
      </w:pPr>
    </w:p>
    <w:bookmarkStart w:id="4" w:name="page5"/>
    <w:bookmarkEnd w:id="4"/>
    <w:p>
      <w:pPr>
        <w:ind w:left="1460"/>
        <w:spacing w:after="0"/>
        <w:rPr>
          <w:sz w:val="20"/>
          <w:szCs w:val="20"/>
          <w:color w:val="auto"/>
        </w:rPr>
      </w:pPr>
      <w:r>
        <w:rPr>
          <w:rFonts w:ascii="Arial" w:cs="Arial" w:eastAsia="Arial" w:hAnsi="Arial"/>
          <w:sz w:val="18"/>
          <w:szCs w:val="18"/>
          <w:color w:val="auto"/>
        </w:rPr>
        <w:t>SAN DIEGO GAS &amp; ELECTRIC COMPANY AND SUBSIDIARY</w:t>
      </w:r>
    </w:p>
    <w:p>
      <w:pPr>
        <w:spacing w:after="0" w:line="3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CONSOLIDATED BALANCE SHEETS</w:t>
      </w:r>
    </w:p>
    <w:p>
      <w:pPr>
        <w:spacing w:after="0" w:line="331"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(Dollars in millions)</w:t>
            </w:r>
          </w:p>
        </w:tc>
        <w:tc>
          <w:tcPr>
            <w:tcW w:w="920" w:type="dxa"/>
            <w:vAlign w:val="bottom"/>
            <w:gridSpan w:val="2"/>
          </w:tcPr>
          <w:p>
            <w:pPr>
              <w:jc w:val="right"/>
              <w:ind w:right="55"/>
              <w:spacing w:after="0"/>
              <w:rPr>
                <w:sz w:val="20"/>
                <w:szCs w:val="20"/>
                <w:color w:val="auto"/>
              </w:rPr>
            </w:pPr>
            <w:r>
              <w:rPr>
                <w:rFonts w:ascii="Arial" w:cs="Arial" w:eastAsia="Arial" w:hAnsi="Arial"/>
                <w:sz w:val="17"/>
                <w:szCs w:val="17"/>
                <w:color w:val="auto"/>
              </w:rPr>
              <w:t>June 30,</w:t>
            </w:r>
          </w:p>
        </w:tc>
        <w:tc>
          <w:tcPr>
            <w:tcW w:w="1720" w:type="dxa"/>
            <w:vAlign w:val="bottom"/>
            <w:gridSpan w:val="2"/>
          </w:tcPr>
          <w:p>
            <w:pPr>
              <w:jc w:val="right"/>
              <w:ind w:right="35"/>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27"/>
        </w:trPr>
        <w:tc>
          <w:tcPr>
            <w:tcW w:w="59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95"/>
              </w:rPr>
              <w:t>2008</w:t>
            </w: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2007 *</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0"/>
              </w:rPr>
              <w:t>(unaudited)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LIABILITIES AND SHAREHOLDERS' EQUITY</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211</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Due to unconsolidated affiliates</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Regulatory balancing accounts, net</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284</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52</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Fixed-price contracts and other derivatives</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9"/>
        </w:trPr>
        <w:tc>
          <w:tcPr>
            <w:tcW w:w="5900" w:type="dxa"/>
            <w:vAlign w:val="bottom"/>
          </w:tcPr>
          <w:p>
            <w:pPr>
              <w:ind w:left="340"/>
              <w:spacing w:after="0"/>
              <w:rPr>
                <w:sz w:val="20"/>
                <w:szCs w:val="20"/>
                <w:color w:val="auto"/>
              </w:rPr>
            </w:pPr>
            <w:r>
              <w:rPr>
                <w:rFonts w:ascii="Arial" w:cs="Arial" w:eastAsia="Arial" w:hAnsi="Arial"/>
                <w:sz w:val="18"/>
                <w:szCs w:val="18"/>
                <w:color w:val="auto"/>
              </w:rPr>
              <w:t>Regulatory liabilities arising from fixed priced contracts and other</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600"/>
              <w:spacing w:after="0"/>
              <w:rPr>
                <w:sz w:val="20"/>
                <w:szCs w:val="20"/>
                <w:color w:val="auto"/>
              </w:rPr>
            </w:pPr>
            <w:r>
              <w:rPr>
                <w:rFonts w:ascii="Arial" w:cs="Arial" w:eastAsia="Arial" w:hAnsi="Arial"/>
                <w:sz w:val="18"/>
                <w:szCs w:val="18"/>
                <w:color w:val="auto"/>
              </w:rPr>
              <w:t>derivatives</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61</w:t>
            </w:r>
          </w:p>
        </w:tc>
        <w:tc>
          <w:tcPr>
            <w:tcW w:w="840" w:type="dxa"/>
            <w:vAlign w:val="bottom"/>
          </w:tcPr>
          <w:p>
            <w:pPr>
              <w:spacing w:after="0"/>
              <w:rPr>
                <w:sz w:val="20"/>
                <w:szCs w:val="20"/>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Mandatorily redeemable preferred securities</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50"/>
        </w:trPr>
        <w:tc>
          <w:tcPr>
            <w:tcW w:w="590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8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43"/>
        </w:trPr>
        <w:tc>
          <w:tcPr>
            <w:tcW w:w="5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w:t>
            </w:r>
          </w:p>
        </w:tc>
        <w:tc>
          <w:tcPr>
            <w:tcW w:w="8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975</w:t>
            </w:r>
          </w:p>
        </w:tc>
        <w:tc>
          <w:tcPr>
            <w:tcW w:w="0" w:type="dxa"/>
            <w:vAlign w:val="bottom"/>
          </w:tcPr>
          <w:p>
            <w:pPr>
              <w:spacing w:after="0"/>
              <w:rPr>
                <w:sz w:val="1"/>
                <w:szCs w:val="1"/>
                <w:color w:val="auto"/>
              </w:rPr>
            </w:pPr>
          </w:p>
        </w:tc>
      </w:tr>
      <w:tr>
        <w:trPr>
          <w:trHeight w:val="480"/>
        </w:trPr>
        <w:tc>
          <w:tcPr>
            <w:tcW w:w="59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2,035</w:t>
            </w:r>
          </w:p>
        </w:tc>
        <w:tc>
          <w:tcPr>
            <w:tcW w:w="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1,958</w:t>
            </w:r>
          </w:p>
        </w:tc>
        <w:tc>
          <w:tcPr>
            <w:tcW w:w="0" w:type="dxa"/>
            <w:vAlign w:val="bottom"/>
          </w:tcPr>
          <w:p>
            <w:pPr>
              <w:spacing w:after="0"/>
              <w:rPr>
                <w:sz w:val="1"/>
                <w:szCs w:val="1"/>
                <w:color w:val="auto"/>
              </w:rPr>
            </w:pPr>
          </w:p>
        </w:tc>
      </w:tr>
      <w:tr>
        <w:trPr>
          <w:trHeight w:val="466"/>
        </w:trPr>
        <w:tc>
          <w:tcPr>
            <w:tcW w:w="5900" w:type="dxa"/>
            <w:vAlign w:val="bottom"/>
          </w:tcPr>
          <w:p>
            <w:pPr>
              <w:ind w:left="20"/>
              <w:spacing w:after="0"/>
              <w:rPr>
                <w:sz w:val="20"/>
                <w:szCs w:val="20"/>
                <w:color w:val="auto"/>
              </w:rPr>
            </w:pPr>
            <w:r>
              <w:rPr>
                <w:rFonts w:ascii="Arial" w:cs="Arial" w:eastAsia="Arial" w:hAnsi="Arial"/>
                <w:sz w:val="18"/>
                <w:szCs w:val="18"/>
                <w:color w:val="auto"/>
              </w:rPr>
              <w:t>Deferred credits and other liabilities: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Customer advances for construction</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9"/>
        </w:trPr>
        <w:tc>
          <w:tcPr>
            <w:tcW w:w="5900" w:type="dxa"/>
            <w:vAlign w:val="bottom"/>
          </w:tcPr>
          <w:p>
            <w:pPr>
              <w:ind w:left="340"/>
              <w:spacing w:after="0"/>
              <w:rPr>
                <w:sz w:val="20"/>
                <w:szCs w:val="20"/>
                <w:color w:val="auto"/>
              </w:rPr>
            </w:pPr>
            <w:r>
              <w:rPr>
                <w:rFonts w:ascii="Arial" w:cs="Arial" w:eastAsia="Arial" w:hAnsi="Arial"/>
                <w:sz w:val="18"/>
                <w:szCs w:val="18"/>
                <w:color w:val="auto"/>
              </w:rPr>
              <w:t>Pension and other postretirement benefit obligations, net of plan</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60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194</w:t>
            </w:r>
          </w:p>
        </w:tc>
        <w:tc>
          <w:tcPr>
            <w:tcW w:w="840" w:type="dxa"/>
            <w:vAlign w:val="bottom"/>
          </w:tcPr>
          <w:p>
            <w:pPr>
              <w:spacing w:after="0"/>
              <w:rPr>
                <w:sz w:val="20"/>
                <w:szCs w:val="20"/>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552</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Deferred investment tax credits</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Regulatory liabilities arising from removal obligations</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1,322</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1,335</w:t>
            </w: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Asset retirement obligations</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557</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Fixed-price contracts and other derivatives</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307</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50"/>
        </w:trPr>
        <w:tc>
          <w:tcPr>
            <w:tcW w:w="5900" w:type="dxa"/>
            <w:vAlign w:val="bottom"/>
          </w:tcPr>
          <w:p>
            <w:pPr>
              <w:ind w:left="340"/>
              <w:spacing w:after="0"/>
              <w:rPr>
                <w:sz w:val="20"/>
                <w:szCs w:val="20"/>
                <w:color w:val="auto"/>
              </w:rPr>
            </w:pPr>
            <w:r>
              <w:rPr>
                <w:rFonts w:ascii="Arial" w:cs="Arial" w:eastAsia="Arial" w:hAnsi="Arial"/>
                <w:sz w:val="18"/>
                <w:szCs w:val="18"/>
                <w:color w:val="auto"/>
              </w:rPr>
              <w:t>Deferred credits and other</w:t>
            </w: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8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43"/>
        </w:trPr>
        <w:tc>
          <w:tcPr>
            <w:tcW w:w="5900" w:type="dxa"/>
            <w:vAlign w:val="bottom"/>
          </w:tcPr>
          <w:p>
            <w:pPr>
              <w:ind w:left="860"/>
              <w:spacing w:after="0"/>
              <w:rPr>
                <w:sz w:val="20"/>
                <w:szCs w:val="20"/>
                <w:color w:val="auto"/>
              </w:rPr>
            </w:pPr>
            <w:r>
              <w:rPr>
                <w:rFonts w:ascii="Arial" w:cs="Arial" w:eastAsia="Arial" w:hAnsi="Arial"/>
                <w:sz w:val="18"/>
                <w:szCs w:val="18"/>
                <w:color w:val="auto"/>
              </w:rPr>
              <w:t>Total deferred credits and other liabilities</w:t>
            </w: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3,152</w:t>
            </w:r>
          </w:p>
        </w:tc>
        <w:tc>
          <w:tcPr>
            <w:tcW w:w="8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3,152</w:t>
            </w:r>
          </w:p>
        </w:tc>
        <w:tc>
          <w:tcPr>
            <w:tcW w:w="0" w:type="dxa"/>
            <w:vAlign w:val="bottom"/>
          </w:tcPr>
          <w:p>
            <w:pPr>
              <w:spacing w:after="0"/>
              <w:rPr>
                <w:sz w:val="1"/>
                <w:szCs w:val="1"/>
                <w:color w:val="auto"/>
              </w:rPr>
            </w:pPr>
          </w:p>
        </w:tc>
      </w:tr>
      <w:tr>
        <w:trPr>
          <w:trHeight w:val="480"/>
        </w:trPr>
        <w:tc>
          <w:tcPr>
            <w:tcW w:w="5900" w:type="dxa"/>
            <w:vAlign w:val="bottom"/>
          </w:tcPr>
          <w:p>
            <w:pPr>
              <w:ind w:left="20"/>
              <w:spacing w:after="0"/>
              <w:rPr>
                <w:sz w:val="20"/>
                <w:szCs w:val="20"/>
                <w:color w:val="auto"/>
              </w:rPr>
            </w:pPr>
            <w:r>
              <w:rPr>
                <w:rFonts w:ascii="Arial" w:cs="Arial" w:eastAsia="Arial" w:hAnsi="Arial"/>
                <w:sz w:val="18"/>
                <w:szCs w:val="18"/>
                <w:color w:val="auto"/>
              </w:rPr>
              <w:t>Minority interest</w:t>
            </w: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466"/>
        </w:trPr>
        <w:tc>
          <w:tcPr>
            <w:tcW w:w="590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90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480"/>
              <w:spacing w:after="0"/>
              <w:rPr>
                <w:sz w:val="20"/>
                <w:szCs w:val="20"/>
                <w:color w:val="auto"/>
              </w:rPr>
            </w:pPr>
            <w:r>
              <w:rPr>
                <w:rFonts w:ascii="Arial" w:cs="Arial" w:eastAsia="Arial" w:hAnsi="Arial"/>
                <w:sz w:val="18"/>
                <w:szCs w:val="18"/>
                <w:color w:val="auto"/>
              </w:rPr>
              <w:t>Preferred stock not subject to mandatory redemption</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79</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9"/>
        </w:trPr>
        <w:tc>
          <w:tcPr>
            <w:tcW w:w="5900" w:type="dxa"/>
            <w:vAlign w:val="bottom"/>
          </w:tcPr>
          <w:p>
            <w:pPr>
              <w:ind w:left="480"/>
              <w:spacing w:after="0"/>
              <w:rPr>
                <w:sz w:val="20"/>
                <w:szCs w:val="20"/>
                <w:color w:val="auto"/>
              </w:rPr>
            </w:pPr>
            <w:r>
              <w:rPr>
                <w:rFonts w:ascii="Arial" w:cs="Arial" w:eastAsia="Arial" w:hAnsi="Arial"/>
                <w:sz w:val="18"/>
                <w:szCs w:val="18"/>
                <w:color w:val="auto"/>
              </w:rPr>
              <w:t>Common stock (255 million shares authorized; 117 million shares</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740"/>
              <w:spacing w:after="0"/>
              <w:rPr>
                <w:sz w:val="20"/>
                <w:szCs w:val="20"/>
                <w:color w:val="auto"/>
              </w:rPr>
            </w:pPr>
            <w:r>
              <w:rPr>
                <w:rFonts w:ascii="Arial" w:cs="Arial" w:eastAsia="Arial" w:hAnsi="Arial"/>
                <w:sz w:val="18"/>
                <w:szCs w:val="18"/>
                <w:color w:val="auto"/>
              </w:rPr>
              <w:t>outstanding; no par value)</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1,138</w:t>
            </w:r>
          </w:p>
        </w:tc>
        <w:tc>
          <w:tcPr>
            <w:tcW w:w="840" w:type="dxa"/>
            <w:vAlign w:val="bottom"/>
          </w:tcPr>
          <w:p>
            <w:pPr>
              <w:spacing w:after="0"/>
              <w:rPr>
                <w:sz w:val="20"/>
                <w:szCs w:val="20"/>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1,138</w:t>
            </w:r>
          </w:p>
        </w:tc>
        <w:tc>
          <w:tcPr>
            <w:tcW w:w="0" w:type="dxa"/>
            <w:vAlign w:val="bottom"/>
          </w:tcPr>
          <w:p>
            <w:pPr>
              <w:spacing w:after="0"/>
              <w:rPr>
                <w:sz w:val="1"/>
                <w:szCs w:val="1"/>
                <w:color w:val="auto"/>
              </w:rPr>
            </w:pPr>
          </w:p>
        </w:tc>
      </w:tr>
      <w:tr>
        <w:trPr>
          <w:trHeight w:val="243"/>
        </w:trPr>
        <w:tc>
          <w:tcPr>
            <w:tcW w:w="5900" w:type="dxa"/>
            <w:vAlign w:val="bottom"/>
          </w:tcPr>
          <w:p>
            <w:pPr>
              <w:ind w:left="4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1,213</w:t>
            </w:r>
          </w:p>
        </w:tc>
        <w:tc>
          <w:tcPr>
            <w:tcW w:w="840" w:type="dxa"/>
            <w:vAlign w:val="bottom"/>
          </w:tcPr>
          <w:p>
            <w:pPr>
              <w:spacing w:after="0"/>
              <w:rPr>
                <w:sz w:val="21"/>
                <w:szCs w:val="21"/>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250"/>
        </w:trPr>
        <w:tc>
          <w:tcPr>
            <w:tcW w:w="5900" w:type="dxa"/>
            <w:vAlign w:val="bottom"/>
          </w:tcPr>
          <w:p>
            <w:pPr>
              <w:ind w:left="4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(16 )</w:t>
            </w:r>
          </w:p>
        </w:tc>
        <w:tc>
          <w:tcPr>
            <w:tcW w:w="8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43"/>
        </w:trPr>
        <w:tc>
          <w:tcPr>
            <w:tcW w:w="590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2,414</w:t>
            </w:r>
          </w:p>
        </w:tc>
        <w:tc>
          <w:tcPr>
            <w:tcW w:w="8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2,279</w:t>
            </w:r>
          </w:p>
        </w:tc>
        <w:tc>
          <w:tcPr>
            <w:tcW w:w="0" w:type="dxa"/>
            <w:vAlign w:val="bottom"/>
          </w:tcPr>
          <w:p>
            <w:pPr>
              <w:spacing w:after="0"/>
              <w:rPr>
                <w:sz w:val="1"/>
                <w:szCs w:val="1"/>
                <w:color w:val="auto"/>
              </w:rPr>
            </w:pPr>
          </w:p>
        </w:tc>
      </w:tr>
      <w:tr>
        <w:trPr>
          <w:trHeight w:val="257"/>
        </w:trPr>
        <w:tc>
          <w:tcPr>
            <w:tcW w:w="590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8,499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7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As adjusted for the retrospective adoption of FASB Staff Position FIN 39-1.</w:t>
      </w:r>
    </w:p>
    <w:p>
      <w:pPr>
        <w:sectPr>
          <w:pgSz w:w="11900" w:h="16838" w:orient="portrait"/>
          <w:cols w:equalWidth="0" w:num="1">
            <w:col w:w="10219"/>
          </w:cols>
          <w:pgMar w:left="2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19"/>
          </w:cols>
          <w:pgMar w:left="240" w:top="895" w:right="1440" w:bottom="1440" w:gutter="0" w:footer="0" w:header="0"/>
          <w:type w:val="continuous"/>
        </w:sectPr>
      </w:pPr>
    </w:p>
    <w:bookmarkStart w:id="5" w:name="page6"/>
    <w:bookmarkEnd w:id="5"/>
    <w:p>
      <w:pPr>
        <w:ind w:left="1540" w:right="3539"/>
        <w:spacing w:after="0" w:line="341" w:lineRule="auto"/>
        <w:rPr>
          <w:sz w:val="20"/>
          <w:szCs w:val="20"/>
          <w:color w:val="auto"/>
        </w:rPr>
      </w:pPr>
      <w:r>
        <w:rPr>
          <w:rFonts w:ascii="Arial" w:cs="Arial" w:eastAsia="Arial" w:hAnsi="Arial"/>
          <w:sz w:val="17"/>
          <w:szCs w:val="17"/>
          <w:color w:val="auto"/>
        </w:rPr>
        <w:t>SAN DIEGO GAS &amp; ELECTRIC COMPANY AND SUBSIDIARY CONDENSED STATEMENTS OF CONSOLIDATED CASH FLOWS</w:t>
      </w:r>
    </w:p>
    <w:p>
      <w:pPr>
        <w:spacing w:after="0" w:line="174" w:lineRule="exact"/>
        <w:rPr>
          <w:sz w:val="20"/>
          <w:szCs w:val="20"/>
          <w:color w:val="auto"/>
        </w:rPr>
      </w:pPr>
    </w:p>
    <w:tbl>
      <w:tblPr>
        <w:tblLayout w:type="fixed"/>
        <w:tblInd w:w="1520" w:type="dxa"/>
        <w:tblCellMar>
          <w:top w:w="0" w:type="dxa"/>
          <w:left w:w="0" w:type="dxa"/>
          <w:bottom w:w="0" w:type="dxa"/>
          <w:right w:w="0" w:type="dxa"/>
        </w:tblCellMar>
      </w:tblPr>
      <w:tr>
        <w:trPr>
          <w:trHeight w:val="237"/>
        </w:trPr>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center"/>
              <w:ind w:right="150"/>
              <w:spacing w:after="0"/>
              <w:rPr>
                <w:sz w:val="20"/>
                <w:szCs w:val="20"/>
                <w:color w:val="auto"/>
              </w:rPr>
            </w:pPr>
            <w:r>
              <w:rPr>
                <w:rFonts w:ascii="Arial" w:cs="Arial" w:eastAsia="Arial" w:hAnsi="Arial"/>
                <w:sz w:val="18"/>
                <w:szCs w:val="18"/>
                <w:color w:val="auto"/>
                <w:w w:val="88"/>
              </w:rPr>
              <w:t>Six months ended June 30,</w:t>
            </w: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2008</w:t>
            </w:r>
          </w:p>
        </w:tc>
        <w:tc>
          <w:tcPr>
            <w:tcW w:w="9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r>
      <w:tr>
        <w:trPr>
          <w:trHeight w:val="230"/>
        </w:trPr>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(unaudited)</w:t>
            </w:r>
          </w:p>
        </w:tc>
        <w:tc>
          <w:tcPr>
            <w:tcW w:w="860" w:type="dxa"/>
            <w:vAlign w:val="bottom"/>
          </w:tcPr>
          <w:p>
            <w:pPr>
              <w:spacing w:after="0"/>
              <w:rPr>
                <w:sz w:val="20"/>
                <w:szCs w:val="20"/>
                <w:color w:val="auto"/>
              </w:rPr>
            </w:pPr>
          </w:p>
        </w:tc>
      </w:tr>
      <w:tr>
        <w:trPr>
          <w:trHeight w:val="242"/>
        </w:trPr>
        <w:tc>
          <w:tcPr>
            <w:tcW w:w="564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137</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115</w:t>
            </w:r>
          </w:p>
        </w:tc>
      </w:tr>
      <w:tr>
        <w:trPr>
          <w:trHeight w:val="229"/>
        </w:trPr>
        <w:tc>
          <w:tcPr>
            <w:tcW w:w="5640" w:type="dxa"/>
            <w:vAlign w:val="bottom"/>
          </w:tcPr>
          <w:p>
            <w:pPr>
              <w:ind w:left="200"/>
              <w:spacing w:after="0"/>
              <w:rPr>
                <w:sz w:val="20"/>
                <w:szCs w:val="20"/>
                <w:color w:val="auto"/>
              </w:rPr>
            </w:pPr>
            <w:r>
              <w:rPr>
                <w:rFonts w:ascii="Arial" w:cs="Arial" w:eastAsia="Arial" w:hAnsi="Arial"/>
                <w:sz w:val="18"/>
                <w:szCs w:val="18"/>
                <w:color w:val="auto"/>
              </w:rPr>
              <w:t>Adjustments to reconcile net income to net cash provided by</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6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564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155</w:t>
            </w:r>
          </w:p>
        </w:tc>
        <w:tc>
          <w:tcPr>
            <w:tcW w:w="9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150</w:t>
            </w:r>
          </w:p>
        </w:tc>
      </w:tr>
      <w:tr>
        <w:trPr>
          <w:trHeight w:val="243"/>
        </w:trPr>
        <w:tc>
          <w:tcPr>
            <w:tcW w:w="5640" w:type="dxa"/>
            <w:vAlign w:val="bottom"/>
          </w:tcPr>
          <w:p>
            <w:pPr>
              <w:ind w:left="680"/>
              <w:spacing w:after="0"/>
              <w:rPr>
                <w:sz w:val="20"/>
                <w:szCs w:val="20"/>
                <w:color w:val="auto"/>
              </w:rPr>
            </w:pPr>
            <w:r>
              <w:rPr>
                <w:rFonts w:ascii="Arial" w:cs="Arial" w:eastAsia="Arial" w:hAnsi="Arial"/>
                <w:sz w:val="18"/>
                <w:szCs w:val="18"/>
                <w:color w:val="auto"/>
              </w:rPr>
              <w:t>Deferred income taxes and investment tax credits</w:t>
            </w:r>
          </w:p>
        </w:tc>
        <w:tc>
          <w:tcPr>
            <w:tcW w:w="2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(24 )</w:t>
            </w:r>
          </w:p>
        </w:tc>
      </w:tr>
      <w:tr>
        <w:trPr>
          <w:trHeight w:val="243"/>
        </w:trPr>
        <w:tc>
          <w:tcPr>
            <w:tcW w:w="5640" w:type="dxa"/>
            <w:vAlign w:val="bottom"/>
          </w:tcPr>
          <w:p>
            <w:pPr>
              <w:ind w:left="680"/>
              <w:spacing w:after="0"/>
              <w:rPr>
                <w:sz w:val="20"/>
                <w:szCs w:val="20"/>
                <w:color w:val="auto"/>
              </w:rPr>
            </w:pPr>
            <w:r>
              <w:rPr>
                <w:rFonts w:ascii="Arial" w:cs="Arial" w:eastAsia="Arial" w:hAnsi="Arial"/>
                <w:sz w:val="18"/>
                <w:szCs w:val="18"/>
                <w:color w:val="auto"/>
              </w:rPr>
              <w:t>Noncash rate-reduction bond expense</w:t>
            </w:r>
          </w:p>
        </w:tc>
        <w:tc>
          <w:tcPr>
            <w:tcW w:w="2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25</w:t>
            </w:r>
          </w:p>
        </w:tc>
      </w:tr>
      <w:tr>
        <w:trPr>
          <w:trHeight w:val="243"/>
        </w:trPr>
        <w:tc>
          <w:tcPr>
            <w:tcW w:w="5640" w:type="dxa"/>
            <w:vAlign w:val="bottom"/>
          </w:tcPr>
          <w:p>
            <w:pPr>
              <w:ind w:left="6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9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Net change in other working capital components</w:t>
            </w:r>
          </w:p>
        </w:tc>
        <w:tc>
          <w:tcPr>
            <w:tcW w:w="2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9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113</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Changes in other assets</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9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57"/>
        </w:trPr>
        <w:tc>
          <w:tcPr>
            <w:tcW w:w="5640" w:type="dxa"/>
            <w:vAlign w:val="bottom"/>
          </w:tcPr>
          <w:p>
            <w:pPr>
              <w:ind w:left="200"/>
              <w:spacing w:after="0"/>
              <w:rPr>
                <w:sz w:val="20"/>
                <w:szCs w:val="20"/>
                <w:color w:val="auto"/>
              </w:rPr>
            </w:pPr>
            <w:r>
              <w:rPr>
                <w:rFonts w:ascii="Arial" w:cs="Arial" w:eastAsia="Arial" w:hAnsi="Arial"/>
                <w:sz w:val="18"/>
                <w:szCs w:val="18"/>
                <w:color w:val="auto"/>
              </w:rPr>
              <w:t>Changes in other liabilities</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9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(3 )</w:t>
            </w:r>
          </w:p>
        </w:tc>
      </w:tr>
      <w:tr>
        <w:trPr>
          <w:trHeight w:val="237"/>
        </w:trPr>
        <w:tc>
          <w:tcPr>
            <w:tcW w:w="564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421</w:t>
            </w:r>
          </w:p>
        </w:tc>
        <w:tc>
          <w:tcPr>
            <w:tcW w:w="9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385</w:t>
            </w:r>
          </w:p>
        </w:tc>
      </w:tr>
      <w:tr>
        <w:trPr>
          <w:trHeight w:val="466"/>
        </w:trPr>
        <w:tc>
          <w:tcPr>
            <w:tcW w:w="56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(428 )</w:t>
            </w:r>
          </w:p>
        </w:tc>
        <w:tc>
          <w:tcPr>
            <w:tcW w:w="98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(305 )</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Expenditures for short-term investments</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(236 )</w:t>
            </w:r>
          </w:p>
        </w:tc>
        <w:tc>
          <w:tcPr>
            <w:tcW w:w="9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Proceeds from sale of short-term investments</w:t>
            </w:r>
          </w:p>
        </w:tc>
        <w:tc>
          <w:tcPr>
            <w:tcW w:w="2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9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Purchases of nuclear decommissioning trust assets</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(173 )</w:t>
            </w:r>
          </w:p>
        </w:tc>
        <w:tc>
          <w:tcPr>
            <w:tcW w:w="98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(298 )</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Proceeds from sales by nuclear decommissioning trusts</w:t>
            </w:r>
          </w:p>
        </w:tc>
        <w:tc>
          <w:tcPr>
            <w:tcW w:w="2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9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300</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Increase in loans to affiliates, net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(24 )</w:t>
            </w:r>
          </w:p>
        </w:tc>
        <w:tc>
          <w:tcPr>
            <w:tcW w:w="9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57"/>
        </w:trPr>
        <w:tc>
          <w:tcPr>
            <w:tcW w:w="564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w:t>
            </w:r>
          </w:p>
        </w:tc>
      </w:tr>
      <w:tr>
        <w:trPr>
          <w:trHeight w:val="237"/>
        </w:trPr>
        <w:tc>
          <w:tcPr>
            <w:tcW w:w="564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(611 )</w:t>
            </w:r>
          </w:p>
        </w:tc>
        <w:tc>
          <w:tcPr>
            <w:tcW w:w="9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(301 )</w:t>
            </w:r>
          </w:p>
        </w:tc>
      </w:tr>
      <w:tr>
        <w:trPr>
          <w:trHeight w:val="466"/>
        </w:trPr>
        <w:tc>
          <w:tcPr>
            <w:tcW w:w="56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Issuance of long-term debt</w:t>
            </w:r>
          </w:p>
        </w:tc>
        <w:tc>
          <w:tcPr>
            <w:tcW w:w="2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9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Payments on long-term debt</w:t>
            </w:r>
          </w:p>
        </w:tc>
        <w:tc>
          <w:tcPr>
            <w:tcW w:w="2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(33 )</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Decrease in short-term debt, net</w:t>
            </w:r>
          </w:p>
        </w:tc>
        <w:tc>
          <w:tcPr>
            <w:tcW w:w="2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(42 )</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Redemptions of preferred stock</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(14 )</w:t>
            </w:r>
          </w:p>
        </w:tc>
        <w:tc>
          <w:tcPr>
            <w:tcW w:w="98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(3 )</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Capital contribution received by Otay Mesa VIE</w:t>
            </w:r>
          </w:p>
        </w:tc>
        <w:tc>
          <w:tcPr>
            <w:tcW w:w="2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Preferred dividends paid</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98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(2 )</w:t>
            </w:r>
          </w:p>
        </w:tc>
      </w:tr>
      <w:tr>
        <w:trPr>
          <w:trHeight w:val="257"/>
        </w:trPr>
        <w:tc>
          <w:tcPr>
            <w:tcW w:w="564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9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w:t>
            </w:r>
          </w:p>
        </w:tc>
        <w:tc>
          <w:tcPr>
            <w:tcW w:w="9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(80 )</w:t>
            </w:r>
          </w:p>
        </w:tc>
      </w:tr>
    </w:tbl>
    <w:p>
      <w:pPr>
        <w:spacing w:after="0" w:line="200" w:lineRule="exact"/>
        <w:rPr>
          <w:sz w:val="20"/>
          <w:szCs w:val="20"/>
          <w:color w:val="auto"/>
        </w:rPr>
      </w:pPr>
    </w:p>
    <w:p>
      <w:pPr>
        <w:sectPr>
          <w:pgSz w:w="11900" w:h="16838" w:orient="portrait"/>
          <w:cols w:equalWidth="0" w:num="1">
            <w:col w:w="10219"/>
          </w:cols>
          <w:pgMar w:left="240" w:top="895" w:right="1440" w:bottom="949" w:gutter="0" w:footer="0" w:header="0"/>
        </w:sectPr>
      </w:pPr>
    </w:p>
    <w:p>
      <w:pPr>
        <w:spacing w:after="0" w:line="4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Increase (decrease) in cash and cash equivalents</w:t>
      </w:r>
    </w:p>
    <w:p>
      <w:pPr>
        <w:spacing w:after="0" w:line="3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Cash and cash equivalents, January 1</w:t>
      </w:r>
    </w:p>
    <w:p>
      <w:pPr>
        <w:spacing w:after="0" w:line="50" w:lineRule="exact"/>
        <w:rPr>
          <w:sz w:val="20"/>
          <w:szCs w:val="20"/>
          <w:color w:val="auto"/>
        </w:rPr>
      </w:pPr>
    </w:p>
    <w:p>
      <w:pPr>
        <w:ind w:left="1540" w:right="680"/>
        <w:spacing w:after="0" w:line="356" w:lineRule="auto"/>
        <w:rPr>
          <w:sz w:val="20"/>
          <w:szCs w:val="20"/>
          <w:color w:val="auto"/>
        </w:rPr>
      </w:pPr>
      <w:r>
        <w:rPr>
          <w:rFonts w:ascii="Arial" w:cs="Arial" w:eastAsia="Arial" w:hAnsi="Arial"/>
          <w:sz w:val="18"/>
          <w:szCs w:val="18"/>
          <w:color w:val="auto"/>
        </w:rPr>
        <w:t>Cash assumed in connection with FIN 46(R) consolidation Cash and cash equivalents, June 30</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(114 )</w:t>
            </w:r>
          </w:p>
        </w:tc>
        <w:tc>
          <w:tcPr>
            <w:tcW w:w="68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4</w:t>
            </w:r>
          </w:p>
        </w:tc>
      </w:tr>
      <w:tr>
        <w:trPr>
          <w:trHeight w:val="243"/>
        </w:trPr>
        <w:tc>
          <w:tcPr>
            <w:tcW w:w="32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158</w:t>
            </w:r>
          </w:p>
        </w:tc>
        <w:tc>
          <w:tcPr>
            <w:tcW w:w="68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50"/>
        </w:trPr>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29</w:t>
            </w:r>
          </w:p>
        </w:tc>
      </w:tr>
      <w:tr>
        <w:trPr>
          <w:trHeight w:val="264"/>
        </w:trPr>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44</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42</w:t>
            </w:r>
          </w:p>
        </w:tc>
      </w:tr>
    </w:tbl>
    <w:p>
      <w:pPr>
        <w:spacing w:after="0" w:line="242" w:lineRule="exact"/>
        <w:rPr>
          <w:sz w:val="20"/>
          <w:szCs w:val="20"/>
          <w:color w:val="auto"/>
        </w:rPr>
      </w:pPr>
    </w:p>
    <w:p>
      <w:pPr>
        <w:sectPr>
          <w:pgSz w:w="11900" w:h="16838" w:orient="portrait"/>
          <w:cols w:equalWidth="0" w:num="2">
            <w:col w:w="6440" w:space="720"/>
            <w:col w:w="3059"/>
          </w:cols>
          <w:pgMar w:left="240" w:top="895" w:right="1440" w:bottom="949" w:gutter="0" w:footer="0" w:header="0"/>
          <w:type w:val="continuous"/>
        </w:sectPr>
      </w:pPr>
    </w:p>
    <w:tbl>
      <w:tblPr>
        <w:tblLayout w:type="fixed"/>
        <w:tblInd w:w="15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20" w:type="dxa"/>
            <w:vAlign w:val="bottom"/>
          </w:tcPr>
          <w:p>
            <w:pPr>
              <w:ind w:left="300"/>
              <w:spacing w:after="0"/>
              <w:rPr>
                <w:sz w:val="20"/>
                <w:szCs w:val="20"/>
                <w:color w:val="auto"/>
              </w:rPr>
            </w:pPr>
            <w:r>
              <w:rPr>
                <w:rFonts w:ascii="Arial" w:cs="Arial" w:eastAsia="Arial" w:hAnsi="Arial"/>
                <w:sz w:val="18"/>
                <w:szCs w:val="18"/>
                <w:color w:val="auto"/>
              </w:rPr>
              <w:t>Interest payments, net of amounts capitalized</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47</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507"/>
        </w:trPr>
        <w:tc>
          <w:tcPr>
            <w:tcW w:w="5620" w:type="dxa"/>
            <w:vAlign w:val="bottom"/>
          </w:tcPr>
          <w:p>
            <w:pPr>
              <w:ind w:left="300"/>
              <w:spacing w:after="0"/>
              <w:rPr>
                <w:sz w:val="20"/>
                <w:szCs w:val="20"/>
                <w:color w:val="auto"/>
              </w:rPr>
            </w:pPr>
            <w:r>
              <w:rPr>
                <w:rFonts w:ascii="Arial" w:cs="Arial" w:eastAsia="Arial" w:hAnsi="Arial"/>
                <w:sz w:val="18"/>
                <w:szCs w:val="18"/>
                <w:color w:val="auto"/>
              </w:rPr>
              <w:t>Income tax payments (refunds), net</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(17 )</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58"/>
        </w:trPr>
        <w:tc>
          <w:tcPr>
            <w:tcW w:w="5620" w:type="dxa"/>
            <w:vAlign w:val="bottom"/>
          </w:tcPr>
          <w:p>
            <w:pPr>
              <w:spacing w:after="0"/>
              <w:rPr>
                <w:sz w:val="20"/>
                <w:szCs w:val="20"/>
                <w:color w:val="auto"/>
              </w:rPr>
            </w:pPr>
            <w:r>
              <w:rPr>
                <w:rFonts w:ascii="Arial" w:cs="Arial" w:eastAsia="Arial" w:hAnsi="Arial"/>
                <w:sz w:val="18"/>
                <w:szCs w:val="18"/>
                <w:color w:val="auto"/>
              </w:rPr>
              <w:t>SUPPLEMENTAL DISCLOSURE OF NONCASH INVESTING</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ACTIVITY</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520"/>
              <w:spacing w:after="0"/>
              <w:rPr>
                <w:sz w:val="20"/>
                <w:szCs w:val="20"/>
                <w:color w:val="auto"/>
              </w:rPr>
            </w:pPr>
            <w:r>
              <w:rPr>
                <w:rFonts w:ascii="Arial" w:cs="Arial" w:eastAsia="Arial" w:hAnsi="Arial"/>
                <w:sz w:val="18"/>
                <w:szCs w:val="18"/>
                <w:color w:val="auto"/>
              </w:rPr>
              <w:t>Decrease in accounts payable from investments in property,</w:t>
            </w: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auto"/>
              </w:rPr>
              <w:t>(35 )</w:t>
            </w: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5620" w:type="dxa"/>
            <w:vAlign w:val="bottom"/>
          </w:tcPr>
          <w:p>
            <w:pPr>
              <w:ind w:left="740"/>
              <w:spacing w:after="0" w:line="203" w:lineRule="exact"/>
              <w:rPr>
                <w:sz w:val="20"/>
                <w:szCs w:val="20"/>
                <w:color w:val="auto"/>
              </w:rPr>
            </w:pPr>
            <w:r>
              <w:rPr>
                <w:rFonts w:ascii="Arial" w:cs="Arial" w:eastAsia="Arial" w:hAnsi="Arial"/>
                <w:sz w:val="18"/>
                <w:szCs w:val="18"/>
                <w:color w:val="auto"/>
              </w:rPr>
              <w:t>plant and equipment</w:t>
            </w:r>
          </w:p>
        </w:tc>
        <w:tc>
          <w:tcPr>
            <w:tcW w:w="36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895" w:right="1440" w:bottom="9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219"/>
          </w:cols>
          <w:pgMar w:left="240" w:top="895" w:right="1440" w:bottom="949"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GENERAL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49"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This Quarterly Report on Form 10-Q is that of San Diego Gas &amp; Electric Company (SDG&amp;E or the company). SDG&amp;E’s common stock is wholly owned by Enova Corporation, which is a wholly owned subsidiary of Sempra Energy, a California-based Fortune 500 holding company. The accompanying financial statements are the Condensed Consolidated Financial Statements of SDG&amp;E and its subsidiary, SDG&amp;E Funding LLC, and Otay Mesa Energy Center LLC, a variable interest entity discussed in Note 3.</w:t>
      </w:r>
    </w:p>
    <w:p>
      <w:pPr>
        <w:spacing w:after="0" w:line="204"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Sempra Energy also indirectly owns all of the common stock of Southern California Gas Company (SoCalGas). SDG&amp;E and SoCalGas are collectively referred to as the Sempra Utilities.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4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The Condensed Consolidated Financial Statements have been prepared in conformity with accounting principles generally accepted in the United States of America (GAAP) and in accordance with the interim-period-reporting requirements of Form 10-Q. Results of operations for interim periods are not necessarily indicative of results for the entire year. In the opinion of management, the accompanying statements reflect all adjustments necessary for a fair presentation. These adjustments are only of a normal, recurring nature.</w:t>
      </w:r>
    </w:p>
    <w:p>
      <w:pPr>
        <w:spacing w:after="0" w:line="189" w:lineRule="exact"/>
        <w:rPr>
          <w:sz w:val="20"/>
          <w:szCs w:val="20"/>
          <w:color w:val="auto"/>
        </w:rPr>
      </w:pPr>
    </w:p>
    <w:p>
      <w:pPr>
        <w:ind w:right="660"/>
        <w:spacing w:after="0" w:line="287" w:lineRule="auto"/>
        <w:rPr>
          <w:sz w:val="20"/>
          <w:szCs w:val="20"/>
          <w:color w:val="auto"/>
        </w:rPr>
      </w:pPr>
      <w:r>
        <w:rPr>
          <w:rFonts w:ascii="Arial" w:cs="Arial" w:eastAsia="Arial" w:hAnsi="Arial"/>
          <w:sz w:val="19"/>
          <w:szCs w:val="19"/>
          <w:color w:val="auto"/>
        </w:rPr>
        <w:t>Information in this Quarterly Report should be read in conjunction with the company’s Annual Report on Form 10-K for the year ended December 31, 2007 (the Annual Report) and its Quarterly Report on Form 10-Q for the quarter ended March 31, 2008.</w:t>
      </w:r>
    </w:p>
    <w:p>
      <w:pPr>
        <w:spacing w:after="0" w:line="180"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The company’s significant accounting policies are described in Note 1 of the Notes to Consolidated Financial Statements in the Annual Report. The same accounting policies are followed for interim reporting purposes, except for the adoption of new accounting standards as discussed in Note 2.</w:t>
      </w:r>
    </w:p>
    <w:p>
      <w:pPr>
        <w:spacing w:after="0" w:line="21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SDG&amp;E accounts for the economic effects of regulation on utility operations in accordance with Statement of Financial Accounting Standards (SFAS) 71</w:t>
      </w:r>
      <w:r>
        <w:rPr>
          <w:rFonts w:ascii="Arial" w:cs="Arial" w:eastAsia="Arial" w:hAnsi="Arial"/>
          <w:sz w:val="20"/>
          <w:szCs w:val="20"/>
          <w:i w:val="1"/>
          <w:iCs w:val="1"/>
          <w:color w:val="auto"/>
        </w:rPr>
        <w:t>, Accounting for the Effects of Certain Types of Regulation.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NEW ACCOUNTING STANDARDS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pronouncements that have had or may have a significant effect on the company's financial statements are described below.</w:t>
      </w:r>
    </w:p>
    <w:p>
      <w:pPr>
        <w:spacing w:after="0" w:line="266" w:lineRule="exact"/>
        <w:rPr>
          <w:sz w:val="20"/>
          <w:szCs w:val="20"/>
          <w:color w:val="auto"/>
        </w:rPr>
      </w:pPr>
    </w:p>
    <w:p>
      <w:pPr>
        <w:spacing w:after="0" w:line="243" w:lineRule="auto"/>
        <w:rPr>
          <w:sz w:val="20"/>
          <w:szCs w:val="20"/>
          <w:color w:val="auto"/>
        </w:rPr>
      </w:pPr>
      <w:r>
        <w:rPr>
          <w:rFonts w:ascii="Arial" w:cs="Arial" w:eastAsia="Arial" w:hAnsi="Arial"/>
          <w:sz w:val="20"/>
          <w:szCs w:val="20"/>
          <w:b w:val="1"/>
          <w:bCs w:val="1"/>
          <w:i w:val="1"/>
          <w:iCs w:val="1"/>
          <w:color w:val="auto"/>
        </w:rPr>
        <w:t xml:space="preserve">SFAS 161, "Disclosures about Derivative Instruments and Hedging Activities – an amendment of FASB Statement No. 133" (SFAS 161): </w:t>
      </w:r>
      <w:r>
        <w:rPr>
          <w:rFonts w:ascii="Arial" w:cs="Arial" w:eastAsia="Arial" w:hAnsi="Arial"/>
          <w:sz w:val="20"/>
          <w:szCs w:val="20"/>
          <w:color w:val="auto"/>
        </w:rPr>
        <w:t xml:space="preserve">SFAS 161 expands the disclosure requirements in Financial Accounting Standards Board (FASB) Statement No. 133, </w:t>
      </w:r>
      <w:r>
        <w:rPr>
          <w:rFonts w:ascii="Arial" w:cs="Arial" w:eastAsia="Arial" w:hAnsi="Arial"/>
          <w:sz w:val="20"/>
          <w:szCs w:val="20"/>
          <w:i w:val="1"/>
          <w:iCs w:val="1"/>
          <w:color w:val="auto"/>
        </w:rPr>
        <w:t>Accounting for Derivative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Instruments and Hedging Activities </w:t>
      </w:r>
      <w:r>
        <w:rPr>
          <w:rFonts w:ascii="Arial" w:cs="Arial" w:eastAsia="Arial" w:hAnsi="Arial"/>
          <w:sz w:val="20"/>
          <w:szCs w:val="20"/>
          <w:color w:val="auto"/>
        </w:rPr>
        <w:t>(SFAS 133). SFAS 161 requires qualitative disclosures about objectives and strategies for using derivatives,</w:t>
      </w:r>
      <w:r>
        <w:rPr>
          <w:rFonts w:ascii="Arial" w:cs="Arial" w:eastAsia="Arial" w:hAnsi="Arial"/>
          <w:sz w:val="20"/>
          <w:szCs w:val="20"/>
          <w:i w:val="1"/>
          <w:iCs w:val="1"/>
          <w:color w:val="auto"/>
        </w:rPr>
        <w:t xml:space="preserve"> </w:t>
      </w:r>
      <w:r>
        <w:rPr>
          <w:rFonts w:ascii="Arial" w:cs="Arial" w:eastAsia="Arial" w:hAnsi="Arial"/>
          <w:sz w:val="20"/>
          <w:szCs w:val="20"/>
          <w:color w:val="auto"/>
        </w:rPr>
        <w:t>quantitative disclosures about fair value amounts of and gains and losses on derivative instruments, and disclosures about credit-risk-related contingent features in derivative agreements. SFAS 161 is effective for financial statements issued for fiscal years and interim periods beginning after November 15, 2008. The company is in the process of evaluating the effect of this statement on its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603" w:right="239" w:bottom="1440" w:gutter="0" w:footer="0" w:header="0"/>
        </w:sectPr>
      </w:pPr>
    </w:p>
    <w:bookmarkStart w:id="7" w:name="page8"/>
    <w:bookmarkEnd w:id="7"/>
    <w:p>
      <w:pPr>
        <w:spacing w:after="0" w:line="311" w:lineRule="auto"/>
        <w:rPr>
          <w:sz w:val="20"/>
          <w:szCs w:val="20"/>
          <w:color w:val="auto"/>
        </w:rPr>
      </w:pPr>
      <w:r>
        <w:rPr>
          <w:rFonts w:ascii="Arial" w:cs="Arial" w:eastAsia="Arial" w:hAnsi="Arial"/>
          <w:sz w:val="16"/>
          <w:szCs w:val="16"/>
          <w:b w:val="1"/>
          <w:bCs w:val="1"/>
          <w:i w:val="1"/>
          <w:iCs w:val="1"/>
          <w:color w:val="auto"/>
        </w:rPr>
        <w:t xml:space="preserve">FASB Staff Position (FSP) FIN 39-1, "Amendment of FASB Interpretation No. 39" (FSP FIN 39-1): </w:t>
      </w:r>
      <w:r>
        <w:rPr>
          <w:rFonts w:ascii="Arial" w:cs="Arial" w:eastAsia="Arial" w:hAnsi="Arial"/>
          <w:sz w:val="16"/>
          <w:szCs w:val="16"/>
          <w:color w:val="auto"/>
        </w:rPr>
        <w:t>FSP FIN 39-1 amends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paragraphs of FASB Interpretation No. 39, </w:t>
      </w:r>
      <w:r>
        <w:rPr>
          <w:rFonts w:ascii="Arial" w:cs="Arial" w:eastAsia="Arial" w:hAnsi="Arial"/>
          <w:sz w:val="16"/>
          <w:szCs w:val="16"/>
          <w:i w:val="1"/>
          <w:iCs w:val="1"/>
          <w:color w:val="auto"/>
        </w:rPr>
        <w:t>Offsetting of Amounts Related to Certain Contracts</w:t>
      </w:r>
      <w:r>
        <w:rPr>
          <w:rFonts w:ascii="Arial" w:cs="Arial" w:eastAsia="Arial" w:hAnsi="Arial"/>
          <w:sz w:val="16"/>
          <w:szCs w:val="16"/>
          <w:color w:val="auto"/>
        </w:rPr>
        <w:t>, to permit a reporting entity to offset fair value amounts recognized for the right to reclaim or the obligation to return cash collateral against fair value amounts recognized for derivative instruments executed with the same counterparty under the same master netting arrangement. FSP FIN 39-1 is effective for fiscal years beginning after November 15, 2007. The company adopted FSP FIN 39-1 effective January 1, 2008. The company applied FSP FIN 39-1 as a change in accounting principle through retrospective application. Each consolidated balance sheet herein reflects the offsetting of net derivative positions with fair value amounts for cash collateral with the same counterparty when management believes a legal r ight of setoff exists. Accordingly, December 31, 2007 amounts have been reclassified to conform to this presentation. Additional disclosure is provided in Note 4.</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OTHER FINANCIAL DATA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Otay Mesa Energy Center</w:t>
      </w:r>
    </w:p>
    <w:p>
      <w:pPr>
        <w:spacing w:after="0" w:line="249"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 xml:space="preserve">The company has a 10-year agreement to purchase power to be generated at the Otay Mesa Energy Center, a 573-megawatt (MW) generating facility currently under construction and expected to be in commercial operation in the fourth quarter of 2009. As defined in FIN 46 (revised December 2003), </w:t>
      </w:r>
      <w:r>
        <w:rPr>
          <w:rFonts w:ascii="Arial" w:cs="Arial" w:eastAsia="Arial" w:hAnsi="Arial"/>
          <w:sz w:val="18"/>
          <w:szCs w:val="18"/>
          <w:i w:val="1"/>
          <w:iCs w:val="1"/>
          <w:color w:val="auto"/>
        </w:rPr>
        <w:t>Consolidation of Variable Interest Entities - an interpretation of ARB No. 51</w:t>
      </w:r>
      <w:r>
        <w:rPr>
          <w:rFonts w:ascii="Arial" w:cs="Arial" w:eastAsia="Arial" w:hAnsi="Arial"/>
          <w:sz w:val="18"/>
          <w:szCs w:val="18"/>
          <w:color w:val="auto"/>
        </w:rPr>
        <w:t xml:space="preserve"> (FIN 46(R)), the facility owner, Otay Mesa Energy Center LLC, is a variable interest entity (Otay Mesa VIE), of which the company is the primary beneficiary. Accordingly, the company has consolidated Otay Mesa VIE beginning in the second quarter of 2007. Its equity of $194 million and $135 million as of June 30, 2008 and December 31, 2007, respectively, is classified as Minority Interest on the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Available-for-Sale Securities</w:t>
      </w:r>
    </w:p>
    <w:p>
      <w:pPr>
        <w:spacing w:after="0" w:line="249"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In March 2008, the company purchased $236 million of industrial development bonds. In June 2008, SDG&amp;E sold $75 million of the bonds to Sempra Energy. The bonds are classified as available-for-sale securities and included in Short-Term Investments on the Consolidated Balance Sheets at June 30, 2008.</w:t>
      </w:r>
    </w:p>
    <w:p>
      <w:pPr>
        <w:spacing w:after="0" w:line="213" w:lineRule="exact"/>
        <w:rPr>
          <w:sz w:val="20"/>
          <w:szCs w:val="20"/>
          <w:color w:val="auto"/>
        </w:rPr>
      </w:pPr>
    </w:p>
    <w:p>
      <w:pPr>
        <w:spacing w:after="0" w:line="328" w:lineRule="auto"/>
        <w:rPr>
          <w:sz w:val="20"/>
          <w:szCs w:val="20"/>
          <w:color w:val="auto"/>
        </w:rPr>
      </w:pPr>
      <w:r>
        <w:rPr>
          <w:rFonts w:ascii="Arial" w:cs="Arial" w:eastAsia="Arial" w:hAnsi="Arial"/>
          <w:sz w:val="16"/>
          <w:szCs w:val="16"/>
          <w:color w:val="auto"/>
        </w:rPr>
        <w:t>Interest rates on these securities are reset by remarketing agents on a weekly basis at rates intended to permit the bonds to be remarketed at par. The bonds were initially issued as insured, auction-rate securities, the proceeds of which were loaned to SDG&amp;E, and are repaid with payments from SDG&amp;E first mortgage bonds that have terms corresponding to those of the industrial development bonds that they secure. SDG&amp;E intends to modify the credit support and liquidity requirements of the bonds in conjunction with their subsequent remarketing to investors.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80"/>
          </w:cols>
          <w:pgMar w:left="240" w:top="609" w:right="27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Pension and Other Postretirement Benefits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provide the components of benefit costs:</w:t>
      </w:r>
    </w:p>
    <w:p>
      <w:pPr>
        <w:spacing w:after="0" w:line="200" w:lineRule="exact"/>
        <w:rPr>
          <w:sz w:val="20"/>
          <w:szCs w:val="20"/>
          <w:color w:val="auto"/>
        </w:rPr>
      </w:pPr>
    </w:p>
    <w:p>
      <w:pPr>
        <w:spacing w:after="0" w:line="329"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2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0"/>
              </w:rPr>
              <w:t>Pension Benefits</w:t>
            </w:r>
          </w:p>
        </w:tc>
        <w:tc>
          <w:tcPr>
            <w:tcW w:w="9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color w:val="auto"/>
                <w:w w:val="90"/>
              </w:rPr>
              <w:t>Other Postretirement Benefits</w:t>
            </w:r>
          </w:p>
        </w:tc>
      </w:tr>
      <w:tr>
        <w:trPr>
          <w:trHeight w:val="230"/>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3"/>
          </w:tcPr>
          <w:p>
            <w:pPr>
              <w:jc w:val="center"/>
              <w:ind w:right="530"/>
              <w:spacing w:after="0"/>
              <w:rPr>
                <w:sz w:val="20"/>
                <w:szCs w:val="20"/>
                <w:color w:val="auto"/>
              </w:rPr>
            </w:pPr>
            <w:r>
              <w:rPr>
                <w:rFonts w:ascii="Arial" w:cs="Arial" w:eastAsia="Arial" w:hAnsi="Arial"/>
                <w:sz w:val="18"/>
                <w:szCs w:val="18"/>
                <w:color w:val="auto"/>
                <w:w w:val="89"/>
              </w:rPr>
              <w:t>Three months ended</w:t>
            </w:r>
          </w:p>
        </w:tc>
        <w:tc>
          <w:tcPr>
            <w:tcW w:w="480" w:type="dxa"/>
            <w:vAlign w:val="bottom"/>
          </w:tcPr>
          <w:p>
            <w:pPr>
              <w:spacing w:after="0"/>
              <w:rPr>
                <w:sz w:val="20"/>
                <w:szCs w:val="20"/>
                <w:color w:val="auto"/>
              </w:rPr>
            </w:pPr>
          </w:p>
        </w:tc>
        <w:tc>
          <w:tcPr>
            <w:tcW w:w="2380" w:type="dxa"/>
            <w:vAlign w:val="bottom"/>
            <w:gridSpan w:val="3"/>
          </w:tcPr>
          <w:p>
            <w:pPr>
              <w:jc w:val="center"/>
              <w:ind w:right="510"/>
              <w:spacing w:after="0"/>
              <w:rPr>
                <w:sz w:val="20"/>
                <w:szCs w:val="20"/>
                <w:color w:val="auto"/>
              </w:rPr>
            </w:pPr>
            <w:r>
              <w:rPr>
                <w:rFonts w:ascii="Arial" w:cs="Arial" w:eastAsia="Arial" w:hAnsi="Arial"/>
                <w:sz w:val="18"/>
                <w:szCs w:val="18"/>
                <w:color w:val="auto"/>
                <w:w w:val="87"/>
              </w:rPr>
              <w:t>Three months ended</w:t>
            </w:r>
          </w:p>
        </w:tc>
      </w:tr>
      <w:tr>
        <w:trPr>
          <w:trHeight w:val="249"/>
        </w:trPr>
        <w:tc>
          <w:tcPr>
            <w:tcW w:w="2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6"/>
              </w:rPr>
              <w:t>June 30,</w:t>
            </w:r>
          </w:p>
        </w:tc>
        <w:tc>
          <w:tcPr>
            <w:tcW w:w="980" w:type="dxa"/>
            <w:vAlign w:val="bottom"/>
            <w:tcBorders>
              <w:bottom w:val="single" w:sz="8" w:color="auto"/>
            </w:tcBorders>
          </w:tcPr>
          <w:p>
            <w:pPr>
              <w:spacing w:after="0"/>
              <w:rPr>
                <w:sz w:val="21"/>
                <w:szCs w:val="21"/>
                <w:color w:val="auto"/>
              </w:rPr>
            </w:pPr>
          </w:p>
        </w:tc>
      </w:tr>
      <w:tr>
        <w:trPr>
          <w:trHeight w:val="23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4"/>
              </w:rPr>
              <w:t>2007</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w:t>
            </w:r>
          </w:p>
        </w:tc>
      </w:tr>
      <w:tr>
        <w:trPr>
          <w:trHeight w:val="242"/>
        </w:trPr>
        <w:tc>
          <w:tcPr>
            <w:tcW w:w="2580" w:type="dxa"/>
            <w:vAlign w:val="bottom"/>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3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(11 )</w:t>
            </w:r>
          </w:p>
        </w:tc>
        <w:tc>
          <w:tcPr>
            <w:tcW w:w="54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(10 )</w:t>
            </w:r>
          </w:p>
        </w:tc>
        <w:tc>
          <w:tcPr>
            <w:tcW w:w="4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(1 )</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(1 )</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2580" w:type="dxa"/>
            <w:vAlign w:val="bottom"/>
          </w:tcPr>
          <w:p>
            <w:pPr>
              <w:ind w:left="200"/>
              <w:spacing w:after="0"/>
              <w:rPr>
                <w:sz w:val="20"/>
                <w:szCs w:val="20"/>
                <w:color w:val="auto"/>
              </w:rPr>
            </w:pPr>
            <w:r>
              <w:rPr>
                <w:rFonts w:ascii="Arial" w:cs="Arial" w:eastAsia="Arial" w:hAnsi="Arial"/>
                <w:sz w:val="18"/>
                <w:szCs w:val="18"/>
                <w:color w:val="auto"/>
              </w:rPr>
              <w:t>Prior service cost</w:t>
            </w:r>
          </w:p>
        </w:tc>
        <w:tc>
          <w:tcPr>
            <w:tcW w:w="30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w:t>
            </w:r>
          </w:p>
        </w:tc>
      </w:tr>
      <w:tr>
        <w:trPr>
          <w:trHeight w:val="243"/>
        </w:trPr>
        <w:tc>
          <w:tcPr>
            <w:tcW w:w="258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30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Regulatory adjustment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(1 )</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r>
      <w:tr>
        <w:trPr>
          <w:trHeight w:val="25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periodic benefit cost</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w:t>
            </w: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r>
      <w:tr>
        <w:trPr>
          <w:trHeight w:val="750"/>
        </w:trPr>
        <w:tc>
          <w:tcPr>
            <w:tcW w:w="2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0"/>
              </w:rPr>
              <w:t>Pension Benefits</w:t>
            </w:r>
          </w:p>
        </w:tc>
        <w:tc>
          <w:tcPr>
            <w:tcW w:w="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color w:val="auto"/>
                <w:w w:val="90"/>
              </w:rPr>
              <w:t>Other Postretirement Benefits</w:t>
            </w:r>
          </w:p>
        </w:tc>
      </w:tr>
      <w:tr>
        <w:trPr>
          <w:trHeight w:val="230"/>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3"/>
          </w:tcPr>
          <w:p>
            <w:pPr>
              <w:jc w:val="center"/>
              <w:ind w:right="530"/>
              <w:spacing w:after="0"/>
              <w:rPr>
                <w:sz w:val="20"/>
                <w:szCs w:val="20"/>
                <w:color w:val="auto"/>
              </w:rPr>
            </w:pPr>
            <w:r>
              <w:rPr>
                <w:rFonts w:ascii="Arial" w:cs="Arial" w:eastAsia="Arial" w:hAnsi="Arial"/>
                <w:sz w:val="18"/>
                <w:szCs w:val="18"/>
                <w:color w:val="auto"/>
                <w:w w:val="88"/>
              </w:rPr>
              <w:t>Six months ended</w:t>
            </w:r>
          </w:p>
        </w:tc>
        <w:tc>
          <w:tcPr>
            <w:tcW w:w="480" w:type="dxa"/>
            <w:vAlign w:val="bottom"/>
          </w:tcPr>
          <w:p>
            <w:pPr>
              <w:spacing w:after="0"/>
              <w:rPr>
                <w:sz w:val="20"/>
                <w:szCs w:val="20"/>
                <w:color w:val="auto"/>
              </w:rPr>
            </w:pPr>
          </w:p>
        </w:tc>
        <w:tc>
          <w:tcPr>
            <w:tcW w:w="2380" w:type="dxa"/>
            <w:vAlign w:val="bottom"/>
            <w:gridSpan w:val="3"/>
          </w:tcPr>
          <w:p>
            <w:pPr>
              <w:jc w:val="center"/>
              <w:ind w:right="510"/>
              <w:spacing w:after="0"/>
              <w:rPr>
                <w:sz w:val="20"/>
                <w:szCs w:val="20"/>
                <w:color w:val="auto"/>
              </w:rPr>
            </w:pPr>
            <w:r>
              <w:rPr>
                <w:rFonts w:ascii="Arial" w:cs="Arial" w:eastAsia="Arial" w:hAnsi="Arial"/>
                <w:sz w:val="18"/>
                <w:szCs w:val="18"/>
                <w:color w:val="auto"/>
                <w:w w:val="90"/>
              </w:rPr>
              <w:t>Six months ended</w:t>
            </w:r>
          </w:p>
        </w:tc>
      </w:tr>
      <w:tr>
        <w:trPr>
          <w:trHeight w:val="249"/>
        </w:trPr>
        <w:tc>
          <w:tcPr>
            <w:tcW w:w="2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6"/>
              </w:rPr>
              <w:t>June 30,</w:t>
            </w:r>
          </w:p>
        </w:tc>
        <w:tc>
          <w:tcPr>
            <w:tcW w:w="980" w:type="dxa"/>
            <w:vAlign w:val="bottom"/>
            <w:tcBorders>
              <w:bottom w:val="single" w:sz="8" w:color="auto"/>
            </w:tcBorders>
          </w:tcPr>
          <w:p>
            <w:pPr>
              <w:spacing w:after="0"/>
              <w:rPr>
                <w:sz w:val="21"/>
                <w:szCs w:val="21"/>
                <w:color w:val="auto"/>
              </w:rPr>
            </w:pPr>
          </w:p>
        </w:tc>
      </w:tr>
      <w:tr>
        <w:trPr>
          <w:trHeight w:val="23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4"/>
              </w:rPr>
              <w:t>2007</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w:t>
            </w:r>
          </w:p>
        </w:tc>
      </w:tr>
      <w:tr>
        <w:trPr>
          <w:trHeight w:val="242"/>
        </w:trPr>
        <w:tc>
          <w:tcPr>
            <w:tcW w:w="2580" w:type="dxa"/>
            <w:vAlign w:val="bottom"/>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3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(23 )</w:t>
            </w:r>
          </w:p>
        </w:tc>
        <w:tc>
          <w:tcPr>
            <w:tcW w:w="54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(22 )</w:t>
            </w:r>
          </w:p>
        </w:tc>
        <w:tc>
          <w:tcPr>
            <w:tcW w:w="4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(2 )</w:t>
            </w: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(2 )</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2580" w:type="dxa"/>
            <w:vAlign w:val="bottom"/>
          </w:tcPr>
          <w:p>
            <w:pPr>
              <w:ind w:left="200"/>
              <w:spacing w:after="0"/>
              <w:rPr>
                <w:sz w:val="20"/>
                <w:szCs w:val="20"/>
                <w:color w:val="auto"/>
              </w:rPr>
            </w:pPr>
            <w:r>
              <w:rPr>
                <w:rFonts w:ascii="Arial" w:cs="Arial" w:eastAsia="Arial" w:hAnsi="Arial"/>
                <w:sz w:val="18"/>
                <w:szCs w:val="18"/>
                <w:color w:val="auto"/>
              </w:rPr>
              <w:t>Prior service cost</w:t>
            </w:r>
          </w:p>
        </w:tc>
        <w:tc>
          <w:tcPr>
            <w:tcW w:w="30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243"/>
        </w:trPr>
        <w:tc>
          <w:tcPr>
            <w:tcW w:w="258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30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Regulatory adjustment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(4 )</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(5 )</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(2 )</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r>
      <w:tr>
        <w:trPr>
          <w:trHeight w:val="25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periodic benefit cost</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w:t>
            </w: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w:t>
            </w:r>
          </w:p>
        </w:tc>
      </w:tr>
    </w:tbl>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company expects to contribute $42 million to its pension plan and $15 million to its other postretirement benefit plans in 2008. For the six months ended June 30, 2008, the company made contributions of $8 million and $5 million to the pension plan and other postretirement benefit plans, respectively, including $8 million and $2 million, respectively, for the three months ended June 30, 2008.</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Capitalized Interest</w:t>
      </w:r>
    </w:p>
    <w:p>
      <w:pPr>
        <w:spacing w:after="0" w:line="249" w:lineRule="exact"/>
        <w:rPr>
          <w:sz w:val="20"/>
          <w:szCs w:val="20"/>
          <w:color w:val="auto"/>
        </w:rPr>
      </w:pPr>
    </w:p>
    <w:p>
      <w:pPr>
        <w:jc w:val="both"/>
        <w:ind w:right="40"/>
        <w:spacing w:after="0" w:line="263" w:lineRule="auto"/>
        <w:rPr>
          <w:sz w:val="20"/>
          <w:szCs w:val="20"/>
          <w:color w:val="auto"/>
        </w:rPr>
      </w:pPr>
      <w:r>
        <w:rPr>
          <w:rFonts w:ascii="Arial" w:cs="Arial" w:eastAsia="Arial" w:hAnsi="Arial"/>
          <w:sz w:val="19"/>
          <w:szCs w:val="19"/>
          <w:color w:val="auto"/>
        </w:rPr>
        <w:t>The company recorded $4 million and $8 million of capitalized interest for the three months and six months ended June 30, 2008, respectively, including primarily the debt-related portion of allowance for funds used during construction, and capitalized interest related to Otay Mesa VIE. The company recorded $1 million and $3 million of capitalized interest for the three months and six months ended June 30, 2007, respectively, including primarily the debt-related portion of allowance for funds used during construction.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80"/>
          </w:cols>
          <w:pgMar w:left="240" w:top="603" w:right="27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Comprehensive Income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reconciliation of net income to comprehensive income:</w:t>
      </w:r>
    </w:p>
    <w:p>
      <w:pPr>
        <w:spacing w:after="0" w:line="286"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450"/>
              <w:spacing w:after="0"/>
              <w:rPr>
                <w:sz w:val="20"/>
                <w:szCs w:val="20"/>
                <w:color w:val="auto"/>
              </w:rPr>
            </w:pPr>
            <w:r>
              <w:rPr>
                <w:rFonts w:ascii="Arial" w:cs="Arial" w:eastAsia="Arial" w:hAnsi="Arial"/>
                <w:sz w:val="18"/>
                <w:szCs w:val="18"/>
                <w:color w:val="auto"/>
                <w:w w:val="93"/>
              </w:rPr>
              <w:t>Three months ended</w:t>
            </w:r>
          </w:p>
        </w:tc>
        <w:tc>
          <w:tcPr>
            <w:tcW w:w="580" w:type="dxa"/>
            <w:vAlign w:val="bottom"/>
          </w:tcPr>
          <w:p>
            <w:pPr>
              <w:spacing w:after="0"/>
              <w:rPr>
                <w:sz w:val="20"/>
                <w:szCs w:val="20"/>
                <w:color w:val="auto"/>
              </w:rPr>
            </w:pPr>
          </w:p>
        </w:tc>
        <w:tc>
          <w:tcPr>
            <w:tcW w:w="2000" w:type="dxa"/>
            <w:vAlign w:val="bottom"/>
            <w:gridSpan w:val="3"/>
          </w:tcPr>
          <w:p>
            <w:pPr>
              <w:jc w:val="right"/>
              <w:ind w:right="390"/>
              <w:spacing w:after="0"/>
              <w:rPr>
                <w:sz w:val="20"/>
                <w:szCs w:val="20"/>
                <w:color w:val="auto"/>
              </w:rPr>
            </w:pPr>
            <w:r>
              <w:rPr>
                <w:rFonts w:ascii="Arial" w:cs="Arial" w:eastAsia="Arial" w:hAnsi="Arial"/>
                <w:sz w:val="18"/>
                <w:szCs w:val="18"/>
                <w:color w:val="auto"/>
              </w:rPr>
              <w:t>Six months ended</w:t>
            </w:r>
          </w:p>
        </w:tc>
      </w:tr>
      <w:tr>
        <w:trPr>
          <w:trHeight w:val="250"/>
        </w:trPr>
        <w:tc>
          <w:tcPr>
            <w:tcW w:w="4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3"/>
              </w:rPr>
              <w:t>June 30,</w:t>
            </w: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June 30,</w:t>
            </w:r>
          </w:p>
        </w:tc>
        <w:tc>
          <w:tcPr>
            <w:tcW w:w="740" w:type="dxa"/>
            <w:vAlign w:val="bottom"/>
            <w:tcBorders>
              <w:bottom w:val="single" w:sz="8" w:color="auto"/>
            </w:tcBorders>
          </w:tcPr>
          <w:p>
            <w:pPr>
              <w:spacing w:after="0"/>
              <w:rPr>
                <w:sz w:val="21"/>
                <w:szCs w:val="21"/>
                <w:color w:val="auto"/>
              </w:rPr>
            </w:pP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2008</w:t>
            </w: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2007</w:t>
            </w: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2008</w:t>
            </w: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2007</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115</w:t>
            </w:r>
          </w:p>
        </w:tc>
      </w:tr>
      <w:tr>
        <w:trPr>
          <w:trHeight w:val="242"/>
        </w:trPr>
        <w:tc>
          <w:tcPr>
            <w:tcW w:w="4020" w:type="dxa"/>
            <w:vAlign w:val="bottom"/>
          </w:tcPr>
          <w:p>
            <w:pPr>
              <w:ind w:left="20"/>
              <w:spacing w:after="0"/>
              <w:rPr>
                <w:sz w:val="20"/>
                <w:szCs w:val="20"/>
                <w:color w:val="auto"/>
              </w:rPr>
            </w:pPr>
            <w:r>
              <w:rPr>
                <w:rFonts w:ascii="Arial" w:cs="Arial" w:eastAsia="Arial" w:hAnsi="Arial"/>
                <w:sz w:val="18"/>
                <w:szCs w:val="18"/>
                <w:color w:val="auto"/>
              </w:rPr>
              <w:t>Net actuarial gain*</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1"/>
                <w:szCs w:val="21"/>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5</w:t>
            </w: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color w:val="auto"/>
              </w:rPr>
              <w:t>Financial instruments</w:t>
            </w: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7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7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8255</wp:posOffset>
            </wp:positionV>
            <wp:extent cx="57029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2935" cy="26035"/>
                    </a:xfrm>
                    <a:prstGeom prst="rect">
                      <a:avLst/>
                    </a:prstGeom>
                    <a:noFill/>
                  </pic:spPr>
                </pic:pic>
              </a:graphicData>
            </a:graphic>
          </wp:anchor>
        </w:drawing>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Net of tax expense of $4 million for both the three- and six-month periods ended June 30, 2007.</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Other Income (Expense), Net consists of the following:</w:t>
      </w:r>
    </w:p>
    <w:p>
      <w:pPr>
        <w:spacing w:after="0" w:line="286"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3"/>
          </w:tcPr>
          <w:p>
            <w:pPr>
              <w:jc w:val="right"/>
              <w:ind w:right="510"/>
              <w:spacing w:after="0"/>
              <w:rPr>
                <w:sz w:val="20"/>
                <w:szCs w:val="20"/>
                <w:color w:val="auto"/>
              </w:rPr>
            </w:pPr>
            <w:r>
              <w:rPr>
                <w:rFonts w:ascii="Arial" w:cs="Arial" w:eastAsia="Arial" w:hAnsi="Arial"/>
                <w:sz w:val="18"/>
                <w:szCs w:val="18"/>
                <w:color w:val="auto"/>
                <w:w w:val="93"/>
              </w:rPr>
              <w:t>Three months ended</w:t>
            </w:r>
          </w:p>
        </w:tc>
        <w:tc>
          <w:tcPr>
            <w:tcW w:w="520" w:type="dxa"/>
            <w:vAlign w:val="bottom"/>
          </w:tcPr>
          <w:p>
            <w:pPr>
              <w:spacing w:after="0"/>
              <w:rPr>
                <w:sz w:val="20"/>
                <w:szCs w:val="20"/>
                <w:color w:val="auto"/>
              </w:rPr>
            </w:pPr>
          </w:p>
        </w:tc>
        <w:tc>
          <w:tcPr>
            <w:tcW w:w="2020" w:type="dxa"/>
            <w:vAlign w:val="bottom"/>
            <w:gridSpan w:val="3"/>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50"/>
        </w:trPr>
        <w:tc>
          <w:tcPr>
            <w:tcW w:w="4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3"/>
              </w:rPr>
              <w:t>June 30,</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June 30,</w:t>
            </w:r>
          </w:p>
        </w:tc>
        <w:tc>
          <w:tcPr>
            <w:tcW w:w="740" w:type="dxa"/>
            <w:vAlign w:val="bottom"/>
            <w:tcBorders>
              <w:bottom w:val="single" w:sz="8" w:color="auto"/>
            </w:tcBorders>
          </w:tcPr>
          <w:p>
            <w:pPr>
              <w:spacing w:after="0"/>
              <w:rPr>
                <w:sz w:val="21"/>
                <w:szCs w:val="21"/>
                <w:color w:val="auto"/>
              </w:rPr>
            </w:pPr>
          </w:p>
        </w:tc>
      </w:tr>
      <w:tr>
        <w:trPr>
          <w:trHeight w:val="23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2008</w:t>
            </w: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2007</w:t>
            </w: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2008</w:t>
            </w:r>
          </w:p>
        </w:tc>
        <w:tc>
          <w:tcPr>
            <w:tcW w:w="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2007</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w w:val="96"/>
              </w:rPr>
              <w:t>Allowance for equity funds used during construction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8</w:t>
            </w:r>
          </w:p>
        </w:tc>
      </w:tr>
      <w:tr>
        <w:trPr>
          <w:trHeight w:val="242"/>
        </w:trPr>
        <w:tc>
          <w:tcPr>
            <w:tcW w:w="4000" w:type="dxa"/>
            <w:vAlign w:val="bottom"/>
          </w:tcPr>
          <w:p>
            <w:pPr>
              <w:ind w:left="20"/>
              <w:spacing w:after="0"/>
              <w:rPr>
                <w:sz w:val="20"/>
                <w:szCs w:val="20"/>
                <w:color w:val="auto"/>
              </w:rPr>
            </w:pPr>
            <w:r>
              <w:rPr>
                <w:rFonts w:ascii="Arial" w:cs="Arial" w:eastAsia="Arial" w:hAnsi="Arial"/>
                <w:sz w:val="18"/>
                <w:szCs w:val="18"/>
                <w:color w:val="auto"/>
              </w:rPr>
              <w:t>Regulatory interest, net</w:t>
            </w: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(4 )</w:t>
            </w:r>
          </w:p>
        </w:tc>
        <w:tc>
          <w:tcPr>
            <w:tcW w:w="5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(4 )</w:t>
            </w:r>
          </w:p>
        </w:tc>
        <w:tc>
          <w:tcPr>
            <w:tcW w:w="72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(7 )</w:t>
            </w: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Sundry, net</w:t>
            </w: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7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(1 )</w:t>
            </w:r>
          </w:p>
        </w:tc>
        <w:tc>
          <w:tcPr>
            <w:tcW w:w="5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r>
      <w:tr>
        <w:trPr>
          <w:trHeight w:val="264"/>
        </w:trPr>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(2 )</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FINANCIAL INSTRUMENTS</w:t>
      </w:r>
    </w:p>
    <w:p>
      <w:pPr>
        <w:spacing w:after="0" w:line="24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The company periodically uses commodity derivative instruments and interest-rate swap agreements to moderate its exposure to commodity price changes and interest-rate changes and to lower its overall cost of borrowing.</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Hedges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June 30, 2008 and December 31, 2007, the company, excluding Otay Mesa VIE, had established cash flow interest-rate swaps as hedges for a notional amount of debt totaling $251 million. The swaps expire in 2009. Separately, Otay Mesa VIE de-designated all cash flow interest-rate swap hedges during the three months ended June 30, 2008.</w:t>
      </w:r>
    </w:p>
    <w:p>
      <w:pPr>
        <w:spacing w:after="0" w:line="213"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color w:val="auto"/>
        </w:rPr>
        <w:t>For the three and six months ended June 30, 2008 and 2007, pretax losses arising from the ineffective portion of interest-rate cash flow hedges were a negligible amount, and were recorded in Other Income (Expense), Net on the Statements of Consolidated Income.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Energy and Natural Gas Contracts</w:t>
      </w:r>
    </w:p>
    <w:p>
      <w:pPr>
        <w:spacing w:after="0" w:line="249"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use of derivative instruments is subject to certain limitations imposed by company policy and regulatory requirements. These instruments enable the company to estimate with greater certainty the effective prices to be received by the company and the prices to be charged to its customers. The company records realized gains or losses on derivative instruments associated with transactions for electric energy and natural gas contracts in Cost of Electric Fuel and Purchased Power and Cost of Natural Gas, respectively, on the Statements of Consolidated Income. On the Consolidated Balance Sheets, the company records corresponding regulatory assets and liabilities related to unrealized gains and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340"/>
          </w:cols>
          <w:pgMar w:left="240" w:top="603" w:right="319" w:bottom="1440" w:gutter="0" w:footer="0" w:header="0"/>
        </w:sectPr>
      </w:pPr>
    </w:p>
    <w:bookmarkStart w:id="10" w:name="page11"/>
    <w:bookmarkEnd w:id="10"/>
    <w:p>
      <w:pPr>
        <w:ind w:right="20"/>
        <w:spacing w:after="0" w:line="260" w:lineRule="auto"/>
        <w:rPr>
          <w:sz w:val="20"/>
          <w:szCs w:val="20"/>
          <w:color w:val="auto"/>
        </w:rPr>
      </w:pPr>
      <w:r>
        <w:rPr>
          <w:rFonts w:ascii="Arial" w:cs="Arial" w:eastAsia="Arial" w:hAnsi="Arial"/>
          <w:sz w:val="20"/>
          <w:szCs w:val="20"/>
          <w:color w:val="auto"/>
        </w:rPr>
        <w:t>losses from these derivative instruments to the extent derivative gains and losses associated with these derivative instruments will be payable or recoverable in future rates.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FSP FIN 39-1</w:t>
      </w:r>
    </w:p>
    <w:p>
      <w:pPr>
        <w:spacing w:after="0" w:line="24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company adopted FSP FIN 39-1 effective January 1, 2008, which requires retroactive application. Each Consolidated Balance Sheet herein reflects the offsetting of net derivative positions with fair value amounts for cash collateral with the same counterparty when management believes a legal right of setoff exists. As of June 30, 2008, the company offset fair value cash collateral payables against net derivative positions of $42 million. As of December 31, 2007, the company offset fair value cash collateral receivables against net derivative positions of $9 million. As of June 30, 2008, the fair value of cash collateral was completely offset in the Consolidated Balance Sheet. As of December 31, 2007, the fair value of cash collateral that was not offset in the Consolidated Balance Sheet was $6 million. The fair value of commodity derivative assets and liabilities as of June 30, 2008 and December 31, 2007, determined in accordance with the company's ne tting policy, is presented below.</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Hierarchy</w:t>
      </w:r>
    </w:p>
    <w:p>
      <w:pPr>
        <w:spacing w:after="0" w:line="249"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 xml:space="preserve">The company’s valuation techniques used to measure fair value and the definition of the three levels of the fair value hierarchy, as defined in SFAS 157, </w:t>
      </w:r>
      <w:r>
        <w:rPr>
          <w:rFonts w:ascii="Arial" w:cs="Arial" w:eastAsia="Arial" w:hAnsi="Arial"/>
          <w:sz w:val="20"/>
          <w:szCs w:val="20"/>
          <w:i w:val="1"/>
          <w:iCs w:val="1"/>
          <w:color w:val="auto"/>
        </w:rPr>
        <w:t>Fair Value Measurements</w:t>
      </w:r>
      <w:r>
        <w:rPr>
          <w:rFonts w:ascii="Arial" w:cs="Arial" w:eastAsia="Arial" w:hAnsi="Arial"/>
          <w:sz w:val="20"/>
          <w:szCs w:val="20"/>
          <w:color w:val="auto"/>
        </w:rPr>
        <w:t xml:space="preserve"> (SFAS 157), are discussed in Note 8 of the Notes to Consolidated Financial Statements in the Annual Report.</w:t>
      </w:r>
    </w:p>
    <w:p>
      <w:pPr>
        <w:spacing w:after="0" w:line="213"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The following tables set forth by level within the fair value hierarchy the company's financial assets and liabilities that were accounted for at fair value on a recurring basis as of June 30, 2008 and December 31, 2007. As required by SFAS 157,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00"/>
          </w:cols>
          <w:pgMar w:left="240" w:top="609" w:right="259" w:bottom="1440" w:gutter="0" w:footer="0" w:header="0"/>
        </w:sectPr>
      </w:pPr>
    </w:p>
    <w:bookmarkStart w:id="11" w:name="page12"/>
    <w:bookmarkEnd w:id="11"/>
    <w:tbl>
      <w:tblPr>
        <w:tblLayout w:type="fixed"/>
        <w:tblInd w:w="134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Recurring Fair Value Measures</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1"/>
              </w:rPr>
              <w:t>At fair value as of June 30, 2008</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2</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Commodity derivatives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Nuclear decommissioning trusts*</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Other derivatives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526</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22"/>
                <w:szCs w:val="22"/>
                <w:color w:val="auto"/>
              </w:rPr>
            </w:pPr>
          </w:p>
        </w:tc>
      </w:tr>
      <w:tr>
        <w:trPr>
          <w:trHeight w:val="473"/>
        </w:trPr>
        <w:tc>
          <w:tcPr>
            <w:tcW w:w="2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Commodity derivatives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Other derivatives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2"/>
                <w:szCs w:val="22"/>
                <w:color w:val="auto"/>
              </w:rPr>
            </w:pPr>
          </w:p>
        </w:tc>
      </w:tr>
      <w:tr>
        <w:trPr>
          <w:trHeight w:val="513"/>
        </w:trPr>
        <w:tc>
          <w:tcPr>
            <w:tcW w:w="3820" w:type="dxa"/>
            <w:vAlign w:val="bottom"/>
            <w:gridSpan w:val="2"/>
          </w:tcPr>
          <w:p>
            <w:pPr>
              <w:spacing w:after="0"/>
              <w:rPr>
                <w:sz w:val="20"/>
                <w:szCs w:val="20"/>
                <w:color w:val="auto"/>
              </w:rPr>
            </w:pPr>
            <w:r>
              <w:rPr>
                <w:rFonts w:ascii="Arial" w:cs="Arial" w:eastAsia="Arial" w:hAnsi="Arial"/>
                <w:sz w:val="18"/>
                <w:szCs w:val="18"/>
                <w:color w:val="auto"/>
              </w:rPr>
              <w:t>Recurring Fair Value Measures</w:t>
            </w:r>
          </w:p>
        </w:tc>
        <w:tc>
          <w:tcPr>
            <w:tcW w:w="3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At fair value as of December 31, 2007**</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Level 2</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3</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Total</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Commodity derivatives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43"/>
        </w:trPr>
        <w:tc>
          <w:tcPr>
            <w:tcW w:w="20" w:type="dxa"/>
            <w:vAlign w:val="bottom"/>
          </w:tcPr>
          <w:p>
            <w:pPr>
              <w:spacing w:after="0"/>
              <w:rPr>
                <w:sz w:val="21"/>
                <w:szCs w:val="21"/>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Nuclear decommissioning trusts*</w:t>
            </w:r>
          </w:p>
        </w:tc>
        <w:tc>
          <w:tcPr>
            <w:tcW w:w="3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726</w:t>
            </w:r>
          </w:p>
        </w:tc>
      </w:tr>
      <w:tr>
        <w:trPr>
          <w:trHeight w:val="257"/>
        </w:trPr>
        <w:tc>
          <w:tcPr>
            <w:tcW w:w="20" w:type="dxa"/>
            <w:vAlign w:val="bottom"/>
          </w:tcPr>
          <w:p>
            <w:pPr>
              <w:spacing w:after="0"/>
              <w:rPr>
                <w:sz w:val="22"/>
                <w:szCs w:val="22"/>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Other derivatives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57"/>
        </w:trPr>
        <w:tc>
          <w:tcPr>
            <w:tcW w:w="3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745</w:t>
            </w:r>
          </w:p>
        </w:tc>
      </w:tr>
      <w:tr>
        <w:trPr>
          <w:trHeight w:val="473"/>
        </w:trPr>
        <w:tc>
          <w:tcPr>
            <w:tcW w:w="38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Commodity derivatives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57"/>
        </w:trPr>
        <w:tc>
          <w:tcPr>
            <w:tcW w:w="20" w:type="dxa"/>
            <w:vAlign w:val="bottom"/>
          </w:tcPr>
          <w:p>
            <w:pPr>
              <w:spacing w:after="0"/>
              <w:rPr>
                <w:sz w:val="22"/>
                <w:szCs w:val="22"/>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Other derivatives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57"/>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20"/>
                <w:szCs w:val="20"/>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 Excludes cash balances.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Amounts have been reclassified to reflect the adoption of FSP FIN 39-1.</w:t>
      </w:r>
    </w:p>
    <w:p>
      <w:pPr>
        <w:spacing w:after="0" w:line="26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California Independent System Operator began the process of allocating congestion revenue rights (CRRs) to load serving entities, including SDG&amp;E, in the third quarter of 2007. These instruments are considered derivatives and are recorded at fair value based on discounted cash flows. They are classified as level 3 and reflected in the table above. Changes in the fair value of CRRs are deferred and recorded in regulatory accounts to the extent they are recoverable through rates.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00"/>
          </w:cols>
          <w:pgMar w:left="240" w:top="895"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tables set forth a reconciliation of changes in the fair value of other derivatives classified as level 3 in the fair value hierarchy:</w:t>
      </w:r>
    </w:p>
    <w:p>
      <w:pPr>
        <w:spacing w:after="0" w:line="309" w:lineRule="exact"/>
        <w:rPr>
          <w:sz w:val="20"/>
          <w:szCs w:val="20"/>
          <w:color w:val="auto"/>
        </w:rPr>
      </w:pPr>
    </w:p>
    <w:tbl>
      <w:tblPr>
        <w:tblLayout w:type="fixed"/>
        <w:tblInd w:w="134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w w:val="93"/>
              </w:rPr>
              <w:t>Three months ended June 30,</w:t>
            </w:r>
          </w:p>
        </w:tc>
        <w:tc>
          <w:tcPr>
            <w:tcW w:w="4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2008</w:t>
            </w: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2007</w:t>
            </w:r>
          </w:p>
        </w:tc>
        <w:tc>
          <w:tcPr>
            <w:tcW w:w="40" w:type="dxa"/>
            <w:vAlign w:val="bottom"/>
          </w:tcPr>
          <w:p>
            <w:pPr>
              <w:spacing w:after="0"/>
              <w:rPr>
                <w:sz w:val="20"/>
                <w:szCs w:val="20"/>
                <w:color w:val="auto"/>
              </w:rPr>
            </w:pPr>
          </w:p>
        </w:tc>
      </w:tr>
      <w:tr>
        <w:trPr>
          <w:trHeight w:val="230"/>
        </w:trPr>
        <w:tc>
          <w:tcPr>
            <w:tcW w:w="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Balance as of April 1</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(2 )</w:t>
            </w: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Balance as of June 30</w:t>
            </w:r>
          </w:p>
        </w:tc>
        <w:tc>
          <w:tcPr>
            <w:tcW w:w="4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w:t>
            </w: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r>
      <w:tr>
        <w:trPr>
          <w:trHeight w:val="458"/>
        </w:trPr>
        <w:tc>
          <w:tcPr>
            <w:tcW w:w="4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Change in unrealized gains (losses) relating to instruments still</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3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held as of June 30</w:t>
            </w:r>
          </w:p>
        </w:tc>
        <w:tc>
          <w:tcPr>
            <w:tcW w:w="4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r>
      <w:tr>
        <w:trPr>
          <w:trHeight w:val="507"/>
        </w:trPr>
        <w:tc>
          <w:tcPr>
            <w:tcW w:w="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Six months ended June 30,</w:t>
            </w:r>
          </w:p>
        </w:tc>
        <w:tc>
          <w:tcPr>
            <w:tcW w:w="40" w:type="dxa"/>
            <w:vAlign w:val="bottom"/>
            <w:tcBorders>
              <w:bottom w:val="single" w:sz="8" w:color="auto"/>
            </w:tcBorders>
          </w:tcPr>
          <w:p>
            <w:pPr>
              <w:spacing w:after="0"/>
              <w:rPr>
                <w:sz w:val="24"/>
                <w:szCs w:val="24"/>
                <w:color w:val="auto"/>
              </w:rPr>
            </w:pPr>
          </w:p>
        </w:tc>
      </w:tr>
      <w:tr>
        <w:trPr>
          <w:trHeight w:val="237"/>
        </w:trPr>
        <w:tc>
          <w:tcPr>
            <w:tcW w:w="5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(Dollars in millions)</w:t>
            </w:r>
          </w:p>
        </w:tc>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2008</w:t>
            </w: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2007</w:t>
            </w:r>
          </w:p>
        </w:tc>
        <w:tc>
          <w:tcPr>
            <w:tcW w:w="40" w:type="dxa"/>
            <w:vAlign w:val="bottom"/>
            <w:tcBorders>
              <w:bottom w:val="single" w:sz="8" w:color="auto"/>
            </w:tcBorders>
          </w:tcPr>
          <w:p>
            <w:pPr>
              <w:spacing w:after="0"/>
              <w:rPr>
                <w:sz w:val="20"/>
                <w:szCs w:val="20"/>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Balance as of January 1</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(2 )</w:t>
            </w: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2"/>
                <w:szCs w:val="22"/>
                <w:color w:val="auto"/>
              </w:rPr>
            </w:pPr>
          </w:p>
        </w:tc>
      </w:tr>
      <w:tr>
        <w:trPr>
          <w:trHeight w:val="257"/>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Balance as of June 30</w:t>
            </w:r>
          </w:p>
        </w:tc>
        <w:tc>
          <w:tcPr>
            <w:tcW w:w="40" w:type="dxa"/>
            <w:vAlign w:val="bottom"/>
          </w:tcPr>
          <w:p>
            <w:pPr>
              <w:spacing w:after="0"/>
              <w:rPr>
                <w:sz w:val="22"/>
                <w:szCs w:val="22"/>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2"/>
                <w:szCs w:val="22"/>
                <w:color w:val="auto"/>
              </w:rPr>
            </w:pPr>
          </w:p>
        </w:tc>
      </w:tr>
      <w:tr>
        <w:trPr>
          <w:trHeight w:val="458"/>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Change in unrealized gains (losses) relating to instruments still</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5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held as of June 30</w:t>
            </w:r>
          </w:p>
        </w:tc>
        <w:tc>
          <w:tcPr>
            <w:tcW w:w="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2"/>
                <w:szCs w:val="22"/>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REGULATORY 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Procurement and Resource Planning</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Sunrise Powerlink Electric Transmission Line</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SDG&amp;E has applied to the California Public Utilities Commission (CPUC) for authorization to construct a 500-kilovolt (kV) electric transmission line between the Imperial Valley and the San Diego region that will be able to deliver 1,000 MW (Sunrise Powerlink). The project, as proposed by the company, is projected to cost approximately $1.5 billion, which includes an allowance for funds used during construction related to both debt and equity. The projected cost is subject to change pending the final route, terms, conditions and mitigation requirements stipulated in the CPUC decision.</w:t>
      </w:r>
    </w:p>
    <w:p>
      <w:pPr>
        <w:spacing w:after="0" w:line="222"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On June 20, 2008, the CPUC issued a ruling that delays the release of the final environmental impact report and directs the Independent System Operator (ISO) to perform additional economic analyses of alternatives to the route preferred by SDG&amp;E. Pursuant to the ruling, the CPUC recirculated revised portions of the draft environmental impact report on July 11, 2008, with public comments due on the revisions on August 25, 2008. A final environmental impact report and proposed decision on the project by the CPUC are scheduled for the fourth quarter of 2008, with a final decision scheduled by year-end. Given this timeline, if the project is approved by the CPUC as proposed by the company, the earliest management projects the Sunrise Powerlink would be in commercial operation is in the second half of 2011.</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Renewable Energy</w:t>
      </w:r>
    </w:p>
    <w:p>
      <w:pPr>
        <w:spacing w:after="0" w:line="24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Pursuant to Senate Bill 107, enacted in September 2006, the California Public Utilities Code requires certain California electric retail sellers, including the company, to deliver 20 percent of their 2010 retail demand from renewable energy sources. The rules governing this requirement, administered by both the CPUC and the California Energy Commission, are generally known as the Renewables Portfolio Standard (RPS) Program.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609" w:right="239" w:bottom="1440" w:gutter="0" w:footer="0" w:header="0"/>
        </w:sectPr>
      </w:pPr>
    </w:p>
    <w:bookmarkStart w:id="13" w:name="page14"/>
    <w:bookmarkEnd w:id="13"/>
    <w:p>
      <w:pPr>
        <w:ind w:right="40"/>
        <w:spacing w:after="0" w:line="244" w:lineRule="auto"/>
        <w:rPr>
          <w:sz w:val="20"/>
          <w:szCs w:val="20"/>
          <w:color w:val="auto"/>
        </w:rPr>
      </w:pPr>
      <w:r>
        <w:rPr>
          <w:rFonts w:ascii="Arial" w:cs="Arial" w:eastAsia="Arial" w:hAnsi="Arial"/>
          <w:sz w:val="20"/>
          <w:szCs w:val="20"/>
          <w:color w:val="auto"/>
        </w:rPr>
        <w:t>SDG&amp;E continues to aggressively pursue the acquisition of renewable energy supplies to achieve the RPS Program goals. A substantial portion of these supply contracts, however, are contingent upon many factors, including access to electric transmission infrastructure (including SDG&amp;E's proposed Sunrise Powerlink transmission line), timely regulatory approval of contracted renewable energy projects, the renewable energy project developers' ability to obtain project financing and permitting, and successful development and implementation of the renewable energy technologies.</w:t>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Given the current Sunrise Powerlink regulatory proceeding timeline, as discussed above, the Sunrise Powerlink transmission line, if approved, will not be in operation to provide transmission capability to meet the 2010 RPS Program requirements. Consequently, the company believes that although it may be able to contract for the required renewable energy by 2010, it is unlikely that it will be able to meet the 2010 RPS Program delivered-energy goal. The company's failure to attain the 20-percent goal in 2010, or any subsequent years' goals, could subject it to CPUC-imposed penalties of 5 cents per kilowatt hour of renewable energy under-delivery up to a maximum penalty of $25 million per year. In February 2008, the CPUC issued a decision defining flexible compliance mechanisms that can be used in meeting the RPS Program goals in 2010 and beyond, including clarifying rules within which insufficient transmission is a permissible reason for failing to satisfy the RPS Program goals. While the company believes it will be able to comply with the RPS Program requirements based on its contracting activity and application of the flexible compliance mechanisms, the company is unable to ensure that it will not be penalized or, if penalized, the amount that would be imposed.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Miramar II Peaking Plant</w:t>
      </w:r>
    </w:p>
    <w:p>
      <w:pPr>
        <w:spacing w:after="0" w:line="24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SDG&amp;E filed an application with the CPUC in June 2008 seeking authorization to construct a natural gas-fired peaking plant at Miramar in San Diego (Miramar II), next to an existing SDG&amp;E peaking plant. Miramar II is currently estimated to cost $57 million and will have a capacity of 46.5 MW. SDG&amp;E will own and operate the plant in its entirety. SDG&amp;E is asking for an expedited CPUC decision to be issued by September 2008 so that the plant can be completed by June 2009.</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Solar Photovoltaic Program</w:t>
      </w:r>
    </w:p>
    <w:p>
      <w:pPr>
        <w:spacing w:after="0" w:line="243" w:lineRule="exact"/>
        <w:rPr>
          <w:sz w:val="20"/>
          <w:szCs w:val="20"/>
          <w:color w:val="auto"/>
        </w:rPr>
      </w:pPr>
    </w:p>
    <w:p>
      <w:pPr>
        <w:jc w:val="both"/>
        <w:ind w:right="320"/>
        <w:spacing w:after="0" w:line="269" w:lineRule="auto"/>
        <w:rPr>
          <w:sz w:val="20"/>
          <w:szCs w:val="20"/>
          <w:color w:val="auto"/>
        </w:rPr>
      </w:pPr>
      <w:r>
        <w:rPr>
          <w:rFonts w:ascii="Arial" w:cs="Arial" w:eastAsia="Arial" w:hAnsi="Arial"/>
          <w:sz w:val="19"/>
          <w:szCs w:val="19"/>
          <w:color w:val="auto"/>
        </w:rPr>
        <w:t>In July 2008, SDG&amp;E filed an application with the CPUC proposing to install solar photovoltaic panels in the San Diego area that have the potential of generating 80 MW of power. The program would cost an estimated $250 million. The company expects a CPUC decision in the first half of 2009. If approved in the first half of 2009, the program is expected to be completed in 2012.</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Rate Case (GRC)</w:t>
      </w:r>
    </w:p>
    <w:p>
      <w:pPr>
        <w:spacing w:after="0" w:line="249"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In July 2008, the CPUC issued a final decision in regard to the company’s 2008 general rate case (2008 GRC). The decision adopted the test-year 2008 revenue requirements, effective retroactive to January 1, 2008, and the post-test year revenue requirements that were included in the settlement agreement filed with the CPUC in December 2007. The settlement represents an increase in the annual revenue requirement in 2008 of $138 million as compared to the 2007 revenue requirement and provides average annual increases of approximately $43 million, or three percent, in each of the post-test years' (2009 – 2011) revenue requirements. The decision does not impose a cap on the company’s earnings.</w:t>
      </w:r>
    </w:p>
    <w:p>
      <w:pPr>
        <w:spacing w:after="0" w:line="16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Since the final decision was not issued by June 30, 2008, the company's reported net income for the first six months of 2008 is based on the 2007 authorized revenue requirement as established by the CPUC’s 2004 Cost of Service decision. As the 2008 GRC decision is retroactive, the company will recognize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852"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additional net income for the period January 1 through June 30, 2008 of approximately $36 million in the third quarter of 2008.</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Utility Ratemaking Incentive Awards</w:t>
      </w:r>
    </w:p>
    <w:p>
      <w:pPr>
        <w:spacing w:after="0" w:line="235"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Performance-Based Regulation (PBR) consists of a series of measures of utility performance. Generally, if performance is outside of a band around specified benchmarks, the utility is subject to financial rewards or penalties. The three areas that are eligible for incentive awards or penalties are operational incentives, which measure safety, reliability and customer service; energy efficiency (sometimes referred to as demand-side management, or DSM or EE) awards based on the effectiveness of the energy efficiency programs; and natural gas procurement awards or penalties.</w:t>
      </w:r>
    </w:p>
    <w:p>
      <w:pPr>
        <w:spacing w:after="0" w:line="222"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operational PBR incentives and the associated benchmarks are determined as a component of a general rate case or cost of service decision. The operational PBR incentives to be in effect for fiscal year 2008 through the end of 2011 were established as part of the CPUC's final decision in the 2008 GRC, which adopted modified PBR measures for customer satisfaction, employee safety and electric reliability. The company is currently reviewing the modified PBR measures and plans on filing its response in regard to these measures in early September 2008.</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Incentive awards are not included in the company's earnings until CPUC approval of the award is received.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Operations</w:t>
      </w:r>
    </w:p>
    <w:p>
      <w:pPr>
        <w:spacing w:after="0" w:line="243"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During the second quarter of 2008, the company received CPUC approval for its 2007 Operational PBR incentive award of $10 million (pretax).</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Energy Efficiency</w:t>
      </w: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In January 2008, the CPUC issued a decision modifying the measurement and verification process of this incentive mechanism. The company submitted its initial report on its 2006 and 2007 energy efficiency results, as compared to the company's goals, with the CPUC in the first quarter of 2008. The CPUC is currently reviewing these results and is expected to issue a verification report later this year. Once the report is issued, the company plans to submit its incentive award claims to the CPUC. Settlement discussions have begun with the goal of reaching resolution regarding the 2006-2007 incentive award by year-end.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Procurement</w:t>
      </w:r>
    </w:p>
    <w:p>
      <w:pPr>
        <w:spacing w:after="0" w:line="24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As of April 1, 2008, the SDG&amp;E and SoCalGas core natural gas supply portfolios were combined, and SoCalGas will procure natural gas for SDG&amp;E's requirements in an agency relationship. Accordingly, the company’s PBR for natural gas procurement awards or penalties ended on April 1, 2008, the effective date of the combination of the core natural gas supply portfolios, with SoCalGas' gas cost incentive mechanism being applied on the combined portfolio basis, as discussed in Note 11 of the Notes to Consolidated Financial Statements in the Annual Report. In June 2008, the company filed with the CPUC its PBR report for the eight-month period ended March 31, 2008, seeking approval of a $2.2 million (pretax) incentive award. CPUC approval is expected in the first quarter of 2009.</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Capital</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CPUC issued a decision in May 2008 establishing a uniform, multi-year Cost of Capital Mechanism for SDG&amp;E that will replace its existing cost of capital mechanism. The new mechanism requires a full cost of capital application every third year, with the first full application being filed in April 2010 for test-year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380"/>
          </w:cols>
          <w:pgMar w:left="240" w:top="609" w:right="279" w:bottom="1440" w:gutter="0" w:footer="0" w:header="0"/>
        </w:sectPr>
      </w:pPr>
    </w:p>
    <w:bookmarkStart w:id="15" w:name="page16"/>
    <w:bookmarkEnd w:id="15"/>
    <w:p>
      <w:pPr>
        <w:ind w:right="20"/>
        <w:spacing w:after="0" w:line="246" w:lineRule="auto"/>
        <w:rPr>
          <w:sz w:val="20"/>
          <w:szCs w:val="20"/>
          <w:color w:val="auto"/>
        </w:rPr>
      </w:pPr>
      <w:r>
        <w:rPr>
          <w:rFonts w:ascii="Arial" w:cs="Arial" w:eastAsia="Arial" w:hAnsi="Arial"/>
          <w:sz w:val="20"/>
          <w:szCs w:val="20"/>
          <w:color w:val="auto"/>
        </w:rPr>
        <w:t>2011. Between test years, return on equity would automatically be adjusted if there are significant changes in the bond market, as defined in the mechanism. There is no provision for capital structure recalibration outside of the test year, but an application may be filed should credit ratings change in mid-cycle. The decision also allows a cost of capital application to be filed outside of the mechanism process upon an extraordinary or catastrophic event with material impact.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49"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At June 30, 2008, the company’s reserves for litigation matters were $1 million. In addition, the company has accrued liabilities for settled matters of $44 million, including $37 million for settlements related to certain litigation arising out of the 2000 – 2001 California energy crisis. The uncertainties inherent in complex legal proceedings make it difficult to estimate with reasonable certainty the costs and effects of resolving legal matters. Accordingly, costs ultimately incurred may differ materially from estimated costs and could materially adversely affect the company's business, cash flows,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Continental Forge Settlement</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The litigation that is the subject of the settlements and $37 million of accrued liabilities is frequently referred to as the Continental Forge litigation, although the settlements also include other cases. The terms of these settlements were reported previously. On July 24, 2008, the California Attorney General and the Department of Water Resources (DWR) dismissed their appeal of the final order, and the settlements are expected to become final shortly. The reserves recorded for the settlements by Sempra Energy, including SDG&amp;E, in 2005 fully provide for the present value of both the cash amounts to be paid in the settlements and the price discount to be provided on electricity to be delivered under the DWR contract by Sempra Generation, a business unit of Sempra Energy.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Natural Gas Cases</w:t>
      </w:r>
    </w:p>
    <w:p>
      <w:pPr>
        <w:spacing w:after="0" w:line="243"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In April 2003, Sierra Pacific Resources and its utility subsidiary Nevada Power filed a lawsuit in the U.S. District Court in Nevada against major natural gas suppliers, including Sempra Energy, the Sempra Utilities and Sempra Commodities, a business unit of Sempra Energy, seeking recovery of damages alleged to aggregate in excess of $150 million (before trebling). The lawsuit alleges a conspiracy to manipulate and inflate the prices that Nevada Power had to pay for its natural gas by preventing the construction of natural gas pipelines to serve Nevada and other Western states, and reporting artificially inflated prices to trade publications. The U.S. District Court dismissed the case in November 2004, determining that the Federal Energy Regulatory Commission (FERC) had exclusive jurisdiction to resolve the claims. In September 2007, the U.S. Court of Appeals for the Ninth Circuit (Ninth Circuit Court of Appeals) reversed the dismissal and returned the case to the District Court for further proceedings.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Pending in the U.S. District Court in Nevada are five cases against Sempra Energy, Sempra Commodities, the Sempra Utilities and various other companies, alleging that energy prices were unlawfully manipulated by the reporting of artificially inflated natural gas prices to trade publications and by entering into wash trades and churning transactions, four of which also include conspiracy allegations similar to those made in the Continental Forge litigation. The court dismissed four of these actions in 2005, determining that the FERC had exclusive jurisdiction to resolve the claims. The remaining case, which includes conspiracy allegations, was stayed. In September 2007, the Ninth Circuit Court of Appeals reversed the dismissal and returned the cases to the District Court for further proceedings.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609" w:right="239" w:bottom="1440" w:gutter="0" w:footer="0" w:header="0"/>
        </w:sectPr>
      </w:pPr>
    </w:p>
    <w:bookmarkStart w:id="16" w:name="page17"/>
    <w:bookmarkEnd w:id="16"/>
    <w:p>
      <w:pPr>
        <w:spacing w:after="0"/>
        <w:rPr>
          <w:sz w:val="20"/>
          <w:szCs w:val="20"/>
          <w:color w:val="auto"/>
        </w:rPr>
      </w:pPr>
      <w:r>
        <w:rPr>
          <w:rFonts w:ascii="Arial" w:cs="Arial" w:eastAsia="Arial" w:hAnsi="Arial"/>
          <w:sz w:val="20"/>
          <w:szCs w:val="20"/>
          <w:i w:val="1"/>
          <w:iCs w:val="1"/>
          <w:color w:val="auto"/>
        </w:rPr>
        <w:t>FERC Refund Proceedings</w:t>
      </w:r>
    </w:p>
    <w:p>
      <w:pPr>
        <w:spacing w:after="0" w:line="243"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FERC is investigating prices charged to buyers in the California Power Exchange (PX) and ISO markets by various electric suppliers. In December 2002, a FERC Administrative Law Judge (ALJ) issued preliminary findings indicating that the PX and ISO owe power suppliers $1.2 billion for the October 2, 2000 through June 20, 2001 period (the $3.0 billion that the California PX and ISO still owe energy companies less $1.8 billion that the energy companies charged California customers in excess of the preliminarily determined competitive market clearing prices). In March 2003, the FERC adopted its ALJ's findings, but changed the calculation of the refund by basing it on a different estimate of natural gas prices, which would increase the refund obligations from $1.8 billion to more than $3 billion for the same time period.</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Various parties appealed the FERC's order to the Ninth Circuit Court of Appeals. In August 2006, the Court of Appeals held that the FERC had properly established October 2, 2000 through June 20, 2001 as the refund period and had properly excluded certain bilateral transactions between sellers and the DWR from the refund proceedings. However, the court also held that the FERC erred in excluding certain multi-day transactions from the refund proceedings. Finally, while the court upheld the FERC's decision not to extend the refund proceedings to the summer period (prior to October 2, 2000), it found that the FERC had erred in not considering other remedies, such as disgorgement of profits, for tariff violations that are alleged to have occurred prior to October 2, 2000. The Ninth Circuit Court of Appeals remanded the matter to the FERC for further proceedings. In November 2007, Sempra Commodities and other entities filed requests for rehearing of the Ninth Circuit Court of Appeals’ August 2006 decision.</w:t>
      </w: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In August 2007, the Ninth Circuit Court of Appeals issued a decision reversing and remanding FERC orders declining to provide refunds in a related proceeding regarding short-term bilateral sales up to one month in the Pacific Northwest. The court found that some of the short-term sales between the DWR and various sellers (including Sempra Commodities) that had previously been excluded from the refund proceeding involving sales in the ISO and PX markets in California, were within the scope of the Pacific Northwest refund proceeding. In December 2007, Sempra Commodities and other sellers filed requests for rehearing of the Ninth Circuit Court of Appeals’ August 2007 decision. It is possible that on remand, the FERC could order refunds for short-term sales to the DWR in the Pacific Northwest refund proceeding.</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Litigation</w:t>
      </w: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October 2007, San Diego County experienced catastrophic wildfires. The causes of many of these fires remain under investigation, including the possible role of SDG&amp;E power lines affected by unusually high winds. In July 2008, the California Department of Forestry and Fire Protection (Cal Fire) issued investigation reports stating that the Witch and Rice fires were each a "power line caused fire" and that the Guejito fire occurred when a wire securing a large communication company's fiber optic cable came into contact with an energized power line "causing an arc and starting the fire." The reports indicate that the Witch and Guejito fires merged and eventually burned approximately 198,000 acres, resulted in two fatalities, injured approximately 45 firefighters and destroyed approximately 1,141 homes. Cal Fire is still investigating the perimeters of these two fires to determine the damages associated with each fire. Cal Fire st ated that the Rice fire burned approximately 9,500 acres and damaged 206 homes and two commercial properties. The CPUC’s Consumer Protection and Safety Division is also expected to issue a report in the third quarter of 2008. Numerous lawsuits, four of which seek to be designated as class actions, have been filed against SDG&amp;E in San Diego County Superior Court seeking unspecified amounts for damages relating to the fires. Several of the lawsuits also name Sempra Energy as a defendant. The lawsuits allege inverse condemnation, negligence and other causes of action, and assert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00"/>
          </w:cols>
          <w:pgMar w:left="240" w:top="852" w:right="259" w:bottom="1440" w:gutter="0" w:footer="0" w:header="0"/>
        </w:sectPr>
      </w:pPr>
    </w:p>
    <w:bookmarkStart w:id="17" w:name="page18"/>
    <w:bookmarkEnd w:id="17"/>
    <w:p>
      <w:pPr>
        <w:jc w:val="both"/>
        <w:spacing w:after="0" w:line="250" w:lineRule="auto"/>
        <w:rPr>
          <w:sz w:val="20"/>
          <w:szCs w:val="20"/>
          <w:color w:val="auto"/>
        </w:rPr>
      </w:pPr>
      <w:r>
        <w:rPr>
          <w:rFonts w:ascii="Arial" w:cs="Arial" w:eastAsia="Arial" w:hAnsi="Arial"/>
          <w:sz w:val="20"/>
          <w:szCs w:val="20"/>
          <w:color w:val="auto"/>
        </w:rPr>
        <w:t>that SDG&amp;E improperly designed and maintained its power lines and failed to adequately clear adjacent vegetation. A lawsuit filed by the City of San Diego seeks to recover for property damage, workers' compensation benefits for its employees, and fire suppression costs. The company has approximately $1 billion in liability insurance and has notified its insurers of the lawsuits.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Insurance</w:t>
      </w:r>
    </w:p>
    <w:p>
      <w:pPr>
        <w:spacing w:after="0" w:line="24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SDG&amp;E and the other owners of the San Onofre Nuclear Generating Station (SONGS) have insurance to respond to nuclear liability claims related to SONGS. The insurance provides coverage of $300 million, the maximum amount available, and includes coverage for acts of terrorism. In addition, the Price-Anderson Act provides for up to $10.5 billion of secondary financial protection. Should any of the licensed/commercial reactors in the United States experience a nuclear liability loss that exceeds the $300 million insurance limit, all utilities owning nuclear reactors could be assessed to provide the secondary financial protection. SDG&amp;E's total share would be up to $40 million, subject to an annual maximum assessment of $6 million, unless a default were to occur by any other SONGS owner. In the event the secondary financial protection limit were insufficient to cover the liability loss, SDG&amp;E could be subject to an additional assessment.</w:t>
      </w:r>
    </w:p>
    <w:p>
      <w:pPr>
        <w:spacing w:after="0" w:line="19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SDG&amp;E and the other owners of SONGS have $2.75 billion of nuclear property, decontamination and debris removal insurance and up to $490 million for outage expenses and replacement power costs incurred because of accidental property damage. This coverage is limited to $3.5 million per week for the first 52 weeks and $2.8 million per week for up to 110 additional weeks, after a waiting period of 12 weeks. The insurance is provided through a mutual insurance company, through which insured members are subject to retrospective premium assessments (up to $8.5 million in SDG&amp;E's case).</w:t>
      </w:r>
    </w:p>
    <w:p>
      <w:pPr>
        <w:spacing w:after="0" w:line="22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nuclear property insurance program, subscribed to by members of the nuclear power generating industry, includes an industry aggregate loss limit for non-certified acts of terrorism (as defined by the Terrorism Risk Insurance Act). The industry aggregate loss limit for property claims arising from non-certified acts of terrorism is $3.24 billion. This limit is the maximum amount to be paid to members who sustain losses or damages from these non-certified terrorist acts.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380"/>
          </w:cols>
          <w:pgMar w:left="240" w:top="609" w:right="27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ITEM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the financial statements contained in this Form 10-Q and "Management's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Discussion and Analysis of Financial Condition and Results of Operations" and "Risk Factors" contained in the company's 2007</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Annual Report on Form 10-K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 and Cost of Sales</w:t>
      </w:r>
    </w:p>
    <w:p>
      <w:pPr>
        <w:spacing w:after="0" w:line="24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Electric revenues increased for the three months and six months ended June 30, 2008 compared to the corresponding periods in 2007 primarily due to higher cost of electric fuel and purchased power and higher volumes. During the three months and six months ended June 30, 2008, natural gas revenues and the cost of natural gas increased compared to the corresponding periods in 2007, primarily as a result of higher natural gas prices and volumes.</w:t>
      </w:r>
    </w:p>
    <w:p>
      <w:pPr>
        <w:spacing w:after="0" w:line="21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As a final decision in the 2008 General Rate Case (GRC) was not issued by the California Public Utilities Commission (CPUC) by June 30, 2008, revenues for the first six months of 2008 associated with CPUC-regulated operations were consistent with the 2007 CPUC-authorized revenue established by the 2004 Cost of Service decision. Further discussion is provided in Note 5 of the Notes to Condensed Consolidated Financial Statements herein.</w:t>
      </w:r>
    </w:p>
    <w:p>
      <w:pPr>
        <w:spacing w:after="0" w:line="219"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Although the current regulatory framework provides that the cost of natural gas purchased for core customers be passed through to the customers on a substantially concurrent basis, SDG&amp;E's natural gas procurement Performance-Based Regulation (PBR) mechanism, which was in effect through March 31, 2008, allowed the company to share in the savings or costs from buying natural gas for its customers below or above market-based monthly benchmarks. The mechanism permitted full recovery of commodity procurement costs within a tolerance band around the benchmark price. The costs or savings outside the tolerance band are shared between customers and shareholders. Further discussion is provided in Notes 1 and 11 of the Notes to Consolidated Financial Statements in the Annual Report.</w:t>
      </w:r>
    </w:p>
    <w:p>
      <w:pPr>
        <w:spacing w:after="0" w:line="220"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tables below summarize the electric and natural gas volumes and revenues by customer class for the six-month periods ended June 30.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780"/>
          </w:cols>
          <w:pgMar w:left="240" w:top="603" w:right="879" w:bottom="1440" w:gutter="0" w:footer="0" w:header="0"/>
        </w:sectPr>
      </w:pPr>
    </w:p>
    <w:bookmarkStart w:id="19" w:name="page20"/>
    <w:bookmarkEnd w:id="19"/>
    <w:p>
      <w:pPr>
        <w:spacing w:after="0"/>
        <w:rPr>
          <w:sz w:val="20"/>
          <w:szCs w:val="20"/>
          <w:color w:val="auto"/>
        </w:rPr>
      </w:pPr>
      <w:r>
        <w:rPr>
          <w:rFonts w:ascii="Arial" w:cs="Arial" w:eastAsia="Arial" w:hAnsi="Arial"/>
          <w:sz w:val="20"/>
          <w:szCs w:val="20"/>
          <w:color w:val="auto"/>
        </w:rPr>
        <w:t>Electric Distribution and Transmission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millions of kilowatt-hours, dollars in millions)</w:t>
      </w:r>
    </w:p>
    <w:p>
      <w:pPr>
        <w:spacing w:after="0" w:line="270" w:lineRule="exact"/>
        <w:rPr>
          <w:sz w:val="20"/>
          <w:szCs w:val="20"/>
          <w:color w:val="auto"/>
        </w:rPr>
      </w:pPr>
    </w:p>
    <w:tbl>
      <w:tblPr>
        <w:tblLayout w:type="fixed"/>
        <w:tblInd w:w="146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2008</w:t>
            </w: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2007</w:t>
            </w:r>
          </w:p>
        </w:tc>
        <w:tc>
          <w:tcPr>
            <w:tcW w:w="800" w:type="dxa"/>
            <w:vAlign w:val="bottom"/>
            <w:tcBorders>
              <w:bottom w:val="single" w:sz="8" w:color="auto"/>
            </w:tcBorders>
          </w:tcPr>
          <w:p>
            <w:pPr>
              <w:spacing w:after="0"/>
              <w:rPr>
                <w:sz w:val="20"/>
                <w:szCs w:val="20"/>
                <w:color w:val="auto"/>
              </w:rPr>
            </w:pPr>
          </w:p>
        </w:tc>
      </w:tr>
      <w:tr>
        <w:trPr>
          <w:trHeight w:val="237"/>
        </w:trPr>
        <w:tc>
          <w:tcPr>
            <w:tcW w:w="3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Volumes</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5"/>
              </w:rPr>
              <w:t>Revenue</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Volumes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Revenue</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Residential</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3,715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415</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3,592</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461</w:t>
            </w:r>
          </w:p>
        </w:tc>
      </w:tr>
      <w:tr>
        <w:trPr>
          <w:trHeight w:val="242"/>
        </w:trPr>
        <w:tc>
          <w:tcPr>
            <w:tcW w:w="3340" w:type="dxa"/>
            <w:vAlign w:val="bottom"/>
          </w:tcPr>
          <w:p>
            <w:pPr>
              <w:spacing w:after="0"/>
              <w:rPr>
                <w:sz w:val="20"/>
                <w:szCs w:val="20"/>
                <w:color w:val="auto"/>
              </w:rPr>
            </w:pPr>
            <w:r>
              <w:rPr>
                <w:rFonts w:ascii="Arial" w:cs="Arial" w:eastAsia="Arial" w:hAnsi="Arial"/>
                <w:sz w:val="18"/>
                <w:szCs w:val="18"/>
                <w:color w:val="auto"/>
              </w:rPr>
              <w:t>Commercial</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3,416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353</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3,353</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396</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Industrial</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1,120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87</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1,068</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106</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Direct access</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1,494</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54</w:t>
            </w:r>
          </w:p>
        </w:tc>
      </w:tr>
      <w:tr>
        <w:trPr>
          <w:trHeight w:val="257"/>
        </w:trPr>
        <w:tc>
          <w:tcPr>
            <w:tcW w:w="3340" w:type="dxa"/>
            <w:vAlign w:val="bottom"/>
          </w:tcPr>
          <w:p>
            <w:pPr>
              <w:spacing w:after="0"/>
              <w:rPr>
                <w:sz w:val="20"/>
                <w:szCs w:val="20"/>
                <w:color w:val="auto"/>
              </w:rPr>
            </w:pPr>
            <w:r>
              <w:rPr>
                <w:rFonts w:ascii="Arial" w:cs="Arial" w:eastAsia="Arial" w:hAnsi="Arial"/>
                <w:sz w:val="18"/>
                <w:szCs w:val="18"/>
                <w:color w:val="auto"/>
              </w:rPr>
              <w:t>Street and highway lighting</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r>
      <w:tr>
        <w:trPr>
          <w:trHeight w:val="224"/>
        </w:trPr>
        <w:tc>
          <w:tcPr>
            <w:tcW w:w="33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9,817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907</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9,559</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1,023</w:t>
            </w:r>
          </w:p>
        </w:tc>
      </w:tr>
      <w:tr>
        <w:trPr>
          <w:trHeight w:val="256"/>
        </w:trPr>
        <w:tc>
          <w:tcPr>
            <w:tcW w:w="3340" w:type="dxa"/>
            <w:vAlign w:val="bottom"/>
          </w:tcPr>
          <w:p>
            <w:pPr>
              <w:spacing w:after="0"/>
              <w:rPr>
                <w:sz w:val="20"/>
                <w:szCs w:val="20"/>
                <w:color w:val="auto"/>
              </w:rPr>
            </w:pPr>
            <w:r>
              <w:rPr>
                <w:rFonts w:ascii="Arial" w:cs="Arial" w:eastAsia="Arial" w:hAnsi="Arial"/>
                <w:sz w:val="18"/>
                <w:szCs w:val="18"/>
                <w:color w:val="auto"/>
              </w:rPr>
              <w:t>Balancing accounts and other</w:t>
            </w: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177</w:t>
            </w: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5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1,084</w:t>
            </w: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988</w:t>
            </w:r>
          </w:p>
        </w:tc>
      </w:tr>
    </w:tbl>
    <w:p>
      <w:pPr>
        <w:spacing w:after="0" w:line="226"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Although commodity costs associated with long-term contracts allocated to SDG&amp;E from the California Department of Water Resources (and the revenues to recover those costs) are not included in the Statements of Consolidated Income, the associated volumes and distribution revenues are included in the above table.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Natural Gas Sales, Transportation and Exchange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billion cubic feet, dollars in millions)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&lt; /TR&gt; &lt; /TR&gt;</w:t>
      </w:r>
    </w:p>
    <w:p>
      <w:pPr>
        <w:spacing w:after="0" w:line="38"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Transportation and</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3040" w:type="dxa"/>
            <w:vAlign w:val="bottom"/>
          </w:tcPr>
          <w:p>
            <w:pPr>
              <w:spacing w:after="0"/>
              <w:rPr>
                <w:sz w:val="20"/>
                <w:szCs w:val="20"/>
                <w:color w:val="auto"/>
              </w:rPr>
            </w:pPr>
          </w:p>
        </w:tc>
        <w:tc>
          <w:tcPr>
            <w:tcW w:w="21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Natural Gas Sales</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7"/>
              </w:rPr>
              <w:t>Exchange</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Total</w:t>
            </w:r>
          </w:p>
        </w:tc>
      </w:tr>
      <w:tr>
        <w:trPr>
          <w:trHeight w:val="237"/>
        </w:trPr>
        <w:tc>
          <w:tcPr>
            <w:tcW w:w="30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Volumes</w:t>
            </w:r>
          </w:p>
        </w:tc>
        <w:tc>
          <w:tcPr>
            <w:tcW w:w="12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Revenue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Volumes</w:t>
            </w:r>
          </w:p>
        </w:tc>
        <w:tc>
          <w:tcPr>
            <w:tcW w:w="14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Revenue</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Volumes</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5"/>
              </w:rPr>
              <w:t>Revenue</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2008:</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2"/>
        </w:trPr>
        <w:tc>
          <w:tcPr>
            <w:tcW w:w="3040" w:type="dxa"/>
            <w:vAlign w:val="bottom"/>
          </w:tcPr>
          <w:p>
            <w:pPr>
              <w:ind w:left="140"/>
              <w:spacing w:after="0"/>
              <w:rPr>
                <w:sz w:val="20"/>
                <w:szCs w:val="20"/>
                <w:color w:val="auto"/>
              </w:rPr>
            </w:pPr>
            <w:r>
              <w:rPr>
                <w:rFonts w:ascii="Arial" w:cs="Arial" w:eastAsia="Arial" w:hAnsi="Arial"/>
                <w:sz w:val="18"/>
                <w:szCs w:val="18"/>
                <w:color w:val="auto"/>
              </w:rPr>
              <w:t>Residential</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285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285</w:t>
            </w:r>
          </w:p>
        </w:tc>
      </w:tr>
      <w:tr>
        <w:trPr>
          <w:trHeight w:val="243"/>
        </w:trPr>
        <w:tc>
          <w:tcPr>
            <w:tcW w:w="304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60" w:type="dxa"/>
            <w:vAlign w:val="bottom"/>
          </w:tcPr>
          <w:p>
            <w:pPr>
              <w:spacing w:after="0"/>
              <w:rPr>
                <w:sz w:val="21"/>
                <w:szCs w:val="21"/>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109</w:t>
            </w:r>
          </w:p>
        </w:tc>
      </w:tr>
      <w:tr>
        <w:trPr>
          <w:trHeight w:val="250"/>
        </w:trPr>
        <w:tc>
          <w:tcPr>
            <w:tcW w:w="3040" w:type="dxa"/>
            <w:vAlign w:val="bottom"/>
          </w:tcPr>
          <w:p>
            <w:pPr>
              <w:ind w:left="140"/>
              <w:spacing w:after="0"/>
              <w:rPr>
                <w:sz w:val="20"/>
                <w:szCs w:val="20"/>
                <w:color w:val="auto"/>
              </w:rPr>
            </w:pPr>
            <w:r>
              <w:rPr>
                <w:rFonts w:ascii="Arial" w:cs="Arial" w:eastAsia="Arial" w:hAnsi="Arial"/>
                <w:sz w:val="18"/>
                <w:szCs w:val="18"/>
                <w:color w:val="auto"/>
              </w:rPr>
              <w:t>Electric generation plants</w:t>
            </w: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0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12</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w:t>
            </w:r>
          </w:p>
        </w:tc>
      </w:tr>
      <w:tr>
        <w:trPr>
          <w:trHeight w:val="230"/>
        </w:trPr>
        <w:tc>
          <w:tcPr>
            <w:tcW w:w="30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389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17</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406</w:t>
            </w:r>
          </w:p>
        </w:tc>
      </w:tr>
      <w:tr>
        <w:trPr>
          <w:trHeight w:val="256"/>
        </w:trPr>
        <w:tc>
          <w:tcPr>
            <w:tcW w:w="3040" w:type="dxa"/>
            <w:vAlign w:val="bottom"/>
          </w:tcPr>
          <w:p>
            <w:pPr>
              <w:ind w:left="140"/>
              <w:spacing w:after="0"/>
              <w:rPr>
                <w:sz w:val="20"/>
                <w:szCs w:val="20"/>
                <w:color w:val="auto"/>
              </w:rPr>
            </w:pPr>
            <w:r>
              <w:rPr>
                <w:rFonts w:ascii="Arial" w:cs="Arial" w:eastAsia="Arial" w:hAnsi="Arial"/>
                <w:sz w:val="18"/>
                <w:szCs w:val="18"/>
                <w:color w:val="auto"/>
              </w:rPr>
              <w:t>Balancing accounts and other</w:t>
            </w:r>
          </w:p>
        </w:tc>
        <w:tc>
          <w:tcPr>
            <w:tcW w:w="9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w:t>
            </w:r>
          </w:p>
        </w:tc>
      </w:tr>
      <w:tr>
        <w:trPr>
          <w:trHeight w:val="257"/>
        </w:trPr>
        <w:tc>
          <w:tcPr>
            <w:tcW w:w="3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416</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2007:</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2"/>
        </w:trPr>
        <w:tc>
          <w:tcPr>
            <w:tcW w:w="3040" w:type="dxa"/>
            <w:vAlign w:val="bottom"/>
          </w:tcPr>
          <w:p>
            <w:pPr>
              <w:ind w:left="140"/>
              <w:spacing w:after="0"/>
              <w:rPr>
                <w:sz w:val="20"/>
                <w:szCs w:val="20"/>
                <w:color w:val="auto"/>
              </w:rPr>
            </w:pPr>
            <w:r>
              <w:rPr>
                <w:rFonts w:ascii="Arial" w:cs="Arial" w:eastAsia="Arial" w:hAnsi="Arial"/>
                <w:sz w:val="18"/>
                <w:szCs w:val="18"/>
                <w:color w:val="auto"/>
              </w:rPr>
              <w:t>Residential</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263</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263</w:t>
            </w:r>
          </w:p>
        </w:tc>
      </w:tr>
      <w:tr>
        <w:trPr>
          <w:trHeight w:val="243"/>
        </w:trPr>
        <w:tc>
          <w:tcPr>
            <w:tcW w:w="304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96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60" w:type="dxa"/>
            <w:vAlign w:val="bottom"/>
          </w:tcPr>
          <w:p>
            <w:pPr>
              <w:spacing w:after="0"/>
              <w:rPr>
                <w:sz w:val="21"/>
                <w:szCs w:val="21"/>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100</w:t>
            </w:r>
          </w:p>
        </w:tc>
      </w:tr>
      <w:tr>
        <w:trPr>
          <w:trHeight w:val="250"/>
        </w:trPr>
        <w:tc>
          <w:tcPr>
            <w:tcW w:w="3040" w:type="dxa"/>
            <w:vAlign w:val="bottom"/>
          </w:tcPr>
          <w:p>
            <w:pPr>
              <w:ind w:left="140"/>
              <w:spacing w:after="0"/>
              <w:rPr>
                <w:sz w:val="20"/>
                <w:szCs w:val="20"/>
                <w:color w:val="auto"/>
              </w:rPr>
            </w:pPr>
            <w:r>
              <w:rPr>
                <w:rFonts w:ascii="Arial" w:cs="Arial" w:eastAsia="Arial" w:hAnsi="Arial"/>
                <w:sz w:val="18"/>
                <w:szCs w:val="18"/>
                <w:color w:val="auto"/>
              </w:rPr>
              <w:t>Electric generation plants</w:t>
            </w: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18</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w:t>
            </w:r>
          </w:p>
        </w:tc>
      </w:tr>
      <w:tr>
        <w:trPr>
          <w:trHeight w:val="230"/>
        </w:trPr>
        <w:tc>
          <w:tcPr>
            <w:tcW w:w="30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360</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22</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382</w:t>
            </w:r>
          </w:p>
        </w:tc>
      </w:tr>
      <w:tr>
        <w:trPr>
          <w:trHeight w:val="256"/>
        </w:trPr>
        <w:tc>
          <w:tcPr>
            <w:tcW w:w="3040" w:type="dxa"/>
            <w:vAlign w:val="bottom"/>
          </w:tcPr>
          <w:p>
            <w:pPr>
              <w:ind w:left="140"/>
              <w:spacing w:after="0"/>
              <w:rPr>
                <w:sz w:val="20"/>
                <w:szCs w:val="20"/>
                <w:color w:val="auto"/>
              </w:rPr>
            </w:pPr>
            <w:r>
              <w:rPr>
                <w:rFonts w:ascii="Arial" w:cs="Arial" w:eastAsia="Arial" w:hAnsi="Arial"/>
                <w:sz w:val="18"/>
                <w:szCs w:val="18"/>
                <w:color w:val="auto"/>
              </w:rPr>
              <w:t>Balancing accounts and other</w:t>
            </w:r>
          </w:p>
        </w:tc>
        <w:tc>
          <w:tcPr>
            <w:tcW w:w="9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(2 )</w:t>
            </w:r>
          </w:p>
        </w:tc>
      </w:tr>
      <w:tr>
        <w:trPr>
          <w:trHeight w:val="257"/>
        </w:trPr>
        <w:tc>
          <w:tcPr>
            <w:tcW w:w="3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43"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Income tax expense was $67 million and $73 million for the six months ended June 30, 2008 and 2007, respectively, and the effective income tax rates were 33 percent and 39 percent, respectively. Income tax expense was $35 million for both the three months ended June 30, 2008 and 2007, and the effective income tax rates were 36 percent and 40 percent, respectively.</w:t>
      </w:r>
    </w:p>
    <w:p>
      <w:pPr>
        <w:spacing w:after="0" w:line="17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decrease in income tax expense for the six months ended June 30, 2008 was due primarily to the favorable resolution of prior years' income tax issues in 2008. The decrease in the effective income tax rate in the three months ended June 30, 2008 was due to increased tax deductions for internally developed software and for removal costs.</w:t>
      </w:r>
    </w:p>
    <w:p>
      <w:pPr>
        <w:sectPr>
          <w:pgSz w:w="11900" w:h="16838" w:orient="portrait"/>
          <w:cols w:equalWidth="0" w:num="1">
            <w:col w:w="10780"/>
          </w:cols>
          <w:pgMar w:left="240" w:top="60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780"/>
          </w:cols>
          <w:pgMar w:left="240" w:top="609" w:right="8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i w:val="1"/>
          <w:iCs w:val="1"/>
          <w:color w:val="auto"/>
        </w:rPr>
        <w:t>Net Income</w:t>
      </w:r>
    </w:p>
    <w:p>
      <w:pPr>
        <w:spacing w:after="0" w:line="243" w:lineRule="exact"/>
        <w:rPr>
          <w:sz w:val="20"/>
          <w:szCs w:val="20"/>
          <w:color w:val="auto"/>
        </w:rPr>
      </w:pPr>
    </w:p>
    <w:p>
      <w:pPr>
        <w:ind w:right="740"/>
        <w:spacing w:after="0" w:line="260" w:lineRule="auto"/>
        <w:rPr>
          <w:sz w:val="20"/>
          <w:szCs w:val="20"/>
          <w:color w:val="auto"/>
        </w:rPr>
      </w:pPr>
      <w:r>
        <w:rPr>
          <w:rFonts w:ascii="Arial" w:cs="Arial" w:eastAsia="Arial" w:hAnsi="Arial"/>
          <w:sz w:val="19"/>
          <w:szCs w:val="19"/>
          <w:color w:val="auto"/>
        </w:rPr>
        <w:t>Net income for SDG&amp;E increased by $22 million (19%) in the six months ended June 30, 2008 to $137 million, and by $10 million (19%) in the three months ended June 30, 2008 to $62 million. The increase in the six months ended June 30, 2008 was primarily attributable to $12 million due to a lower effective income tax rate, $5 million higher regulatory awards and $2 million higher electric transmission margin. The lower effective income tax rate was primarily due to $7 million from the favorable resolution of prior years' income tax issues in 2008 compared to $2 million unfavorable in 2007.</w:t>
      </w:r>
    </w:p>
    <w:p>
      <w:pPr>
        <w:spacing w:after="0" w:line="208" w:lineRule="exact"/>
        <w:rPr>
          <w:sz w:val="20"/>
          <w:szCs w:val="20"/>
          <w:color w:val="auto"/>
        </w:rPr>
      </w:pPr>
    </w:p>
    <w:p>
      <w:pPr>
        <w:ind w:right="760"/>
        <w:spacing w:after="0" w:line="260" w:lineRule="auto"/>
        <w:rPr>
          <w:sz w:val="20"/>
          <w:szCs w:val="20"/>
          <w:color w:val="auto"/>
        </w:rPr>
      </w:pPr>
      <w:r>
        <w:rPr>
          <w:rFonts w:ascii="Arial" w:cs="Arial" w:eastAsia="Arial" w:hAnsi="Arial"/>
          <w:sz w:val="20"/>
          <w:szCs w:val="20"/>
          <w:color w:val="auto"/>
        </w:rPr>
        <w:t>The increase in the three months ended June 30, 2008 was due to $5 million higher regulatory awards and $4 million due to the lower effective income tax rate.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company’s utility operations generally are the major source of liquidity. In addition, cash requirements may be met through the issuance of short-term and long-term debt. Cash requirements primarily consist of capital expenditures for utility plant.</w:t>
      </w:r>
    </w:p>
    <w:p>
      <w:pPr>
        <w:spacing w:after="0" w:line="204"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At June 30, 2008, the company had $44 million in unrestricted cash and cash equivalents, and $500 million in available unused credit on its committed line, which is shared with SoCalGas and is discussed more fully in Note 3 of the Notes to Consolidated Financial Statements in the Annual Report. Management believes that these amounts and cash flows from operations and security issuances will be adequate to finance capital expenditures and meet liquidity requirements and other commitments. Management continues to regularly monitor the company’s ability to finance the needs of its operating, investing and financing activities in a manner consistent with its intention to maintain strong, investment-quality credit ratings.</w:t>
      </w:r>
    </w:p>
    <w:p>
      <w:pPr>
        <w:spacing w:after="0" w:line="224"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As a result of the company's projected capital expenditure program, SDG&amp;E has elected to suspend the payment of dividends on its common stock to Sempra Energy, and the level of future common dividends may be affected in order to maintain SDG&amp;E's authorized capital structure during periods of increased capital expenditures.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43"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Net cash provided by operating activities increased by $36 million (9%) to $421 million for 2008. The change was primarily due to a $64 million increase in net income, adjusted for noncash items, a $17 million net tax refund in 2008 compared to a net tax payment of $43 million in 2007 and a $51 million decrease in inventory in 2008 compared to an $8 million increase in 2007, offset by a $14 million decrease in overcollected regulatory balancing accounts in 2008 compared to a $140 million increase in 2007.</w:t>
      </w:r>
    </w:p>
    <w:p>
      <w:pPr>
        <w:spacing w:after="0" w:line="204" w:lineRule="exact"/>
        <w:rPr>
          <w:sz w:val="20"/>
          <w:szCs w:val="20"/>
          <w:color w:val="auto"/>
        </w:rPr>
      </w:pPr>
    </w:p>
    <w:p>
      <w:pPr>
        <w:ind w:right="860"/>
        <w:spacing w:after="0" w:line="260" w:lineRule="auto"/>
        <w:rPr>
          <w:sz w:val="20"/>
          <w:szCs w:val="20"/>
          <w:color w:val="auto"/>
        </w:rPr>
      </w:pPr>
      <w:r>
        <w:rPr>
          <w:rFonts w:ascii="Arial" w:cs="Arial" w:eastAsia="Arial" w:hAnsi="Arial"/>
          <w:sz w:val="20"/>
          <w:szCs w:val="20"/>
          <w:color w:val="auto"/>
        </w:rPr>
        <w:t>For the six months ended June 30, 2008, the company made contributions of $8 million and $5 million to the pension plan and other postretirement benefit plans, respectively.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340"/>
          </w:cols>
          <w:pgMar w:left="240" w:top="609" w:right="319" w:bottom="1440" w:gutter="0" w:footer="0" w:header="0"/>
        </w:sectPr>
      </w:pPr>
    </w:p>
    <w:bookmarkStart w:id="21" w:name="page22"/>
    <w:bookmarkEnd w:id="21"/>
    <w:p>
      <w:pPr>
        <w:spacing w:after="0"/>
        <w:rPr>
          <w:sz w:val="20"/>
          <w:szCs w:val="20"/>
          <w:color w:val="auto"/>
        </w:rPr>
      </w:pPr>
      <w:r>
        <w:rPr>
          <w:rFonts w:ascii="Arial" w:cs="Arial" w:eastAsia="Arial" w:hAnsi="Arial"/>
          <w:sz w:val="20"/>
          <w:szCs w:val="20"/>
          <w:color w:val="auto"/>
        </w:rPr>
        <w:t>CASH FLOWS FROM INVESTING ACTIVITIES</w:t>
      </w:r>
    </w:p>
    <w:p>
      <w:pPr>
        <w:spacing w:after="0" w:line="243"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Net cash used in investing activities increased by $310 million (103%) to $611 million for 2008. The increase was primarily due to the net purchase of $161 million of industrial development bonds and a $123 million increase in capital expenditures.</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Significant capital expenditures in 2008 are expected to include $700 million for additions to the company's natural gas and electric distribution and electric transmission and generation systems, and advanced metering infrastructure. These expenditures are expected to be financed by cash flows from operations and security issuances. These amounts exclude capital expenditures of Otay Mesa VIE as discussed in Note 3 of the Notes to Condensed Consolidated Financial Statements herein.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4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Net cash provided by (used in) financing activities totaled $76 million for 2008 and $(80) million for 2007. The 2008 change was primarily due to $84 million in issuances of long-term debt in 2008 by Otay Mesa VIE. The 2007 change was primarily due to a decrease in short-term debt of $42 million and $33 million in long-term debt payments. Also, in 2008, Otay Mesa VIE received a capital contribution of $9 million from its parent company.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COMMITMENTS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At June 30, 2008, there were no significant changes to the commitments that were disclosed in the Annual Report, except for a decrease of</w:t>
      </w:r>
    </w:p>
    <w:p>
      <w:pPr>
        <w:spacing w:after="0" w:line="39"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$190 million related to the transfer of SDG&amp;E’s natural gas supply portfolio to SoCalGas as part of the Omnibus Gas Settlements discussed in Note 11 of the Notes to Consolidated Financial Statements in the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INFLUENCING FUTURE PERFORMANCE</w:t>
      </w:r>
    </w:p>
    <w:p>
      <w:pPr>
        <w:spacing w:after="0" w:line="249"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Performance of the company will depend primarily on the ratemaking and regulatory process, electric and natural gas industry restructuring, and the changing energy marketplace. Performance will also depend on the successful completion of capital projects that are discussed in various places in this report and in the Annual Report. As the 2008 GRC provides for fixed annual increases rather than for adjustments based on inflation indices as in the past, performance will depend on the company's ability to manage or recover in rates the effects of rising costs. Additional information is provided in Note 5 of the Notes to Condensed Consolidated Financial Statements herein and in Notes 10 and 11 of the Notes to Consolidated Financial Statements in the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249"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Note 6 of the Notes to Condensed Consolidated Financial Statements herein and Note 12 of the Notes to Consolidated Financial Statements in the Annual Report describe litigation, the ultimate resolution of which could have a material adverse effect on future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Developments</w:t>
      </w:r>
    </w:p>
    <w:p>
      <w:pPr>
        <w:spacing w:after="0" w:line="249" w:lineRule="exact"/>
        <w:rPr>
          <w:sz w:val="20"/>
          <w:szCs w:val="20"/>
          <w:color w:val="auto"/>
        </w:rPr>
      </w:pPr>
    </w:p>
    <w:p>
      <w:pPr>
        <w:jc w:val="both"/>
        <w:ind w:right="560"/>
        <w:spacing w:after="0" w:line="386" w:lineRule="auto"/>
        <w:rPr>
          <w:sz w:val="20"/>
          <w:szCs w:val="20"/>
          <w:color w:val="auto"/>
        </w:rPr>
      </w:pPr>
      <w:r>
        <w:rPr>
          <w:rFonts w:ascii="Arial" w:cs="Arial" w:eastAsia="Arial" w:hAnsi="Arial"/>
          <w:sz w:val="16"/>
          <w:szCs w:val="16"/>
          <w:color w:val="auto"/>
        </w:rPr>
        <w:t>Note 5 of the Notes to Condensed Consolidated Financial Statements herein and Notes 10 and 11 of the Notes to Consolidated Financial Statements in the Annual Report describe electric and natural gas regulation and rates, and other pending proceedings and investigations.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609" w:right="2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4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Certain accounting policies are viewed by management as critical because their application is the most relevant, judgmental and/or material to the company's financial position and results of operations, and/or because they require the use of material judgments and estimates. These accounting policies are discussed in "Management's Discussion and Analysis of Financial Condition and Results of Operations" in the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company's significant accounting policies are described in Note 1 of the Notes to Consolidated Financial Statements in the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STANDARDS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Recently issued pronouncements that have had or may have a significant effect on the company's financial statements are described in Note 2 of the Notes to Condensed Consolidated Financial Statements herein.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2008, the total Value at Risk of SDG&amp;E's positions was not material.</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4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 company's reports is recorded, processed, summarized and reported within the 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cost-bene fit relationship of other possible controls and procedures. In addition, the company consolidates a variable interest entity as defined in Financial Accounting Standards Board Interpretation No. 46(R) that it does not control or manage and consequently, its disclosure controls and procedures with respect to this entity are necessarily limited to oversight or monitoring controls that the company has implemented to provide reasonable assurance that the objectives of the company's disclosure controls and procedures as described above are met.</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There have been no changes in the company's internal control over financial reporting during the company's most recent fiscal quarter that have materially affected, or are reasonably likely to materially affect, the company's internal control over financial reporting.</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 xml:space="preserve">The company evaluates the effectiveness of its internal control over financial reporting based on the framework in </w:t>
      </w:r>
      <w:r>
        <w:rPr>
          <w:rFonts w:ascii="Arial" w:cs="Arial" w:eastAsia="Arial" w:hAnsi="Arial"/>
          <w:sz w:val="19"/>
          <w:szCs w:val="19"/>
          <w:i w:val="1"/>
          <w:iCs w:val="1"/>
          <w:color w:val="auto"/>
        </w:rPr>
        <w:t>Internal Control--Integrated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Framework </w:t>
      </w:r>
      <w:r>
        <w:rPr>
          <w:rFonts w:ascii="Arial" w:cs="Arial" w:eastAsia="Arial" w:hAnsi="Arial"/>
          <w:sz w:val="19"/>
          <w:szCs w:val="19"/>
          <w:color w:val="auto"/>
        </w:rPr>
        <w:t>issued by the Committee of Sponsoring Organizations of the Treadway Commission. Under the supervision and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participation of management, including the Chief Executive Officer and the Chief Financial Officer, the company evaluated the effectiveness of the design and operation of the company's disclosure controls and procedures as of June 30, 2008, the end of the period covered by this report. Based on that evaluation, the company's Chief Executive Officer and Chief Financial Officer concluded that the company's disclosure controls and procedures were effective at the reasonable assurance level.</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603" w:right="2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On July 13, 2007, SDG&amp;E, one of its employees, and an SDG&amp;E contractor were convicted in a federal jury trial on criminal charges of environmental violations in connection with the 2000 – 2001 dismantlement of a natural gas storage facility. SDG&amp;E was also convicted of a related charge of making a false statement to a governmental agency. SDG&amp;E is subject to a maximum fine of $2 million. On December 7, 2007, the trial court set aside all of the convictions and granted all of the defendants a new trial on all counts. The government has appealed the trial court's decision.</w:t>
      </w:r>
    </w:p>
    <w:p>
      <w:pPr>
        <w:spacing w:after="0" w:line="222"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Except for the matters described in Notes 5 and 6 of the Notes to Condensed Consolidated Financial Statements herein, neither the company nor its subsidiaries are party to, nor is their property the subject of, any material pending legal proceedings other than routine litigation incidental to their businesses.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There have been no material changes from risk factors as previously disclosed in the company's 2007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w:t>
      </w:r>
      <w:r>
        <w:rPr>
          <w:rFonts w:ascii="Arial" w:cs="Arial" w:eastAsia="Arial" w:hAnsi="Arial"/>
          <w:sz w:val="20"/>
          <w:szCs w:val="20"/>
          <w:color w:val="auto"/>
        </w:rPr>
        <w:t>.</w:t>
      </w:r>
      <w:r>
        <w:rPr>
          <w:rFonts w:ascii="Arial" w:cs="Arial" w:eastAsia="Arial" w:hAnsi="Arial"/>
          <w:sz w:val="20"/>
          <w:szCs w:val="20"/>
          <w:b w:val="1"/>
          <w:bCs w:val="1"/>
          <w:color w:val="auto"/>
        </w:rPr>
        <w:t xml:space="preserve"> SUBMISSION OF MATTERS TO A VOTE OF SECURITY HOLDERS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 Election of directors:</w:t>
      </w:r>
    </w:p>
    <w:p>
      <w:pPr>
        <w:spacing w:after="0" w:line="249" w:lineRule="exact"/>
        <w:rPr>
          <w:sz w:val="20"/>
          <w:szCs w:val="20"/>
          <w:color w:val="auto"/>
        </w:rPr>
      </w:pPr>
    </w:p>
    <w:p>
      <w:pPr>
        <w:ind w:right="460"/>
        <w:spacing w:after="0" w:line="250" w:lineRule="auto"/>
        <w:rPr>
          <w:sz w:val="20"/>
          <w:szCs w:val="20"/>
          <w:color w:val="auto"/>
        </w:rPr>
      </w:pPr>
      <w:r>
        <w:rPr>
          <w:rFonts w:ascii="Arial" w:cs="Arial" w:eastAsia="Arial" w:hAnsi="Arial"/>
          <w:sz w:val="20"/>
          <w:szCs w:val="20"/>
          <w:color w:val="auto"/>
        </w:rPr>
        <w:t>At the annual meeting of shareholders on June 6, 2008, shareholders elected three directors for a one-year term expiring in 2009. The name of each nominee and the number of shares voted for and withheld from the election of each director were as follows. There were no abstentions or broker non-votes.</w:t>
      </w:r>
    </w:p>
    <w:p>
      <w:pPr>
        <w:spacing w:after="0" w:line="200" w:lineRule="exact"/>
        <w:rPr>
          <w:sz w:val="20"/>
          <w:szCs w:val="20"/>
          <w:color w:val="auto"/>
        </w:rPr>
      </w:pPr>
    </w:p>
    <w:p>
      <w:pPr>
        <w:spacing w:after="0" w:line="291" w:lineRule="exact"/>
        <w:rPr>
          <w:sz w:val="20"/>
          <w:szCs w:val="20"/>
          <w:color w:val="auto"/>
        </w:rPr>
      </w:pPr>
    </w:p>
    <w:tbl>
      <w:tblPr>
        <w:tblLayout w:type="fixed"/>
        <w:tblInd w:w="3000" w:type="dxa"/>
        <w:tblCellMar>
          <w:top w:w="0" w:type="dxa"/>
          <w:left w:w="0" w:type="dxa"/>
          <w:bottom w:w="0" w:type="dxa"/>
          <w:right w:w="0" w:type="dxa"/>
        </w:tblCellMar>
      </w:tblPr>
      <w:tr>
        <w:trPr>
          <w:trHeight w:val="261"/>
        </w:trPr>
        <w:tc>
          <w:tcPr>
            <w:tcW w:w="2100" w:type="dxa"/>
            <w:vAlign w:val="bottom"/>
            <w:tcBorders>
              <w:bottom w:val="single" w:sz="8" w:color="auto"/>
            </w:tcBorders>
          </w:tcPr>
          <w:p>
            <w:pPr>
              <w:ind w:left="720"/>
              <w:spacing w:after="0"/>
              <w:rPr>
                <w:sz w:val="20"/>
                <w:szCs w:val="20"/>
                <w:color w:val="auto"/>
              </w:rPr>
            </w:pPr>
            <w:r>
              <w:rPr>
                <w:rFonts w:ascii="Arial" w:cs="Arial" w:eastAsia="Arial" w:hAnsi="Arial"/>
                <w:sz w:val="20"/>
                <w:szCs w:val="20"/>
                <w:b w:val="1"/>
                <w:bCs w:val="1"/>
                <w:color w:val="auto"/>
              </w:rPr>
              <w:t>Nominees</w:t>
            </w:r>
          </w:p>
        </w:tc>
        <w:tc>
          <w:tcPr>
            <w:tcW w:w="17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Votes For</w:t>
            </w:r>
          </w:p>
        </w:tc>
        <w:tc>
          <w:tcPr>
            <w:tcW w:w="15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5"/>
              </w:rPr>
              <w:t>Votes Withheld</w:t>
            </w:r>
          </w:p>
        </w:tc>
      </w:tr>
      <w:tr>
        <w:trPr>
          <w:trHeight w:val="249"/>
        </w:trPr>
        <w:tc>
          <w:tcPr>
            <w:tcW w:w="2100" w:type="dxa"/>
            <w:vAlign w:val="bottom"/>
          </w:tcPr>
          <w:p>
            <w:pPr>
              <w:spacing w:after="0"/>
              <w:rPr>
                <w:sz w:val="20"/>
                <w:szCs w:val="20"/>
                <w:color w:val="auto"/>
              </w:rPr>
            </w:pPr>
            <w:r>
              <w:rPr>
                <w:rFonts w:ascii="Arial" w:cs="Arial" w:eastAsia="Arial" w:hAnsi="Arial"/>
                <w:sz w:val="20"/>
                <w:szCs w:val="20"/>
                <w:color w:val="auto"/>
              </w:rPr>
              <w:t>Michael R. Niggli</w:t>
            </w: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116,583,358</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3"/>
        </w:trPr>
        <w:tc>
          <w:tcPr>
            <w:tcW w:w="2100" w:type="dxa"/>
            <w:vAlign w:val="bottom"/>
          </w:tcPr>
          <w:p>
            <w:pPr>
              <w:spacing w:after="0"/>
              <w:rPr>
                <w:sz w:val="20"/>
                <w:szCs w:val="20"/>
                <w:color w:val="auto"/>
              </w:rPr>
            </w:pPr>
            <w:r>
              <w:rPr>
                <w:rFonts w:ascii="Arial" w:cs="Arial" w:eastAsia="Arial" w:hAnsi="Arial"/>
                <w:sz w:val="20"/>
                <w:szCs w:val="20"/>
                <w:color w:val="auto"/>
              </w:rPr>
              <w:t>Debra L. Reed</w:t>
            </w: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116,583,358</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1"/>
        </w:trPr>
        <w:tc>
          <w:tcPr>
            <w:tcW w:w="2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Mark A. Snell</w:t>
            </w:r>
          </w:p>
        </w:tc>
        <w:tc>
          <w:tcPr>
            <w:tcW w:w="17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116,583,358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360"/>
          </w:cols>
          <w:pgMar w:left="240" w:top="603" w:right="299" w:bottom="1440" w:gutter="0" w:footer="0" w:header="0"/>
        </w:sectPr>
      </w:pPr>
    </w:p>
    <w:bookmarkStart w:id="24" w:name="page25"/>
    <w:bookmarkEnd w:id="24"/>
    <w:p>
      <w:pPr>
        <w:ind w:left="1840"/>
        <w:spacing w:after="0"/>
        <w:rPr>
          <w:sz w:val="20"/>
          <w:szCs w:val="20"/>
          <w:color w:val="auto"/>
        </w:rPr>
      </w:pPr>
      <w:r>
        <w:rPr>
          <w:rFonts w:ascii="Arial" w:cs="Arial" w:eastAsia="Arial" w:hAnsi="Arial"/>
          <w:sz w:val="20"/>
          <w:szCs w:val="20"/>
          <w:b w:val="1"/>
          <w:bCs w:val="1"/>
          <w:color w:val="auto"/>
        </w:rPr>
        <w:t>ITEM 6</w:t>
      </w:r>
      <w:r>
        <w:rPr>
          <w:rFonts w:ascii="Arial" w:cs="Arial" w:eastAsia="Arial" w:hAnsi="Arial"/>
          <w:sz w:val="20"/>
          <w:szCs w:val="20"/>
          <w:color w:val="auto"/>
        </w:rPr>
        <w:t>.</w:t>
      </w:r>
      <w:r>
        <w:rPr>
          <w:rFonts w:ascii="Arial" w:cs="Arial" w:eastAsia="Arial" w:hAnsi="Arial"/>
          <w:sz w:val="20"/>
          <w:szCs w:val="20"/>
          <w:b w:val="1"/>
          <w:bCs w:val="1"/>
          <w:color w:val="auto"/>
        </w:rPr>
        <w:t xml:space="preserve"> EXHIBITS</w:t>
      </w:r>
    </w:p>
    <w:p>
      <w:pPr>
        <w:spacing w:after="0" w:line="200" w:lineRule="exact"/>
        <w:rPr>
          <w:sz w:val="20"/>
          <w:szCs w:val="20"/>
          <w:color w:val="auto"/>
        </w:rPr>
      </w:pPr>
    </w:p>
    <w:p>
      <w:pPr>
        <w:spacing w:after="0" w:line="319"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Exhibit 10 - Material Contracts</w:t>
      </w:r>
    </w:p>
    <w:p>
      <w:pPr>
        <w:spacing w:after="0" w:line="270" w:lineRule="exact"/>
        <w:rPr>
          <w:sz w:val="20"/>
          <w:szCs w:val="20"/>
          <w:color w:val="auto"/>
        </w:rPr>
      </w:pPr>
    </w:p>
    <w:p>
      <w:pPr>
        <w:ind w:left="2700" w:right="659" w:hanging="471"/>
        <w:spacing w:after="0" w:line="250" w:lineRule="auto"/>
        <w:rPr>
          <w:sz w:val="20"/>
          <w:szCs w:val="20"/>
          <w:color w:val="auto"/>
        </w:rPr>
      </w:pPr>
      <w:r>
        <w:rPr>
          <w:rFonts w:ascii="Arial" w:cs="Arial" w:eastAsia="Arial" w:hAnsi="Arial"/>
          <w:sz w:val="20"/>
          <w:szCs w:val="20"/>
          <w:color w:val="auto"/>
        </w:rPr>
        <w:t>10.1 Sempra Energy 2008 Long Term Incentive Plan (incorporated by reference from Appendix A to the 2008 Sempra Energy Definitive Proxy Statement, filed on April 15, 2008).</w:t>
      </w:r>
    </w:p>
    <w:p>
      <w:pPr>
        <w:spacing w:after="0" w:line="240"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10.2 Form of Indemnification Agreement with Directors and Executive Officers (June 30,</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2008 Sempra Energy Form 10-Q, Exhibit 10.2).</w:t>
      </w:r>
    </w:p>
    <w:p>
      <w:pPr>
        <w:spacing w:after="0" w:line="254" w:lineRule="exact"/>
        <w:rPr>
          <w:sz w:val="20"/>
          <w:szCs w:val="20"/>
          <w:color w:val="auto"/>
        </w:rPr>
      </w:pPr>
    </w:p>
    <w:p>
      <w:pPr>
        <w:ind w:left="2700" w:right="939" w:hanging="471"/>
        <w:spacing w:after="0" w:line="250" w:lineRule="auto"/>
        <w:rPr>
          <w:sz w:val="20"/>
          <w:szCs w:val="20"/>
          <w:color w:val="auto"/>
        </w:rPr>
      </w:pPr>
      <w:r>
        <w:rPr>
          <w:rFonts w:ascii="Arial" w:cs="Arial" w:eastAsia="Arial" w:hAnsi="Arial"/>
          <w:sz w:val="20"/>
          <w:szCs w:val="20"/>
          <w:color w:val="auto"/>
        </w:rPr>
        <w:t>10.3 Form of Sempra Energy 2008 Long Term Incentive Plan, 2008 Performance-Based Restricted Stock Unit Award (June 30, 2008 Sempra Energy Form 10-Q, Exhibit 10.3).</w:t>
      </w:r>
    </w:p>
    <w:p>
      <w:pPr>
        <w:spacing w:after="0" w:line="240" w:lineRule="exact"/>
        <w:rPr>
          <w:sz w:val="20"/>
          <w:szCs w:val="20"/>
          <w:color w:val="auto"/>
        </w:rPr>
      </w:pPr>
    </w:p>
    <w:p>
      <w:pPr>
        <w:jc w:val="center"/>
        <w:ind w:right="-1260"/>
        <w:spacing w:after="0"/>
        <w:rPr>
          <w:sz w:val="20"/>
          <w:szCs w:val="20"/>
          <w:color w:val="auto"/>
        </w:rPr>
      </w:pPr>
      <w:r>
        <w:rPr>
          <w:rFonts w:ascii="Arial" w:cs="Arial" w:eastAsia="Arial" w:hAnsi="Arial"/>
          <w:sz w:val="19"/>
          <w:szCs w:val="19"/>
          <w:color w:val="auto"/>
        </w:rPr>
        <w:t>10.4 Form of Sempra Energy 2008 Long Term Incentive Plan, 2008 Nonqualified Stock</w:t>
      </w:r>
    </w:p>
    <w:p>
      <w:pPr>
        <w:spacing w:after="0" w:line="27" w:lineRule="exact"/>
        <w:rPr>
          <w:sz w:val="20"/>
          <w:szCs w:val="20"/>
          <w:color w:val="auto"/>
        </w:rPr>
      </w:pPr>
    </w:p>
    <w:p>
      <w:pPr>
        <w:jc w:val="center"/>
        <w:ind w:right="-1260"/>
        <w:spacing w:after="0"/>
        <w:rPr>
          <w:sz w:val="20"/>
          <w:szCs w:val="20"/>
          <w:color w:val="auto"/>
        </w:rPr>
      </w:pPr>
      <w:r>
        <w:rPr>
          <w:rFonts w:ascii="Arial" w:cs="Arial" w:eastAsia="Arial" w:hAnsi="Arial"/>
          <w:sz w:val="20"/>
          <w:szCs w:val="20"/>
          <w:color w:val="auto"/>
        </w:rPr>
        <w:t>Option Agreement (June 30, 2008 Sempra Energy Form 10-Q, Exhibit 10.4).</w:t>
      </w:r>
    </w:p>
    <w:p>
      <w:pPr>
        <w:spacing w:after="0" w:line="254" w:lineRule="exact"/>
        <w:rPr>
          <w:sz w:val="20"/>
          <w:szCs w:val="20"/>
          <w:color w:val="auto"/>
        </w:rPr>
      </w:pPr>
    </w:p>
    <w:p>
      <w:pPr>
        <w:ind w:left="2700" w:right="759" w:hanging="471"/>
        <w:spacing w:after="0" w:line="260" w:lineRule="auto"/>
        <w:rPr>
          <w:sz w:val="20"/>
          <w:szCs w:val="20"/>
          <w:color w:val="auto"/>
        </w:rPr>
      </w:pPr>
      <w:r>
        <w:rPr>
          <w:rFonts w:ascii="Arial" w:cs="Arial" w:eastAsia="Arial" w:hAnsi="Arial"/>
          <w:sz w:val="20"/>
          <w:szCs w:val="20"/>
          <w:color w:val="auto"/>
        </w:rPr>
        <w:t>10.5 Sempra Energy Amended and Restated Executive Life Insurance Plan (June 30, 2008 Sempra Energy Form 10-Q, Exhibit 10.6).</w:t>
      </w:r>
    </w:p>
    <w:p>
      <w:pPr>
        <w:spacing w:after="0" w:line="231" w:lineRule="exact"/>
        <w:rPr>
          <w:sz w:val="20"/>
          <w:szCs w:val="20"/>
          <w:color w:val="auto"/>
        </w:rPr>
      </w:pPr>
    </w:p>
    <w:p>
      <w:pPr>
        <w:ind w:left="2700" w:right="899" w:hanging="471"/>
        <w:spacing w:after="0" w:line="260" w:lineRule="auto"/>
        <w:rPr>
          <w:sz w:val="20"/>
          <w:szCs w:val="20"/>
          <w:color w:val="auto"/>
        </w:rPr>
      </w:pPr>
      <w:r>
        <w:rPr>
          <w:rFonts w:ascii="Arial" w:cs="Arial" w:eastAsia="Arial" w:hAnsi="Arial"/>
          <w:sz w:val="20"/>
          <w:szCs w:val="20"/>
          <w:color w:val="auto"/>
        </w:rPr>
        <w:t>10.6 Sempra Energy Amendment and Restatement of the Cash Balance Restoration Plan (June 30, 2008 Sempra Energy Form 10-Q, Exhibit 10.8).</w:t>
      </w:r>
    </w:p>
    <w:p>
      <w:pPr>
        <w:spacing w:after="0" w:line="23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Exhibit 12 - Computation of ratios</w:t>
      </w:r>
    </w:p>
    <w:p>
      <w:pPr>
        <w:spacing w:after="0" w:line="270" w:lineRule="exact"/>
        <w:rPr>
          <w:sz w:val="20"/>
          <w:szCs w:val="20"/>
          <w:color w:val="auto"/>
        </w:rPr>
      </w:pPr>
    </w:p>
    <w:p>
      <w:pPr>
        <w:ind w:left="2700" w:right="939" w:hanging="471"/>
        <w:spacing w:after="0" w:line="260" w:lineRule="auto"/>
        <w:rPr>
          <w:sz w:val="20"/>
          <w:szCs w:val="20"/>
          <w:color w:val="auto"/>
        </w:rPr>
      </w:pPr>
      <w:r>
        <w:rPr>
          <w:rFonts w:ascii="Arial" w:cs="Arial" w:eastAsia="Arial" w:hAnsi="Arial"/>
          <w:sz w:val="20"/>
          <w:szCs w:val="20"/>
          <w:color w:val="auto"/>
        </w:rPr>
        <w:t>12.1 Computation of Ratio of Earnings to Combined Fixed Charges and Preferred Stock Dividends.</w:t>
      </w:r>
    </w:p>
    <w:p>
      <w:pPr>
        <w:spacing w:after="0" w:line="23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Exhibit 31 -- Section 302 Certifications</w:t>
      </w:r>
    </w:p>
    <w:p>
      <w:pPr>
        <w:spacing w:after="0" w:line="270"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31.1 Statement of Registrant's Chief Executive Officer pursuant to Rules 13a-14 and 15d-</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14 of the Securities Exchange Act of 1934.</w:t>
      </w:r>
    </w:p>
    <w:p>
      <w:pPr>
        <w:spacing w:after="0" w:line="254" w:lineRule="exact"/>
        <w:rPr>
          <w:sz w:val="20"/>
          <w:szCs w:val="20"/>
          <w:color w:val="auto"/>
        </w:rPr>
      </w:pPr>
    </w:p>
    <w:p>
      <w:pPr>
        <w:ind w:left="2700" w:right="679" w:hanging="471"/>
        <w:spacing w:after="0" w:line="260" w:lineRule="auto"/>
        <w:rPr>
          <w:sz w:val="20"/>
          <w:szCs w:val="20"/>
          <w:color w:val="auto"/>
        </w:rPr>
      </w:pPr>
      <w:r>
        <w:rPr>
          <w:rFonts w:ascii="Arial" w:cs="Arial" w:eastAsia="Arial" w:hAnsi="Arial"/>
          <w:sz w:val="20"/>
          <w:szCs w:val="20"/>
          <w:color w:val="auto"/>
        </w:rPr>
        <w:t>31.2 Statement of Registrant's Chief Financial Officer pursuant to Rules 13a-14 and 15d-14 of the Securities Exchange Act of 1934.</w:t>
      </w:r>
    </w:p>
    <w:p>
      <w:pPr>
        <w:spacing w:after="0" w:line="23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Exhibit 32 -- Section 906 Certifications</w:t>
      </w:r>
    </w:p>
    <w:p>
      <w:pPr>
        <w:spacing w:after="0" w:line="270"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32.1 Statement of Registrant's Chief Executive Officer pursuant to 18 U.S.C. Sec. 1350.</w:t>
      </w:r>
    </w:p>
    <w:p>
      <w:pPr>
        <w:spacing w:after="0" w:line="293"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32.2 Statement of Registrant's Chief Financial Officer pursuant to 18 U.S.C. Sec. 1350.</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219"/>
          </w:cols>
          <w:pgMar w:left="240" w:top="886" w:right="1440" w:bottom="1440" w:gutter="0" w:footer="0" w:header="0"/>
        </w:sectPr>
      </w:pPr>
    </w:p>
    <w:bookmarkStart w:id="25" w:name="page26"/>
    <w:bookmarkEnd w:id="25"/>
    <w:p>
      <w:pPr>
        <w:jc w:val="center"/>
        <w:ind w:right="-560"/>
        <w:spacing w:after="0"/>
        <w:rPr>
          <w:sz w:val="20"/>
          <w:szCs w:val="20"/>
          <w:color w:val="auto"/>
        </w:rPr>
      </w:pPr>
      <w:r>
        <w:rPr>
          <w:rFonts w:ascii="Arial" w:cs="Arial" w:eastAsia="Arial" w:hAnsi="Arial"/>
          <w:sz w:val="20"/>
          <w:szCs w:val="20"/>
          <w:color w:val="auto"/>
        </w:rPr>
        <w:t>SIGNATURE</w:t>
      </w:r>
    </w:p>
    <w:p>
      <w:pPr>
        <w:spacing w:after="0" w:line="256" w:lineRule="exact"/>
        <w:rPr>
          <w:sz w:val="20"/>
          <w:szCs w:val="20"/>
          <w:color w:val="auto"/>
        </w:rPr>
      </w:pPr>
    </w:p>
    <w:p>
      <w:pPr>
        <w:ind w:left="1180" w:right="819"/>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SAN DIEGO GAS &amp; ELECTRIC COMPANY,</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(Registrant)</w:t>
      </w:r>
    </w:p>
    <w:p>
      <w:pPr>
        <w:spacing w:after="0" w:line="254" w:lineRule="exact"/>
        <w:rPr>
          <w:sz w:val="20"/>
          <w:szCs w:val="20"/>
          <w:color w:val="auto"/>
        </w:rPr>
      </w:pPr>
    </w:p>
    <w:p>
      <w:pPr>
        <w:ind w:left="1180"/>
        <w:spacing w:after="0"/>
        <w:tabs>
          <w:tab w:leader="none" w:pos="5500" w:val="left"/>
        </w:tabs>
        <w:rPr>
          <w:sz w:val="20"/>
          <w:szCs w:val="20"/>
          <w:color w:val="auto"/>
        </w:rPr>
      </w:pPr>
      <w:r>
        <w:rPr>
          <w:rFonts w:ascii="Arial" w:cs="Arial" w:eastAsia="Arial" w:hAnsi="Arial"/>
          <w:sz w:val="20"/>
          <w:szCs w:val="20"/>
          <w:color w:val="auto"/>
        </w:rPr>
        <w:t>Date: August 7, 2008</w:t>
      </w:r>
      <w:r>
        <w:rPr>
          <w:sz w:val="20"/>
          <w:szCs w:val="20"/>
          <w:color w:val="auto"/>
        </w:rPr>
        <w:tab/>
      </w:r>
      <w:r>
        <w:rPr>
          <w:rFonts w:ascii="Arial" w:cs="Arial" w:eastAsia="Arial" w:hAnsi="Arial"/>
          <w:sz w:val="18"/>
          <w:szCs w:val="18"/>
          <w:color w:val="auto"/>
        </w:rPr>
        <w:t>By: /s/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19050</wp:posOffset>
            </wp:positionV>
            <wp:extent cx="30099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Dennis V. Arriola</w:t>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219"/>
          </w:cols>
          <w:pgMar w:left="240" w:top="1136" w:right="1440"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EXHIBIT 12.1</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GAS &amp; ELECTRIC COMPANY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2003</w:t>
            </w:r>
          </w:p>
        </w:tc>
        <w:tc>
          <w:tcPr>
            <w:tcW w:w="4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2004</w:t>
            </w:r>
          </w:p>
        </w:tc>
        <w:tc>
          <w:tcPr>
            <w:tcW w:w="4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2005</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09"/>
        </w:trPr>
        <w:tc>
          <w:tcPr>
            <w:tcW w:w="1900" w:type="dxa"/>
            <w:vAlign w:val="bottom"/>
          </w:tcPr>
          <w:p>
            <w:pPr>
              <w:spacing w:after="0"/>
              <w:rPr>
                <w:sz w:val="20"/>
                <w:szCs w:val="20"/>
                <w:color w:val="auto"/>
              </w:rPr>
            </w:pPr>
            <w:r>
              <w:rPr>
                <w:rFonts w:ascii="Arial" w:cs="Arial" w:eastAsia="Arial" w:hAnsi="Arial"/>
                <w:sz w:val="18"/>
                <w:szCs w:val="18"/>
                <w:color w:val="auto"/>
              </w:rPr>
              <w:t>Fixed Charges and</w:t>
            </w:r>
          </w:p>
        </w:tc>
        <w:tc>
          <w:tcPr>
            <w:tcW w:w="9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Preferred Stock</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00" w:type="dxa"/>
            <w:vAlign w:val="bottom"/>
          </w:tcPr>
          <w:p>
            <w:pPr>
              <w:spacing w:after="0"/>
              <w:rPr>
                <w:sz w:val="20"/>
                <w:szCs w:val="20"/>
                <w:color w:val="auto"/>
              </w:rPr>
            </w:pPr>
            <w:r>
              <w:rPr>
                <w:rFonts w:ascii="Arial" w:cs="Arial" w:eastAsia="Arial" w:hAnsi="Arial"/>
                <w:sz w:val="18"/>
                <w:szCs w:val="18"/>
                <w:color w:val="auto"/>
              </w:rPr>
              <w:t>Dividends: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900" w:type="dxa"/>
            <w:vAlign w:val="bottom"/>
          </w:tcPr>
          <w:p>
            <w:pPr>
              <w:spacing w:after="0"/>
              <w:rPr>
                <w:sz w:val="20"/>
                <w:szCs w:val="20"/>
                <w:color w:val="auto"/>
              </w:rPr>
            </w:pPr>
            <w:r>
              <w:rPr>
                <w:rFonts w:ascii="Arial" w:cs="Arial" w:eastAsia="Arial" w:hAnsi="Arial"/>
                <w:sz w:val="18"/>
                <w:szCs w:val="18"/>
                <w:color w:val="auto"/>
              </w:rPr>
              <w:t>Interest</w:t>
            </w:r>
          </w:p>
        </w:tc>
        <w:tc>
          <w:tcPr>
            <w:tcW w:w="9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45"/>
        </w:trPr>
        <w:tc>
          <w:tcPr>
            <w:tcW w:w="1900" w:type="dxa"/>
            <w:vAlign w:val="bottom"/>
          </w:tcPr>
          <w:p>
            <w:pPr>
              <w:spacing w:after="0"/>
              <w:rPr>
                <w:sz w:val="20"/>
                <w:szCs w:val="20"/>
                <w:color w:val="auto"/>
              </w:rPr>
            </w:pPr>
            <w:r>
              <w:rPr>
                <w:rFonts w:ascii="Arial" w:cs="Arial" w:eastAsia="Arial" w:hAnsi="Arial"/>
                <w:sz w:val="18"/>
                <w:szCs w:val="18"/>
                <w:color w:val="auto"/>
              </w:rPr>
              <w:t>Interest portion of</w:t>
            </w:r>
          </w:p>
        </w:tc>
        <w:tc>
          <w:tcPr>
            <w:tcW w:w="9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Arial" w:cs="Arial" w:eastAsia="Arial" w:hAnsi="Arial"/>
                <w:sz w:val="18"/>
                <w:szCs w:val="18"/>
                <w:color w:val="auto"/>
              </w:rPr>
              <w:t>annual rentals</w:t>
            </w: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900" w:type="dxa"/>
            <w:vAlign w:val="bottom"/>
          </w:tcPr>
          <w:p>
            <w:pPr>
              <w:spacing w:after="0"/>
              <w:rPr>
                <w:sz w:val="20"/>
                <w:szCs w:val="20"/>
                <w:color w:val="auto"/>
              </w:rPr>
            </w:pPr>
            <w:r>
              <w:rPr>
                <w:rFonts w:ascii="Arial" w:cs="Arial" w:eastAsia="Arial" w:hAnsi="Arial"/>
                <w:sz w:val="18"/>
                <w:szCs w:val="18"/>
                <w:color w:val="auto"/>
              </w:rPr>
              <w:t>Total fixed</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900" w:type="dxa"/>
            <w:vAlign w:val="bottom"/>
          </w:tcPr>
          <w:p>
            <w:pPr>
              <w:spacing w:after="0"/>
              <w:rPr>
                <w:sz w:val="20"/>
                <w:szCs w:val="20"/>
                <w:color w:val="auto"/>
              </w:rPr>
            </w:pPr>
            <w:r>
              <w:rPr>
                <w:rFonts w:ascii="Arial" w:cs="Arial" w:eastAsia="Arial" w:hAnsi="Arial"/>
                <w:sz w:val="18"/>
                <w:szCs w:val="18"/>
                <w:color w:val="auto"/>
              </w:rPr>
              <w:t>charges</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45"/>
        </w:trPr>
        <w:tc>
          <w:tcPr>
            <w:tcW w:w="1900" w:type="dxa"/>
            <w:vAlign w:val="bottom"/>
          </w:tcPr>
          <w:p>
            <w:pPr>
              <w:spacing w:after="0"/>
              <w:rPr>
                <w:sz w:val="20"/>
                <w:szCs w:val="20"/>
                <w:color w:val="auto"/>
              </w:rPr>
            </w:pPr>
            <w:r>
              <w:rPr>
                <w:rFonts w:ascii="Arial" w:cs="Arial" w:eastAsia="Arial" w:hAnsi="Arial"/>
                <w:sz w:val="18"/>
                <w:szCs w:val="18"/>
                <w:color w:val="auto"/>
              </w:rPr>
              <w:t>Preferred stock</w:t>
            </w:r>
          </w:p>
        </w:tc>
        <w:tc>
          <w:tcPr>
            <w:tcW w:w="9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Arial" w:cs="Arial" w:eastAsia="Arial" w:hAnsi="Arial"/>
                <w:sz w:val="18"/>
                <w:szCs w:val="18"/>
                <w:color w:val="auto"/>
              </w:rPr>
              <w:t>dividends (1)</w:t>
            </w: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900" w:type="dxa"/>
            <w:vAlign w:val="bottom"/>
          </w:tcPr>
          <w:p>
            <w:pPr>
              <w:spacing w:after="0"/>
              <w:rPr>
                <w:sz w:val="20"/>
                <w:szCs w:val="20"/>
                <w:color w:val="auto"/>
              </w:rPr>
            </w:pPr>
            <w:r>
              <w:rPr>
                <w:rFonts w:ascii="Arial" w:cs="Arial" w:eastAsia="Arial" w:hAnsi="Arial"/>
                <w:sz w:val="18"/>
                <w:szCs w:val="18"/>
                <w:color w:val="auto"/>
              </w:rPr>
              <w:t>Combined fixed</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dividends for</w:t>
            </w:r>
          </w:p>
        </w:tc>
        <w:tc>
          <w:tcPr>
            <w:tcW w:w="900" w:type="dxa"/>
            <w:vAlign w:val="bottom"/>
            <w:vMerge w:val="restart"/>
          </w:tcPr>
          <w:p>
            <w:pPr>
              <w:jc w:val="right"/>
              <w:ind w:right="57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4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104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63"/>
        </w:trPr>
        <w:tc>
          <w:tcPr>
            <w:tcW w:w="1900" w:type="dxa"/>
            <w:vAlign w:val="bottom"/>
          </w:tcPr>
          <w:p>
            <w:pPr>
              <w:ind w:left="260"/>
              <w:spacing w:after="0" w:line="143" w:lineRule="exact"/>
              <w:rPr>
                <w:sz w:val="20"/>
                <w:szCs w:val="20"/>
                <w:color w:val="auto"/>
              </w:rPr>
            </w:pPr>
            <w:r>
              <w:rPr>
                <w:rFonts w:ascii="Arial" w:cs="Arial" w:eastAsia="Arial" w:hAnsi="Arial"/>
                <w:sz w:val="16"/>
                <w:szCs w:val="16"/>
                <w:color w:val="auto"/>
              </w:rPr>
              <w:t>purpose of ratio</w:t>
            </w:r>
          </w:p>
        </w:tc>
        <w:tc>
          <w:tcPr>
            <w:tcW w:w="9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900" w:type="dxa"/>
            <w:vAlign w:val="bottom"/>
          </w:tcPr>
          <w:p>
            <w:pPr>
              <w:spacing w:after="0"/>
              <w:rPr>
                <w:sz w:val="20"/>
                <w:szCs w:val="20"/>
                <w:color w:val="auto"/>
              </w:rPr>
            </w:pPr>
            <w:r>
              <w:rPr>
                <w:rFonts w:ascii="Arial" w:cs="Arial" w:eastAsia="Arial" w:hAnsi="Arial"/>
                <w:sz w:val="18"/>
                <w:szCs w:val="18"/>
                <w:color w:val="auto"/>
              </w:rPr>
              <w:t>Pretax income from</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continuing</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00" w:type="dxa"/>
            <w:vAlign w:val="bottom"/>
          </w:tcPr>
          <w:p>
            <w:pPr>
              <w:spacing w:after="0"/>
              <w:rPr>
                <w:sz w:val="20"/>
                <w:szCs w:val="20"/>
                <w:color w:val="auto"/>
              </w:rPr>
            </w:pPr>
            <w:r>
              <w:rPr>
                <w:rFonts w:ascii="Arial" w:cs="Arial" w:eastAsia="Arial" w:hAnsi="Arial"/>
                <w:sz w:val="18"/>
                <w:szCs w:val="18"/>
                <w:color w:val="auto"/>
              </w:rPr>
              <w:t>operations</w:t>
            </w:r>
          </w:p>
        </w:tc>
        <w:tc>
          <w:tcPr>
            <w:tcW w:w="9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488</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361</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356</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394</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423</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445"/>
        </w:trPr>
        <w:tc>
          <w:tcPr>
            <w:tcW w:w="1900" w:type="dxa"/>
            <w:vAlign w:val="bottom"/>
          </w:tcPr>
          <w:p>
            <w:pPr>
              <w:spacing w:after="0"/>
              <w:rPr>
                <w:sz w:val="20"/>
                <w:szCs w:val="20"/>
                <w:color w:val="auto"/>
              </w:rPr>
            </w:pPr>
            <w:r>
              <w:rPr>
                <w:rFonts w:ascii="Arial" w:cs="Arial" w:eastAsia="Arial" w:hAnsi="Arial"/>
                <w:sz w:val="18"/>
                <w:szCs w:val="18"/>
                <w:color w:val="auto"/>
              </w:rPr>
              <w:t>Total fixed charges</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900" w:type="dxa"/>
            <w:vAlign w:val="bottom"/>
          </w:tcPr>
          <w:p>
            <w:pPr>
              <w:spacing w:after="0"/>
              <w:rPr>
                <w:sz w:val="20"/>
                <w:szCs w:val="20"/>
                <w:color w:val="auto"/>
              </w:rPr>
            </w:pPr>
            <w:r>
              <w:rPr>
                <w:rFonts w:ascii="Arial" w:cs="Arial" w:eastAsia="Arial" w:hAnsi="Arial"/>
                <w:sz w:val="18"/>
                <w:szCs w:val="18"/>
                <w:color w:val="auto"/>
              </w:rPr>
              <w:t>(from above)</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45"/>
        </w:trPr>
        <w:tc>
          <w:tcPr>
            <w:tcW w:w="1900" w:type="dxa"/>
            <w:vAlign w:val="bottom"/>
          </w:tcPr>
          <w:p>
            <w:pPr>
              <w:spacing w:after="0"/>
              <w:rPr>
                <w:sz w:val="20"/>
                <w:szCs w:val="20"/>
                <w:color w:val="auto"/>
              </w:rPr>
            </w:pPr>
            <w:r>
              <w:rPr>
                <w:rFonts w:ascii="Arial" w:cs="Arial" w:eastAsia="Arial" w:hAnsi="Arial"/>
                <w:sz w:val="18"/>
                <w:szCs w:val="18"/>
                <w:color w:val="auto"/>
              </w:rPr>
              <w:t>Less: Minority</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900" w:type="dxa"/>
            <w:vAlign w:val="bottom"/>
          </w:tcPr>
          <w:p>
            <w:pPr>
              <w:spacing w:after="0"/>
              <w:rPr>
                <w:sz w:val="20"/>
                <w:szCs w:val="20"/>
                <w:color w:val="auto"/>
              </w:rPr>
            </w:pPr>
            <w:r>
              <w:rPr>
                <w:rFonts w:ascii="Arial" w:cs="Arial" w:eastAsia="Arial" w:hAnsi="Arial"/>
                <w:sz w:val="18"/>
                <w:szCs w:val="18"/>
                <w:color w:val="auto"/>
              </w:rPr>
              <w:t>interest</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45"/>
        </w:trPr>
        <w:tc>
          <w:tcPr>
            <w:tcW w:w="1900" w:type="dxa"/>
            <w:vAlign w:val="bottom"/>
          </w:tcPr>
          <w:p>
            <w:pPr>
              <w:spacing w:after="0"/>
              <w:rPr>
                <w:sz w:val="20"/>
                <w:szCs w:val="20"/>
                <w:color w:val="auto"/>
              </w:rPr>
            </w:pPr>
            <w:r>
              <w:rPr>
                <w:rFonts w:ascii="Arial" w:cs="Arial" w:eastAsia="Arial" w:hAnsi="Arial"/>
                <w:sz w:val="18"/>
                <w:szCs w:val="18"/>
                <w:color w:val="auto"/>
              </w:rPr>
              <w:t>Less: interest</w:t>
            </w:r>
          </w:p>
        </w:tc>
        <w:tc>
          <w:tcPr>
            <w:tcW w:w="9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Arial" w:cs="Arial" w:eastAsia="Arial" w:hAnsi="Arial"/>
                <w:sz w:val="18"/>
                <w:szCs w:val="18"/>
                <w:color w:val="auto"/>
              </w:rPr>
              <w:t>capitalized</w:t>
            </w: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900" w:type="dxa"/>
            <w:vAlign w:val="bottom"/>
          </w:tcPr>
          <w:p>
            <w:pPr>
              <w:spacing w:after="0"/>
              <w:rPr>
                <w:sz w:val="20"/>
                <w:szCs w:val="20"/>
                <w:color w:val="auto"/>
              </w:rPr>
            </w:pPr>
            <w:r>
              <w:rPr>
                <w:rFonts w:ascii="Arial" w:cs="Arial" w:eastAsia="Arial" w:hAnsi="Arial"/>
                <w:sz w:val="18"/>
                <w:szCs w:val="18"/>
                <w:color w:val="auto"/>
              </w:rPr>
              <w:t>Total earnings for</w:t>
            </w:r>
          </w:p>
        </w:tc>
        <w:tc>
          <w:tcPr>
            <w:tcW w:w="900" w:type="dxa"/>
            <w:vAlign w:val="bottom"/>
            <w:vMerge w:val="restart"/>
          </w:tcPr>
          <w:p>
            <w:pPr>
              <w:jc w:val="right"/>
              <w:ind w:right="57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567</w:t>
            </w:r>
          </w:p>
        </w:tc>
        <w:tc>
          <w:tcPr>
            <w:tcW w:w="104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433</w:t>
            </w:r>
          </w:p>
        </w:tc>
        <w:tc>
          <w:tcPr>
            <w:tcW w:w="104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498</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511</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63"/>
        </w:trPr>
        <w:tc>
          <w:tcPr>
            <w:tcW w:w="1900" w:type="dxa"/>
            <w:vAlign w:val="bottom"/>
          </w:tcPr>
          <w:p>
            <w:pPr>
              <w:spacing w:after="0" w:line="143" w:lineRule="exact"/>
              <w:rPr>
                <w:sz w:val="20"/>
                <w:szCs w:val="20"/>
                <w:color w:val="auto"/>
              </w:rPr>
            </w:pPr>
            <w:r>
              <w:rPr>
                <w:rFonts w:ascii="Arial" w:cs="Arial" w:eastAsia="Arial" w:hAnsi="Arial"/>
                <w:sz w:val="16"/>
                <w:szCs w:val="16"/>
                <w:color w:val="auto"/>
              </w:rPr>
              <w:t>purpose of ratio</w:t>
            </w:r>
          </w:p>
        </w:tc>
        <w:tc>
          <w:tcPr>
            <w:tcW w:w="9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1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90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63"/>
        </w:trPr>
        <w:tc>
          <w:tcPr>
            <w:tcW w:w="190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1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163"/>
        </w:trPr>
        <w:tc>
          <w:tcPr>
            <w:tcW w:w="1900" w:type="dxa"/>
            <w:vAlign w:val="bottom"/>
          </w:tcPr>
          <w:p>
            <w:pPr>
              <w:spacing w:after="0" w:line="143" w:lineRule="exact"/>
              <w:rPr>
                <w:sz w:val="20"/>
                <w:szCs w:val="20"/>
                <w:color w:val="auto"/>
              </w:rPr>
            </w:pPr>
            <w:r>
              <w:rPr>
                <w:rFonts w:ascii="Arial" w:cs="Arial" w:eastAsia="Arial" w:hAnsi="Arial"/>
                <w:sz w:val="16"/>
                <w:szCs w:val="16"/>
                <w:color w:val="auto"/>
              </w:rPr>
              <w:t>fixed charges</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80" w:firstLine="2"/>
        <w:spacing w:after="0" w:line="246"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160"/>
          </w:cols>
          <w:pgMar w:left="260" w:top="886" w:right="479" w:bottom="1440" w:gutter="0" w:footer="0" w:header="0"/>
        </w:sectPr>
      </w:pPr>
    </w:p>
    <w:bookmarkStart w:id="27" w:name="page28"/>
    <w:bookmarkEnd w:id="27"/>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42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7, 2008</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38100</wp:posOffset>
            </wp:positionV>
            <wp:extent cx="2607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28" w:name="page29"/>
    <w:bookmarkEnd w:id="28"/>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Dennis V. Arriola, certify that:</w:t>
      </w:r>
    </w:p>
    <w:p>
      <w:pPr>
        <w:spacing w:after="0" w:line="26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42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7, 2008</w:t>
      </w:r>
    </w:p>
    <w:p>
      <w:pPr>
        <w:spacing w:after="0" w:line="281" w:lineRule="exact"/>
        <w:rPr>
          <w:sz w:val="20"/>
          <w:szCs w:val="20"/>
          <w:color w:val="auto"/>
        </w:rPr>
      </w:pPr>
    </w:p>
    <w:p>
      <w:pPr>
        <w:ind w:left="988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30480</wp:posOffset>
            </wp:positionV>
            <wp:extent cx="2452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2008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7, 2008</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38100</wp:posOffset>
            </wp:positionV>
            <wp:extent cx="24009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2008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7, 2008</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30480</wp:posOffset>
            </wp:positionV>
            <wp:extent cx="2349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2019-12-11T13:59:36Z</dcterms:created>
  <dcterms:modified xsi:type="dcterms:W3CDTF">2019-12-11T13:59:36Z</dcterms:modified>
</cp:coreProperties>
</file>